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2D" w:rsidRDefault="0099549F" w:rsidP="00844E2D">
      <w:pPr>
        <w:pStyle w:val="Parasts1"/>
        <w:jc w:val="center"/>
        <w:rPr>
          <w:b/>
          <w:sz w:val="28"/>
          <w:szCs w:val="28"/>
        </w:rPr>
      </w:pPr>
      <w:bookmarkStart w:id="0" w:name="OLE_LINK3"/>
      <w:bookmarkStart w:id="1" w:name="OLE_LINK4"/>
      <w:bookmarkStart w:id="2" w:name="OLE_LINK7"/>
      <w:bookmarkStart w:id="3" w:name="OLE_LINK1"/>
      <w:bookmarkStart w:id="4" w:name="OLE_LINK2"/>
      <w:bookmarkStart w:id="5" w:name="OLE_LINK5"/>
      <w:bookmarkStart w:id="6" w:name="OLE_LINK6"/>
      <w:r>
        <w:rPr>
          <w:b/>
          <w:sz w:val="28"/>
          <w:szCs w:val="28"/>
        </w:rPr>
        <w:t>Ministru kabineta noteikumu</w:t>
      </w:r>
      <w:bookmarkEnd w:id="0"/>
      <w:bookmarkEnd w:id="1"/>
      <w:bookmarkEnd w:id="2"/>
      <w:r w:rsidR="00EA61A1">
        <w:rPr>
          <w:b/>
          <w:sz w:val="28"/>
          <w:szCs w:val="28"/>
        </w:rPr>
        <w:t xml:space="preserve"> </w:t>
      </w:r>
      <w:r w:rsidR="00293039">
        <w:rPr>
          <w:b/>
          <w:sz w:val="28"/>
          <w:szCs w:val="28"/>
        </w:rPr>
        <w:t xml:space="preserve">projekta </w:t>
      </w:r>
      <w:r w:rsidR="00844E2D" w:rsidRPr="00844E2D">
        <w:rPr>
          <w:b/>
          <w:sz w:val="28"/>
          <w:szCs w:val="28"/>
        </w:rPr>
        <w:t>„Grozījumi Ministru kabineta 2010.gada 21.septembra noteikumos Nr.899 „Likuma „Par iedzīvotāju ienākuma nodokli”</w:t>
      </w:r>
      <w:r w:rsidR="00844E2D">
        <w:rPr>
          <w:b/>
          <w:sz w:val="28"/>
          <w:szCs w:val="28"/>
        </w:rPr>
        <w:t xml:space="preserve"> </w:t>
      </w:r>
      <w:r w:rsidR="00844E2D" w:rsidRPr="00844E2D">
        <w:rPr>
          <w:b/>
          <w:sz w:val="28"/>
          <w:szCs w:val="28"/>
        </w:rPr>
        <w:t>normu piemērošanas kārtība””</w:t>
      </w:r>
      <w:r w:rsidR="00844E2D">
        <w:rPr>
          <w:b/>
          <w:sz w:val="28"/>
          <w:szCs w:val="28"/>
        </w:rPr>
        <w:t xml:space="preserve"> </w:t>
      </w:r>
    </w:p>
    <w:p w:rsidR="005A299A" w:rsidRPr="008C18B1" w:rsidRDefault="005A299A" w:rsidP="00844E2D">
      <w:pPr>
        <w:pStyle w:val="Parasts1"/>
        <w:jc w:val="center"/>
        <w:rPr>
          <w:b/>
          <w:sz w:val="28"/>
          <w:szCs w:val="28"/>
        </w:rPr>
      </w:pPr>
      <w:r w:rsidRPr="008C18B1">
        <w:rPr>
          <w:b/>
          <w:sz w:val="28"/>
          <w:szCs w:val="28"/>
        </w:rPr>
        <w:t xml:space="preserve">sākotnējās ietekmes novērtējuma </w:t>
      </w:r>
      <w:smartTag w:uri="schemas-tilde-lv/tildestengine" w:element="veidnes">
        <w:smartTagPr>
          <w:attr w:name="id" w:val="-1"/>
          <w:attr w:name="baseform" w:val="ziņojums"/>
          <w:attr w:name="text" w:val="ziņojums"/>
        </w:smartTagPr>
        <w:r w:rsidRPr="008C18B1">
          <w:rPr>
            <w:b/>
            <w:sz w:val="28"/>
            <w:szCs w:val="28"/>
          </w:rPr>
          <w:t>ziņojums</w:t>
        </w:r>
      </w:smartTag>
      <w:bookmarkEnd w:id="3"/>
      <w:bookmarkEnd w:id="4"/>
      <w:r w:rsidRPr="008C18B1">
        <w:rPr>
          <w:b/>
          <w:sz w:val="28"/>
          <w:szCs w:val="28"/>
        </w:rPr>
        <w:t xml:space="preserve"> (anotācija)</w:t>
      </w:r>
      <w:bookmarkEnd w:id="5"/>
      <w:bookmarkEnd w:id="6"/>
    </w:p>
    <w:p w:rsidR="005A299A" w:rsidRPr="008C18B1" w:rsidRDefault="005A299A" w:rsidP="009D6184">
      <w:pPr>
        <w:pStyle w:val="Parasts1"/>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42"/>
        <w:gridCol w:w="7207"/>
      </w:tblGrid>
      <w:tr w:rsidR="005A299A" w:rsidRPr="008C18B1" w:rsidTr="007974B4">
        <w:tc>
          <w:tcPr>
            <w:tcW w:w="9480" w:type="dxa"/>
            <w:gridSpan w:val="3"/>
            <w:vAlign w:val="center"/>
          </w:tcPr>
          <w:p w:rsidR="005A299A" w:rsidRPr="008C18B1" w:rsidRDefault="005A299A" w:rsidP="009D6184">
            <w:pPr>
              <w:pStyle w:val="Parasts1"/>
              <w:jc w:val="center"/>
              <w:rPr>
                <w:b/>
              </w:rPr>
            </w:pPr>
            <w:r w:rsidRPr="008C18B1">
              <w:rPr>
                <w:b/>
              </w:rPr>
              <w:t>I. Tiesību akta projekta izstrādes nepieciešamība</w:t>
            </w:r>
          </w:p>
        </w:tc>
      </w:tr>
      <w:tr w:rsidR="00EA2F33" w:rsidRPr="008C18B1" w:rsidTr="00EB7442">
        <w:trPr>
          <w:trHeight w:val="289"/>
        </w:trPr>
        <w:tc>
          <w:tcPr>
            <w:tcW w:w="431" w:type="dxa"/>
          </w:tcPr>
          <w:p w:rsidR="00EA2F33" w:rsidRPr="008C18B1" w:rsidRDefault="00EA2F33" w:rsidP="009D6184">
            <w:pPr>
              <w:pStyle w:val="Parasts1"/>
            </w:pPr>
            <w:r w:rsidRPr="008C18B1">
              <w:t>1.</w:t>
            </w:r>
          </w:p>
        </w:tc>
        <w:tc>
          <w:tcPr>
            <w:tcW w:w="1842" w:type="dxa"/>
          </w:tcPr>
          <w:p w:rsidR="00EA2F33" w:rsidRPr="008C18B1" w:rsidRDefault="00EA2F33" w:rsidP="009D6184">
            <w:pPr>
              <w:pStyle w:val="Parasts1"/>
            </w:pPr>
            <w:r w:rsidRPr="008C18B1">
              <w:t>Pamatojums</w:t>
            </w:r>
          </w:p>
        </w:tc>
        <w:tc>
          <w:tcPr>
            <w:tcW w:w="7207" w:type="dxa"/>
          </w:tcPr>
          <w:p w:rsidR="00EA2F33" w:rsidRDefault="00EA2F33" w:rsidP="00FB3876">
            <w:pPr>
              <w:pStyle w:val="BodyText"/>
              <w:widowControl/>
              <w:numPr>
                <w:ilvl w:val="0"/>
                <w:numId w:val="21"/>
              </w:numPr>
              <w:overflowPunct/>
              <w:autoSpaceDE/>
              <w:autoSpaceDN/>
              <w:adjustRightInd/>
              <w:ind w:left="142" w:firstLine="218"/>
              <w:jc w:val="both"/>
              <w:textAlignment w:val="auto"/>
              <w:rPr>
                <w:szCs w:val="28"/>
              </w:rPr>
            </w:pPr>
            <w:r w:rsidRPr="00D15E0B">
              <w:rPr>
                <w:szCs w:val="28"/>
              </w:rPr>
              <w:t>Ministru kabineta noteikumu projekta</w:t>
            </w:r>
            <w:r>
              <w:rPr>
                <w:szCs w:val="28"/>
              </w:rPr>
              <w:t xml:space="preserve"> </w:t>
            </w:r>
            <w:r w:rsidR="00FB3876" w:rsidRPr="00FB3876">
              <w:rPr>
                <w:bCs/>
                <w:szCs w:val="28"/>
              </w:rPr>
              <w:t xml:space="preserve">„Grozījumi Ministru kabineta 2010.gada 21.septembra noteikumos Nr.899 „Likuma „Par iedzīvotāju ienākuma nodokli” normu piemērošanas kārtība”” </w:t>
            </w:r>
            <w:r>
              <w:rPr>
                <w:szCs w:val="28"/>
              </w:rPr>
              <w:t xml:space="preserve"> (turpmāk – noteikumu projekts)</w:t>
            </w:r>
            <w:r w:rsidRPr="00D15E0B">
              <w:rPr>
                <w:szCs w:val="28"/>
              </w:rPr>
              <w:t xml:space="preserve"> izstr</w:t>
            </w:r>
            <w:r w:rsidR="000C5177">
              <w:rPr>
                <w:szCs w:val="28"/>
              </w:rPr>
              <w:t>ādes nepieciešamību noteica 2012</w:t>
            </w:r>
            <w:r w:rsidRPr="00D15E0B">
              <w:rPr>
                <w:szCs w:val="28"/>
              </w:rPr>
              <w:t xml:space="preserve">.gada </w:t>
            </w:r>
            <w:r>
              <w:rPr>
                <w:szCs w:val="28"/>
              </w:rPr>
              <w:t>15</w:t>
            </w:r>
            <w:r w:rsidRPr="00D15E0B">
              <w:rPr>
                <w:szCs w:val="28"/>
              </w:rPr>
              <w:t>.</w:t>
            </w:r>
            <w:r w:rsidR="000C5177">
              <w:rPr>
                <w:szCs w:val="28"/>
              </w:rPr>
              <w:t>novembrī</w:t>
            </w:r>
            <w:r>
              <w:rPr>
                <w:szCs w:val="28"/>
              </w:rPr>
              <w:t xml:space="preserve"> Saeimā pieņemtais likums „</w:t>
            </w:r>
            <w:r w:rsidRPr="00D15E0B">
              <w:rPr>
                <w:szCs w:val="28"/>
              </w:rPr>
              <w:t>Grozī</w:t>
            </w:r>
            <w:r>
              <w:rPr>
                <w:szCs w:val="28"/>
              </w:rPr>
              <w:t>jumi likumā „</w:t>
            </w:r>
            <w:r w:rsidRPr="00D15E0B">
              <w:rPr>
                <w:szCs w:val="28"/>
              </w:rPr>
              <w:t>Par iedzīvotāju ienākuma no</w:t>
            </w:r>
            <w:r w:rsidR="000C5177">
              <w:rPr>
                <w:szCs w:val="28"/>
              </w:rPr>
              <w:t>dokli””, kurš stāsies spēkā 2013</w:t>
            </w:r>
            <w:r>
              <w:rPr>
                <w:szCs w:val="28"/>
              </w:rPr>
              <w:t>.gada 1.janvārī;</w:t>
            </w:r>
          </w:p>
          <w:p w:rsidR="00EA2F33" w:rsidRPr="00E30F5F" w:rsidRDefault="007E4702" w:rsidP="00E30F5F">
            <w:pPr>
              <w:pStyle w:val="BodyText"/>
              <w:widowControl/>
              <w:numPr>
                <w:ilvl w:val="0"/>
                <w:numId w:val="21"/>
              </w:numPr>
              <w:overflowPunct/>
              <w:autoSpaceDE/>
              <w:autoSpaceDN/>
              <w:adjustRightInd/>
              <w:ind w:left="127" w:firstLine="233"/>
              <w:jc w:val="both"/>
              <w:textAlignment w:val="auto"/>
              <w:rPr>
                <w:szCs w:val="28"/>
              </w:rPr>
            </w:pPr>
            <w:r>
              <w:rPr>
                <w:szCs w:val="28"/>
              </w:rPr>
              <w:t>Ministru kabineta 2011.gada 12.jūlija sēdes protokola Nr.43 30.</w:t>
            </w:r>
            <w:r>
              <w:rPr>
                <w:rFonts w:ascii="Arial Narrow" w:hAnsi="Arial Narrow"/>
                <w:szCs w:val="28"/>
              </w:rPr>
              <w:t>§</w:t>
            </w:r>
            <w:r>
              <w:rPr>
                <w:szCs w:val="28"/>
              </w:rPr>
              <w:t xml:space="preserve"> „Informatīvais ziņojums „Par turpmāko rīcību regulējuma par tiesību subjekta reģistrācijas apliecības izsniegšanu tikai pēc tā rakstveida piepras</w:t>
            </w:r>
            <w:r w:rsidR="00E30F5F">
              <w:rPr>
                <w:szCs w:val="28"/>
              </w:rPr>
              <w:t>ījuma nodrošināšanai”” 4.punkts.</w:t>
            </w:r>
          </w:p>
        </w:tc>
      </w:tr>
      <w:tr w:rsidR="00EA2F33" w:rsidRPr="008C18B1" w:rsidTr="00EB7442">
        <w:trPr>
          <w:trHeight w:val="558"/>
        </w:trPr>
        <w:tc>
          <w:tcPr>
            <w:tcW w:w="431" w:type="dxa"/>
          </w:tcPr>
          <w:p w:rsidR="00EA2F33" w:rsidRPr="008C18B1" w:rsidRDefault="00EA2F33" w:rsidP="009D6184">
            <w:pPr>
              <w:pStyle w:val="Parasts1"/>
            </w:pPr>
            <w:r w:rsidRPr="008C18B1">
              <w:t>2.</w:t>
            </w:r>
          </w:p>
        </w:tc>
        <w:tc>
          <w:tcPr>
            <w:tcW w:w="1842" w:type="dxa"/>
          </w:tcPr>
          <w:p w:rsidR="00EA2F33" w:rsidRPr="008C18B1" w:rsidRDefault="00EA2F33" w:rsidP="009D6184">
            <w:pPr>
              <w:pStyle w:val="Parasts1"/>
            </w:pPr>
            <w:r w:rsidRPr="008C18B1">
              <w:t>Pašreizējā situācija un problēmas</w:t>
            </w:r>
          </w:p>
        </w:tc>
        <w:tc>
          <w:tcPr>
            <w:tcW w:w="7207" w:type="dxa"/>
          </w:tcPr>
          <w:p w:rsidR="00113A84" w:rsidRDefault="00104950" w:rsidP="00BC713C">
            <w:pPr>
              <w:pStyle w:val="Parasts1"/>
              <w:jc w:val="both"/>
            </w:pPr>
            <w:r>
              <w:t>Noteikumu punktos nav pietiekamas savstarpējas sasaistes starp atsevišķiem punktiem (piemēram, 10., 61. un 86.punktu), kas tādējādi apgrūtina noteikumu piemērošanu tā lietotājiem – iedzīvotāju ienākuma nodokļa maksātājiem. Vienlaikus noteikumos nav pietiekami skaidri nodalīta iedzīvotāju ienākuma nodokļa piemērošanas kārtība gadījumos, kad atsavina</w:t>
            </w:r>
            <w:r w:rsidR="00BC713C">
              <w:t xml:space="preserve"> </w:t>
            </w:r>
            <w:r w:rsidR="00BC713C" w:rsidRPr="00BC713C">
              <w:t>intelektuālā īpašuma objekt</w:t>
            </w:r>
            <w:r>
              <w:t>us, un gadījumos, kad tiek</w:t>
            </w:r>
            <w:r w:rsidR="00BC713C" w:rsidRPr="00BC713C">
              <w:t xml:space="preserve"> </w:t>
            </w:r>
            <w:r>
              <w:t xml:space="preserve">gūts ienākums, kas uzskatāms par autoratlīdzību. </w:t>
            </w:r>
          </w:p>
          <w:p w:rsidR="004E05A2" w:rsidRDefault="00806CB7" w:rsidP="00BC713C">
            <w:pPr>
              <w:pStyle w:val="Parasts1"/>
              <w:jc w:val="both"/>
            </w:pPr>
            <w:r w:rsidRPr="00AD077A">
              <w:t xml:space="preserve">Pašlaik noteikumos </w:t>
            </w:r>
            <w:r w:rsidR="00AD077A" w:rsidRPr="00AD077A">
              <w:t xml:space="preserve">nav </w:t>
            </w:r>
            <w:r w:rsidR="007201CB" w:rsidRPr="00AD077A">
              <w:t>iekļauts</w:t>
            </w:r>
            <w:r w:rsidRPr="00AD077A">
              <w:t xml:space="preserve"> Latvijas Olimpiskās vienības sportistu</w:t>
            </w:r>
            <w:r>
              <w:t xml:space="preserve"> ēdināšanas izdevumu apmērs</w:t>
            </w:r>
            <w:r w:rsidR="007201CB">
              <w:t>, kas</w:t>
            </w:r>
            <w:r>
              <w:t xml:space="preserve"> tiek uzskatīts par kompensācijas izmaksām likuma 9.panta pirmās daļas 16.punkta izpratnē.</w:t>
            </w:r>
            <w:r w:rsidR="007201CB">
              <w:t xml:space="preserve"> Pašreiz  Latvijas Olimpiskās vienības sportistu ēdināšanas izdevumu apmērs noteikts Ministru kabineta 2005.gada 1.novembra noteikumos Nr.821 „Noteikumi par Latvijas Olimpiskās vienības sportistu ēdināšanas izdevumu apmēru”. Šādu atsevišķu noteikumu izmantošana nav uzskatāma par ērtu nodokļa maksātājiem, kuri likuma „Par iedzīvotāju ienākuma nodokli” piemērošanas jautājumos galvenokārt vadās no </w:t>
            </w:r>
            <w:r w:rsidR="007201CB" w:rsidRPr="00FB3876">
              <w:rPr>
                <w:bCs/>
                <w:szCs w:val="28"/>
              </w:rPr>
              <w:t xml:space="preserve"> Ministru kabineta 2010.gada 21.septembra noteikum</w:t>
            </w:r>
            <w:r w:rsidR="007201CB">
              <w:rPr>
                <w:bCs/>
                <w:szCs w:val="28"/>
              </w:rPr>
              <w:t>iem</w:t>
            </w:r>
            <w:r w:rsidR="007201CB" w:rsidRPr="00FB3876">
              <w:rPr>
                <w:bCs/>
                <w:szCs w:val="28"/>
              </w:rPr>
              <w:t xml:space="preserve"> Nr.899 „Likuma „Par iedzīvotāju ienākuma nodokli” normu piemērošanas kārtība”</w:t>
            </w:r>
            <w:r w:rsidR="007201CB">
              <w:rPr>
                <w:bCs/>
                <w:szCs w:val="28"/>
              </w:rPr>
              <w:t>.</w:t>
            </w:r>
          </w:p>
          <w:p w:rsidR="004E05A2" w:rsidRDefault="004E05A2" w:rsidP="00BC713C">
            <w:pPr>
              <w:pStyle w:val="Parasts1"/>
              <w:jc w:val="both"/>
            </w:pPr>
            <w:r w:rsidRPr="004E05A2">
              <w:t>Atbilstoši likuma „Par iedzīvotāju ienākuma nodokli” 9.panta pirmās daļas 33.punktam gada apliekamajā ienākumā netiek ietverts un ar nodokli netiek aplikts ienākums no nekustamā īpašuma atsavināšanas, kas maksātāja īpašumā (no dienas, kad attiecīgais nekustamais īpašums reģistrēts zemesgrāmatā) ir ilgāk par 60 mēnešiem un vismaz 12 mēnešus līdz atsavināšanas līguma noslēgšanas dienai ir personas deklarētā dzīvesvieta (kas nav deklarēta kā maksātāja papildu adrese</w:t>
            </w:r>
            <w:r w:rsidRPr="004E05A2">
              <w:rPr>
                <w:szCs w:val="28"/>
              </w:rPr>
              <w:t>).</w:t>
            </w:r>
            <w:r>
              <w:rPr>
                <w:szCs w:val="28"/>
              </w:rPr>
              <w:t xml:space="preserve"> Tomēr praksē bieži sastopami gadījumi, ka </w:t>
            </w:r>
            <w:r w:rsidRPr="004E05A2">
              <w:rPr>
                <w:szCs w:val="28"/>
              </w:rPr>
              <w:t>dzīvojamās mājas privatizācija nav uzsākta līdz dzīvokļa pārdošanas brīdim un tādējādi maksātājam nerodas tiesiskas iespējas pārdodamo dzīvokli ierakstīt zemesgrāmatā</w:t>
            </w:r>
            <w:r>
              <w:rPr>
                <w:szCs w:val="28"/>
              </w:rPr>
              <w:t xml:space="preserve"> vai arī uzsākta tik vēlu, ka maksātājam nav iespējas, ierakstot nekustamo īpašumu zemesgrāmatā, ievērot atbrīvojuma piemērošanai nepieciešamo 60 mēnešu kritēriju. Savukārt a</w:t>
            </w:r>
            <w:r w:rsidRPr="004E05A2">
              <w:rPr>
                <w:szCs w:val="28"/>
              </w:rPr>
              <w:t>tbilstoši likuma „Par valsts un pašvaldību dzīvojamo māju privatizāciju” 73.</w:t>
            </w:r>
            <w:r w:rsidRPr="004E05A2">
              <w:rPr>
                <w:szCs w:val="28"/>
                <w:vertAlign w:val="superscript"/>
              </w:rPr>
              <w:t>8</w:t>
            </w:r>
            <w:r w:rsidRPr="004E05A2">
              <w:rPr>
                <w:szCs w:val="28"/>
              </w:rPr>
              <w:t xml:space="preserve">panta pirmajai daļai dzīvoklis, mākslinieka </w:t>
            </w:r>
            <w:r w:rsidRPr="004E05A2">
              <w:rPr>
                <w:szCs w:val="28"/>
              </w:rPr>
              <w:lastRenderedPageBreak/>
              <w:t xml:space="preserve">darbnīca, neapdzīvojamā telpa un to īpašnieki līdz dzīvojamās mājas privatizācijai tiek reģistrēti Kadastra reģistrā. Kadastra reģistrā reģistrējamas arī ķīlas tiesības, kas nodibinātas uz dzīvokļa īpašumu, un citi dzīvokļa īpašuma apgrūtinājumi. Reģistrācija Kadastra reģistrā pēc juridiskām sekām pielīdzināma reģistrācijai zemesgrāmatā. </w:t>
            </w:r>
            <w:r>
              <w:rPr>
                <w:szCs w:val="28"/>
              </w:rPr>
              <w:t>Ņemot vērā, ka, piemērojot likumu „Par iedzīvotāju ienākuma nodokli”, līdzīgas situācijas sastopamas bieži un šādos gadījumos</w:t>
            </w:r>
            <w:r w:rsidRPr="004E05A2">
              <w:t xml:space="preserve"> </w:t>
            </w:r>
            <w:r w:rsidR="00F47935" w:rsidRPr="004E05A2">
              <w:t xml:space="preserve">reģistrācija </w:t>
            </w:r>
            <w:r w:rsidRPr="004E05A2">
              <w:t>Kadastra reģistrā</w:t>
            </w:r>
            <w:r w:rsidR="00F47935">
              <w:t xml:space="preserve">, sistēmiski un teleoloģiski tulkojot tiesību normas, </w:t>
            </w:r>
            <w:r w:rsidRPr="004E05A2">
              <w:t>ir pielīdzināma reģistrācijai zemesgrāmatā arī likuma „Par iedzīvotāju ienākuma nodokli” 9.panta pirmās daļas 33.punkta izpratnē</w:t>
            </w:r>
            <w:r>
              <w:t>, noteikumos nepieciešams atrunāt šo speciālo gadījumu attiecībā uz apliekamā ienākuma noteikšanu no nekustamā īpašuma atsavināšanas.</w:t>
            </w:r>
          </w:p>
          <w:p w:rsidR="00BE608E" w:rsidRDefault="00BE608E" w:rsidP="00BC713C">
            <w:pPr>
              <w:pStyle w:val="Parasts1"/>
              <w:jc w:val="both"/>
            </w:pPr>
            <w:r>
              <w:t xml:space="preserve">Šobrīd noteikumos nav atrunāta </w:t>
            </w:r>
            <w:r w:rsidR="00131A61">
              <w:t xml:space="preserve">precīza </w:t>
            </w:r>
            <w:r w:rsidR="0007757E" w:rsidRPr="0007757E">
              <w:t>kapitāla pieauguma iegādes vērtīb</w:t>
            </w:r>
            <w:r w:rsidR="0007757E">
              <w:t>as noteikšanas</w:t>
            </w:r>
            <w:r w:rsidR="0007757E" w:rsidRPr="0007757E">
              <w:t xml:space="preserve"> </w:t>
            </w:r>
            <w:r>
              <w:t xml:space="preserve">kārtība </w:t>
            </w:r>
            <w:r w:rsidR="005E026F">
              <w:t>gadījumos, kad</w:t>
            </w:r>
            <w:r w:rsidR="00BD3E7F">
              <w:t>,</w:t>
            </w:r>
            <w:r w:rsidR="005E026F">
              <w:t xml:space="preserve"> </w:t>
            </w:r>
            <w:r w:rsidR="0007757E">
              <w:t xml:space="preserve">nosakot </w:t>
            </w:r>
            <w:r w:rsidRPr="00BE608E">
              <w:t>nekustam</w:t>
            </w:r>
            <w:r w:rsidR="0007757E">
              <w:t>ā</w:t>
            </w:r>
            <w:r w:rsidRPr="00BE608E">
              <w:t xml:space="preserve"> īpašum</w:t>
            </w:r>
            <w:r w:rsidR="0007757E">
              <w:t xml:space="preserve">a  </w:t>
            </w:r>
            <w:r w:rsidR="0007757E" w:rsidRPr="0007757E">
              <w:t>iegādes vērtību, tiek ņemta vērā aktuālā nekustamā īpašuma kadastrālā vērtība nekustamā īpašuma atsavināšanas gadā.</w:t>
            </w:r>
          </w:p>
          <w:p w:rsidR="00612BD6" w:rsidRDefault="00612BD6" w:rsidP="00BC713C">
            <w:pPr>
              <w:pStyle w:val="Parasts1"/>
              <w:jc w:val="both"/>
            </w:pPr>
            <w:r>
              <w:t xml:space="preserve">Ar 2011.gada 15.decembrī Saeimā pieņemto likumu </w:t>
            </w:r>
            <w:r w:rsidRPr="00612BD6">
              <w:t>„Grozījumi likumā „Par iedzīvotāju ienākuma nodokli””</w:t>
            </w:r>
            <w:r w:rsidR="00067860">
              <w:t xml:space="preserve"> (stājās spēkā 2012.gada 1.janvārī)</w:t>
            </w:r>
            <w:r>
              <w:t>, likuma „Par iedzīvotāju ienākuma nodokli” 11.</w:t>
            </w:r>
            <w:r>
              <w:rPr>
                <w:vertAlign w:val="superscript"/>
              </w:rPr>
              <w:t>9</w:t>
            </w:r>
            <w:r>
              <w:t xml:space="preserve"> pants tika papildināts ar jaunām daļām</w:t>
            </w:r>
            <w:r w:rsidR="00067860">
              <w:t xml:space="preserve"> un pārejas noteikumi tika papildināti ar jaunu punktu attiecībā uz ar nodokli apliekamā ienākuma no noslēgtajiem dzīvības apdrošināšanas līgumiem (ar līdzekļu uzkrāšanu) noteikšanu. Šobrīd noteikumos nav precīzu skaidrojumu un piemēru</w:t>
            </w:r>
            <w:r w:rsidR="00067860" w:rsidRPr="0083523B">
              <w:t xml:space="preserve"> saistībā ar </w:t>
            </w:r>
            <w:proofErr w:type="spellStart"/>
            <w:r w:rsidR="00067860">
              <w:t>ar</w:t>
            </w:r>
            <w:proofErr w:type="spellEnd"/>
            <w:r w:rsidR="00067860">
              <w:t xml:space="preserve"> nodokli apliekamā ienākuma no noslēgtajiem </w:t>
            </w:r>
            <w:r w:rsidR="00067860" w:rsidRPr="0083523B">
              <w:t>dzīvības apdrošināšanas līgumiem (ar līdzekļu uzkrāšanu)</w:t>
            </w:r>
            <w:r w:rsidR="00067860">
              <w:t xml:space="preserve"> noteikšanu gadījumos, kad:</w:t>
            </w:r>
          </w:p>
          <w:p w:rsidR="00067860" w:rsidRDefault="00067860" w:rsidP="00067860">
            <w:pPr>
              <w:pStyle w:val="Parasts1"/>
              <w:tabs>
                <w:tab w:val="left" w:pos="284"/>
              </w:tabs>
              <w:jc w:val="both"/>
            </w:pPr>
            <w:r>
              <w:t>-</w:t>
            </w:r>
            <w:r>
              <w:tab/>
              <w:t xml:space="preserve">dzīvības apdrošināšanas līgumiem (ar līdzekļu uzkrāšanu) noslēgti līdz 2009.gada 31.decembrim </w:t>
            </w:r>
            <w:r w:rsidR="00F47935">
              <w:t>(</w:t>
            </w:r>
            <w:proofErr w:type="spellStart"/>
            <w:r w:rsidR="00F47935">
              <w:t>t.i</w:t>
            </w:r>
            <w:proofErr w:type="spellEnd"/>
            <w:r w:rsidR="00F47935">
              <w:t xml:space="preserve">., līdz tam, kad tika uzsākts ar iedzīvotāju ienākuma nodokli aplikt kapitāla ienākumus) </w:t>
            </w:r>
            <w:r>
              <w:t xml:space="preserve">un tie paredz daļēju uzkrājuma izmaksu </w:t>
            </w:r>
            <w:r w:rsidR="00F47935">
              <w:t>līguma darbības laikā (</w:t>
            </w:r>
            <w:proofErr w:type="spellStart"/>
            <w:r w:rsidR="00F47935">
              <w:t>t.i</w:t>
            </w:r>
            <w:proofErr w:type="spellEnd"/>
            <w:r w:rsidR="00F47935">
              <w:t>., laikā, kad kapitāla ienākumi jau tiek aplikti ar iedzīvotāju ienākuma nodokli);</w:t>
            </w:r>
          </w:p>
          <w:p w:rsidR="00067860" w:rsidRDefault="00067860" w:rsidP="00067860">
            <w:pPr>
              <w:pStyle w:val="Parasts1"/>
              <w:tabs>
                <w:tab w:val="left" w:pos="284"/>
              </w:tabs>
              <w:jc w:val="both"/>
            </w:pPr>
            <w:r>
              <w:t>-</w:t>
            </w:r>
            <w:r>
              <w:tab/>
              <w:t xml:space="preserve">dzīvības apdrošināšanas līguma (ar līdzekļu uzkrāšanu) termiņa beigās apdrošināšanas atlīdzība (ieskaitot ienākumu no šā apdrošināšanas </w:t>
            </w:r>
            <w:r w:rsidR="00F47935">
              <w:t>līguma) tiek izmaksāta pa daļām;</w:t>
            </w:r>
          </w:p>
          <w:p w:rsidR="00067860" w:rsidRDefault="00067860" w:rsidP="00067860">
            <w:pPr>
              <w:pStyle w:val="Parasts1"/>
              <w:tabs>
                <w:tab w:val="left" w:pos="284"/>
              </w:tabs>
              <w:jc w:val="both"/>
            </w:pPr>
            <w:r>
              <w:t>-</w:t>
            </w:r>
            <w:r>
              <w:tab/>
              <w:t>dzīvības apdrošināšanas līguma (ar līdzekļu uzkrāšanu) apdrošināšanas atlīdzības (ieskaitot ienākumu no šā apdrošināšanas līguma) izmaksas laikā atlikusī apdrošināšanas atlīdzī</w:t>
            </w:r>
            <w:r w:rsidR="00F47935">
              <w:t>ba palielinās par papildu peļņu;</w:t>
            </w:r>
          </w:p>
          <w:p w:rsidR="00067860" w:rsidRPr="00612BD6" w:rsidRDefault="00067860" w:rsidP="00067860">
            <w:pPr>
              <w:pStyle w:val="Parasts1"/>
              <w:tabs>
                <w:tab w:val="left" w:pos="284"/>
              </w:tabs>
              <w:jc w:val="both"/>
            </w:pPr>
            <w:r>
              <w:t>-</w:t>
            </w:r>
            <w:r>
              <w:tab/>
              <w:t>izmaksātā apdrošināšanas atlīdzība izmaksāta saskaņā ar dzīvības apdrošināšanas līgumu (ar līdzekļu uzkrāšanu), kuru apdrošinātā interesēs noslēdzis darba devējs (vai cits apdrošinājuma ņēmējs - juridiskā persona).</w:t>
            </w:r>
          </w:p>
          <w:p w:rsidR="004F5DCA" w:rsidRDefault="004F5DCA" w:rsidP="004F5DCA">
            <w:pPr>
              <w:jc w:val="both"/>
              <w:rPr>
                <w:szCs w:val="24"/>
              </w:rPr>
            </w:pPr>
            <w:r w:rsidRPr="004F5DCA">
              <w:rPr>
                <w:szCs w:val="24"/>
              </w:rPr>
              <w:t>2012.gada 15.novembrī Saeimā pieņemtais likums „Grozījumi likumā „Par iedzīvotāju ienākuma nodokli””</w:t>
            </w:r>
            <w:r>
              <w:rPr>
                <w:szCs w:val="24"/>
              </w:rPr>
              <w:t xml:space="preserve"> </w:t>
            </w:r>
            <w:r w:rsidRPr="004F5DCA">
              <w:rPr>
                <w:szCs w:val="24"/>
              </w:rPr>
              <w:t xml:space="preserve">paredz, ka, ja akciju pirkuma tiesību īstenošanas plāns paredz vismaz trīs gadu turēšanas periodu šādām tiesībām un darbinieks šajā laikā ir darba attiecības ar kapitālsabiedrību, kā arī darba devējs ir Valsts </w:t>
            </w:r>
            <w:r>
              <w:rPr>
                <w:szCs w:val="24"/>
              </w:rPr>
              <w:t>ieņēmumu dienestā sniedzis l</w:t>
            </w:r>
            <w:r w:rsidRPr="004F5DCA">
              <w:rPr>
                <w:szCs w:val="24"/>
              </w:rPr>
              <w:t xml:space="preserve">ikumā prasīto informāciju par akciju pirkuma tiesību īstenošanas plāna nosacījumiem, akciju pirkuma tiesību  īstenošanas brīdī gūtais ienākums (starpība starp akciju tirgus cenu un cenu, par kādu akcijas iegādājas akciju pirkuma tiesību turētājs) nav apliekams ar nodokli. </w:t>
            </w:r>
            <w:r>
              <w:rPr>
                <w:szCs w:val="24"/>
              </w:rPr>
              <w:t xml:space="preserve">Saeimā pieņemtais </w:t>
            </w:r>
            <w:r w:rsidRPr="004F5DCA">
              <w:rPr>
                <w:szCs w:val="24"/>
              </w:rPr>
              <w:t xml:space="preserve">likums „Grozījumi likumā „Par iedzīvotāju ienākuma nodokli”” paredz arī pārejas </w:t>
            </w:r>
            <w:r>
              <w:rPr>
                <w:szCs w:val="24"/>
              </w:rPr>
              <w:t xml:space="preserve"> </w:t>
            </w:r>
            <w:r w:rsidRPr="004F5DCA">
              <w:rPr>
                <w:szCs w:val="24"/>
              </w:rPr>
              <w:t xml:space="preserve">noteikumus, nosakot, ka likumā noteikto atvieglojumu var piemērot arī </w:t>
            </w:r>
            <w:r w:rsidRPr="004F5DCA">
              <w:rPr>
                <w:szCs w:val="24"/>
              </w:rPr>
              <w:lastRenderedPageBreak/>
              <w:t>tad, ja akciju pirkuma tiesības ir piešķirtas līdz likuma spēkā stāšanās brīdim (31.12.2012.), bet akciju pirkuma tiesību īstenošanu sabiedrība uzsāk pēc likuma spēkā stāšanās (ar 01.01.2013.).</w:t>
            </w:r>
            <w:r w:rsidR="00104950">
              <w:rPr>
                <w:szCs w:val="24"/>
              </w:rPr>
              <w:t xml:space="preserve"> Likums kā minētā atvieglojuma piemērošanas priekšnoteikumu paredz nepieciešamību Ministru kabineta noteikumos noteikt informācijas saturu un apjomu, kas sniedzams saistībā ar akciju pirkuma tiesību īstenošanas plānu.</w:t>
            </w:r>
          </w:p>
          <w:p w:rsidR="00F47935" w:rsidRDefault="008839DF" w:rsidP="008839DF">
            <w:pPr>
              <w:jc w:val="both"/>
              <w:rPr>
                <w:szCs w:val="24"/>
              </w:rPr>
            </w:pPr>
            <w:r>
              <w:rPr>
                <w:szCs w:val="24"/>
              </w:rPr>
              <w:t>Šobrīd n</w:t>
            </w:r>
            <w:r w:rsidRPr="008839DF">
              <w:rPr>
                <w:szCs w:val="24"/>
              </w:rPr>
              <w:t>oteikumi</w:t>
            </w:r>
            <w:r w:rsidR="00F47935">
              <w:rPr>
                <w:szCs w:val="24"/>
              </w:rPr>
              <w:t xml:space="preserve">, neraugoties uz publiski pieejamās informācijas reģistru attīstību, joprojām nosaka, ka par apliecinājumu saimnieciskās darbības veicēja statusam ir uzskatām saimnieciskās darbības veicēja apliecība vai individuālā komersanta reģistrācijas apliecība. </w:t>
            </w:r>
          </w:p>
          <w:p w:rsidR="009044D3" w:rsidRPr="009044D3" w:rsidRDefault="002E23E5" w:rsidP="002E23E5">
            <w:pPr>
              <w:jc w:val="both"/>
              <w:rPr>
                <w:szCs w:val="24"/>
              </w:rPr>
            </w:pPr>
            <w:r>
              <w:rPr>
                <w:szCs w:val="24"/>
              </w:rPr>
              <w:t>Nepieciešams arī aktualizēt š</w:t>
            </w:r>
            <w:r w:rsidR="009044D3">
              <w:rPr>
                <w:szCs w:val="24"/>
              </w:rPr>
              <w:t xml:space="preserve">obrīd noteikumos </w:t>
            </w:r>
            <w:r>
              <w:rPr>
                <w:szCs w:val="24"/>
              </w:rPr>
              <w:t xml:space="preserve">iekļautajos piemēros izmantotās </w:t>
            </w:r>
            <w:r w:rsidR="009044D3">
              <w:rPr>
                <w:szCs w:val="24"/>
              </w:rPr>
              <w:t xml:space="preserve">valsts sociālās apdrošināšanas iemaksu </w:t>
            </w:r>
            <w:r w:rsidR="00965A87">
              <w:rPr>
                <w:szCs w:val="24"/>
              </w:rPr>
              <w:t>un iedzīvotāju ienākuma nodokļa likme</w:t>
            </w:r>
            <w:r w:rsidR="00E34D58">
              <w:rPr>
                <w:szCs w:val="24"/>
              </w:rPr>
              <w:t>s</w:t>
            </w:r>
            <w:r>
              <w:rPr>
                <w:szCs w:val="24"/>
              </w:rPr>
              <w:t>.</w:t>
            </w:r>
          </w:p>
        </w:tc>
      </w:tr>
      <w:tr w:rsidR="00EA2F33" w:rsidRPr="008C18B1" w:rsidTr="00EB7442">
        <w:trPr>
          <w:trHeight w:val="530"/>
        </w:trPr>
        <w:tc>
          <w:tcPr>
            <w:tcW w:w="431" w:type="dxa"/>
          </w:tcPr>
          <w:p w:rsidR="00EA2F33" w:rsidRPr="008C18B1" w:rsidRDefault="00EA2F33" w:rsidP="009D6184">
            <w:pPr>
              <w:pStyle w:val="Parasts1"/>
            </w:pPr>
            <w:r w:rsidRPr="008C18B1">
              <w:lastRenderedPageBreak/>
              <w:t>3.</w:t>
            </w:r>
          </w:p>
        </w:tc>
        <w:tc>
          <w:tcPr>
            <w:tcW w:w="1842" w:type="dxa"/>
          </w:tcPr>
          <w:p w:rsidR="00EA2F33" w:rsidRPr="008C18B1" w:rsidRDefault="00EA2F33" w:rsidP="009D6184">
            <w:pPr>
              <w:pStyle w:val="Parasts1"/>
            </w:pPr>
            <w:r w:rsidRPr="008C18B1">
              <w:t>Saistītie politikas ietekmes novērtējumi un pētījumi</w:t>
            </w:r>
          </w:p>
        </w:tc>
        <w:tc>
          <w:tcPr>
            <w:tcW w:w="7207" w:type="dxa"/>
          </w:tcPr>
          <w:p w:rsidR="00EA2F33" w:rsidRPr="008C18B1" w:rsidRDefault="00EA2F33" w:rsidP="009D6184">
            <w:pPr>
              <w:pStyle w:val="Parasts1"/>
            </w:pPr>
            <w:r>
              <w:t>Projekts</w:t>
            </w:r>
            <w:r w:rsidRPr="008C18B1">
              <w:t xml:space="preserve"> šo jomu neskar.</w:t>
            </w:r>
          </w:p>
        </w:tc>
      </w:tr>
      <w:tr w:rsidR="00EA2F33" w:rsidRPr="008C18B1" w:rsidTr="00EB7442">
        <w:trPr>
          <w:trHeight w:val="1405"/>
        </w:trPr>
        <w:tc>
          <w:tcPr>
            <w:tcW w:w="431" w:type="dxa"/>
          </w:tcPr>
          <w:p w:rsidR="00EA2F33" w:rsidRPr="008C18B1" w:rsidRDefault="00EA2F33" w:rsidP="009D6184">
            <w:pPr>
              <w:pStyle w:val="Parasts1"/>
            </w:pPr>
            <w:r w:rsidRPr="008C18B1">
              <w:t>4.</w:t>
            </w:r>
          </w:p>
        </w:tc>
        <w:tc>
          <w:tcPr>
            <w:tcW w:w="1842" w:type="dxa"/>
          </w:tcPr>
          <w:p w:rsidR="00EA2F33" w:rsidRPr="008C18B1" w:rsidRDefault="00EA2F33" w:rsidP="009D6184">
            <w:pPr>
              <w:pStyle w:val="Parasts1"/>
            </w:pPr>
            <w:r w:rsidRPr="008C18B1">
              <w:t>Tiesiskā regulējuma mērķis un būtība</w:t>
            </w:r>
          </w:p>
        </w:tc>
        <w:tc>
          <w:tcPr>
            <w:tcW w:w="7207" w:type="dxa"/>
          </w:tcPr>
          <w:p w:rsidR="00AF32AA" w:rsidRDefault="00665231" w:rsidP="00844E2D">
            <w:pPr>
              <w:pStyle w:val="Parasts1"/>
              <w:jc w:val="both"/>
            </w:pPr>
            <w:r>
              <w:t>Noteikumos ir precizēta iedzīvotāju ienākuma nodokļa piemērošanas kārtība gadījumos, kad tiek atsavināti</w:t>
            </w:r>
            <w:r w:rsidR="00AF32AA">
              <w:t xml:space="preserve"> </w:t>
            </w:r>
            <w:r w:rsidR="00AF32AA" w:rsidRPr="00AF32AA">
              <w:t>intelektuālā īpašuma objekti, kuri ir uzskaitīti šo noteikumu 86.punktā</w:t>
            </w:r>
            <w:r w:rsidR="00AF32AA">
              <w:t>.</w:t>
            </w:r>
            <w:r>
              <w:t xml:space="preserve"> Ar šo precizējumu tiek atvieglota noteikumu piemērošana</w:t>
            </w:r>
            <w:r w:rsidR="00113A84">
              <w:t>,</w:t>
            </w:r>
            <w:r>
              <w:t xml:space="preserve"> savstarpēji sasaistot noteikumu 10. un 61.punktu ar noteikumu 86.punktu.</w:t>
            </w:r>
          </w:p>
          <w:p w:rsidR="00806CB7" w:rsidRDefault="008839DF" w:rsidP="00844E2D">
            <w:pPr>
              <w:pStyle w:val="Parasts1"/>
              <w:jc w:val="both"/>
            </w:pPr>
            <w:r w:rsidRPr="008839DF">
              <w:t>Noteikumos ir integrēti Ministru kabineta 2005.gada 1.novembra noteikumi Nr.821 „Noteikumi par Latvijas Olimpiskās vienības sporti</w:t>
            </w:r>
            <w:r>
              <w:t>stu ēdināšanas izdevumu apmēru”</w:t>
            </w:r>
            <w:r w:rsidR="0036752C">
              <w:t>. Tādējādi</w:t>
            </w:r>
            <w:r>
              <w:t xml:space="preserve"> n</w:t>
            </w:r>
            <w:r w:rsidR="00806CB7">
              <w:t xml:space="preserve">oteikumi tiek papildināti </w:t>
            </w:r>
            <w:r w:rsidR="001E707F">
              <w:t xml:space="preserve">ar normu, kas nosaka, ka </w:t>
            </w:r>
            <w:r w:rsidR="001E707F" w:rsidRPr="001E707F">
              <w:t>Latvijas Olimpiskās vienības sportistu ēdināšanas izdevumu apmērs likuma 9.panta pirmās daļas 16.punkta izpratnē tiek uzskatīts par kompensācijas izmaksām</w:t>
            </w:r>
            <w:r w:rsidR="001E707F">
              <w:t xml:space="preserve"> un ka šī apmēra aprēķināšanai izmantojamās Latvijas Olimpiskās vienības sportistu ēdināšanas izdevumu normas tiek norādītas noteikumu 12.pielikumā.</w:t>
            </w:r>
          </w:p>
          <w:p w:rsidR="0036752C" w:rsidRDefault="00395041" w:rsidP="00844E2D">
            <w:pPr>
              <w:pStyle w:val="Parasts1"/>
              <w:jc w:val="both"/>
            </w:pPr>
            <w:r>
              <w:t xml:space="preserve">Noteikumi papildināti ar </w:t>
            </w:r>
            <w:r w:rsidR="00920901">
              <w:t xml:space="preserve">precizējošu </w:t>
            </w:r>
            <w:r>
              <w:t xml:space="preserve">normu, kas nosaka, ka </w:t>
            </w:r>
            <w:r w:rsidR="00920901" w:rsidRPr="00920901">
              <w:t>dzīvokļa reģistrācija Kadastra reģistrā ir pielīdzināma reģistrācijai zemesgrāmatā jebkurā gadījumā, ja nodokļa maksātājam neradās tiesiskas iespējas pārdodamo dzīvokli ierakstīt zemesgrāmatā un tādējādi objektīvu iemeslu dēļ nevar tikt izpildīts likuma 9.panta pirmās daļas 33.punktā noteiktais kritērijs, ka nekustamais īpašums ir reģistrēts zemesgrāmatā ilgāk par</w:t>
            </w:r>
            <w:r w:rsidR="00920901">
              <w:t xml:space="preserve"> 60 mēnešiem. </w:t>
            </w:r>
          </w:p>
          <w:p w:rsidR="0036752C" w:rsidRDefault="00BE608E" w:rsidP="00844E2D">
            <w:pPr>
              <w:pStyle w:val="Parasts1"/>
              <w:jc w:val="both"/>
            </w:pPr>
            <w:r>
              <w:t>Noteikum</w:t>
            </w:r>
            <w:r w:rsidR="00896B92">
              <w:t>os tiek</w:t>
            </w:r>
            <w:r w:rsidRPr="00BE608E">
              <w:t xml:space="preserve"> </w:t>
            </w:r>
            <w:r>
              <w:t>precizē</w:t>
            </w:r>
            <w:r w:rsidR="00896B92">
              <w:t>ta</w:t>
            </w:r>
            <w:r>
              <w:t xml:space="preserve"> </w:t>
            </w:r>
            <w:r w:rsidR="00896B92" w:rsidRPr="00896B92">
              <w:t>kapitāla pieauguma iegādes vērtības noteikšanas kārtība gadījumos, ja nosakot nekustamā īpašuma iegādes vērtību, tiek ņemta vērā aktuālā nekustamā īpašuma kadastrālā vērtība nekustamā īpašuma atsavināšanas gadā.</w:t>
            </w:r>
            <w:r w:rsidR="00896B92">
              <w:t xml:space="preserve"> </w:t>
            </w:r>
          </w:p>
          <w:p w:rsidR="00BF791D" w:rsidRDefault="00844E2D" w:rsidP="00844E2D">
            <w:pPr>
              <w:pStyle w:val="Parasts1"/>
              <w:jc w:val="both"/>
            </w:pPr>
            <w:r>
              <w:t>Noteikumi ir papildināti ar piemēriem</w:t>
            </w:r>
            <w:r w:rsidR="0036752C">
              <w:t>, kas atspoguļo</w:t>
            </w:r>
            <w:r>
              <w:t xml:space="preserve"> ar</w:t>
            </w:r>
            <w:r w:rsidR="00BF791D">
              <w:t xml:space="preserve"> nodokli apliekamā ienākuma </w:t>
            </w:r>
            <w:r w:rsidR="0036752C">
              <w:t xml:space="preserve">noteikšanu </w:t>
            </w:r>
            <w:r w:rsidR="00BF791D">
              <w:t>no noslēgtajiem</w:t>
            </w:r>
            <w:r>
              <w:t xml:space="preserve"> dzīvības apdrošināšanas līgumiem (ar līdzekļu uzkrāšanu)</w:t>
            </w:r>
            <w:r w:rsidR="00BF791D">
              <w:t xml:space="preserve"> gadījumos, kad:</w:t>
            </w:r>
          </w:p>
          <w:p w:rsidR="00BF791D" w:rsidRDefault="00BF791D" w:rsidP="00BF791D">
            <w:pPr>
              <w:pStyle w:val="Parasts1"/>
              <w:numPr>
                <w:ilvl w:val="0"/>
                <w:numId w:val="21"/>
              </w:numPr>
              <w:tabs>
                <w:tab w:val="left" w:pos="426"/>
              </w:tabs>
              <w:ind w:left="0" w:firstLine="142"/>
              <w:jc w:val="both"/>
            </w:pPr>
            <w:r w:rsidRPr="00BF791D">
              <w:t>dzīvības apdrošināšanas lī</w:t>
            </w:r>
            <w:r>
              <w:t xml:space="preserve">gumiem (ar līdzekļu uzkrāšanu) </w:t>
            </w:r>
            <w:r w:rsidRPr="00BF791D">
              <w:t xml:space="preserve">noslēgti līdz 2009.gada 31.decembrim un </w:t>
            </w:r>
            <w:r>
              <w:t xml:space="preserve">tie </w:t>
            </w:r>
            <w:r w:rsidRPr="00BF791D">
              <w:t>paredz daļēju uzkrājuma izmaksu līguma darbības laikā</w:t>
            </w:r>
            <w:r w:rsidR="0036752C">
              <w:t>;</w:t>
            </w:r>
          </w:p>
          <w:p w:rsidR="00BF791D" w:rsidRDefault="00BF791D" w:rsidP="00BF791D">
            <w:pPr>
              <w:pStyle w:val="Parasts1"/>
              <w:numPr>
                <w:ilvl w:val="0"/>
                <w:numId w:val="21"/>
              </w:numPr>
              <w:tabs>
                <w:tab w:val="left" w:pos="426"/>
              </w:tabs>
              <w:ind w:left="0" w:firstLine="142"/>
              <w:jc w:val="both"/>
            </w:pPr>
            <w:r w:rsidRPr="00BF791D">
              <w:t xml:space="preserve">dzīvības apdrošināšanas līguma (ar līdzekļu uzkrāšanu) termiņa beigās apdrošināšanas atlīdzība (ieskaitot ienākumu no šā apdrošināšanas </w:t>
            </w:r>
            <w:r w:rsidR="0036752C">
              <w:t>līguma) tiek izmaksāta pa daļām;</w:t>
            </w:r>
          </w:p>
          <w:p w:rsidR="00BF791D" w:rsidRDefault="00BF791D" w:rsidP="00BF791D">
            <w:pPr>
              <w:pStyle w:val="Parasts1"/>
              <w:numPr>
                <w:ilvl w:val="0"/>
                <w:numId w:val="21"/>
              </w:numPr>
              <w:tabs>
                <w:tab w:val="left" w:pos="0"/>
                <w:tab w:val="left" w:pos="426"/>
              </w:tabs>
              <w:ind w:left="0" w:firstLine="66"/>
              <w:jc w:val="both"/>
            </w:pPr>
            <w:r w:rsidRPr="00BF791D">
              <w:lastRenderedPageBreak/>
              <w:t>dzīvības apdrošināšanas līguma (ar līdzekļu uzkrāšanu) apdrošināšanas atlīdzības (ieskaitot ienākumu no šā apdrošināšanas līguma) izmaksas laikā atlikusī apdrošināšanas atlīdzī</w:t>
            </w:r>
            <w:r w:rsidR="0036752C">
              <w:t>ba palielinās par papildu peļņu;</w:t>
            </w:r>
          </w:p>
          <w:p w:rsidR="00844E2D" w:rsidRDefault="00852ECC" w:rsidP="00BF791D">
            <w:pPr>
              <w:pStyle w:val="Parasts1"/>
              <w:numPr>
                <w:ilvl w:val="0"/>
                <w:numId w:val="21"/>
              </w:numPr>
              <w:tabs>
                <w:tab w:val="left" w:pos="0"/>
                <w:tab w:val="left" w:pos="426"/>
              </w:tabs>
              <w:ind w:left="0" w:firstLine="0"/>
              <w:jc w:val="both"/>
            </w:pPr>
            <w:r>
              <w:t xml:space="preserve">izmaksātā </w:t>
            </w:r>
            <w:r w:rsidR="00BF791D" w:rsidRPr="00BF791D">
              <w:t>apdrošināšanas atlīdzība</w:t>
            </w:r>
            <w:r>
              <w:t xml:space="preserve"> </w:t>
            </w:r>
            <w:r w:rsidR="00BF791D" w:rsidRPr="00BF791D">
              <w:t>izmaksāta saskaņā ar dzīvības apdrošināšanas līgumu (ar līdzekļu uzkrāšanu), kuru apdrošinātā interesēs noslēdzis darba devējs (vai cits apdrošinājuma ņēmējs - juridiskā persona)</w:t>
            </w:r>
            <w:r w:rsidR="00844E2D">
              <w:t>.</w:t>
            </w:r>
          </w:p>
          <w:p w:rsidR="002478B4" w:rsidRDefault="002478B4" w:rsidP="00844E2D">
            <w:pPr>
              <w:pStyle w:val="Parasts1"/>
              <w:jc w:val="both"/>
            </w:pPr>
            <w:r>
              <w:t xml:space="preserve">Noteikumi tiek papildināti ar regulējumu, kas nosaka </w:t>
            </w:r>
            <w:r w:rsidRPr="002478B4">
              <w:t>informācijas saturu un apjomu, kas sniedzams saistībā ar akciju pirkuma tiesību īstenošanas plānu.</w:t>
            </w:r>
          </w:p>
          <w:p w:rsidR="00EA2F33" w:rsidRDefault="00844E2D" w:rsidP="00844E2D">
            <w:pPr>
              <w:pStyle w:val="Parasts1"/>
              <w:jc w:val="both"/>
            </w:pPr>
            <w:r>
              <w:t>Noteikumi ti</w:t>
            </w:r>
            <w:r w:rsidR="00DF2568">
              <w:t>ek</w:t>
            </w:r>
            <w:r>
              <w:t xml:space="preserve"> papildināti ar regulējumu, kas paredz</w:t>
            </w:r>
            <w:r w:rsidR="0036752C">
              <w:t xml:space="preserve">, ka nodokļa maksātājam kā saimnieciskās darbības veicēja statusu apliecinošu dokumentu nav jārāda saimnieciskās darbības veicēja reģistrācijas apliecība vai individuālā komersanta reģistrācijas apliecība, </w:t>
            </w:r>
            <w:r>
              <w:t>ja par saimnieciskās darbības veicēja statusu iespējams pārliecināties publiskos reģistros.</w:t>
            </w:r>
          </w:p>
          <w:p w:rsidR="00E439F1" w:rsidRDefault="00E439F1" w:rsidP="00844E2D">
            <w:pPr>
              <w:pStyle w:val="Parasts1"/>
              <w:jc w:val="both"/>
            </w:pPr>
            <w:r>
              <w:t>N</w:t>
            </w:r>
            <w:r w:rsidRPr="00E439F1">
              <w:t xml:space="preserve">oteikumos </w:t>
            </w:r>
            <w:r w:rsidR="0036752C">
              <w:t xml:space="preserve">ietvertajos piemēros </w:t>
            </w:r>
            <w:r>
              <w:t xml:space="preserve">tiek aktualizētas </w:t>
            </w:r>
            <w:r w:rsidRPr="00E439F1">
              <w:t>valsts sociālās apdrošināšanas iemaksu un iedzīvotāju ienākuma nodokļa likme</w:t>
            </w:r>
            <w:r>
              <w:t>s.</w:t>
            </w:r>
          </w:p>
          <w:p w:rsidR="007D7107" w:rsidRPr="008C18B1" w:rsidRDefault="007D7107" w:rsidP="0036752C">
            <w:pPr>
              <w:pStyle w:val="Parasts1"/>
              <w:jc w:val="both"/>
            </w:pPr>
            <w:r>
              <w:t xml:space="preserve">Noteikumos veikti </w:t>
            </w:r>
            <w:r w:rsidR="0036752C">
              <w:t xml:space="preserve">arī </w:t>
            </w:r>
            <w:r w:rsidR="00B21557">
              <w:t xml:space="preserve">citi </w:t>
            </w:r>
            <w:r w:rsidR="0036752C">
              <w:t xml:space="preserve">tehniski un </w:t>
            </w:r>
            <w:r>
              <w:t>redakcionāli precizējumi.</w:t>
            </w:r>
          </w:p>
        </w:tc>
      </w:tr>
      <w:tr w:rsidR="00EA2F33" w:rsidRPr="008C18B1" w:rsidTr="00EB7442">
        <w:trPr>
          <w:trHeight w:val="476"/>
        </w:trPr>
        <w:tc>
          <w:tcPr>
            <w:tcW w:w="431" w:type="dxa"/>
          </w:tcPr>
          <w:p w:rsidR="00EA2F33" w:rsidRPr="008C18B1" w:rsidRDefault="00EA2F33" w:rsidP="009D6184">
            <w:pPr>
              <w:pStyle w:val="Parasts1"/>
            </w:pPr>
            <w:r w:rsidRPr="008C18B1">
              <w:lastRenderedPageBreak/>
              <w:t>5.</w:t>
            </w:r>
          </w:p>
        </w:tc>
        <w:tc>
          <w:tcPr>
            <w:tcW w:w="1842" w:type="dxa"/>
          </w:tcPr>
          <w:p w:rsidR="00EA2F33" w:rsidRPr="008C18B1" w:rsidRDefault="00EA2F33" w:rsidP="009D6184">
            <w:pPr>
              <w:pStyle w:val="Parasts1"/>
            </w:pPr>
            <w:r w:rsidRPr="008C18B1">
              <w:t>Projekta izstrādē iesaistītās institūcijas</w:t>
            </w:r>
          </w:p>
        </w:tc>
        <w:tc>
          <w:tcPr>
            <w:tcW w:w="7207" w:type="dxa"/>
          </w:tcPr>
          <w:p w:rsidR="0036752C" w:rsidRDefault="00D5221A" w:rsidP="0036752C">
            <w:pPr>
              <w:pStyle w:val="Parasts1"/>
              <w:jc w:val="both"/>
            </w:pPr>
            <w:r>
              <w:t>Valsts ieņēmumu dienests</w:t>
            </w:r>
            <w:r w:rsidR="0036752C">
              <w:t>.</w:t>
            </w:r>
            <w:r w:rsidRPr="00D5221A">
              <w:t xml:space="preserve"> </w:t>
            </w:r>
          </w:p>
          <w:p w:rsidR="0036752C" w:rsidRDefault="0036752C" w:rsidP="0036752C">
            <w:pPr>
              <w:pStyle w:val="Parasts1"/>
              <w:jc w:val="both"/>
            </w:pPr>
            <w:r>
              <w:t xml:space="preserve">Piemēri par apliekamā ienākuma noteikšanu no dzīvības uzkrāšanas līgumiem (ar līdzekļu uzkrāšanu) izstrādāti sadarbībā ar </w:t>
            </w:r>
            <w:r w:rsidR="00D5221A" w:rsidRPr="00D5221A">
              <w:t>Latvijas Apdrošinātāju asociācij</w:t>
            </w:r>
            <w:r>
              <w:t>u.</w:t>
            </w:r>
          </w:p>
          <w:p w:rsidR="00EA2F33" w:rsidRPr="008C18B1" w:rsidRDefault="0036752C" w:rsidP="00AD077A">
            <w:pPr>
              <w:pStyle w:val="Parasts1"/>
              <w:jc w:val="both"/>
            </w:pPr>
            <w:r>
              <w:t xml:space="preserve">Normas saistībā ar nepieciešamo informācijas saturu un apjomu par akciju pirkuma tiesību īstenošanas līgumu saturu izstrādātas sadarbībā ar  auditorfirmu </w:t>
            </w:r>
            <w:r w:rsidRPr="00AD077A">
              <w:t>„</w:t>
            </w:r>
            <w:proofErr w:type="spellStart"/>
            <w:r w:rsidRPr="00AD077A">
              <w:t>PricewaterhouseCoopers</w:t>
            </w:r>
            <w:proofErr w:type="spellEnd"/>
            <w:r w:rsidR="00AD077A" w:rsidRPr="00AD077A">
              <w:t>”</w:t>
            </w:r>
            <w:r w:rsidRPr="00AD077A">
              <w:t xml:space="preserve"> SIA un </w:t>
            </w:r>
            <w:r w:rsidR="00AD077A">
              <w:t>„</w:t>
            </w:r>
            <w:proofErr w:type="spellStart"/>
            <w:r w:rsidRPr="00AD077A">
              <w:t>Ernst&amp;Young</w:t>
            </w:r>
            <w:proofErr w:type="spellEnd"/>
            <w:r w:rsidR="00AD077A">
              <w:t xml:space="preserve"> </w:t>
            </w:r>
            <w:proofErr w:type="spellStart"/>
            <w:r w:rsidR="00AD077A">
              <w:t>Baltic</w:t>
            </w:r>
            <w:proofErr w:type="spellEnd"/>
            <w:r w:rsidRPr="00AD077A">
              <w:t>”</w:t>
            </w:r>
            <w:r w:rsidR="00AD077A">
              <w:t xml:space="preserve"> SIA</w:t>
            </w:r>
            <w:r w:rsidRPr="00AD077A">
              <w:t>.</w:t>
            </w:r>
          </w:p>
        </w:tc>
      </w:tr>
      <w:tr w:rsidR="00EA2F33" w:rsidRPr="008C18B1" w:rsidTr="00EB7442">
        <w:trPr>
          <w:trHeight w:val="1340"/>
        </w:trPr>
        <w:tc>
          <w:tcPr>
            <w:tcW w:w="431" w:type="dxa"/>
          </w:tcPr>
          <w:p w:rsidR="00EA2F33" w:rsidRPr="008C18B1" w:rsidRDefault="00EA2F33" w:rsidP="009D6184">
            <w:pPr>
              <w:pStyle w:val="Parasts1"/>
            </w:pPr>
            <w:r w:rsidRPr="008C18B1">
              <w:t>6.</w:t>
            </w:r>
          </w:p>
        </w:tc>
        <w:tc>
          <w:tcPr>
            <w:tcW w:w="1842" w:type="dxa"/>
          </w:tcPr>
          <w:p w:rsidR="00EA2F33" w:rsidRPr="008C18B1" w:rsidRDefault="00EA2F33" w:rsidP="009D6184">
            <w:pPr>
              <w:pStyle w:val="Parasts1"/>
            </w:pPr>
            <w:r w:rsidRPr="008C18B1">
              <w:t>Iemesli, kādēļ netika nodrošināta sabiedrības līdzdalība</w:t>
            </w:r>
          </w:p>
        </w:tc>
        <w:tc>
          <w:tcPr>
            <w:tcW w:w="7207" w:type="dxa"/>
          </w:tcPr>
          <w:p w:rsidR="00EA2F33" w:rsidRPr="008C18B1" w:rsidRDefault="00EA2F33" w:rsidP="009D6184">
            <w:pPr>
              <w:pStyle w:val="Parasts1"/>
            </w:pPr>
            <w:r w:rsidRPr="008C18B1">
              <w:t>Projekts šo jomu neskar.</w:t>
            </w:r>
          </w:p>
        </w:tc>
      </w:tr>
      <w:tr w:rsidR="00EA2F33" w:rsidRPr="008C18B1" w:rsidTr="00EB7442">
        <w:tc>
          <w:tcPr>
            <w:tcW w:w="431" w:type="dxa"/>
          </w:tcPr>
          <w:p w:rsidR="00EA2F33" w:rsidRPr="008C18B1" w:rsidRDefault="00EA2F33" w:rsidP="009D6184">
            <w:pPr>
              <w:pStyle w:val="Parasts1"/>
            </w:pPr>
            <w:r w:rsidRPr="008C18B1">
              <w:t>7.</w:t>
            </w:r>
          </w:p>
        </w:tc>
        <w:tc>
          <w:tcPr>
            <w:tcW w:w="1842" w:type="dxa"/>
          </w:tcPr>
          <w:p w:rsidR="00EA2F33" w:rsidRPr="008C18B1" w:rsidRDefault="00EA2F33" w:rsidP="009D6184">
            <w:pPr>
              <w:pStyle w:val="Parasts1"/>
            </w:pPr>
            <w:r w:rsidRPr="008C18B1">
              <w:t>Cita informācija</w:t>
            </w:r>
          </w:p>
        </w:tc>
        <w:tc>
          <w:tcPr>
            <w:tcW w:w="7207" w:type="dxa"/>
          </w:tcPr>
          <w:p w:rsidR="00EA2F33" w:rsidRPr="008C18B1" w:rsidRDefault="00EA2F33" w:rsidP="009D6184">
            <w:pPr>
              <w:pStyle w:val="Parasts1"/>
            </w:pPr>
            <w:r w:rsidRPr="008C18B1">
              <w:t xml:space="preserve">Nav. </w:t>
            </w:r>
          </w:p>
        </w:tc>
      </w:tr>
    </w:tbl>
    <w:p w:rsidR="005A299A" w:rsidRPr="008C18B1" w:rsidRDefault="005A299A" w:rsidP="009D6184">
      <w:pPr>
        <w:pStyle w:val="Parasts1"/>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6"/>
        <w:gridCol w:w="3542"/>
        <w:gridCol w:w="5673"/>
      </w:tblGrid>
      <w:tr w:rsidR="005A299A" w:rsidRPr="008C18B1" w:rsidTr="00E87F0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5A299A" w:rsidRPr="008C18B1" w:rsidRDefault="005A299A" w:rsidP="009D6184">
            <w:pPr>
              <w:pStyle w:val="Parasts1"/>
              <w:jc w:val="center"/>
              <w:rPr>
                <w:b/>
              </w:rPr>
            </w:pPr>
            <w:r w:rsidRPr="008C18B1">
              <w:rPr>
                <w:b/>
              </w:rPr>
              <w:t>II. Tiesību akta projekta ietekme uz sabiedrību</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1.</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 xml:space="preserve">Sabiedrības </w:t>
            </w:r>
            <w:proofErr w:type="spellStart"/>
            <w:r w:rsidRPr="008C18B1">
              <w:t>mērķgrupa</w:t>
            </w:r>
            <w:proofErr w:type="spellEnd"/>
          </w:p>
        </w:tc>
        <w:tc>
          <w:tcPr>
            <w:tcW w:w="2941" w:type="pct"/>
            <w:tcBorders>
              <w:top w:val="outset" w:sz="6" w:space="0" w:color="000000"/>
              <w:left w:val="outset" w:sz="6" w:space="0" w:color="000000"/>
              <w:bottom w:val="outset" w:sz="6" w:space="0" w:color="000000"/>
            </w:tcBorders>
          </w:tcPr>
          <w:p w:rsidR="005A299A" w:rsidRDefault="00C478D5" w:rsidP="00D63F6C">
            <w:pPr>
              <w:pStyle w:val="Parasts1"/>
              <w:jc w:val="both"/>
            </w:pPr>
            <w:r>
              <w:t>Iedzīvotāju ienākuma nodokļa maksātāji</w:t>
            </w:r>
            <w:r w:rsidR="00B0032F">
              <w:t>, tai skaitā:</w:t>
            </w:r>
          </w:p>
          <w:p w:rsidR="00B0032F" w:rsidRDefault="00B0032F" w:rsidP="00B0032F">
            <w:pPr>
              <w:pStyle w:val="Parasts1"/>
              <w:numPr>
                <w:ilvl w:val="0"/>
                <w:numId w:val="21"/>
              </w:numPr>
              <w:ind w:left="255" w:hanging="255"/>
              <w:jc w:val="both"/>
            </w:pPr>
            <w:r>
              <w:t>personas, kas gūst ienākumus no intelektuālā īpašuma objektu atsavināšanas;</w:t>
            </w:r>
          </w:p>
          <w:p w:rsidR="00B0032F" w:rsidRDefault="00B0032F" w:rsidP="00B0032F">
            <w:pPr>
              <w:pStyle w:val="Parasts1"/>
              <w:numPr>
                <w:ilvl w:val="0"/>
                <w:numId w:val="21"/>
              </w:numPr>
              <w:ind w:left="255" w:hanging="255"/>
              <w:jc w:val="both"/>
            </w:pPr>
            <w:r>
              <w:t>nodokļa maksātāji, kas atsavina nekustamo īpašumu, kas ir tā īpašumā ilgāk nekā 60 mēnešus un vismaz 12 mēnešus ir šo personu deklarētā dzīvesvieta, taču no tiem neatkarīgu apstākļu dēļ mājas privatizācija ir uzsākta tik vēlu, ka nav iespējams izpildīt 60 mēnešu īpašumtiesību kritēriju no reģistrācijas zemesgrāmatā, lai gan šī īpašumtiesības ir reģistrētas Kadastra reģistrā, (pēc juridiskām sekām reģistrācija Kadastra reģistrā ir pielīdzināma reģistrācijai zemesgrāmatā);</w:t>
            </w:r>
          </w:p>
          <w:p w:rsidR="00B0032F" w:rsidRDefault="00B0032F" w:rsidP="00B0032F">
            <w:pPr>
              <w:pStyle w:val="Parasts1"/>
              <w:numPr>
                <w:ilvl w:val="0"/>
                <w:numId w:val="21"/>
              </w:numPr>
              <w:ind w:left="255" w:hanging="255"/>
              <w:jc w:val="both"/>
            </w:pPr>
            <w:r>
              <w:t xml:space="preserve">maksātāji, kas gūst </w:t>
            </w:r>
            <w:r w:rsidR="00AD077A">
              <w:t xml:space="preserve">ienākumus no </w:t>
            </w:r>
            <w:r w:rsidRPr="00AD077A">
              <w:t>kapitāla pieauguma;</w:t>
            </w:r>
          </w:p>
          <w:p w:rsidR="00B0032F" w:rsidRDefault="00B0032F" w:rsidP="00B0032F">
            <w:pPr>
              <w:pStyle w:val="Parasts1"/>
              <w:numPr>
                <w:ilvl w:val="0"/>
                <w:numId w:val="21"/>
              </w:numPr>
              <w:ind w:left="255" w:hanging="255"/>
              <w:jc w:val="both"/>
            </w:pPr>
            <w:r>
              <w:t xml:space="preserve">maksātāji, kas gūst ienākumu no dzīvības </w:t>
            </w:r>
            <w:r>
              <w:lastRenderedPageBreak/>
              <w:t>apdrošināšanas līgumiem (ar līdzekļu uzkrāšanu), un attiecīgi apdrošināšanas sabiedrības, kas likumā noteiktajos gadījumos ir atbildīgas par iedzīvotāju ienākuma nodokļa ieturēšanu;</w:t>
            </w:r>
          </w:p>
          <w:p w:rsidR="00B0032F" w:rsidRDefault="00B0032F" w:rsidP="00B0032F">
            <w:pPr>
              <w:pStyle w:val="Parasts1"/>
              <w:numPr>
                <w:ilvl w:val="0"/>
                <w:numId w:val="21"/>
              </w:numPr>
              <w:ind w:left="255" w:hanging="255"/>
              <w:jc w:val="both"/>
            </w:pPr>
            <w:r>
              <w:t>maksātāji, kas darba attiecību ietvaros gūst ienākumus no akciju pirkuma tiesību īstenošanas, un attiecīgi šo personu darba devēji vai darba devēju grupas uzņēmumi, kas atbildīgi par iedzīvotāju ienākuma nodokļa ieturēšanu</w:t>
            </w:r>
            <w:r w:rsidR="00ED20A6">
              <w:t>;</w:t>
            </w:r>
          </w:p>
          <w:p w:rsidR="00ED20A6" w:rsidRPr="008C18B1" w:rsidRDefault="00ED20A6" w:rsidP="00B0032F">
            <w:pPr>
              <w:pStyle w:val="Parasts1"/>
              <w:numPr>
                <w:ilvl w:val="0"/>
                <w:numId w:val="21"/>
              </w:numPr>
              <w:ind w:left="255" w:hanging="255"/>
              <w:jc w:val="both"/>
            </w:pPr>
            <w:r>
              <w:t>nodokļa maksātāji - fiziskas personas – saimnieciskās darbības veicējas un individuālie komersanti, kā arī šo maksātāju sadarbības partneri, kuri likumā noteiktos gadījumos ir atbildīgi par iedzīvotāju ienākuma nodokļa ieturēšanu.</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jc w:val="both"/>
            </w:pPr>
            <w:r w:rsidRPr="008C18B1">
              <w:lastRenderedPageBreak/>
              <w:t>2.</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jc w:val="both"/>
            </w:pPr>
            <w:r w:rsidRPr="008C18B1">
              <w:t xml:space="preserve">Citas sabiedrības grupas (bez </w:t>
            </w:r>
            <w:proofErr w:type="spellStart"/>
            <w:r w:rsidRPr="008C18B1">
              <w:t>mērķgrupas</w:t>
            </w:r>
            <w:proofErr w:type="spellEnd"/>
            <w:r w:rsidRPr="008C18B1">
              <w:t>), kuras tiesiskais regulējums arī ietekmē vai varētu ietekmēt</w:t>
            </w:r>
          </w:p>
        </w:tc>
        <w:tc>
          <w:tcPr>
            <w:tcW w:w="2941" w:type="pct"/>
            <w:tcBorders>
              <w:top w:val="outset" w:sz="6" w:space="0" w:color="000000"/>
              <w:left w:val="outset" w:sz="6" w:space="0" w:color="000000"/>
              <w:bottom w:val="outset" w:sz="6" w:space="0" w:color="000000"/>
            </w:tcBorders>
          </w:tcPr>
          <w:p w:rsidR="005A299A" w:rsidRPr="008C18B1" w:rsidRDefault="000E17D3" w:rsidP="009D6184">
            <w:pPr>
              <w:pStyle w:val="Parasts1"/>
            </w:pPr>
            <w:r>
              <w:t>P</w:t>
            </w:r>
            <w:r w:rsidR="005A299A"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3.</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Tiesiskā regulējuma finansiālā ietekme</w:t>
            </w:r>
          </w:p>
        </w:tc>
        <w:tc>
          <w:tcPr>
            <w:tcW w:w="2941" w:type="pct"/>
            <w:tcBorders>
              <w:top w:val="outset" w:sz="6" w:space="0" w:color="000000"/>
              <w:left w:val="outset" w:sz="6" w:space="0" w:color="000000"/>
              <w:bottom w:val="outset" w:sz="6" w:space="0" w:color="000000"/>
            </w:tcBorders>
          </w:tcPr>
          <w:p w:rsidR="005A299A" w:rsidRPr="008C18B1" w:rsidRDefault="00193A10" w:rsidP="0028150A">
            <w:pPr>
              <w:pStyle w:val="Parasts1"/>
              <w:jc w:val="both"/>
            </w:pPr>
            <w:r>
              <w:t>P</w:t>
            </w:r>
            <w:r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4.</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Tiesiskā regulējuma nefinansiālā ietekme</w:t>
            </w:r>
          </w:p>
        </w:tc>
        <w:tc>
          <w:tcPr>
            <w:tcW w:w="2941" w:type="pct"/>
            <w:tcBorders>
              <w:top w:val="outset" w:sz="6" w:space="0" w:color="000000"/>
              <w:left w:val="outset" w:sz="6" w:space="0" w:color="000000"/>
              <w:bottom w:val="outset" w:sz="6" w:space="0" w:color="000000"/>
            </w:tcBorders>
          </w:tcPr>
          <w:p w:rsidR="005A299A" w:rsidRPr="008C18B1" w:rsidRDefault="00193A10" w:rsidP="0028150A">
            <w:pPr>
              <w:pStyle w:val="Parasts1"/>
              <w:jc w:val="both"/>
            </w:pPr>
            <w:r>
              <w:t>P</w:t>
            </w:r>
            <w:r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5.</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Administratīvās procedūras raksturojums</w:t>
            </w:r>
          </w:p>
        </w:tc>
        <w:tc>
          <w:tcPr>
            <w:tcW w:w="2941" w:type="pct"/>
            <w:tcBorders>
              <w:top w:val="outset" w:sz="6" w:space="0" w:color="000000"/>
              <w:left w:val="outset" w:sz="6" w:space="0" w:color="000000"/>
              <w:bottom w:val="outset" w:sz="6" w:space="0" w:color="000000"/>
            </w:tcBorders>
          </w:tcPr>
          <w:p w:rsidR="0028150A" w:rsidRPr="008C18B1" w:rsidRDefault="00193A10" w:rsidP="009D6184">
            <w:pPr>
              <w:pStyle w:val="Parasts1"/>
              <w:jc w:val="both"/>
            </w:pPr>
            <w:r>
              <w:t>P</w:t>
            </w:r>
            <w:r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6.</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Administratīvo izmaksu monetārs novērtējums</w:t>
            </w:r>
          </w:p>
        </w:tc>
        <w:tc>
          <w:tcPr>
            <w:tcW w:w="2941" w:type="pct"/>
            <w:tcBorders>
              <w:top w:val="outset" w:sz="6" w:space="0" w:color="000000"/>
              <w:left w:val="outset" w:sz="6" w:space="0" w:color="000000"/>
              <w:bottom w:val="outset" w:sz="6" w:space="0" w:color="000000"/>
            </w:tcBorders>
          </w:tcPr>
          <w:p w:rsidR="005A299A" w:rsidRPr="008C18B1" w:rsidRDefault="000E17D3" w:rsidP="009D6184">
            <w:pPr>
              <w:pStyle w:val="Parasts1"/>
            </w:pPr>
            <w:r>
              <w:t>P</w:t>
            </w:r>
            <w:r w:rsidR="005A299A" w:rsidRPr="008C18B1">
              <w:t>rojekts šo jomu neskar.</w:t>
            </w:r>
          </w:p>
        </w:tc>
      </w:tr>
      <w:tr w:rsidR="005A299A" w:rsidRPr="008C18B1" w:rsidTr="00891C38">
        <w:tc>
          <w:tcPr>
            <w:tcW w:w="221" w:type="pct"/>
            <w:tcBorders>
              <w:top w:val="outset" w:sz="6" w:space="0" w:color="000000"/>
              <w:bottom w:val="outset" w:sz="6" w:space="0" w:color="000000"/>
              <w:right w:val="outset" w:sz="6" w:space="0" w:color="000000"/>
            </w:tcBorders>
          </w:tcPr>
          <w:p w:rsidR="005A299A" w:rsidRPr="008C18B1" w:rsidRDefault="005A299A" w:rsidP="009D6184">
            <w:pPr>
              <w:pStyle w:val="Parasts1"/>
            </w:pPr>
            <w:r w:rsidRPr="008C18B1">
              <w:t>7.</w:t>
            </w:r>
          </w:p>
        </w:tc>
        <w:tc>
          <w:tcPr>
            <w:tcW w:w="1837" w:type="pct"/>
            <w:tcBorders>
              <w:top w:val="outset" w:sz="6" w:space="0" w:color="000000"/>
              <w:left w:val="outset" w:sz="6" w:space="0" w:color="000000"/>
              <w:bottom w:val="outset" w:sz="6" w:space="0" w:color="000000"/>
              <w:right w:val="outset" w:sz="6" w:space="0" w:color="000000"/>
            </w:tcBorders>
          </w:tcPr>
          <w:p w:rsidR="005A299A" w:rsidRPr="008C18B1" w:rsidRDefault="005A299A" w:rsidP="009D6184">
            <w:pPr>
              <w:pStyle w:val="Parasts1"/>
            </w:pPr>
            <w:r w:rsidRPr="008C18B1">
              <w:t>Cita informācija</w:t>
            </w:r>
          </w:p>
        </w:tc>
        <w:tc>
          <w:tcPr>
            <w:tcW w:w="2941" w:type="pct"/>
            <w:tcBorders>
              <w:top w:val="outset" w:sz="6" w:space="0" w:color="000000"/>
              <w:left w:val="outset" w:sz="6" w:space="0" w:color="000000"/>
              <w:bottom w:val="outset" w:sz="6" w:space="0" w:color="000000"/>
            </w:tcBorders>
          </w:tcPr>
          <w:p w:rsidR="005A299A" w:rsidRPr="008C18B1" w:rsidRDefault="005A299A" w:rsidP="009D6184">
            <w:pPr>
              <w:pStyle w:val="Parasts1"/>
            </w:pPr>
            <w:r w:rsidRPr="008C18B1">
              <w:t>Nav.</w:t>
            </w:r>
          </w:p>
        </w:tc>
      </w:tr>
    </w:tbl>
    <w:p w:rsidR="005A299A" w:rsidRDefault="005A299A" w:rsidP="009D6184">
      <w:pPr>
        <w:pStyle w:val="Parasts1"/>
      </w:pPr>
      <w:r w:rsidRPr="008C18B1">
        <w:t> </w:t>
      </w:r>
    </w:p>
    <w:p w:rsidR="0028150A" w:rsidRDefault="0028150A" w:rsidP="009D6184">
      <w:pPr>
        <w:pStyle w:val="Parasts1"/>
        <w:rPr>
          <w:i/>
        </w:rPr>
      </w:pPr>
      <w:r w:rsidRPr="002B6A5A">
        <w:rPr>
          <w:i/>
        </w:rPr>
        <w:t>Anotācijas III</w:t>
      </w:r>
      <w:r w:rsidR="009528FF">
        <w:rPr>
          <w:i/>
        </w:rPr>
        <w:t xml:space="preserve"> s</w:t>
      </w:r>
      <w:r w:rsidR="00EA61A1">
        <w:rPr>
          <w:i/>
        </w:rPr>
        <w:t>a</w:t>
      </w:r>
      <w:r w:rsidRPr="002B6A5A">
        <w:rPr>
          <w:i/>
        </w:rPr>
        <w:t>daļa – projekts š</w:t>
      </w:r>
      <w:r w:rsidR="009528FF">
        <w:rPr>
          <w:i/>
        </w:rPr>
        <w:t>o</w:t>
      </w:r>
      <w:r w:rsidRPr="002B6A5A">
        <w:rPr>
          <w:i/>
        </w:rPr>
        <w:t xml:space="preserve"> jom</w:t>
      </w:r>
      <w:r w:rsidR="009528FF">
        <w:rPr>
          <w:i/>
        </w:rPr>
        <w:t>u</w:t>
      </w:r>
      <w:r w:rsidRPr="002B6A5A">
        <w:rPr>
          <w:i/>
        </w:rPr>
        <w:t>s neskar.</w:t>
      </w:r>
    </w:p>
    <w:p w:rsidR="009528FF" w:rsidRDefault="009528FF" w:rsidP="009D6184">
      <w:pPr>
        <w:pStyle w:val="Parasts1"/>
        <w:rPr>
          <w:i/>
        </w:rPr>
      </w:pPr>
    </w:p>
    <w:tbl>
      <w:tblPr>
        <w:tblW w:w="9578"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
        <w:gridCol w:w="3720"/>
        <w:gridCol w:w="5462"/>
      </w:tblGrid>
      <w:tr w:rsidR="009528FF" w:rsidRPr="008C18B1" w:rsidTr="000A1145">
        <w:trPr>
          <w:jc w:val="center"/>
        </w:trPr>
        <w:tc>
          <w:tcPr>
            <w:tcW w:w="9578" w:type="dxa"/>
            <w:gridSpan w:val="3"/>
          </w:tcPr>
          <w:p w:rsidR="009528FF" w:rsidRPr="008C18B1" w:rsidRDefault="009528FF" w:rsidP="009528FF">
            <w:pPr>
              <w:pStyle w:val="naisnod"/>
              <w:spacing w:before="0" w:after="0"/>
              <w:ind w:left="57" w:right="57"/>
            </w:pPr>
            <w:r>
              <w:rPr>
                <w:bCs w:val="0"/>
              </w:rPr>
              <w:t>I</w:t>
            </w:r>
            <w:r w:rsidRPr="008C18B1">
              <w:rPr>
                <w:bCs w:val="0"/>
              </w:rPr>
              <w:t xml:space="preserve">V. </w:t>
            </w:r>
            <w:r>
              <w:rPr>
                <w:bCs w:val="0"/>
              </w:rPr>
              <w:t>Tiesību akta projekta ietekme uz spēkā esošo tiesību normu sistēmu</w:t>
            </w:r>
          </w:p>
        </w:tc>
      </w:tr>
      <w:tr w:rsidR="009528FF" w:rsidRPr="008C18B1" w:rsidTr="000A1145">
        <w:trPr>
          <w:trHeight w:val="553"/>
          <w:jc w:val="center"/>
        </w:trPr>
        <w:tc>
          <w:tcPr>
            <w:tcW w:w="396" w:type="dxa"/>
          </w:tcPr>
          <w:p w:rsidR="009528FF" w:rsidRPr="008C18B1" w:rsidRDefault="009528FF" w:rsidP="000A1145">
            <w:pPr>
              <w:pStyle w:val="naiskr"/>
              <w:spacing w:before="0" w:after="0"/>
              <w:ind w:left="57" w:right="57"/>
            </w:pPr>
            <w:r w:rsidRPr="008C18B1">
              <w:t>1.</w:t>
            </w:r>
          </w:p>
        </w:tc>
        <w:tc>
          <w:tcPr>
            <w:tcW w:w="3720" w:type="dxa"/>
          </w:tcPr>
          <w:p w:rsidR="009528FF" w:rsidRPr="008C18B1" w:rsidRDefault="00E71CFE" w:rsidP="000A1145">
            <w:pPr>
              <w:pStyle w:val="naiskr"/>
              <w:spacing w:before="0" w:after="0"/>
              <w:ind w:left="57" w:right="57"/>
            </w:pPr>
            <w:r w:rsidRPr="00E71CFE">
              <w:t>Nepieciešamie saistītie tiesību aktu projekti</w:t>
            </w:r>
          </w:p>
        </w:tc>
        <w:tc>
          <w:tcPr>
            <w:tcW w:w="5462" w:type="dxa"/>
          </w:tcPr>
          <w:p w:rsidR="009528FF" w:rsidRDefault="007B2B53" w:rsidP="007B2B53">
            <w:pPr>
              <w:pStyle w:val="Parasts1"/>
              <w:jc w:val="both"/>
            </w:pPr>
            <w:r w:rsidRPr="007B2B53">
              <w:t>Noteikumu grozījumiem saistībā ar regulējumu, kas nosaka informācijas saturu un apjomu, kas sniedzams saistībā ar akciju pirkuma tiesību īstenošanas plānu</w:t>
            </w:r>
            <w:r>
              <w:t xml:space="preserve">, </w:t>
            </w:r>
            <w:bookmarkStart w:id="7" w:name="_GoBack"/>
            <w:r w:rsidRPr="007B2B53">
              <w:t xml:space="preserve">jāstājas spēkā </w:t>
            </w:r>
            <w:r w:rsidR="00090FA6">
              <w:t>ne vēlāk kā</w:t>
            </w:r>
            <w:r w:rsidRPr="007B2B53">
              <w:t xml:space="preserve"> </w:t>
            </w:r>
            <w:r>
              <w:t xml:space="preserve">Saeimā 2012.gada 15.novembrī pieņemtajiem </w:t>
            </w:r>
            <w:r w:rsidRPr="007B2B53">
              <w:t xml:space="preserve">attiecīgajiem grozījumiem likumā „Par </w:t>
            </w:r>
            <w:r>
              <w:t>iedzīvotāju ienākuma nodokli</w:t>
            </w:r>
            <w:r w:rsidRPr="007B2B53">
              <w:t>”</w:t>
            </w:r>
            <w:r w:rsidR="00090FA6">
              <w:t xml:space="preserve">, </w:t>
            </w:r>
            <w:proofErr w:type="spellStart"/>
            <w:r w:rsidR="00090FA6">
              <w:t>t.i</w:t>
            </w:r>
            <w:proofErr w:type="spellEnd"/>
            <w:r w:rsidR="00090FA6">
              <w:t>., 2013.gada 1.janvārī</w:t>
            </w:r>
            <w:r>
              <w:t>.</w:t>
            </w:r>
            <w:bookmarkEnd w:id="7"/>
            <w:r>
              <w:t xml:space="preserve"> Pēc noteikumu spēkā stāšanās nav nepieciešams veikt grozījumus citos normatīvajos aktos.</w:t>
            </w:r>
          </w:p>
          <w:p w:rsidR="007B2B53" w:rsidRPr="007B2B53" w:rsidRDefault="00040122" w:rsidP="00090FA6">
            <w:pPr>
              <w:pStyle w:val="Parasts1"/>
              <w:jc w:val="both"/>
            </w:pPr>
            <w:r>
              <w:t xml:space="preserve">Saistībā ar grozījumiem noteikumos attiecībā uz </w:t>
            </w:r>
            <w:r w:rsidRPr="00040122">
              <w:t>Latvijas Olimpiskās vienības sportistu ēdināšanas izdevumu apmēru</w:t>
            </w:r>
            <w:r>
              <w:t xml:space="preserve"> uzskatīšanu par kompensācijas izmaksu,</w:t>
            </w:r>
            <w:r w:rsidRPr="00040122">
              <w:t xml:space="preserve"> </w:t>
            </w:r>
            <w:r w:rsidR="00090FA6">
              <w:t xml:space="preserve">ar grozījumiem noteikumos </w:t>
            </w:r>
            <w:r w:rsidRPr="00040122">
              <w:t xml:space="preserve">par spēku zaudējušiem </w:t>
            </w:r>
            <w:r>
              <w:t>tiek a</w:t>
            </w:r>
            <w:r w:rsidRPr="00040122">
              <w:t>tzīt</w:t>
            </w:r>
            <w:r w:rsidR="00090FA6">
              <w:t>i</w:t>
            </w:r>
            <w:r w:rsidRPr="00040122">
              <w:t xml:space="preserve"> Ministru kabineta 2005.gada 1.novembra noteikum</w:t>
            </w:r>
            <w:r>
              <w:t>i</w:t>
            </w:r>
            <w:r w:rsidRPr="00040122">
              <w:t xml:space="preserve"> Nr.821 „Noteikumi par Latvijas Olimpiskās vienības  sportistu ēdināšanas izdevumu apmēru” (Latvijas vēstnesis, 2005, 176.nr., 2006, 114.nr., 2009, 81.nr.).</w:t>
            </w:r>
            <w:r w:rsidR="007D38D9">
              <w:t xml:space="preserve"> Grozījumi citos normatīvajos </w:t>
            </w:r>
            <w:r w:rsidR="007D38D9">
              <w:lastRenderedPageBreak/>
              <w:t>aktos nav nepieciešami.</w:t>
            </w:r>
          </w:p>
        </w:tc>
      </w:tr>
      <w:tr w:rsidR="009528FF" w:rsidRPr="008C18B1" w:rsidTr="000A1145">
        <w:trPr>
          <w:trHeight w:val="387"/>
          <w:jc w:val="center"/>
        </w:trPr>
        <w:tc>
          <w:tcPr>
            <w:tcW w:w="396" w:type="dxa"/>
          </w:tcPr>
          <w:p w:rsidR="009528FF" w:rsidRPr="008C18B1" w:rsidRDefault="00E71CFE" w:rsidP="000A1145">
            <w:pPr>
              <w:pStyle w:val="naiskr"/>
              <w:spacing w:before="0" w:after="0"/>
              <w:ind w:left="57" w:right="57"/>
            </w:pPr>
            <w:r>
              <w:lastRenderedPageBreak/>
              <w:t>2</w:t>
            </w:r>
            <w:r w:rsidR="009528FF" w:rsidRPr="008C18B1">
              <w:t>.</w:t>
            </w:r>
          </w:p>
        </w:tc>
        <w:tc>
          <w:tcPr>
            <w:tcW w:w="3720" w:type="dxa"/>
          </w:tcPr>
          <w:p w:rsidR="009528FF" w:rsidRPr="008C18B1" w:rsidRDefault="009528FF" w:rsidP="000A1145">
            <w:pPr>
              <w:pStyle w:val="naiskr"/>
              <w:spacing w:before="0" w:after="0"/>
              <w:ind w:left="57" w:right="57"/>
            </w:pPr>
            <w:r w:rsidRPr="008C18B1">
              <w:t>Cita informācija</w:t>
            </w:r>
          </w:p>
        </w:tc>
        <w:tc>
          <w:tcPr>
            <w:tcW w:w="5462" w:type="dxa"/>
          </w:tcPr>
          <w:p w:rsidR="009528FF" w:rsidRPr="008C18B1" w:rsidRDefault="009528FF" w:rsidP="000A1145">
            <w:pPr>
              <w:pStyle w:val="Parasts1"/>
              <w:jc w:val="both"/>
              <w:rPr>
                <w:rFonts w:ascii="Calibri" w:hAnsi="Calibri"/>
              </w:rPr>
            </w:pPr>
            <w:r w:rsidRPr="008C18B1">
              <w:t>Nav</w:t>
            </w:r>
          </w:p>
        </w:tc>
      </w:tr>
    </w:tbl>
    <w:p w:rsidR="009528FF" w:rsidRDefault="009528FF" w:rsidP="009D6184">
      <w:pPr>
        <w:pStyle w:val="Parasts1"/>
        <w:rPr>
          <w:i/>
        </w:rPr>
      </w:pPr>
    </w:p>
    <w:p w:rsidR="009528FF" w:rsidRDefault="009528FF" w:rsidP="009D6184">
      <w:pPr>
        <w:pStyle w:val="Parasts1"/>
        <w:rPr>
          <w:i/>
        </w:rPr>
      </w:pPr>
      <w:r w:rsidRPr="009528FF">
        <w:rPr>
          <w:i/>
        </w:rPr>
        <w:t>Anotācijas V sadaļa – projekts š</w:t>
      </w:r>
      <w:r>
        <w:rPr>
          <w:i/>
        </w:rPr>
        <w:t>o</w:t>
      </w:r>
      <w:r w:rsidRPr="009528FF">
        <w:rPr>
          <w:i/>
        </w:rPr>
        <w:t xml:space="preserve"> jom</w:t>
      </w:r>
      <w:r>
        <w:rPr>
          <w:i/>
        </w:rPr>
        <w:t>u</w:t>
      </w:r>
      <w:r w:rsidRPr="009528FF">
        <w:rPr>
          <w:i/>
        </w:rPr>
        <w:t xml:space="preserve"> neskar.</w:t>
      </w:r>
    </w:p>
    <w:p w:rsidR="009528FF" w:rsidRPr="002B6A5A" w:rsidRDefault="009528FF" w:rsidP="009D6184">
      <w:pPr>
        <w:pStyle w:val="Parasts1"/>
        <w:rPr>
          <w:i/>
        </w:rPr>
      </w:pPr>
    </w:p>
    <w:tbl>
      <w:tblPr>
        <w:tblW w:w="9578"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
        <w:gridCol w:w="3720"/>
        <w:gridCol w:w="5462"/>
      </w:tblGrid>
      <w:tr w:rsidR="005A299A" w:rsidRPr="008C18B1" w:rsidTr="00E87F08">
        <w:trPr>
          <w:jc w:val="center"/>
        </w:trPr>
        <w:tc>
          <w:tcPr>
            <w:tcW w:w="9578" w:type="dxa"/>
            <w:gridSpan w:val="3"/>
          </w:tcPr>
          <w:p w:rsidR="005A299A" w:rsidRPr="008C18B1" w:rsidRDefault="005A299A" w:rsidP="009D6184">
            <w:pPr>
              <w:pStyle w:val="naisnod"/>
              <w:spacing w:before="0" w:after="0"/>
              <w:ind w:left="57" w:right="57"/>
            </w:pPr>
            <w:r w:rsidRPr="008C18B1">
              <w:rPr>
                <w:bCs w:val="0"/>
              </w:rPr>
              <w:t>VI. Sabiedrības līdzdalība un šīs līdzdalības rezultāti</w:t>
            </w:r>
          </w:p>
        </w:tc>
      </w:tr>
      <w:tr w:rsidR="005A299A" w:rsidRPr="008C18B1" w:rsidTr="00891C38">
        <w:trPr>
          <w:trHeight w:val="553"/>
          <w:jc w:val="center"/>
        </w:trPr>
        <w:tc>
          <w:tcPr>
            <w:tcW w:w="396" w:type="dxa"/>
          </w:tcPr>
          <w:p w:rsidR="005A299A" w:rsidRPr="008C18B1" w:rsidRDefault="005A299A" w:rsidP="009D6184">
            <w:pPr>
              <w:pStyle w:val="naiskr"/>
              <w:spacing w:before="0" w:after="0"/>
              <w:ind w:left="57" w:right="57"/>
            </w:pPr>
            <w:r w:rsidRPr="008C18B1">
              <w:t>1.</w:t>
            </w:r>
          </w:p>
        </w:tc>
        <w:tc>
          <w:tcPr>
            <w:tcW w:w="3720" w:type="dxa"/>
          </w:tcPr>
          <w:p w:rsidR="005A299A" w:rsidRPr="008C18B1" w:rsidRDefault="005A299A" w:rsidP="009D6184">
            <w:pPr>
              <w:pStyle w:val="naiskr"/>
              <w:spacing w:before="0" w:after="0"/>
              <w:ind w:left="57" w:right="57"/>
            </w:pPr>
            <w:r w:rsidRPr="008C18B1">
              <w:t>Sabiedrības informēšana par projekta izstrādes uzsākšanu</w:t>
            </w:r>
          </w:p>
        </w:tc>
        <w:tc>
          <w:tcPr>
            <w:tcW w:w="5462" w:type="dxa"/>
          </w:tcPr>
          <w:p w:rsidR="00592B33" w:rsidRPr="00ED1F0F" w:rsidRDefault="00ED20A6" w:rsidP="00B717EA">
            <w:pPr>
              <w:pStyle w:val="Parasts1"/>
              <w:jc w:val="both"/>
              <w:rPr>
                <w:rFonts w:ascii="Calibri" w:hAnsi="Calibri"/>
              </w:rPr>
            </w:pPr>
            <w:r>
              <w:t>P</w:t>
            </w:r>
            <w:r w:rsidRPr="008C18B1">
              <w:t>rojekts šo jomu neskar.</w:t>
            </w:r>
          </w:p>
        </w:tc>
      </w:tr>
      <w:tr w:rsidR="005A299A" w:rsidRPr="008C18B1" w:rsidTr="00891C38">
        <w:trPr>
          <w:trHeight w:val="339"/>
          <w:jc w:val="center"/>
        </w:trPr>
        <w:tc>
          <w:tcPr>
            <w:tcW w:w="396" w:type="dxa"/>
          </w:tcPr>
          <w:p w:rsidR="005A299A" w:rsidRPr="008C18B1" w:rsidRDefault="005A299A" w:rsidP="009D6184">
            <w:pPr>
              <w:pStyle w:val="naiskr"/>
              <w:spacing w:before="0" w:after="0"/>
              <w:ind w:left="57" w:right="57"/>
            </w:pPr>
            <w:r w:rsidRPr="008C18B1">
              <w:t>2.</w:t>
            </w:r>
          </w:p>
        </w:tc>
        <w:tc>
          <w:tcPr>
            <w:tcW w:w="3720" w:type="dxa"/>
          </w:tcPr>
          <w:p w:rsidR="005A299A" w:rsidRPr="008C18B1" w:rsidRDefault="005A299A" w:rsidP="009D6184">
            <w:pPr>
              <w:pStyle w:val="naiskr"/>
              <w:spacing w:before="0" w:after="0"/>
              <w:ind w:left="57" w:right="57"/>
            </w:pPr>
            <w:r w:rsidRPr="008C18B1">
              <w:t xml:space="preserve">Sabiedrības līdzdalība projekta izstrādē </w:t>
            </w:r>
          </w:p>
        </w:tc>
        <w:tc>
          <w:tcPr>
            <w:tcW w:w="5462" w:type="dxa"/>
          </w:tcPr>
          <w:p w:rsidR="005A299A" w:rsidRPr="00ED1F0F" w:rsidRDefault="00C62C5D" w:rsidP="009D6184">
            <w:pPr>
              <w:pStyle w:val="Parasts1"/>
              <w:jc w:val="both"/>
              <w:rPr>
                <w:rFonts w:ascii="Calibri" w:hAnsi="Calibri"/>
              </w:rPr>
            </w:pPr>
            <w:r>
              <w:t>P</w:t>
            </w:r>
            <w:r w:rsidRPr="008C18B1">
              <w:t>rojekts šo jomu neskar.</w:t>
            </w:r>
          </w:p>
        </w:tc>
      </w:tr>
      <w:tr w:rsidR="005A299A" w:rsidRPr="008C18B1" w:rsidTr="00891C38">
        <w:trPr>
          <w:trHeight w:val="375"/>
          <w:jc w:val="center"/>
        </w:trPr>
        <w:tc>
          <w:tcPr>
            <w:tcW w:w="396" w:type="dxa"/>
          </w:tcPr>
          <w:p w:rsidR="005A299A" w:rsidRPr="008C18B1" w:rsidRDefault="005A299A" w:rsidP="009D6184">
            <w:pPr>
              <w:pStyle w:val="naiskr"/>
              <w:spacing w:before="0" w:after="0"/>
              <w:ind w:left="57" w:right="57"/>
            </w:pPr>
            <w:r w:rsidRPr="008C18B1">
              <w:t>3.</w:t>
            </w:r>
          </w:p>
        </w:tc>
        <w:tc>
          <w:tcPr>
            <w:tcW w:w="3720" w:type="dxa"/>
          </w:tcPr>
          <w:p w:rsidR="005A299A" w:rsidRPr="008C18B1" w:rsidRDefault="005A299A" w:rsidP="009D6184">
            <w:pPr>
              <w:pStyle w:val="naiskr"/>
              <w:spacing w:before="0" w:after="0"/>
              <w:ind w:left="57" w:right="57"/>
            </w:pPr>
            <w:r w:rsidRPr="008C18B1">
              <w:t xml:space="preserve">Sabiedrības līdzdalības rezultāti </w:t>
            </w:r>
          </w:p>
        </w:tc>
        <w:tc>
          <w:tcPr>
            <w:tcW w:w="5462" w:type="dxa"/>
          </w:tcPr>
          <w:p w:rsidR="005A299A" w:rsidRPr="00ED1F0F" w:rsidRDefault="00C62C5D" w:rsidP="009D6184">
            <w:pPr>
              <w:pStyle w:val="Parasts1"/>
              <w:jc w:val="both"/>
            </w:pPr>
            <w:r>
              <w:t>P</w:t>
            </w:r>
            <w:r w:rsidRPr="008C18B1">
              <w:t>rojekts šo jomu neskar.</w:t>
            </w:r>
          </w:p>
        </w:tc>
      </w:tr>
      <w:tr w:rsidR="005A299A" w:rsidRPr="008C18B1" w:rsidTr="00891C38">
        <w:trPr>
          <w:trHeight w:val="397"/>
          <w:jc w:val="center"/>
        </w:trPr>
        <w:tc>
          <w:tcPr>
            <w:tcW w:w="396" w:type="dxa"/>
          </w:tcPr>
          <w:p w:rsidR="005A299A" w:rsidRPr="008C18B1" w:rsidRDefault="005A299A" w:rsidP="009D6184">
            <w:pPr>
              <w:pStyle w:val="naiskr"/>
              <w:spacing w:before="0" w:after="0"/>
              <w:ind w:left="57" w:right="57"/>
            </w:pPr>
            <w:r w:rsidRPr="008C18B1">
              <w:t>4.</w:t>
            </w:r>
          </w:p>
        </w:tc>
        <w:tc>
          <w:tcPr>
            <w:tcW w:w="3720" w:type="dxa"/>
          </w:tcPr>
          <w:p w:rsidR="005A299A" w:rsidRPr="008C18B1" w:rsidRDefault="005A299A" w:rsidP="009D6184">
            <w:pPr>
              <w:pStyle w:val="naiskr"/>
              <w:spacing w:before="0" w:after="0"/>
              <w:ind w:left="57" w:right="57"/>
            </w:pPr>
            <w:r w:rsidRPr="008C18B1">
              <w:t>Saeimas un ekspertu līdzdalība</w:t>
            </w:r>
          </w:p>
        </w:tc>
        <w:tc>
          <w:tcPr>
            <w:tcW w:w="5462" w:type="dxa"/>
          </w:tcPr>
          <w:p w:rsidR="005A299A" w:rsidRPr="008C18B1" w:rsidRDefault="008464B2" w:rsidP="009D6184">
            <w:pPr>
              <w:pStyle w:val="Parasts1"/>
              <w:jc w:val="both"/>
              <w:rPr>
                <w:rFonts w:ascii="Calibri" w:hAnsi="Calibri"/>
              </w:rPr>
            </w:pPr>
            <w:r>
              <w:t>P</w:t>
            </w:r>
            <w:r w:rsidR="005A299A" w:rsidRPr="008C18B1">
              <w:t>rojekts šo jomu neskar.</w:t>
            </w:r>
          </w:p>
        </w:tc>
      </w:tr>
      <w:tr w:rsidR="005A299A" w:rsidRPr="008C18B1" w:rsidTr="00891C38">
        <w:trPr>
          <w:trHeight w:val="387"/>
          <w:jc w:val="center"/>
        </w:trPr>
        <w:tc>
          <w:tcPr>
            <w:tcW w:w="396" w:type="dxa"/>
          </w:tcPr>
          <w:p w:rsidR="005A299A" w:rsidRPr="008C18B1" w:rsidRDefault="005A299A" w:rsidP="009D6184">
            <w:pPr>
              <w:pStyle w:val="naiskr"/>
              <w:spacing w:before="0" w:after="0"/>
              <w:ind w:left="57" w:right="57"/>
            </w:pPr>
            <w:r w:rsidRPr="008C18B1">
              <w:t>5.</w:t>
            </w:r>
          </w:p>
        </w:tc>
        <w:tc>
          <w:tcPr>
            <w:tcW w:w="3720" w:type="dxa"/>
          </w:tcPr>
          <w:p w:rsidR="005A299A" w:rsidRPr="008C18B1" w:rsidRDefault="005A299A" w:rsidP="009D6184">
            <w:pPr>
              <w:pStyle w:val="naiskr"/>
              <w:spacing w:before="0" w:after="0"/>
              <w:ind w:left="57" w:right="57"/>
            </w:pPr>
            <w:r w:rsidRPr="008C18B1">
              <w:t>Cita informācija</w:t>
            </w:r>
          </w:p>
        </w:tc>
        <w:tc>
          <w:tcPr>
            <w:tcW w:w="5462" w:type="dxa"/>
          </w:tcPr>
          <w:p w:rsidR="005A299A" w:rsidRPr="008C18B1" w:rsidRDefault="005A299A" w:rsidP="009D6184">
            <w:pPr>
              <w:pStyle w:val="Parasts1"/>
              <w:jc w:val="both"/>
              <w:rPr>
                <w:rFonts w:ascii="Calibri" w:hAnsi="Calibri"/>
              </w:rPr>
            </w:pPr>
            <w:r w:rsidRPr="008C18B1">
              <w:t>Nav</w:t>
            </w:r>
          </w:p>
        </w:tc>
      </w:tr>
    </w:tbl>
    <w:p w:rsidR="005A299A" w:rsidRPr="008C18B1" w:rsidRDefault="005A299A" w:rsidP="009D6184">
      <w:pPr>
        <w:pStyle w:val="Parasts1"/>
      </w:pPr>
    </w:p>
    <w:p w:rsidR="005A299A" w:rsidRPr="008C18B1" w:rsidRDefault="005A299A" w:rsidP="009D6184">
      <w:pPr>
        <w:pStyle w:val="Parasts1"/>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9"/>
        <w:gridCol w:w="3696"/>
        <w:gridCol w:w="5490"/>
      </w:tblGrid>
      <w:tr w:rsidR="005A299A" w:rsidRPr="008C18B1">
        <w:trPr>
          <w:jc w:val="center"/>
        </w:trPr>
        <w:tc>
          <w:tcPr>
            <w:tcW w:w="9565" w:type="dxa"/>
            <w:gridSpan w:val="3"/>
          </w:tcPr>
          <w:p w:rsidR="005A299A" w:rsidRPr="008C18B1" w:rsidRDefault="005A299A" w:rsidP="009D6184">
            <w:pPr>
              <w:pStyle w:val="Parasts1"/>
              <w:jc w:val="center"/>
              <w:rPr>
                <w:b/>
              </w:rPr>
            </w:pPr>
            <w:r w:rsidRPr="008C18B1">
              <w:rPr>
                <w:b/>
              </w:rPr>
              <w:t>VII. Tiesību akta projekta izpildes nodrošināšana un tās ietekme uz institūcijām</w:t>
            </w:r>
          </w:p>
        </w:tc>
      </w:tr>
      <w:tr w:rsidR="005A299A" w:rsidRPr="008C18B1" w:rsidTr="00891C38">
        <w:trPr>
          <w:trHeight w:val="427"/>
          <w:jc w:val="center"/>
        </w:trPr>
        <w:tc>
          <w:tcPr>
            <w:tcW w:w="379" w:type="dxa"/>
          </w:tcPr>
          <w:p w:rsidR="005A299A" w:rsidRPr="008C18B1" w:rsidRDefault="005A299A" w:rsidP="009D6184">
            <w:pPr>
              <w:pStyle w:val="Parasts1"/>
            </w:pPr>
            <w:r w:rsidRPr="008C18B1">
              <w:t>1.</w:t>
            </w:r>
          </w:p>
        </w:tc>
        <w:tc>
          <w:tcPr>
            <w:tcW w:w="3696" w:type="dxa"/>
          </w:tcPr>
          <w:p w:rsidR="005A299A" w:rsidRPr="008C18B1" w:rsidRDefault="005A299A" w:rsidP="009D6184">
            <w:pPr>
              <w:pStyle w:val="Parasts1"/>
              <w:jc w:val="both"/>
            </w:pPr>
            <w:r w:rsidRPr="008C18B1">
              <w:t xml:space="preserve">Projekta izpildē iesaistītās institūcijas </w:t>
            </w:r>
          </w:p>
        </w:tc>
        <w:tc>
          <w:tcPr>
            <w:tcW w:w="5490" w:type="dxa"/>
          </w:tcPr>
          <w:p w:rsidR="005A299A" w:rsidRPr="008C18B1" w:rsidRDefault="00C71466" w:rsidP="00667200">
            <w:pPr>
              <w:pStyle w:val="Parasts1"/>
              <w:jc w:val="both"/>
            </w:pPr>
            <w:r>
              <w:t>Valsts ieņēmumu dienests.</w:t>
            </w:r>
          </w:p>
        </w:tc>
      </w:tr>
      <w:tr w:rsidR="005A299A" w:rsidRPr="008C18B1" w:rsidTr="00891C38">
        <w:trPr>
          <w:trHeight w:val="463"/>
          <w:jc w:val="center"/>
        </w:trPr>
        <w:tc>
          <w:tcPr>
            <w:tcW w:w="379" w:type="dxa"/>
          </w:tcPr>
          <w:p w:rsidR="005A299A" w:rsidRPr="008C18B1" w:rsidRDefault="005A299A" w:rsidP="009D6184">
            <w:pPr>
              <w:pStyle w:val="Parasts1"/>
            </w:pPr>
            <w:r w:rsidRPr="008C18B1">
              <w:t>2.</w:t>
            </w:r>
          </w:p>
        </w:tc>
        <w:tc>
          <w:tcPr>
            <w:tcW w:w="3696" w:type="dxa"/>
          </w:tcPr>
          <w:p w:rsidR="005A299A" w:rsidRPr="008C18B1" w:rsidRDefault="005A299A" w:rsidP="009D6184">
            <w:pPr>
              <w:pStyle w:val="Parasts1"/>
              <w:jc w:val="both"/>
            </w:pPr>
            <w:r w:rsidRPr="008C18B1">
              <w:t xml:space="preserve">Projekta izpildes ietekme uz pārvaldes funkcijām </w:t>
            </w:r>
          </w:p>
        </w:tc>
        <w:tc>
          <w:tcPr>
            <w:tcW w:w="5490" w:type="dxa"/>
          </w:tcPr>
          <w:p w:rsidR="005A299A" w:rsidRPr="008C18B1" w:rsidRDefault="00C71466" w:rsidP="009D6184">
            <w:pPr>
              <w:pStyle w:val="Parasts1"/>
            </w:pPr>
            <w:r>
              <w:t>P</w:t>
            </w:r>
            <w:r w:rsidRPr="008C18B1">
              <w:t>rojekts šo jomu neskar.</w:t>
            </w:r>
          </w:p>
        </w:tc>
      </w:tr>
      <w:tr w:rsidR="005A299A" w:rsidRPr="008C18B1" w:rsidTr="00891C38">
        <w:trPr>
          <w:trHeight w:val="725"/>
          <w:jc w:val="center"/>
        </w:trPr>
        <w:tc>
          <w:tcPr>
            <w:tcW w:w="379" w:type="dxa"/>
          </w:tcPr>
          <w:p w:rsidR="005A299A" w:rsidRPr="008C18B1" w:rsidRDefault="005A299A" w:rsidP="009D6184">
            <w:pPr>
              <w:pStyle w:val="Parasts1"/>
            </w:pPr>
            <w:r w:rsidRPr="008C18B1">
              <w:t>3.</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Jaunu institūciju izveide</w:t>
            </w:r>
          </w:p>
        </w:tc>
        <w:tc>
          <w:tcPr>
            <w:tcW w:w="5490" w:type="dxa"/>
          </w:tcPr>
          <w:p w:rsidR="005A299A" w:rsidRPr="008C18B1" w:rsidRDefault="00C71466" w:rsidP="009D6184">
            <w:pPr>
              <w:pStyle w:val="Parasts1"/>
            </w:pPr>
            <w:r>
              <w:t>P</w:t>
            </w:r>
            <w:r w:rsidRPr="008C18B1">
              <w:t>rojekts šo jomu neskar.</w:t>
            </w:r>
          </w:p>
        </w:tc>
      </w:tr>
      <w:tr w:rsidR="005A299A" w:rsidRPr="008C18B1" w:rsidTr="00891C38">
        <w:trPr>
          <w:trHeight w:val="780"/>
          <w:jc w:val="center"/>
        </w:trPr>
        <w:tc>
          <w:tcPr>
            <w:tcW w:w="379" w:type="dxa"/>
          </w:tcPr>
          <w:p w:rsidR="005A299A" w:rsidRPr="008C18B1" w:rsidRDefault="005A299A" w:rsidP="009D6184">
            <w:pPr>
              <w:pStyle w:val="Parasts1"/>
            </w:pPr>
            <w:r w:rsidRPr="008C18B1">
              <w:t>4.</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Esošu institūciju likvidācija</w:t>
            </w:r>
          </w:p>
        </w:tc>
        <w:tc>
          <w:tcPr>
            <w:tcW w:w="5490" w:type="dxa"/>
          </w:tcPr>
          <w:p w:rsidR="005A299A" w:rsidRPr="008C18B1" w:rsidRDefault="00667200" w:rsidP="009D6184">
            <w:pPr>
              <w:pStyle w:val="Parasts1"/>
            </w:pPr>
            <w:r>
              <w:t>P</w:t>
            </w:r>
            <w:r w:rsidR="005A299A" w:rsidRPr="008C18B1">
              <w:t>rojekts šo jomu neskar.</w:t>
            </w:r>
          </w:p>
        </w:tc>
      </w:tr>
      <w:tr w:rsidR="005A299A" w:rsidRPr="008C18B1" w:rsidTr="00891C38">
        <w:trPr>
          <w:trHeight w:val="703"/>
          <w:jc w:val="center"/>
        </w:trPr>
        <w:tc>
          <w:tcPr>
            <w:tcW w:w="379" w:type="dxa"/>
          </w:tcPr>
          <w:p w:rsidR="005A299A" w:rsidRPr="008C18B1" w:rsidRDefault="005A299A" w:rsidP="009D6184">
            <w:pPr>
              <w:pStyle w:val="Parasts1"/>
            </w:pPr>
            <w:r w:rsidRPr="008C18B1">
              <w:t>5.</w:t>
            </w:r>
          </w:p>
        </w:tc>
        <w:tc>
          <w:tcPr>
            <w:tcW w:w="3696" w:type="dxa"/>
          </w:tcPr>
          <w:p w:rsidR="005A299A" w:rsidRPr="008C18B1" w:rsidRDefault="005A299A" w:rsidP="009D6184">
            <w:pPr>
              <w:pStyle w:val="Parasts1"/>
              <w:jc w:val="both"/>
            </w:pPr>
            <w:r w:rsidRPr="008C18B1">
              <w:t>Projekta izpildes ietekme uz pārvaldes institucionālo struktūru.</w:t>
            </w:r>
          </w:p>
          <w:p w:rsidR="005A299A" w:rsidRPr="008C18B1" w:rsidRDefault="005A299A" w:rsidP="009D6184">
            <w:pPr>
              <w:pStyle w:val="Parasts1"/>
              <w:jc w:val="both"/>
            </w:pPr>
            <w:r w:rsidRPr="008C18B1">
              <w:t>Esošu institūciju reorganizācija</w:t>
            </w:r>
          </w:p>
        </w:tc>
        <w:tc>
          <w:tcPr>
            <w:tcW w:w="5490" w:type="dxa"/>
          </w:tcPr>
          <w:p w:rsidR="005A299A" w:rsidRPr="008C18B1" w:rsidRDefault="00667200" w:rsidP="009D6184">
            <w:pPr>
              <w:pStyle w:val="Parasts1"/>
            </w:pPr>
            <w:r>
              <w:t>P</w:t>
            </w:r>
            <w:r w:rsidR="005A299A" w:rsidRPr="008C18B1">
              <w:t>rojekts šo jomu neskar.</w:t>
            </w:r>
          </w:p>
        </w:tc>
      </w:tr>
      <w:tr w:rsidR="005A299A" w:rsidRPr="008C18B1" w:rsidTr="00891C38">
        <w:trPr>
          <w:trHeight w:val="476"/>
          <w:jc w:val="center"/>
        </w:trPr>
        <w:tc>
          <w:tcPr>
            <w:tcW w:w="379" w:type="dxa"/>
          </w:tcPr>
          <w:p w:rsidR="005A299A" w:rsidRPr="008C18B1" w:rsidRDefault="005A299A" w:rsidP="009D6184">
            <w:pPr>
              <w:pStyle w:val="Parasts1"/>
            </w:pPr>
            <w:r w:rsidRPr="008C18B1">
              <w:t>6.</w:t>
            </w:r>
          </w:p>
        </w:tc>
        <w:tc>
          <w:tcPr>
            <w:tcW w:w="3696" w:type="dxa"/>
          </w:tcPr>
          <w:p w:rsidR="005A299A" w:rsidRPr="008C18B1" w:rsidRDefault="005A299A" w:rsidP="009D6184">
            <w:pPr>
              <w:pStyle w:val="Parasts1"/>
            </w:pPr>
            <w:r w:rsidRPr="008C18B1">
              <w:t>Cita informācija</w:t>
            </w:r>
          </w:p>
        </w:tc>
        <w:tc>
          <w:tcPr>
            <w:tcW w:w="5490" w:type="dxa"/>
          </w:tcPr>
          <w:p w:rsidR="005A299A" w:rsidRPr="008C18B1" w:rsidRDefault="005A299A" w:rsidP="009D6184">
            <w:pPr>
              <w:pStyle w:val="Parasts1"/>
            </w:pPr>
            <w:r w:rsidRPr="008C18B1">
              <w:t>Nav.</w:t>
            </w:r>
          </w:p>
        </w:tc>
      </w:tr>
    </w:tbl>
    <w:p w:rsidR="009D6184" w:rsidRDefault="009D6184" w:rsidP="009D6184">
      <w:pPr>
        <w:pStyle w:val="Parasts1"/>
        <w:ind w:firstLine="720"/>
        <w:rPr>
          <w:sz w:val="28"/>
          <w:szCs w:val="28"/>
        </w:rPr>
      </w:pPr>
    </w:p>
    <w:p w:rsidR="00FF52B2" w:rsidRDefault="00FF52B2" w:rsidP="009D6184">
      <w:pPr>
        <w:pStyle w:val="Parasts1"/>
        <w:rPr>
          <w:sz w:val="16"/>
          <w:szCs w:val="18"/>
        </w:rPr>
      </w:pPr>
    </w:p>
    <w:p w:rsidR="00215170" w:rsidRDefault="00215170" w:rsidP="009D6184">
      <w:pPr>
        <w:pStyle w:val="Parasts1"/>
        <w:rPr>
          <w:sz w:val="16"/>
          <w:szCs w:val="18"/>
        </w:rPr>
      </w:pPr>
    </w:p>
    <w:p w:rsidR="00215170" w:rsidRDefault="00215170" w:rsidP="009D6184">
      <w:pPr>
        <w:pStyle w:val="Parasts1"/>
        <w:rPr>
          <w:sz w:val="16"/>
          <w:szCs w:val="18"/>
        </w:rPr>
      </w:pPr>
    </w:p>
    <w:p w:rsidR="00FF52B2" w:rsidRDefault="00FF52B2" w:rsidP="009D6184">
      <w:pPr>
        <w:pStyle w:val="Parasts1"/>
        <w:rPr>
          <w:sz w:val="16"/>
          <w:szCs w:val="18"/>
        </w:rPr>
      </w:pPr>
    </w:p>
    <w:p w:rsidR="00497194" w:rsidRPr="00497194" w:rsidRDefault="00497194" w:rsidP="00497194">
      <w:pPr>
        <w:widowControl w:val="0"/>
        <w:suppressAutoHyphens/>
        <w:autoSpaceDN w:val="0"/>
        <w:spacing w:line="360" w:lineRule="atLeast"/>
        <w:ind w:left="714"/>
        <w:jc w:val="both"/>
        <w:textAlignment w:val="baseline"/>
        <w:rPr>
          <w:iCs/>
          <w:sz w:val="28"/>
          <w:szCs w:val="24"/>
          <w:lang w:eastAsia="en-US"/>
        </w:rPr>
      </w:pPr>
      <w:r w:rsidRPr="00497194">
        <w:rPr>
          <w:iCs/>
          <w:sz w:val="28"/>
          <w:szCs w:val="24"/>
          <w:lang w:eastAsia="en-US"/>
        </w:rPr>
        <w:t>Ministru prezidents</w:t>
      </w:r>
      <w:r w:rsidRPr="00497194">
        <w:rPr>
          <w:iCs/>
          <w:sz w:val="28"/>
          <w:szCs w:val="24"/>
          <w:lang w:eastAsia="en-US"/>
        </w:rPr>
        <w:tab/>
      </w:r>
      <w:r w:rsidRPr="00497194">
        <w:rPr>
          <w:iCs/>
          <w:sz w:val="28"/>
          <w:szCs w:val="24"/>
          <w:lang w:eastAsia="en-US"/>
        </w:rPr>
        <w:tab/>
      </w:r>
      <w:r w:rsidRPr="00497194">
        <w:rPr>
          <w:iCs/>
          <w:sz w:val="28"/>
          <w:szCs w:val="24"/>
          <w:lang w:eastAsia="en-US"/>
        </w:rPr>
        <w:tab/>
      </w:r>
      <w:r w:rsidRPr="00497194">
        <w:rPr>
          <w:iCs/>
          <w:sz w:val="28"/>
          <w:szCs w:val="24"/>
          <w:lang w:eastAsia="en-US"/>
        </w:rPr>
        <w:tab/>
        <w:t xml:space="preserve">                </w:t>
      </w:r>
      <w:proofErr w:type="spellStart"/>
      <w:r w:rsidRPr="00497194">
        <w:rPr>
          <w:iCs/>
          <w:sz w:val="28"/>
          <w:szCs w:val="24"/>
          <w:lang w:eastAsia="en-US"/>
        </w:rPr>
        <w:t>V.Dombrovskis</w:t>
      </w:r>
      <w:proofErr w:type="spellEnd"/>
    </w:p>
    <w:p w:rsidR="00497194" w:rsidRPr="00497194" w:rsidRDefault="00497194" w:rsidP="00497194">
      <w:pPr>
        <w:widowControl w:val="0"/>
        <w:suppressAutoHyphens/>
        <w:autoSpaceDN w:val="0"/>
        <w:spacing w:line="360" w:lineRule="atLeast"/>
        <w:jc w:val="both"/>
        <w:textAlignment w:val="baseline"/>
        <w:rPr>
          <w:iCs/>
          <w:sz w:val="16"/>
          <w:szCs w:val="16"/>
          <w:lang w:eastAsia="en-US"/>
        </w:rPr>
      </w:pPr>
    </w:p>
    <w:p w:rsidR="00497194" w:rsidRPr="00497194" w:rsidRDefault="00497194" w:rsidP="00497194">
      <w:pPr>
        <w:widowControl w:val="0"/>
        <w:suppressAutoHyphens/>
        <w:autoSpaceDN w:val="0"/>
        <w:spacing w:line="360" w:lineRule="atLeast"/>
        <w:ind w:firstLine="714"/>
        <w:jc w:val="both"/>
        <w:textAlignment w:val="baseline"/>
        <w:rPr>
          <w:iCs/>
          <w:sz w:val="28"/>
          <w:szCs w:val="24"/>
          <w:lang w:eastAsia="en-US"/>
        </w:rPr>
      </w:pPr>
      <w:r w:rsidRPr="00497194">
        <w:rPr>
          <w:iCs/>
          <w:sz w:val="28"/>
          <w:szCs w:val="24"/>
          <w:lang w:eastAsia="en-US"/>
        </w:rPr>
        <w:t>Finanšu ministrs                                                              A.Vilks</w:t>
      </w:r>
    </w:p>
    <w:p w:rsidR="00497194" w:rsidRPr="00497194" w:rsidRDefault="00497194" w:rsidP="00497194">
      <w:pPr>
        <w:widowControl w:val="0"/>
        <w:suppressAutoHyphens/>
        <w:autoSpaceDN w:val="0"/>
        <w:spacing w:line="360" w:lineRule="atLeast"/>
        <w:jc w:val="both"/>
        <w:textAlignment w:val="baseline"/>
        <w:rPr>
          <w:iCs/>
          <w:sz w:val="20"/>
          <w:szCs w:val="24"/>
          <w:lang w:eastAsia="en-US"/>
        </w:rPr>
      </w:pPr>
    </w:p>
    <w:p w:rsidR="00497194" w:rsidRDefault="00497194" w:rsidP="00497194">
      <w:pPr>
        <w:widowControl w:val="0"/>
        <w:suppressAutoHyphens/>
        <w:autoSpaceDN w:val="0"/>
        <w:spacing w:line="360" w:lineRule="atLeast"/>
        <w:jc w:val="both"/>
        <w:textAlignment w:val="baseline"/>
        <w:rPr>
          <w:iCs/>
          <w:sz w:val="20"/>
          <w:szCs w:val="24"/>
          <w:lang w:eastAsia="en-US"/>
        </w:rPr>
      </w:pPr>
    </w:p>
    <w:p w:rsidR="00497194" w:rsidRPr="00497194" w:rsidRDefault="00497194" w:rsidP="00497194">
      <w:pPr>
        <w:widowControl w:val="0"/>
        <w:suppressAutoHyphens/>
        <w:autoSpaceDN w:val="0"/>
        <w:spacing w:line="360" w:lineRule="atLeast"/>
        <w:jc w:val="both"/>
        <w:textAlignment w:val="baseline"/>
        <w:rPr>
          <w:iCs/>
          <w:sz w:val="20"/>
          <w:szCs w:val="24"/>
          <w:lang w:eastAsia="en-US"/>
        </w:rPr>
      </w:pPr>
    </w:p>
    <w:p w:rsidR="00497194" w:rsidRPr="00497194" w:rsidRDefault="00ED20A6" w:rsidP="00497194">
      <w:pPr>
        <w:widowControl w:val="0"/>
        <w:suppressAutoHyphens/>
        <w:autoSpaceDN w:val="0"/>
        <w:jc w:val="both"/>
        <w:textAlignment w:val="baseline"/>
        <w:rPr>
          <w:iCs/>
          <w:sz w:val="28"/>
          <w:szCs w:val="24"/>
          <w:lang w:eastAsia="en-US"/>
        </w:rPr>
      </w:pPr>
      <w:r>
        <w:rPr>
          <w:iCs/>
          <w:sz w:val="20"/>
          <w:szCs w:val="24"/>
          <w:lang w:eastAsia="en-US"/>
        </w:rPr>
        <w:fldChar w:fldCharType="begin"/>
      </w:r>
      <w:r>
        <w:rPr>
          <w:iCs/>
          <w:sz w:val="20"/>
          <w:szCs w:val="24"/>
          <w:lang w:eastAsia="en-US"/>
        </w:rPr>
        <w:instrText xml:space="preserve"> PRINTDATE   \* MERGEFORMAT </w:instrText>
      </w:r>
      <w:r>
        <w:rPr>
          <w:iCs/>
          <w:sz w:val="20"/>
          <w:szCs w:val="24"/>
          <w:lang w:eastAsia="en-US"/>
        </w:rPr>
        <w:fldChar w:fldCharType="separate"/>
      </w:r>
      <w:r w:rsidR="00B8324B">
        <w:rPr>
          <w:iCs/>
          <w:noProof/>
          <w:sz w:val="20"/>
          <w:szCs w:val="24"/>
          <w:lang w:eastAsia="en-US"/>
        </w:rPr>
        <w:t>1</w:t>
      </w:r>
      <w:r w:rsidR="00DD2E42">
        <w:rPr>
          <w:iCs/>
          <w:noProof/>
          <w:sz w:val="20"/>
          <w:szCs w:val="24"/>
          <w:lang w:eastAsia="en-US"/>
        </w:rPr>
        <w:t>2</w:t>
      </w:r>
      <w:r w:rsidR="00B8324B">
        <w:rPr>
          <w:iCs/>
          <w:noProof/>
          <w:sz w:val="20"/>
          <w:szCs w:val="24"/>
          <w:lang w:eastAsia="en-US"/>
        </w:rPr>
        <w:t>.12.2012 11:04:00</w:t>
      </w:r>
      <w:r>
        <w:rPr>
          <w:iCs/>
          <w:sz w:val="20"/>
          <w:szCs w:val="24"/>
          <w:lang w:eastAsia="en-US"/>
        </w:rPr>
        <w:fldChar w:fldCharType="end"/>
      </w:r>
    </w:p>
    <w:p w:rsidR="00497194" w:rsidRPr="00497194" w:rsidRDefault="009E4F33" w:rsidP="00497194">
      <w:pPr>
        <w:widowControl w:val="0"/>
        <w:suppressAutoHyphens/>
        <w:autoSpaceDN w:val="0"/>
        <w:jc w:val="both"/>
        <w:textAlignment w:val="baseline"/>
        <w:rPr>
          <w:iCs/>
          <w:sz w:val="28"/>
          <w:szCs w:val="24"/>
          <w:lang w:eastAsia="en-US"/>
        </w:rPr>
      </w:pPr>
      <w:r>
        <w:rPr>
          <w:iCs/>
          <w:sz w:val="20"/>
          <w:szCs w:val="24"/>
          <w:lang w:eastAsia="en-US"/>
        </w:rPr>
        <w:t>1</w:t>
      </w:r>
      <w:r w:rsidR="00C46E18">
        <w:rPr>
          <w:iCs/>
          <w:sz w:val="20"/>
          <w:szCs w:val="24"/>
          <w:lang w:eastAsia="en-US"/>
        </w:rPr>
        <w:t>8</w:t>
      </w:r>
      <w:r w:rsidR="00824B55">
        <w:rPr>
          <w:iCs/>
          <w:sz w:val="20"/>
          <w:szCs w:val="24"/>
          <w:lang w:eastAsia="en-US"/>
        </w:rPr>
        <w:t>55</w:t>
      </w:r>
    </w:p>
    <w:p w:rsidR="00497194" w:rsidRPr="00497194" w:rsidRDefault="00F61F9D" w:rsidP="00497194">
      <w:pPr>
        <w:widowControl w:val="0"/>
        <w:suppressAutoHyphens/>
        <w:autoSpaceDN w:val="0"/>
        <w:jc w:val="both"/>
        <w:textAlignment w:val="baseline"/>
        <w:rPr>
          <w:iCs/>
          <w:sz w:val="20"/>
          <w:szCs w:val="24"/>
          <w:lang w:eastAsia="en-US"/>
        </w:rPr>
      </w:pPr>
      <w:r>
        <w:rPr>
          <w:iCs/>
          <w:sz w:val="20"/>
          <w:szCs w:val="24"/>
          <w:lang w:eastAsia="en-US"/>
        </w:rPr>
        <w:t>Ozoliņa</w:t>
      </w:r>
      <w:r w:rsidR="00497194" w:rsidRPr="00497194">
        <w:rPr>
          <w:iCs/>
          <w:sz w:val="20"/>
          <w:szCs w:val="24"/>
          <w:lang w:eastAsia="en-US"/>
        </w:rPr>
        <w:t>, 670</w:t>
      </w:r>
      <w:r>
        <w:rPr>
          <w:iCs/>
          <w:sz w:val="20"/>
          <w:szCs w:val="24"/>
          <w:lang w:eastAsia="en-US"/>
        </w:rPr>
        <w:t>9549</w:t>
      </w:r>
      <w:r w:rsidR="00497194" w:rsidRPr="00497194">
        <w:rPr>
          <w:iCs/>
          <w:sz w:val="20"/>
          <w:szCs w:val="24"/>
          <w:lang w:eastAsia="en-US"/>
        </w:rPr>
        <w:t>3</w:t>
      </w:r>
    </w:p>
    <w:p w:rsidR="00497194" w:rsidRPr="00497194" w:rsidRDefault="00497194" w:rsidP="00497194">
      <w:pPr>
        <w:widowControl w:val="0"/>
        <w:suppressAutoHyphens/>
        <w:autoSpaceDN w:val="0"/>
        <w:jc w:val="both"/>
        <w:textAlignment w:val="baseline"/>
        <w:rPr>
          <w:iCs/>
          <w:sz w:val="28"/>
          <w:szCs w:val="24"/>
          <w:lang w:eastAsia="en-US"/>
        </w:rPr>
      </w:pPr>
      <w:r w:rsidRPr="00497194">
        <w:rPr>
          <w:iCs/>
          <w:sz w:val="20"/>
          <w:szCs w:val="24"/>
          <w:lang w:eastAsia="en-US"/>
        </w:rPr>
        <w:t xml:space="preserve">e-pasts: </w:t>
      </w:r>
      <w:hyperlink r:id="rId9" w:history="1">
        <w:r w:rsidR="00F61F9D" w:rsidRPr="00C1464F">
          <w:rPr>
            <w:rStyle w:val="Hyperlink"/>
            <w:iCs/>
            <w:sz w:val="20"/>
            <w:szCs w:val="24"/>
            <w:lang w:eastAsia="en-US"/>
          </w:rPr>
          <w:t>Agrita.Ozolina@fm.gov.lv</w:t>
        </w:r>
      </w:hyperlink>
    </w:p>
    <w:sectPr w:rsidR="00497194" w:rsidRPr="00497194" w:rsidSect="00FF52B2">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15" w:rsidRDefault="00066115">
      <w:pPr>
        <w:pStyle w:val="Parasts1"/>
      </w:pPr>
      <w:r>
        <w:separator/>
      </w:r>
    </w:p>
  </w:endnote>
  <w:endnote w:type="continuationSeparator" w:id="0">
    <w:p w:rsidR="00066115" w:rsidRDefault="00066115">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84" w:rsidRPr="00927FF9" w:rsidRDefault="00933210" w:rsidP="00927FF9">
    <w:pPr>
      <w:pStyle w:val="Parasts1"/>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8324B">
      <w:rPr>
        <w:noProof/>
        <w:sz w:val="20"/>
        <w:szCs w:val="20"/>
      </w:rPr>
      <w:t>FMAnot_121212_MK899</w:t>
    </w:r>
    <w:r>
      <w:rPr>
        <w:sz w:val="20"/>
        <w:szCs w:val="20"/>
      </w:rPr>
      <w:fldChar w:fldCharType="end"/>
    </w:r>
    <w:r w:rsidR="00927FF9" w:rsidRPr="0062716C">
      <w:rPr>
        <w:sz w:val="20"/>
        <w:szCs w:val="20"/>
      </w:rPr>
      <w:t xml:space="preserve">; </w:t>
    </w:r>
    <w:r w:rsidR="00927FF9" w:rsidRPr="00927FF9">
      <w:rPr>
        <w:sz w:val="20"/>
        <w:szCs w:val="20"/>
      </w:rPr>
      <w:t xml:space="preserve">Ministru kabineta noteikumu projekta „Grozījumi Ministru kabineta 2010.gada 21.septembra noteikumos Nr.899 „Likuma „Par iedzīvotāju ienākuma nodokli” normu piemērošanas kārtība”” sākotnējās ietekmes novērtējuma </w:t>
    </w:r>
    <w:smartTag w:uri="schemas-tilde-lv/tildestengine" w:element="veidnes">
      <w:smartTagPr>
        <w:attr w:name="id" w:val="-1"/>
        <w:attr w:name="baseform" w:val="ziņojums"/>
        <w:attr w:name="text" w:val="ziņojums"/>
      </w:smartTagPr>
      <w:r w:rsidR="00927FF9" w:rsidRPr="00927FF9">
        <w:rPr>
          <w:sz w:val="20"/>
          <w:szCs w:val="20"/>
        </w:rPr>
        <w:t>ziņojums</w:t>
      </w:r>
    </w:smartTag>
    <w:r w:rsidR="00927FF9" w:rsidRPr="00927FF9">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F9" w:rsidRPr="00927FF9" w:rsidRDefault="00933210" w:rsidP="00927FF9">
    <w:pPr>
      <w:pStyle w:val="Parasts1"/>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8324B">
      <w:rPr>
        <w:noProof/>
        <w:sz w:val="20"/>
        <w:szCs w:val="20"/>
      </w:rPr>
      <w:t>FMAnot_121212_MK899</w:t>
    </w:r>
    <w:r>
      <w:rPr>
        <w:sz w:val="20"/>
        <w:szCs w:val="20"/>
      </w:rPr>
      <w:fldChar w:fldCharType="end"/>
    </w:r>
    <w:r w:rsidR="005A299A" w:rsidRPr="0062716C">
      <w:rPr>
        <w:sz w:val="20"/>
        <w:szCs w:val="20"/>
      </w:rPr>
      <w:t xml:space="preserve">; </w:t>
    </w:r>
    <w:r w:rsidR="00927FF9" w:rsidRPr="00927FF9">
      <w:rPr>
        <w:sz w:val="20"/>
        <w:szCs w:val="20"/>
      </w:rPr>
      <w:t xml:space="preserve">Ministru kabineta noteikumu projekta „Grozījumi Ministru kabineta 2010.gada 21.septembra noteikumos Nr.899 „Likuma „Par iedzīvotāju ienākuma nodokli” normu piemērošanas kārtība”” sākotnējās ietekmes novērtējuma </w:t>
    </w:r>
    <w:smartTag w:uri="schemas-tilde-lv/tildestengine" w:element="veidnes">
      <w:smartTagPr>
        <w:attr w:name="id" w:val="-1"/>
        <w:attr w:name="baseform" w:val="ziņojums"/>
        <w:attr w:name="text" w:val="ziņojums"/>
      </w:smartTagPr>
      <w:r w:rsidR="00927FF9" w:rsidRPr="00927FF9">
        <w:rPr>
          <w:sz w:val="20"/>
          <w:szCs w:val="20"/>
        </w:rPr>
        <w:t>ziņojums</w:t>
      </w:r>
    </w:smartTag>
    <w:r w:rsidR="00927FF9" w:rsidRPr="00927FF9">
      <w:rPr>
        <w:sz w:val="20"/>
        <w:szCs w:val="20"/>
      </w:rPr>
      <w:t xml:space="preserve"> (anotācija)</w:t>
    </w:r>
  </w:p>
  <w:p w:rsidR="005A299A" w:rsidRPr="0062716C" w:rsidRDefault="005A299A" w:rsidP="00BB3795">
    <w:pPr>
      <w:pStyle w:val="Parasts1"/>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15" w:rsidRDefault="00066115">
      <w:pPr>
        <w:pStyle w:val="Parasts1"/>
      </w:pPr>
      <w:r>
        <w:separator/>
      </w:r>
    </w:p>
  </w:footnote>
  <w:footnote w:type="continuationSeparator" w:id="0">
    <w:p w:rsidR="00066115" w:rsidRDefault="00066115">
      <w:pPr>
        <w:pStyle w:val="Parast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9A" w:rsidRDefault="008A4ED9" w:rsidP="003C449B">
    <w:pPr>
      <w:pStyle w:val="Header"/>
      <w:framePr w:wrap="around" w:vAnchor="text" w:hAnchor="margin" w:xAlign="center" w:y="1"/>
      <w:rPr>
        <w:rStyle w:val="PageNumber"/>
      </w:rPr>
    </w:pPr>
    <w:r>
      <w:rPr>
        <w:rStyle w:val="PageNumber"/>
      </w:rPr>
      <w:fldChar w:fldCharType="begin"/>
    </w:r>
    <w:r w:rsidR="005A299A">
      <w:rPr>
        <w:rStyle w:val="PageNumber"/>
      </w:rPr>
      <w:instrText xml:space="preserve">PAGE  </w:instrText>
    </w:r>
    <w:r>
      <w:rPr>
        <w:rStyle w:val="PageNumber"/>
      </w:rPr>
      <w:fldChar w:fldCharType="end"/>
    </w:r>
  </w:p>
  <w:p w:rsidR="005A299A" w:rsidRDefault="005A2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9A" w:rsidRDefault="008A4ED9" w:rsidP="003C449B">
    <w:pPr>
      <w:pStyle w:val="Header"/>
      <w:framePr w:wrap="around" w:vAnchor="text" w:hAnchor="margin" w:xAlign="center" w:y="1"/>
      <w:rPr>
        <w:rStyle w:val="PageNumber"/>
      </w:rPr>
    </w:pPr>
    <w:r>
      <w:rPr>
        <w:rStyle w:val="PageNumber"/>
      </w:rPr>
      <w:fldChar w:fldCharType="begin"/>
    </w:r>
    <w:r w:rsidR="005A299A">
      <w:rPr>
        <w:rStyle w:val="PageNumber"/>
      </w:rPr>
      <w:instrText xml:space="preserve">PAGE  </w:instrText>
    </w:r>
    <w:r>
      <w:rPr>
        <w:rStyle w:val="PageNumber"/>
      </w:rPr>
      <w:fldChar w:fldCharType="separate"/>
    </w:r>
    <w:r w:rsidR="00237CDF">
      <w:rPr>
        <w:rStyle w:val="PageNumber"/>
        <w:noProof/>
      </w:rPr>
      <w:t>4</w:t>
    </w:r>
    <w:r>
      <w:rPr>
        <w:rStyle w:val="PageNumber"/>
      </w:rPr>
      <w:fldChar w:fldCharType="end"/>
    </w:r>
  </w:p>
  <w:p w:rsidR="005A299A" w:rsidRDefault="005A299A">
    <w:pPr>
      <w:pStyle w:val="Header"/>
    </w:pPr>
  </w:p>
  <w:p w:rsidR="005A299A" w:rsidRDefault="005A299A"/>
  <w:p w:rsidR="005A299A" w:rsidRDefault="005A29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v:imagedata r:id="rId1" o:title=""/>
      </v:shape>
    </w:pict>
  </w:numPicBullet>
  <w:abstractNum w:abstractNumId="0">
    <w:nsid w:val="008359DC"/>
    <w:multiLevelType w:val="hybridMultilevel"/>
    <w:tmpl w:val="2F60C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5F5170"/>
    <w:multiLevelType w:val="hybridMultilevel"/>
    <w:tmpl w:val="BF64E86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FF7699"/>
    <w:multiLevelType w:val="hybridMultilevel"/>
    <w:tmpl w:val="9B324D14"/>
    <w:lvl w:ilvl="0" w:tplc="180CF550">
      <w:start w:val="6"/>
      <w:numFmt w:val="bullet"/>
      <w:lvlText w:val="-"/>
      <w:lvlJc w:val="left"/>
      <w:pPr>
        <w:ind w:left="1353" w:hanging="360"/>
      </w:pPr>
      <w:rPr>
        <w:rFonts w:ascii="Calibri" w:eastAsia="Times New Roman" w:hAnsi="Calibri" w:hint="default"/>
      </w:rPr>
    </w:lvl>
    <w:lvl w:ilvl="1" w:tplc="04260003" w:tentative="1">
      <w:start w:val="1"/>
      <w:numFmt w:val="bullet"/>
      <w:lvlText w:val="o"/>
      <w:lvlJc w:val="left"/>
      <w:pPr>
        <w:ind w:left="2073" w:hanging="360"/>
      </w:pPr>
      <w:rPr>
        <w:rFonts w:ascii="Courier New" w:hAnsi="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4">
    <w:nsid w:val="15370ABA"/>
    <w:multiLevelType w:val="multilevel"/>
    <w:tmpl w:val="F2BE1E40"/>
    <w:lvl w:ilvl="0">
      <w:start w:val="1"/>
      <w:numFmt w:val="upperRoman"/>
      <w:lvlText w:val="%1."/>
      <w:lvlJc w:val="righ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8B365CF"/>
    <w:multiLevelType w:val="hybridMultilevel"/>
    <w:tmpl w:val="CF3EFE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E10AEA"/>
    <w:multiLevelType w:val="hybridMultilevel"/>
    <w:tmpl w:val="50009D64"/>
    <w:lvl w:ilvl="0" w:tplc="E61436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255182D"/>
    <w:multiLevelType w:val="hybridMultilevel"/>
    <w:tmpl w:val="7988E3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8"/>
  </w:num>
  <w:num w:numId="2">
    <w:abstractNumId w:val="17"/>
  </w:num>
  <w:num w:numId="3">
    <w:abstractNumId w:val="7"/>
  </w:num>
  <w:num w:numId="4">
    <w:abstractNumId w:val="5"/>
  </w:num>
  <w:num w:numId="5">
    <w:abstractNumId w:val="2"/>
  </w:num>
  <w:num w:numId="6">
    <w:abstractNumId w:val="14"/>
  </w:num>
  <w:num w:numId="7">
    <w:abstractNumId w:val="19"/>
  </w:num>
  <w:num w:numId="8">
    <w:abstractNumId w:val="11"/>
  </w:num>
  <w:num w:numId="9">
    <w:abstractNumId w:val="6"/>
  </w:num>
  <w:num w:numId="10">
    <w:abstractNumId w:val="12"/>
  </w:num>
  <w:num w:numId="11">
    <w:abstractNumId w:val="13"/>
  </w:num>
  <w:num w:numId="12">
    <w:abstractNumId w:val="15"/>
  </w:num>
  <w:num w:numId="13">
    <w:abstractNumId w:val="16"/>
  </w:num>
  <w:num w:numId="14">
    <w:abstractNumId w:val="18"/>
  </w:num>
  <w:num w:numId="15">
    <w:abstractNumId w:val="4"/>
  </w:num>
  <w:num w:numId="16">
    <w:abstractNumId w:val="3"/>
  </w:num>
  <w:num w:numId="17">
    <w:abstractNumId w:val="20"/>
  </w:num>
  <w:num w:numId="18">
    <w:abstractNumId w:val="1"/>
  </w:num>
  <w:num w:numId="19">
    <w:abstractNumId w:val="0"/>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571"/>
    <w:rsid w:val="00004E97"/>
    <w:rsid w:val="000078A5"/>
    <w:rsid w:val="00010184"/>
    <w:rsid w:val="00011D24"/>
    <w:rsid w:val="00012244"/>
    <w:rsid w:val="00013FF4"/>
    <w:rsid w:val="00015192"/>
    <w:rsid w:val="000153FC"/>
    <w:rsid w:val="00020FE1"/>
    <w:rsid w:val="00022E13"/>
    <w:rsid w:val="00024113"/>
    <w:rsid w:val="00032388"/>
    <w:rsid w:val="00032FEB"/>
    <w:rsid w:val="000334E6"/>
    <w:rsid w:val="0003352A"/>
    <w:rsid w:val="000350A4"/>
    <w:rsid w:val="00035CE2"/>
    <w:rsid w:val="0003796A"/>
    <w:rsid w:val="00040122"/>
    <w:rsid w:val="00041CFB"/>
    <w:rsid w:val="00043EBE"/>
    <w:rsid w:val="0005016C"/>
    <w:rsid w:val="00050352"/>
    <w:rsid w:val="0005388C"/>
    <w:rsid w:val="00055275"/>
    <w:rsid w:val="0005553B"/>
    <w:rsid w:val="00056E55"/>
    <w:rsid w:val="000604D2"/>
    <w:rsid w:val="00060B88"/>
    <w:rsid w:val="000618F0"/>
    <w:rsid w:val="0006271A"/>
    <w:rsid w:val="000646B7"/>
    <w:rsid w:val="000654F8"/>
    <w:rsid w:val="00066115"/>
    <w:rsid w:val="00067860"/>
    <w:rsid w:val="00071CFB"/>
    <w:rsid w:val="0007567B"/>
    <w:rsid w:val="0007668D"/>
    <w:rsid w:val="0007757E"/>
    <w:rsid w:val="000824A0"/>
    <w:rsid w:val="0008669A"/>
    <w:rsid w:val="000875F0"/>
    <w:rsid w:val="00087D09"/>
    <w:rsid w:val="0009005E"/>
    <w:rsid w:val="00090FA6"/>
    <w:rsid w:val="00090FAA"/>
    <w:rsid w:val="000925BE"/>
    <w:rsid w:val="00092E19"/>
    <w:rsid w:val="00094024"/>
    <w:rsid w:val="000941C5"/>
    <w:rsid w:val="00097705"/>
    <w:rsid w:val="000A1ACA"/>
    <w:rsid w:val="000A28D7"/>
    <w:rsid w:val="000A6451"/>
    <w:rsid w:val="000A7D33"/>
    <w:rsid w:val="000B0123"/>
    <w:rsid w:val="000B064E"/>
    <w:rsid w:val="000B13A0"/>
    <w:rsid w:val="000B493F"/>
    <w:rsid w:val="000B69CF"/>
    <w:rsid w:val="000B716E"/>
    <w:rsid w:val="000C09D8"/>
    <w:rsid w:val="000C1465"/>
    <w:rsid w:val="000C2C5E"/>
    <w:rsid w:val="000C2DBA"/>
    <w:rsid w:val="000C4342"/>
    <w:rsid w:val="000C5177"/>
    <w:rsid w:val="000C5F3B"/>
    <w:rsid w:val="000C790C"/>
    <w:rsid w:val="000D7F3A"/>
    <w:rsid w:val="000E0B43"/>
    <w:rsid w:val="000E17D3"/>
    <w:rsid w:val="000E25C6"/>
    <w:rsid w:val="000E348C"/>
    <w:rsid w:val="000E7ECF"/>
    <w:rsid w:val="000F061D"/>
    <w:rsid w:val="000F0CA3"/>
    <w:rsid w:val="000F4794"/>
    <w:rsid w:val="000F7EB5"/>
    <w:rsid w:val="00102D0B"/>
    <w:rsid w:val="00103517"/>
    <w:rsid w:val="00104950"/>
    <w:rsid w:val="00104977"/>
    <w:rsid w:val="00105DD9"/>
    <w:rsid w:val="0010679C"/>
    <w:rsid w:val="00110B4C"/>
    <w:rsid w:val="0011129C"/>
    <w:rsid w:val="00113A09"/>
    <w:rsid w:val="00113A84"/>
    <w:rsid w:val="00122C93"/>
    <w:rsid w:val="00124F12"/>
    <w:rsid w:val="0012689A"/>
    <w:rsid w:val="00131A61"/>
    <w:rsid w:val="00135465"/>
    <w:rsid w:val="0014001D"/>
    <w:rsid w:val="00142EF0"/>
    <w:rsid w:val="00144E3A"/>
    <w:rsid w:val="0015060C"/>
    <w:rsid w:val="001509CD"/>
    <w:rsid w:val="00153769"/>
    <w:rsid w:val="0015418A"/>
    <w:rsid w:val="0016018A"/>
    <w:rsid w:val="00160DDB"/>
    <w:rsid w:val="00161121"/>
    <w:rsid w:val="00161134"/>
    <w:rsid w:val="00161F0E"/>
    <w:rsid w:val="00161FB6"/>
    <w:rsid w:val="0016550D"/>
    <w:rsid w:val="00170E2A"/>
    <w:rsid w:val="001750AC"/>
    <w:rsid w:val="00175C78"/>
    <w:rsid w:val="00177394"/>
    <w:rsid w:val="00182C18"/>
    <w:rsid w:val="00183913"/>
    <w:rsid w:val="00183CC2"/>
    <w:rsid w:val="00187D23"/>
    <w:rsid w:val="001900E4"/>
    <w:rsid w:val="00190C87"/>
    <w:rsid w:val="00190F88"/>
    <w:rsid w:val="00191370"/>
    <w:rsid w:val="00191444"/>
    <w:rsid w:val="00193070"/>
    <w:rsid w:val="00193931"/>
    <w:rsid w:val="00193A10"/>
    <w:rsid w:val="001A26DF"/>
    <w:rsid w:val="001A4066"/>
    <w:rsid w:val="001A408E"/>
    <w:rsid w:val="001A5CFB"/>
    <w:rsid w:val="001A6AE4"/>
    <w:rsid w:val="001B01FD"/>
    <w:rsid w:val="001B1284"/>
    <w:rsid w:val="001B4A71"/>
    <w:rsid w:val="001B4E01"/>
    <w:rsid w:val="001B5486"/>
    <w:rsid w:val="001B6B71"/>
    <w:rsid w:val="001C1150"/>
    <w:rsid w:val="001C3BE8"/>
    <w:rsid w:val="001C57F4"/>
    <w:rsid w:val="001C7A22"/>
    <w:rsid w:val="001D3476"/>
    <w:rsid w:val="001D5B54"/>
    <w:rsid w:val="001E1DBF"/>
    <w:rsid w:val="001E4639"/>
    <w:rsid w:val="001E4A7D"/>
    <w:rsid w:val="001E5D78"/>
    <w:rsid w:val="001E6D13"/>
    <w:rsid w:val="001E707F"/>
    <w:rsid w:val="001E7374"/>
    <w:rsid w:val="001F014E"/>
    <w:rsid w:val="001F242B"/>
    <w:rsid w:val="001F2AEA"/>
    <w:rsid w:val="001F43A8"/>
    <w:rsid w:val="001F5CD6"/>
    <w:rsid w:val="001F720C"/>
    <w:rsid w:val="001F763B"/>
    <w:rsid w:val="001F7E7E"/>
    <w:rsid w:val="0020181C"/>
    <w:rsid w:val="002032AF"/>
    <w:rsid w:val="00203E82"/>
    <w:rsid w:val="00211F8E"/>
    <w:rsid w:val="0021263D"/>
    <w:rsid w:val="002136A9"/>
    <w:rsid w:val="002136B0"/>
    <w:rsid w:val="00213F0C"/>
    <w:rsid w:val="00214094"/>
    <w:rsid w:val="00215170"/>
    <w:rsid w:val="0021592D"/>
    <w:rsid w:val="00215B52"/>
    <w:rsid w:val="00220393"/>
    <w:rsid w:val="00221132"/>
    <w:rsid w:val="0022195B"/>
    <w:rsid w:val="00221B28"/>
    <w:rsid w:val="00222D76"/>
    <w:rsid w:val="00223EB1"/>
    <w:rsid w:val="00230A43"/>
    <w:rsid w:val="00231344"/>
    <w:rsid w:val="00232391"/>
    <w:rsid w:val="002325AA"/>
    <w:rsid w:val="0023436E"/>
    <w:rsid w:val="002347C0"/>
    <w:rsid w:val="0023688B"/>
    <w:rsid w:val="00237370"/>
    <w:rsid w:val="00237478"/>
    <w:rsid w:val="00237CDF"/>
    <w:rsid w:val="00241A6C"/>
    <w:rsid w:val="00242D2B"/>
    <w:rsid w:val="0024314D"/>
    <w:rsid w:val="002443A9"/>
    <w:rsid w:val="00245DC4"/>
    <w:rsid w:val="0024755C"/>
    <w:rsid w:val="002478B4"/>
    <w:rsid w:val="0025470A"/>
    <w:rsid w:val="00262E2B"/>
    <w:rsid w:val="00264382"/>
    <w:rsid w:val="00267074"/>
    <w:rsid w:val="002702EC"/>
    <w:rsid w:val="00270429"/>
    <w:rsid w:val="00271369"/>
    <w:rsid w:val="002723E9"/>
    <w:rsid w:val="00272F9D"/>
    <w:rsid w:val="002746DC"/>
    <w:rsid w:val="00276DC1"/>
    <w:rsid w:val="00277929"/>
    <w:rsid w:val="00280ABB"/>
    <w:rsid w:val="0028150A"/>
    <w:rsid w:val="00281B79"/>
    <w:rsid w:val="00283B82"/>
    <w:rsid w:val="002846E9"/>
    <w:rsid w:val="00284C34"/>
    <w:rsid w:val="00287C8D"/>
    <w:rsid w:val="0029066C"/>
    <w:rsid w:val="00293039"/>
    <w:rsid w:val="00295407"/>
    <w:rsid w:val="002967FF"/>
    <w:rsid w:val="002A0A16"/>
    <w:rsid w:val="002A2B14"/>
    <w:rsid w:val="002A5CCF"/>
    <w:rsid w:val="002B1169"/>
    <w:rsid w:val="002B50DB"/>
    <w:rsid w:val="002B5717"/>
    <w:rsid w:val="002B6A5A"/>
    <w:rsid w:val="002C0671"/>
    <w:rsid w:val="002C0AED"/>
    <w:rsid w:val="002C12AB"/>
    <w:rsid w:val="002C4245"/>
    <w:rsid w:val="002C4F2C"/>
    <w:rsid w:val="002C5443"/>
    <w:rsid w:val="002C608F"/>
    <w:rsid w:val="002C7CAC"/>
    <w:rsid w:val="002D0D98"/>
    <w:rsid w:val="002D3306"/>
    <w:rsid w:val="002D48AA"/>
    <w:rsid w:val="002D61B9"/>
    <w:rsid w:val="002D7BAA"/>
    <w:rsid w:val="002D7F54"/>
    <w:rsid w:val="002E23E5"/>
    <w:rsid w:val="002E3FF4"/>
    <w:rsid w:val="002E7B46"/>
    <w:rsid w:val="002F05BC"/>
    <w:rsid w:val="002F0C08"/>
    <w:rsid w:val="002F4C3E"/>
    <w:rsid w:val="002F66CF"/>
    <w:rsid w:val="002F7390"/>
    <w:rsid w:val="002F78C8"/>
    <w:rsid w:val="00301CF3"/>
    <w:rsid w:val="0030373D"/>
    <w:rsid w:val="00304D7A"/>
    <w:rsid w:val="00321654"/>
    <w:rsid w:val="00322DC2"/>
    <w:rsid w:val="0032715C"/>
    <w:rsid w:val="00330520"/>
    <w:rsid w:val="00332A99"/>
    <w:rsid w:val="00334280"/>
    <w:rsid w:val="00337CA5"/>
    <w:rsid w:val="00342A9A"/>
    <w:rsid w:val="00344EFB"/>
    <w:rsid w:val="003470EC"/>
    <w:rsid w:val="00353A8E"/>
    <w:rsid w:val="0035440E"/>
    <w:rsid w:val="00356F68"/>
    <w:rsid w:val="00362478"/>
    <w:rsid w:val="003670A1"/>
    <w:rsid w:val="0036752C"/>
    <w:rsid w:val="003676CB"/>
    <w:rsid w:val="00375B25"/>
    <w:rsid w:val="003771FC"/>
    <w:rsid w:val="00380C9E"/>
    <w:rsid w:val="003855E3"/>
    <w:rsid w:val="00385890"/>
    <w:rsid w:val="00386AC9"/>
    <w:rsid w:val="00387090"/>
    <w:rsid w:val="0039021B"/>
    <w:rsid w:val="0039035A"/>
    <w:rsid w:val="00391BAE"/>
    <w:rsid w:val="00392FEA"/>
    <w:rsid w:val="00394F0F"/>
    <w:rsid w:val="00395041"/>
    <w:rsid w:val="00396542"/>
    <w:rsid w:val="0039685B"/>
    <w:rsid w:val="003A0759"/>
    <w:rsid w:val="003A0E22"/>
    <w:rsid w:val="003A1A4B"/>
    <w:rsid w:val="003A31A6"/>
    <w:rsid w:val="003A350E"/>
    <w:rsid w:val="003A7940"/>
    <w:rsid w:val="003A7C3F"/>
    <w:rsid w:val="003A7F0C"/>
    <w:rsid w:val="003A7F79"/>
    <w:rsid w:val="003B046B"/>
    <w:rsid w:val="003B0A96"/>
    <w:rsid w:val="003B1FF9"/>
    <w:rsid w:val="003B6404"/>
    <w:rsid w:val="003C42C1"/>
    <w:rsid w:val="003C449B"/>
    <w:rsid w:val="003C4A5E"/>
    <w:rsid w:val="003C691D"/>
    <w:rsid w:val="003D0994"/>
    <w:rsid w:val="003D21FF"/>
    <w:rsid w:val="003D2FE8"/>
    <w:rsid w:val="003D7A2B"/>
    <w:rsid w:val="003E0128"/>
    <w:rsid w:val="003E3410"/>
    <w:rsid w:val="003F0112"/>
    <w:rsid w:val="003F0559"/>
    <w:rsid w:val="003F071A"/>
    <w:rsid w:val="003F160B"/>
    <w:rsid w:val="003F208E"/>
    <w:rsid w:val="003F466A"/>
    <w:rsid w:val="003F5F89"/>
    <w:rsid w:val="003F60ED"/>
    <w:rsid w:val="003F6818"/>
    <w:rsid w:val="003F6D66"/>
    <w:rsid w:val="003F6E26"/>
    <w:rsid w:val="00400032"/>
    <w:rsid w:val="00400B5B"/>
    <w:rsid w:val="00400C2F"/>
    <w:rsid w:val="00403036"/>
    <w:rsid w:val="00404B28"/>
    <w:rsid w:val="00405A00"/>
    <w:rsid w:val="004155E5"/>
    <w:rsid w:val="00420870"/>
    <w:rsid w:val="004223A5"/>
    <w:rsid w:val="00426812"/>
    <w:rsid w:val="004322C0"/>
    <w:rsid w:val="00433962"/>
    <w:rsid w:val="00436732"/>
    <w:rsid w:val="00436994"/>
    <w:rsid w:val="0043791B"/>
    <w:rsid w:val="004402FB"/>
    <w:rsid w:val="0044038B"/>
    <w:rsid w:val="00441483"/>
    <w:rsid w:val="00441BCB"/>
    <w:rsid w:val="00442337"/>
    <w:rsid w:val="0045032E"/>
    <w:rsid w:val="0045176A"/>
    <w:rsid w:val="004538CA"/>
    <w:rsid w:val="00456332"/>
    <w:rsid w:val="00456647"/>
    <w:rsid w:val="00461826"/>
    <w:rsid w:val="0046329E"/>
    <w:rsid w:val="00467B1B"/>
    <w:rsid w:val="0047110F"/>
    <w:rsid w:val="00477CF3"/>
    <w:rsid w:val="004800F9"/>
    <w:rsid w:val="00480E2A"/>
    <w:rsid w:val="004847C8"/>
    <w:rsid w:val="004848A2"/>
    <w:rsid w:val="0049134A"/>
    <w:rsid w:val="0049218A"/>
    <w:rsid w:val="00497194"/>
    <w:rsid w:val="004A358D"/>
    <w:rsid w:val="004A377E"/>
    <w:rsid w:val="004A407D"/>
    <w:rsid w:val="004A58CB"/>
    <w:rsid w:val="004A7861"/>
    <w:rsid w:val="004B0436"/>
    <w:rsid w:val="004B165B"/>
    <w:rsid w:val="004B1795"/>
    <w:rsid w:val="004B4987"/>
    <w:rsid w:val="004B56DD"/>
    <w:rsid w:val="004B6EBB"/>
    <w:rsid w:val="004B7FB4"/>
    <w:rsid w:val="004C020F"/>
    <w:rsid w:val="004C1838"/>
    <w:rsid w:val="004C1AFD"/>
    <w:rsid w:val="004C558B"/>
    <w:rsid w:val="004C67EA"/>
    <w:rsid w:val="004D009B"/>
    <w:rsid w:val="004D0BCC"/>
    <w:rsid w:val="004D1E4B"/>
    <w:rsid w:val="004D6F60"/>
    <w:rsid w:val="004E05A2"/>
    <w:rsid w:val="004E1DE2"/>
    <w:rsid w:val="004E40A7"/>
    <w:rsid w:val="004F10E0"/>
    <w:rsid w:val="004F1F88"/>
    <w:rsid w:val="004F2E1F"/>
    <w:rsid w:val="004F5DCA"/>
    <w:rsid w:val="004F5F1B"/>
    <w:rsid w:val="004F7725"/>
    <w:rsid w:val="00502374"/>
    <w:rsid w:val="00504921"/>
    <w:rsid w:val="005060A1"/>
    <w:rsid w:val="00516072"/>
    <w:rsid w:val="0051699D"/>
    <w:rsid w:val="00517814"/>
    <w:rsid w:val="00531465"/>
    <w:rsid w:val="005332EC"/>
    <w:rsid w:val="00534418"/>
    <w:rsid w:val="005346A9"/>
    <w:rsid w:val="005347E8"/>
    <w:rsid w:val="005353AB"/>
    <w:rsid w:val="00537DD9"/>
    <w:rsid w:val="005517DE"/>
    <w:rsid w:val="00553A16"/>
    <w:rsid w:val="005560BC"/>
    <w:rsid w:val="005573BE"/>
    <w:rsid w:val="00563875"/>
    <w:rsid w:val="00566380"/>
    <w:rsid w:val="00571624"/>
    <w:rsid w:val="00572700"/>
    <w:rsid w:val="005768C5"/>
    <w:rsid w:val="00576C59"/>
    <w:rsid w:val="00576DFB"/>
    <w:rsid w:val="00580468"/>
    <w:rsid w:val="00581BBB"/>
    <w:rsid w:val="005824D6"/>
    <w:rsid w:val="005831D3"/>
    <w:rsid w:val="00584BA8"/>
    <w:rsid w:val="0058603B"/>
    <w:rsid w:val="0058707D"/>
    <w:rsid w:val="0059204C"/>
    <w:rsid w:val="00592B33"/>
    <w:rsid w:val="0059431B"/>
    <w:rsid w:val="0059524B"/>
    <w:rsid w:val="00595315"/>
    <w:rsid w:val="005953FA"/>
    <w:rsid w:val="00597550"/>
    <w:rsid w:val="0059767E"/>
    <w:rsid w:val="005A0160"/>
    <w:rsid w:val="005A2965"/>
    <w:rsid w:val="005A299A"/>
    <w:rsid w:val="005A30F2"/>
    <w:rsid w:val="005A39CC"/>
    <w:rsid w:val="005B2B13"/>
    <w:rsid w:val="005B3F76"/>
    <w:rsid w:val="005B4730"/>
    <w:rsid w:val="005B653D"/>
    <w:rsid w:val="005C15AF"/>
    <w:rsid w:val="005C2D2B"/>
    <w:rsid w:val="005C393B"/>
    <w:rsid w:val="005C6DCF"/>
    <w:rsid w:val="005D0636"/>
    <w:rsid w:val="005D258A"/>
    <w:rsid w:val="005D4291"/>
    <w:rsid w:val="005D54F3"/>
    <w:rsid w:val="005E026F"/>
    <w:rsid w:val="005E05D7"/>
    <w:rsid w:val="005E37DB"/>
    <w:rsid w:val="005E41E7"/>
    <w:rsid w:val="005E450F"/>
    <w:rsid w:val="005F2E6B"/>
    <w:rsid w:val="005F5AFC"/>
    <w:rsid w:val="00601DD8"/>
    <w:rsid w:val="00604824"/>
    <w:rsid w:val="00611C33"/>
    <w:rsid w:val="00612BD6"/>
    <w:rsid w:val="00616AE6"/>
    <w:rsid w:val="00620151"/>
    <w:rsid w:val="0062298A"/>
    <w:rsid w:val="006249DF"/>
    <w:rsid w:val="00624A76"/>
    <w:rsid w:val="0062504B"/>
    <w:rsid w:val="0062573F"/>
    <w:rsid w:val="00626514"/>
    <w:rsid w:val="00626589"/>
    <w:rsid w:val="0062716C"/>
    <w:rsid w:val="006309E3"/>
    <w:rsid w:val="006339A0"/>
    <w:rsid w:val="0063733B"/>
    <w:rsid w:val="006413A8"/>
    <w:rsid w:val="00642E56"/>
    <w:rsid w:val="006464C9"/>
    <w:rsid w:val="0064680E"/>
    <w:rsid w:val="00651E00"/>
    <w:rsid w:val="00657E7B"/>
    <w:rsid w:val="0066315B"/>
    <w:rsid w:val="00665231"/>
    <w:rsid w:val="00666299"/>
    <w:rsid w:val="00667200"/>
    <w:rsid w:val="006716A5"/>
    <w:rsid w:val="00671B7F"/>
    <w:rsid w:val="00671C31"/>
    <w:rsid w:val="00674572"/>
    <w:rsid w:val="00675323"/>
    <w:rsid w:val="006763EF"/>
    <w:rsid w:val="006764DE"/>
    <w:rsid w:val="006808B3"/>
    <w:rsid w:val="006856DF"/>
    <w:rsid w:val="00687763"/>
    <w:rsid w:val="00692B0D"/>
    <w:rsid w:val="00692BCA"/>
    <w:rsid w:val="00693E0E"/>
    <w:rsid w:val="00695B92"/>
    <w:rsid w:val="006A1124"/>
    <w:rsid w:val="006A1AE3"/>
    <w:rsid w:val="006A23E7"/>
    <w:rsid w:val="006A6BC8"/>
    <w:rsid w:val="006B4DEC"/>
    <w:rsid w:val="006B66C7"/>
    <w:rsid w:val="006B7947"/>
    <w:rsid w:val="006B7BD8"/>
    <w:rsid w:val="006C0764"/>
    <w:rsid w:val="006C1855"/>
    <w:rsid w:val="006C30E1"/>
    <w:rsid w:val="006C4607"/>
    <w:rsid w:val="006C61F1"/>
    <w:rsid w:val="006C78E5"/>
    <w:rsid w:val="006C7CD2"/>
    <w:rsid w:val="006D2C5B"/>
    <w:rsid w:val="006D48F1"/>
    <w:rsid w:val="006D4B8B"/>
    <w:rsid w:val="006E22E3"/>
    <w:rsid w:val="006E3454"/>
    <w:rsid w:val="006F068F"/>
    <w:rsid w:val="006F17CA"/>
    <w:rsid w:val="006F24BC"/>
    <w:rsid w:val="006F43DC"/>
    <w:rsid w:val="006F45BE"/>
    <w:rsid w:val="006F4FF5"/>
    <w:rsid w:val="006F6B22"/>
    <w:rsid w:val="007004FC"/>
    <w:rsid w:val="00703506"/>
    <w:rsid w:val="007059D9"/>
    <w:rsid w:val="00706670"/>
    <w:rsid w:val="007123EC"/>
    <w:rsid w:val="00715073"/>
    <w:rsid w:val="00715516"/>
    <w:rsid w:val="007201CB"/>
    <w:rsid w:val="0072245A"/>
    <w:rsid w:val="007233FA"/>
    <w:rsid w:val="0072417C"/>
    <w:rsid w:val="007242BF"/>
    <w:rsid w:val="00725FBC"/>
    <w:rsid w:val="00726949"/>
    <w:rsid w:val="00727689"/>
    <w:rsid w:val="00730739"/>
    <w:rsid w:val="0073111C"/>
    <w:rsid w:val="007334DA"/>
    <w:rsid w:val="00733A85"/>
    <w:rsid w:val="00734245"/>
    <w:rsid w:val="00734450"/>
    <w:rsid w:val="00741C14"/>
    <w:rsid w:val="00745F67"/>
    <w:rsid w:val="00746DB4"/>
    <w:rsid w:val="00746E60"/>
    <w:rsid w:val="0075039E"/>
    <w:rsid w:val="00751FDD"/>
    <w:rsid w:val="00752D9D"/>
    <w:rsid w:val="00754784"/>
    <w:rsid w:val="00757C6E"/>
    <w:rsid w:val="0076140D"/>
    <w:rsid w:val="00762BDA"/>
    <w:rsid w:val="00763166"/>
    <w:rsid w:val="00764667"/>
    <w:rsid w:val="00767B4C"/>
    <w:rsid w:val="007708D9"/>
    <w:rsid w:val="00771613"/>
    <w:rsid w:val="00774E76"/>
    <w:rsid w:val="00776C1A"/>
    <w:rsid w:val="007805FD"/>
    <w:rsid w:val="0078070F"/>
    <w:rsid w:val="0078087E"/>
    <w:rsid w:val="00782FBF"/>
    <w:rsid w:val="00784422"/>
    <w:rsid w:val="00785CB0"/>
    <w:rsid w:val="00785CC4"/>
    <w:rsid w:val="007862E6"/>
    <w:rsid w:val="007918A2"/>
    <w:rsid w:val="007974B4"/>
    <w:rsid w:val="007A07B4"/>
    <w:rsid w:val="007A2142"/>
    <w:rsid w:val="007A25A2"/>
    <w:rsid w:val="007A2A18"/>
    <w:rsid w:val="007A3ECD"/>
    <w:rsid w:val="007A740D"/>
    <w:rsid w:val="007B05C4"/>
    <w:rsid w:val="007B08FD"/>
    <w:rsid w:val="007B1CE4"/>
    <w:rsid w:val="007B2B53"/>
    <w:rsid w:val="007B3B54"/>
    <w:rsid w:val="007B3FA0"/>
    <w:rsid w:val="007B5C98"/>
    <w:rsid w:val="007B7BDB"/>
    <w:rsid w:val="007C0F2C"/>
    <w:rsid w:val="007C2BCC"/>
    <w:rsid w:val="007C4EF0"/>
    <w:rsid w:val="007C649D"/>
    <w:rsid w:val="007D099D"/>
    <w:rsid w:val="007D0A95"/>
    <w:rsid w:val="007D0EC9"/>
    <w:rsid w:val="007D26CA"/>
    <w:rsid w:val="007D38D9"/>
    <w:rsid w:val="007D48FE"/>
    <w:rsid w:val="007D7107"/>
    <w:rsid w:val="007E2664"/>
    <w:rsid w:val="007E3ABF"/>
    <w:rsid w:val="007E4702"/>
    <w:rsid w:val="007E56E9"/>
    <w:rsid w:val="007E5BFA"/>
    <w:rsid w:val="007E61BB"/>
    <w:rsid w:val="007E6689"/>
    <w:rsid w:val="007E731C"/>
    <w:rsid w:val="007F0A03"/>
    <w:rsid w:val="007F2251"/>
    <w:rsid w:val="007F49A0"/>
    <w:rsid w:val="007F6012"/>
    <w:rsid w:val="007F7B9B"/>
    <w:rsid w:val="008017D3"/>
    <w:rsid w:val="00802C80"/>
    <w:rsid w:val="008036AA"/>
    <w:rsid w:val="00805D4E"/>
    <w:rsid w:val="00806CB7"/>
    <w:rsid w:val="00810040"/>
    <w:rsid w:val="00812150"/>
    <w:rsid w:val="00812E22"/>
    <w:rsid w:val="00813026"/>
    <w:rsid w:val="0081558B"/>
    <w:rsid w:val="008163CD"/>
    <w:rsid w:val="00816478"/>
    <w:rsid w:val="00817707"/>
    <w:rsid w:val="0082023A"/>
    <w:rsid w:val="00821A7A"/>
    <w:rsid w:val="0082237F"/>
    <w:rsid w:val="00822FE3"/>
    <w:rsid w:val="00824B55"/>
    <w:rsid w:val="008253F8"/>
    <w:rsid w:val="00827060"/>
    <w:rsid w:val="008301C3"/>
    <w:rsid w:val="008325E4"/>
    <w:rsid w:val="00832A2B"/>
    <w:rsid w:val="00833F4F"/>
    <w:rsid w:val="00834529"/>
    <w:rsid w:val="0083523B"/>
    <w:rsid w:val="008375CC"/>
    <w:rsid w:val="008421B8"/>
    <w:rsid w:val="00844A77"/>
    <w:rsid w:val="00844E2D"/>
    <w:rsid w:val="00845811"/>
    <w:rsid w:val="008464B2"/>
    <w:rsid w:val="00846994"/>
    <w:rsid w:val="00847F33"/>
    <w:rsid w:val="00850451"/>
    <w:rsid w:val="00852042"/>
    <w:rsid w:val="00852ECC"/>
    <w:rsid w:val="008534C9"/>
    <w:rsid w:val="00853911"/>
    <w:rsid w:val="008541EC"/>
    <w:rsid w:val="0085599D"/>
    <w:rsid w:val="00860EA3"/>
    <w:rsid w:val="00861933"/>
    <w:rsid w:val="008731B4"/>
    <w:rsid w:val="0087395C"/>
    <w:rsid w:val="0087510C"/>
    <w:rsid w:val="00876682"/>
    <w:rsid w:val="0088104A"/>
    <w:rsid w:val="008824E2"/>
    <w:rsid w:val="008839DF"/>
    <w:rsid w:val="00885478"/>
    <w:rsid w:val="0088659D"/>
    <w:rsid w:val="00887C04"/>
    <w:rsid w:val="00890A30"/>
    <w:rsid w:val="00891C38"/>
    <w:rsid w:val="00892048"/>
    <w:rsid w:val="00893D4A"/>
    <w:rsid w:val="008964D5"/>
    <w:rsid w:val="00896B92"/>
    <w:rsid w:val="0089738E"/>
    <w:rsid w:val="008A05A7"/>
    <w:rsid w:val="008A1998"/>
    <w:rsid w:val="008A23A7"/>
    <w:rsid w:val="008A2425"/>
    <w:rsid w:val="008A2721"/>
    <w:rsid w:val="008A4ED9"/>
    <w:rsid w:val="008B0143"/>
    <w:rsid w:val="008B1D40"/>
    <w:rsid w:val="008B33D2"/>
    <w:rsid w:val="008B3804"/>
    <w:rsid w:val="008B57FB"/>
    <w:rsid w:val="008B5FDB"/>
    <w:rsid w:val="008B6ED3"/>
    <w:rsid w:val="008C1789"/>
    <w:rsid w:val="008C18B1"/>
    <w:rsid w:val="008C3B47"/>
    <w:rsid w:val="008C50F4"/>
    <w:rsid w:val="008C5649"/>
    <w:rsid w:val="008D2D46"/>
    <w:rsid w:val="008D3DE0"/>
    <w:rsid w:val="008D7C94"/>
    <w:rsid w:val="008D7D08"/>
    <w:rsid w:val="008E201A"/>
    <w:rsid w:val="008E2116"/>
    <w:rsid w:val="008E2286"/>
    <w:rsid w:val="008E3175"/>
    <w:rsid w:val="008E3F5B"/>
    <w:rsid w:val="008E44A2"/>
    <w:rsid w:val="008E697D"/>
    <w:rsid w:val="008E6B60"/>
    <w:rsid w:val="008F14B7"/>
    <w:rsid w:val="008F70DE"/>
    <w:rsid w:val="00903263"/>
    <w:rsid w:val="009044D3"/>
    <w:rsid w:val="00905EC1"/>
    <w:rsid w:val="00905F5E"/>
    <w:rsid w:val="00906A21"/>
    <w:rsid w:val="0090722D"/>
    <w:rsid w:val="009079C3"/>
    <w:rsid w:val="00910462"/>
    <w:rsid w:val="00910897"/>
    <w:rsid w:val="00912049"/>
    <w:rsid w:val="00913AD6"/>
    <w:rsid w:val="00913D3A"/>
    <w:rsid w:val="00915030"/>
    <w:rsid w:val="00915AB1"/>
    <w:rsid w:val="00917144"/>
    <w:rsid w:val="00917532"/>
    <w:rsid w:val="00920901"/>
    <w:rsid w:val="009235BA"/>
    <w:rsid w:val="00923C95"/>
    <w:rsid w:val="00924023"/>
    <w:rsid w:val="00924CE2"/>
    <w:rsid w:val="00925B9F"/>
    <w:rsid w:val="009268CE"/>
    <w:rsid w:val="00927FF9"/>
    <w:rsid w:val="00931AED"/>
    <w:rsid w:val="009324D0"/>
    <w:rsid w:val="00933210"/>
    <w:rsid w:val="00934350"/>
    <w:rsid w:val="00934B2E"/>
    <w:rsid w:val="00935302"/>
    <w:rsid w:val="009412D0"/>
    <w:rsid w:val="009420CA"/>
    <w:rsid w:val="009445BE"/>
    <w:rsid w:val="009476A3"/>
    <w:rsid w:val="009509C8"/>
    <w:rsid w:val="009514AF"/>
    <w:rsid w:val="009528FF"/>
    <w:rsid w:val="0095334F"/>
    <w:rsid w:val="00955456"/>
    <w:rsid w:val="00956EB5"/>
    <w:rsid w:val="00957157"/>
    <w:rsid w:val="00957EC8"/>
    <w:rsid w:val="00964577"/>
    <w:rsid w:val="00965897"/>
    <w:rsid w:val="00965A87"/>
    <w:rsid w:val="009666D6"/>
    <w:rsid w:val="00967567"/>
    <w:rsid w:val="0096765C"/>
    <w:rsid w:val="00971DD4"/>
    <w:rsid w:val="0097244D"/>
    <w:rsid w:val="009727E4"/>
    <w:rsid w:val="00977E2E"/>
    <w:rsid w:val="009823B8"/>
    <w:rsid w:val="00984765"/>
    <w:rsid w:val="00984CDE"/>
    <w:rsid w:val="009875EB"/>
    <w:rsid w:val="009934C5"/>
    <w:rsid w:val="00994C0F"/>
    <w:rsid w:val="00994E88"/>
    <w:rsid w:val="0099549F"/>
    <w:rsid w:val="009A0D8F"/>
    <w:rsid w:val="009A2CAC"/>
    <w:rsid w:val="009A362F"/>
    <w:rsid w:val="009A6034"/>
    <w:rsid w:val="009A66F5"/>
    <w:rsid w:val="009B10EF"/>
    <w:rsid w:val="009B151B"/>
    <w:rsid w:val="009B22D7"/>
    <w:rsid w:val="009B52D6"/>
    <w:rsid w:val="009B7104"/>
    <w:rsid w:val="009B72ED"/>
    <w:rsid w:val="009C156B"/>
    <w:rsid w:val="009C23DB"/>
    <w:rsid w:val="009C6DEB"/>
    <w:rsid w:val="009D6184"/>
    <w:rsid w:val="009D6504"/>
    <w:rsid w:val="009D780E"/>
    <w:rsid w:val="009E0A5E"/>
    <w:rsid w:val="009E12D7"/>
    <w:rsid w:val="009E2A21"/>
    <w:rsid w:val="009E4F33"/>
    <w:rsid w:val="009E527A"/>
    <w:rsid w:val="009E661A"/>
    <w:rsid w:val="009E66F0"/>
    <w:rsid w:val="009F3A55"/>
    <w:rsid w:val="009F4FB9"/>
    <w:rsid w:val="00A03753"/>
    <w:rsid w:val="00A055BE"/>
    <w:rsid w:val="00A05D13"/>
    <w:rsid w:val="00A06781"/>
    <w:rsid w:val="00A074C3"/>
    <w:rsid w:val="00A12F9A"/>
    <w:rsid w:val="00A148BE"/>
    <w:rsid w:val="00A1509C"/>
    <w:rsid w:val="00A15D85"/>
    <w:rsid w:val="00A20901"/>
    <w:rsid w:val="00A211E7"/>
    <w:rsid w:val="00A228CF"/>
    <w:rsid w:val="00A23DAE"/>
    <w:rsid w:val="00A339B2"/>
    <w:rsid w:val="00A34260"/>
    <w:rsid w:val="00A34BD8"/>
    <w:rsid w:val="00A4630D"/>
    <w:rsid w:val="00A515C3"/>
    <w:rsid w:val="00A52019"/>
    <w:rsid w:val="00A5252F"/>
    <w:rsid w:val="00A537FD"/>
    <w:rsid w:val="00A54AA8"/>
    <w:rsid w:val="00A5689B"/>
    <w:rsid w:val="00A64E59"/>
    <w:rsid w:val="00A674ED"/>
    <w:rsid w:val="00A70CFD"/>
    <w:rsid w:val="00A7160B"/>
    <w:rsid w:val="00A72338"/>
    <w:rsid w:val="00A72A0B"/>
    <w:rsid w:val="00A77799"/>
    <w:rsid w:val="00A81115"/>
    <w:rsid w:val="00A81E42"/>
    <w:rsid w:val="00A82EDD"/>
    <w:rsid w:val="00A83DA2"/>
    <w:rsid w:val="00A864FE"/>
    <w:rsid w:val="00A86F41"/>
    <w:rsid w:val="00A8742A"/>
    <w:rsid w:val="00A87D04"/>
    <w:rsid w:val="00A906A0"/>
    <w:rsid w:val="00A91351"/>
    <w:rsid w:val="00A91780"/>
    <w:rsid w:val="00A924B0"/>
    <w:rsid w:val="00A94645"/>
    <w:rsid w:val="00A950C5"/>
    <w:rsid w:val="00A9712E"/>
    <w:rsid w:val="00AA1D25"/>
    <w:rsid w:val="00AA59E3"/>
    <w:rsid w:val="00AA7D7D"/>
    <w:rsid w:val="00AB2B1A"/>
    <w:rsid w:val="00AB397F"/>
    <w:rsid w:val="00AB3C62"/>
    <w:rsid w:val="00AB5832"/>
    <w:rsid w:val="00AC51F2"/>
    <w:rsid w:val="00AD023B"/>
    <w:rsid w:val="00AD077A"/>
    <w:rsid w:val="00AD5893"/>
    <w:rsid w:val="00AE35BD"/>
    <w:rsid w:val="00AE43FE"/>
    <w:rsid w:val="00AE44EE"/>
    <w:rsid w:val="00AE5066"/>
    <w:rsid w:val="00AE5E24"/>
    <w:rsid w:val="00AE61B7"/>
    <w:rsid w:val="00AE6CBA"/>
    <w:rsid w:val="00AE79AD"/>
    <w:rsid w:val="00AE7EE7"/>
    <w:rsid w:val="00AF0CC2"/>
    <w:rsid w:val="00AF2263"/>
    <w:rsid w:val="00AF32AA"/>
    <w:rsid w:val="00AF35E4"/>
    <w:rsid w:val="00AF3FA2"/>
    <w:rsid w:val="00AF50E5"/>
    <w:rsid w:val="00AF5CDE"/>
    <w:rsid w:val="00AF5FFB"/>
    <w:rsid w:val="00AF7611"/>
    <w:rsid w:val="00AF7EF6"/>
    <w:rsid w:val="00B0032F"/>
    <w:rsid w:val="00B03505"/>
    <w:rsid w:val="00B04DBD"/>
    <w:rsid w:val="00B05820"/>
    <w:rsid w:val="00B11A57"/>
    <w:rsid w:val="00B13102"/>
    <w:rsid w:val="00B13F7C"/>
    <w:rsid w:val="00B14504"/>
    <w:rsid w:val="00B164CD"/>
    <w:rsid w:val="00B211C3"/>
    <w:rsid w:val="00B21557"/>
    <w:rsid w:val="00B25597"/>
    <w:rsid w:val="00B267B9"/>
    <w:rsid w:val="00B33E09"/>
    <w:rsid w:val="00B3454B"/>
    <w:rsid w:val="00B365FA"/>
    <w:rsid w:val="00B409C9"/>
    <w:rsid w:val="00B426F2"/>
    <w:rsid w:val="00B435D8"/>
    <w:rsid w:val="00B45EE9"/>
    <w:rsid w:val="00B501C7"/>
    <w:rsid w:val="00B50708"/>
    <w:rsid w:val="00B50C68"/>
    <w:rsid w:val="00B51293"/>
    <w:rsid w:val="00B52B1E"/>
    <w:rsid w:val="00B55481"/>
    <w:rsid w:val="00B56C32"/>
    <w:rsid w:val="00B57ACF"/>
    <w:rsid w:val="00B6291A"/>
    <w:rsid w:val="00B62C3D"/>
    <w:rsid w:val="00B64BB1"/>
    <w:rsid w:val="00B65E47"/>
    <w:rsid w:val="00B705E5"/>
    <w:rsid w:val="00B717EA"/>
    <w:rsid w:val="00B73166"/>
    <w:rsid w:val="00B7568C"/>
    <w:rsid w:val="00B83082"/>
    <w:rsid w:val="00B8324B"/>
    <w:rsid w:val="00B83CEF"/>
    <w:rsid w:val="00B83F83"/>
    <w:rsid w:val="00B8426C"/>
    <w:rsid w:val="00B910EB"/>
    <w:rsid w:val="00B91B8D"/>
    <w:rsid w:val="00B94E90"/>
    <w:rsid w:val="00BA0C04"/>
    <w:rsid w:val="00BA7C52"/>
    <w:rsid w:val="00BB02E9"/>
    <w:rsid w:val="00BB0A82"/>
    <w:rsid w:val="00BB1B8C"/>
    <w:rsid w:val="00BB3795"/>
    <w:rsid w:val="00BB4C4B"/>
    <w:rsid w:val="00BB573A"/>
    <w:rsid w:val="00BB7152"/>
    <w:rsid w:val="00BB7C94"/>
    <w:rsid w:val="00BC059A"/>
    <w:rsid w:val="00BC0A9D"/>
    <w:rsid w:val="00BC1187"/>
    <w:rsid w:val="00BC1EDB"/>
    <w:rsid w:val="00BC685F"/>
    <w:rsid w:val="00BC713C"/>
    <w:rsid w:val="00BC7A51"/>
    <w:rsid w:val="00BC7A8F"/>
    <w:rsid w:val="00BD3A97"/>
    <w:rsid w:val="00BD3E7F"/>
    <w:rsid w:val="00BD49CF"/>
    <w:rsid w:val="00BD7F31"/>
    <w:rsid w:val="00BE07F9"/>
    <w:rsid w:val="00BE608E"/>
    <w:rsid w:val="00BE634E"/>
    <w:rsid w:val="00BE6950"/>
    <w:rsid w:val="00BF0524"/>
    <w:rsid w:val="00BF0C59"/>
    <w:rsid w:val="00BF1699"/>
    <w:rsid w:val="00BF1A25"/>
    <w:rsid w:val="00BF3F4F"/>
    <w:rsid w:val="00BF40ED"/>
    <w:rsid w:val="00BF5237"/>
    <w:rsid w:val="00BF5BC2"/>
    <w:rsid w:val="00BF75BC"/>
    <w:rsid w:val="00BF791D"/>
    <w:rsid w:val="00BF7D00"/>
    <w:rsid w:val="00C06818"/>
    <w:rsid w:val="00C10531"/>
    <w:rsid w:val="00C1133D"/>
    <w:rsid w:val="00C14E15"/>
    <w:rsid w:val="00C1677A"/>
    <w:rsid w:val="00C17A7F"/>
    <w:rsid w:val="00C17DF8"/>
    <w:rsid w:val="00C2179D"/>
    <w:rsid w:val="00C220EB"/>
    <w:rsid w:val="00C239DF"/>
    <w:rsid w:val="00C23FE3"/>
    <w:rsid w:val="00C2542E"/>
    <w:rsid w:val="00C27A08"/>
    <w:rsid w:val="00C30988"/>
    <w:rsid w:val="00C31312"/>
    <w:rsid w:val="00C326C6"/>
    <w:rsid w:val="00C3373B"/>
    <w:rsid w:val="00C33A2D"/>
    <w:rsid w:val="00C35295"/>
    <w:rsid w:val="00C36ADD"/>
    <w:rsid w:val="00C36E74"/>
    <w:rsid w:val="00C40595"/>
    <w:rsid w:val="00C41621"/>
    <w:rsid w:val="00C42F11"/>
    <w:rsid w:val="00C4491E"/>
    <w:rsid w:val="00C449FA"/>
    <w:rsid w:val="00C46E18"/>
    <w:rsid w:val="00C478D5"/>
    <w:rsid w:val="00C5012D"/>
    <w:rsid w:val="00C5384F"/>
    <w:rsid w:val="00C54A69"/>
    <w:rsid w:val="00C55826"/>
    <w:rsid w:val="00C56443"/>
    <w:rsid w:val="00C565D0"/>
    <w:rsid w:val="00C56964"/>
    <w:rsid w:val="00C6009B"/>
    <w:rsid w:val="00C62C5D"/>
    <w:rsid w:val="00C654A0"/>
    <w:rsid w:val="00C656D5"/>
    <w:rsid w:val="00C67103"/>
    <w:rsid w:val="00C7016C"/>
    <w:rsid w:val="00C70825"/>
    <w:rsid w:val="00C71466"/>
    <w:rsid w:val="00C71BB9"/>
    <w:rsid w:val="00C74373"/>
    <w:rsid w:val="00C75C2F"/>
    <w:rsid w:val="00C802D3"/>
    <w:rsid w:val="00C84377"/>
    <w:rsid w:val="00C90FAF"/>
    <w:rsid w:val="00C94C28"/>
    <w:rsid w:val="00C95D23"/>
    <w:rsid w:val="00C9691B"/>
    <w:rsid w:val="00C97A84"/>
    <w:rsid w:val="00CA65B3"/>
    <w:rsid w:val="00CB0247"/>
    <w:rsid w:val="00CB2773"/>
    <w:rsid w:val="00CB3440"/>
    <w:rsid w:val="00CB3A19"/>
    <w:rsid w:val="00CC1692"/>
    <w:rsid w:val="00CC3246"/>
    <w:rsid w:val="00CC47EB"/>
    <w:rsid w:val="00CC5A3D"/>
    <w:rsid w:val="00CD138B"/>
    <w:rsid w:val="00CD2BB5"/>
    <w:rsid w:val="00CD3E31"/>
    <w:rsid w:val="00CD5B87"/>
    <w:rsid w:val="00CD74A3"/>
    <w:rsid w:val="00CE0527"/>
    <w:rsid w:val="00CE20A5"/>
    <w:rsid w:val="00CE5B23"/>
    <w:rsid w:val="00CE5C4B"/>
    <w:rsid w:val="00CE61F0"/>
    <w:rsid w:val="00CE74C2"/>
    <w:rsid w:val="00CF0B03"/>
    <w:rsid w:val="00CF271E"/>
    <w:rsid w:val="00CF41C0"/>
    <w:rsid w:val="00CF6E9C"/>
    <w:rsid w:val="00CF70AD"/>
    <w:rsid w:val="00CF7161"/>
    <w:rsid w:val="00CF7729"/>
    <w:rsid w:val="00D00059"/>
    <w:rsid w:val="00D01A5A"/>
    <w:rsid w:val="00D107FA"/>
    <w:rsid w:val="00D10DFD"/>
    <w:rsid w:val="00D12275"/>
    <w:rsid w:val="00D12766"/>
    <w:rsid w:val="00D17B5E"/>
    <w:rsid w:val="00D20FF4"/>
    <w:rsid w:val="00D22BCC"/>
    <w:rsid w:val="00D2398C"/>
    <w:rsid w:val="00D24D2C"/>
    <w:rsid w:val="00D3154F"/>
    <w:rsid w:val="00D31FBE"/>
    <w:rsid w:val="00D35881"/>
    <w:rsid w:val="00D37588"/>
    <w:rsid w:val="00D40C5B"/>
    <w:rsid w:val="00D45701"/>
    <w:rsid w:val="00D477C6"/>
    <w:rsid w:val="00D5221A"/>
    <w:rsid w:val="00D60240"/>
    <w:rsid w:val="00D60566"/>
    <w:rsid w:val="00D60A54"/>
    <w:rsid w:val="00D63F6C"/>
    <w:rsid w:val="00D6401C"/>
    <w:rsid w:val="00D73277"/>
    <w:rsid w:val="00D74FEA"/>
    <w:rsid w:val="00D75B22"/>
    <w:rsid w:val="00D75B61"/>
    <w:rsid w:val="00D83613"/>
    <w:rsid w:val="00D8441F"/>
    <w:rsid w:val="00D9287A"/>
    <w:rsid w:val="00DA533A"/>
    <w:rsid w:val="00DA7930"/>
    <w:rsid w:val="00DA7DA5"/>
    <w:rsid w:val="00DB073B"/>
    <w:rsid w:val="00DB12E2"/>
    <w:rsid w:val="00DB78F0"/>
    <w:rsid w:val="00DC21EA"/>
    <w:rsid w:val="00DC2E43"/>
    <w:rsid w:val="00DC4E65"/>
    <w:rsid w:val="00DC5A14"/>
    <w:rsid w:val="00DD0896"/>
    <w:rsid w:val="00DD095C"/>
    <w:rsid w:val="00DD1020"/>
    <w:rsid w:val="00DD1330"/>
    <w:rsid w:val="00DD2E42"/>
    <w:rsid w:val="00DE0B83"/>
    <w:rsid w:val="00DE1A81"/>
    <w:rsid w:val="00DE1C13"/>
    <w:rsid w:val="00DE271D"/>
    <w:rsid w:val="00DE4E10"/>
    <w:rsid w:val="00DF0563"/>
    <w:rsid w:val="00DF09E4"/>
    <w:rsid w:val="00DF2568"/>
    <w:rsid w:val="00DF3222"/>
    <w:rsid w:val="00DF341D"/>
    <w:rsid w:val="00DF5936"/>
    <w:rsid w:val="00E017A9"/>
    <w:rsid w:val="00E02ABF"/>
    <w:rsid w:val="00E03EB3"/>
    <w:rsid w:val="00E051F0"/>
    <w:rsid w:val="00E06C24"/>
    <w:rsid w:val="00E10844"/>
    <w:rsid w:val="00E13BE0"/>
    <w:rsid w:val="00E14995"/>
    <w:rsid w:val="00E168F0"/>
    <w:rsid w:val="00E174EA"/>
    <w:rsid w:val="00E179CD"/>
    <w:rsid w:val="00E208DC"/>
    <w:rsid w:val="00E20AE9"/>
    <w:rsid w:val="00E23E8D"/>
    <w:rsid w:val="00E27C93"/>
    <w:rsid w:val="00E30F5F"/>
    <w:rsid w:val="00E31652"/>
    <w:rsid w:val="00E33EE9"/>
    <w:rsid w:val="00E34D58"/>
    <w:rsid w:val="00E3549C"/>
    <w:rsid w:val="00E3639F"/>
    <w:rsid w:val="00E37F98"/>
    <w:rsid w:val="00E40D22"/>
    <w:rsid w:val="00E41BD8"/>
    <w:rsid w:val="00E4210C"/>
    <w:rsid w:val="00E439F1"/>
    <w:rsid w:val="00E446DF"/>
    <w:rsid w:val="00E45C64"/>
    <w:rsid w:val="00E46559"/>
    <w:rsid w:val="00E469BC"/>
    <w:rsid w:val="00E545A3"/>
    <w:rsid w:val="00E60B09"/>
    <w:rsid w:val="00E62EBA"/>
    <w:rsid w:val="00E64A21"/>
    <w:rsid w:val="00E6670C"/>
    <w:rsid w:val="00E670DE"/>
    <w:rsid w:val="00E715E0"/>
    <w:rsid w:val="00E71CFE"/>
    <w:rsid w:val="00E74CB1"/>
    <w:rsid w:val="00E776E8"/>
    <w:rsid w:val="00E80DD1"/>
    <w:rsid w:val="00E81075"/>
    <w:rsid w:val="00E81BD2"/>
    <w:rsid w:val="00E82314"/>
    <w:rsid w:val="00E83677"/>
    <w:rsid w:val="00E8704F"/>
    <w:rsid w:val="00E87221"/>
    <w:rsid w:val="00E87F08"/>
    <w:rsid w:val="00E92C1F"/>
    <w:rsid w:val="00E9351C"/>
    <w:rsid w:val="00E95B03"/>
    <w:rsid w:val="00E95D4B"/>
    <w:rsid w:val="00EA07CD"/>
    <w:rsid w:val="00EA0ED9"/>
    <w:rsid w:val="00EA1292"/>
    <w:rsid w:val="00EA2F33"/>
    <w:rsid w:val="00EA5386"/>
    <w:rsid w:val="00EA5F15"/>
    <w:rsid w:val="00EA61A1"/>
    <w:rsid w:val="00EA6821"/>
    <w:rsid w:val="00EA7178"/>
    <w:rsid w:val="00EA7C6B"/>
    <w:rsid w:val="00EB199F"/>
    <w:rsid w:val="00EB2C37"/>
    <w:rsid w:val="00EB3A63"/>
    <w:rsid w:val="00EB7442"/>
    <w:rsid w:val="00EC0ED0"/>
    <w:rsid w:val="00EC1E51"/>
    <w:rsid w:val="00EC23F7"/>
    <w:rsid w:val="00EC2F6A"/>
    <w:rsid w:val="00EC3099"/>
    <w:rsid w:val="00EC4BD8"/>
    <w:rsid w:val="00EC51B9"/>
    <w:rsid w:val="00EC63EB"/>
    <w:rsid w:val="00EC64B5"/>
    <w:rsid w:val="00EC7BAA"/>
    <w:rsid w:val="00ED1641"/>
    <w:rsid w:val="00ED17C9"/>
    <w:rsid w:val="00ED1F0F"/>
    <w:rsid w:val="00ED20A6"/>
    <w:rsid w:val="00ED412F"/>
    <w:rsid w:val="00ED630A"/>
    <w:rsid w:val="00ED67A3"/>
    <w:rsid w:val="00ED7E24"/>
    <w:rsid w:val="00EE66D9"/>
    <w:rsid w:val="00EE6F92"/>
    <w:rsid w:val="00EF1484"/>
    <w:rsid w:val="00EF31AD"/>
    <w:rsid w:val="00EF36B2"/>
    <w:rsid w:val="00EF5178"/>
    <w:rsid w:val="00F00C2F"/>
    <w:rsid w:val="00F066CE"/>
    <w:rsid w:val="00F1251B"/>
    <w:rsid w:val="00F13E12"/>
    <w:rsid w:val="00F201EC"/>
    <w:rsid w:val="00F2070D"/>
    <w:rsid w:val="00F208A9"/>
    <w:rsid w:val="00F20F1A"/>
    <w:rsid w:val="00F24F5A"/>
    <w:rsid w:val="00F2643F"/>
    <w:rsid w:val="00F33BC9"/>
    <w:rsid w:val="00F35DD2"/>
    <w:rsid w:val="00F40341"/>
    <w:rsid w:val="00F40DB5"/>
    <w:rsid w:val="00F41D75"/>
    <w:rsid w:val="00F43246"/>
    <w:rsid w:val="00F45B7F"/>
    <w:rsid w:val="00F46820"/>
    <w:rsid w:val="00F47935"/>
    <w:rsid w:val="00F5139D"/>
    <w:rsid w:val="00F51E45"/>
    <w:rsid w:val="00F52FB2"/>
    <w:rsid w:val="00F6152E"/>
    <w:rsid w:val="00F61F9D"/>
    <w:rsid w:val="00F6294E"/>
    <w:rsid w:val="00F62F89"/>
    <w:rsid w:val="00F63DAC"/>
    <w:rsid w:val="00F66985"/>
    <w:rsid w:val="00F70716"/>
    <w:rsid w:val="00F7454F"/>
    <w:rsid w:val="00F77988"/>
    <w:rsid w:val="00F77F48"/>
    <w:rsid w:val="00F809F0"/>
    <w:rsid w:val="00F81AF4"/>
    <w:rsid w:val="00F830D8"/>
    <w:rsid w:val="00F86C7C"/>
    <w:rsid w:val="00F94101"/>
    <w:rsid w:val="00F957D9"/>
    <w:rsid w:val="00F965BD"/>
    <w:rsid w:val="00FA1536"/>
    <w:rsid w:val="00FB0F3B"/>
    <w:rsid w:val="00FB30F1"/>
    <w:rsid w:val="00FB3876"/>
    <w:rsid w:val="00FB53E7"/>
    <w:rsid w:val="00FC0FA1"/>
    <w:rsid w:val="00FC5A63"/>
    <w:rsid w:val="00FD00BA"/>
    <w:rsid w:val="00FD655C"/>
    <w:rsid w:val="00FE24C1"/>
    <w:rsid w:val="00FE2B9C"/>
    <w:rsid w:val="00FE747A"/>
    <w:rsid w:val="00FF19CC"/>
    <w:rsid w:val="00FF52B2"/>
    <w:rsid w:val="00FF5DB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uiPriority w:val="99"/>
    <w:rsid w:val="008C5649"/>
    <w:rPr>
      <w:szCs w:val="24"/>
    </w:rPr>
  </w:style>
  <w:style w:type="paragraph" w:styleId="Header">
    <w:name w:val="header"/>
    <w:basedOn w:val="Parasts1"/>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locked/>
    <w:rsid w:val="00B7568C"/>
    <w:rPr>
      <w:sz w:val="24"/>
    </w:rPr>
  </w:style>
  <w:style w:type="character" w:styleId="PageNumber">
    <w:name w:val="page number"/>
    <w:basedOn w:val="DefaultParagraphFont"/>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Parasts1"/>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lang w:val="lv-LV" w:eastAsia="lv-LV"/>
    </w:rPr>
  </w:style>
  <w:style w:type="paragraph" w:styleId="BalloonText">
    <w:name w:val="Balloon Text"/>
    <w:basedOn w:val="Parasts1"/>
    <w:link w:val="BalloonTextChar"/>
    <w:uiPriority w:val="99"/>
    <w:semiHidden/>
    <w:rsid w:val="008C5649"/>
    <w:rPr>
      <w:sz w:val="2"/>
      <w:szCs w:val="20"/>
    </w:rPr>
  </w:style>
  <w:style w:type="character" w:customStyle="1" w:styleId="BalloonTextChar">
    <w:name w:val="Balloon Text Char"/>
    <w:basedOn w:val="DefaultParagraphFont"/>
    <w:link w:val="BalloonText"/>
    <w:uiPriority w:val="99"/>
    <w:semiHidden/>
    <w:locked/>
    <w:rsid w:val="00B7568C"/>
    <w:rPr>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Parasts1"/>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7568C"/>
    <w:rPr>
      <w:sz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7568C"/>
    <w:rPr>
      <w:b/>
      <w:sz w:val="20"/>
      <w:lang w:val="lv-LV" w:eastAsia="lv-LV"/>
    </w:rPr>
  </w:style>
  <w:style w:type="paragraph" w:styleId="Footer">
    <w:name w:val="footer"/>
    <w:basedOn w:val="Parasts1"/>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Parasts1"/>
    <w:link w:val="DocumentMapChar"/>
    <w:uiPriority w:val="99"/>
    <w:semiHidden/>
    <w:rsid w:val="00846994"/>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B7568C"/>
    <w:rPr>
      <w:sz w:val="2"/>
    </w:rPr>
  </w:style>
  <w:style w:type="paragraph" w:styleId="BodyText">
    <w:name w:val="Body Text"/>
    <w:basedOn w:val="Parasts1"/>
    <w:link w:val="BodyTextChar"/>
    <w:rsid w:val="0088104A"/>
    <w:pPr>
      <w:widowControl w:val="0"/>
      <w:overflowPunct w:val="0"/>
      <w:autoSpaceDE w:val="0"/>
      <w:autoSpaceDN w:val="0"/>
      <w:adjustRightInd w:val="0"/>
      <w:textAlignment w:val="baseline"/>
    </w:pPr>
  </w:style>
  <w:style w:type="character" w:customStyle="1" w:styleId="BodyTextChar">
    <w:name w:val="Body Text Char"/>
    <w:basedOn w:val="DefaultParagraphFont"/>
    <w:link w:val="BodyText"/>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Strong">
    <w:name w:val="Strong"/>
    <w:basedOn w:val="DefaultParagraphFont"/>
    <w:uiPriority w:val="99"/>
    <w:qFormat/>
    <w:rsid w:val="0024755C"/>
    <w:rPr>
      <w:rFonts w:cs="Times New Roman"/>
      <w:b/>
    </w:rPr>
  </w:style>
  <w:style w:type="paragraph" w:styleId="PlainText">
    <w:name w:val="Plain Text"/>
    <w:basedOn w:val="Parasts1"/>
    <w:link w:val="PlainTextChar"/>
    <w:uiPriority w:val="99"/>
    <w:rsid w:val="00715516"/>
    <w:rPr>
      <w:rFonts w:ascii="Courier New" w:hAnsi="Courier New"/>
      <w:sz w:val="20"/>
      <w:szCs w:val="20"/>
    </w:rPr>
  </w:style>
  <w:style w:type="character" w:customStyle="1" w:styleId="PlainTextChar">
    <w:name w:val="Plain Text Char"/>
    <w:basedOn w:val="DefaultParagraphFont"/>
    <w:link w:val="PlainText"/>
    <w:uiPriority w:val="99"/>
    <w:semiHidden/>
    <w:locked/>
    <w:rsid w:val="00B7568C"/>
    <w:rPr>
      <w:rFonts w:ascii="Courier New" w:hAnsi="Courier New"/>
      <w:sz w:val="20"/>
    </w:rPr>
  </w:style>
  <w:style w:type="paragraph" w:styleId="BodyTextIndent2">
    <w:name w:val="Body Text Indent 2"/>
    <w:basedOn w:val="Parasts1"/>
    <w:link w:val="BodyTextIndent2Char"/>
    <w:uiPriority w:val="99"/>
    <w:rsid w:val="00191370"/>
    <w:pPr>
      <w:ind w:firstLine="435"/>
      <w:jc w:val="both"/>
    </w:pPr>
    <w:rPr>
      <w:szCs w:val="20"/>
      <w:lang w:eastAsia="en-US"/>
    </w:rPr>
  </w:style>
  <w:style w:type="character" w:customStyle="1" w:styleId="BodyTextIndent2Char">
    <w:name w:val="Body Text Indent 2 Char"/>
    <w:basedOn w:val="DefaultParagraphFont"/>
    <w:link w:val="BodyTextIndent2"/>
    <w:uiPriority w:val="99"/>
    <w:locked/>
    <w:rsid w:val="00191370"/>
    <w:rPr>
      <w:sz w:val="24"/>
      <w:lang w:eastAsia="en-US"/>
    </w:rPr>
  </w:style>
  <w:style w:type="paragraph" w:styleId="NoSpacing">
    <w:name w:val="No Spacing"/>
    <w:uiPriority w:val="99"/>
    <w:qFormat/>
    <w:rsid w:val="000A7D33"/>
    <w:rPr>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uiPriority w:val="99"/>
    <w:rsid w:val="008C5649"/>
    <w:rPr>
      <w:szCs w:val="24"/>
    </w:rPr>
  </w:style>
  <w:style w:type="paragraph" w:styleId="Header">
    <w:name w:val="header"/>
    <w:basedOn w:val="Parasts1"/>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locked/>
    <w:rsid w:val="00B7568C"/>
    <w:rPr>
      <w:sz w:val="24"/>
    </w:rPr>
  </w:style>
  <w:style w:type="character" w:styleId="PageNumber">
    <w:name w:val="page number"/>
    <w:basedOn w:val="DefaultParagraphFont"/>
    <w:uiPriority w:val="99"/>
    <w:rsid w:val="008C5649"/>
    <w:rPr>
      <w:rFonts w:cs="Times New Roman"/>
    </w:rPr>
  </w:style>
  <w:style w:type="paragraph" w:customStyle="1" w:styleId="naisf">
    <w:name w:val="naisf"/>
    <w:basedOn w:val="Parasts1"/>
    <w:uiPriority w:val="99"/>
    <w:rsid w:val="008C5649"/>
    <w:pPr>
      <w:spacing w:before="75" w:after="75"/>
      <w:ind w:firstLine="375"/>
      <w:jc w:val="both"/>
    </w:pPr>
  </w:style>
  <w:style w:type="paragraph" w:customStyle="1" w:styleId="naisnod">
    <w:name w:val="naisnod"/>
    <w:basedOn w:val="Parasts1"/>
    <w:uiPriority w:val="99"/>
    <w:rsid w:val="008C5649"/>
    <w:pPr>
      <w:spacing w:before="150" w:after="150"/>
      <w:jc w:val="center"/>
    </w:pPr>
    <w:rPr>
      <w:b/>
      <w:bCs/>
    </w:rPr>
  </w:style>
  <w:style w:type="paragraph" w:customStyle="1" w:styleId="naislab">
    <w:name w:val="naislab"/>
    <w:basedOn w:val="Parasts1"/>
    <w:uiPriority w:val="99"/>
    <w:rsid w:val="008C5649"/>
    <w:pPr>
      <w:spacing w:before="75" w:after="75"/>
      <w:jc w:val="right"/>
    </w:pPr>
  </w:style>
  <w:style w:type="paragraph" w:customStyle="1" w:styleId="naiskr">
    <w:name w:val="naiskr"/>
    <w:basedOn w:val="Parasts1"/>
    <w:uiPriority w:val="99"/>
    <w:rsid w:val="008C5649"/>
    <w:pPr>
      <w:spacing w:before="75" w:after="75"/>
    </w:pPr>
  </w:style>
  <w:style w:type="paragraph" w:customStyle="1" w:styleId="naisc">
    <w:name w:val="naisc"/>
    <w:basedOn w:val="Parasts1"/>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Parasts1"/>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lang w:val="lv-LV" w:eastAsia="lv-LV"/>
    </w:rPr>
  </w:style>
  <w:style w:type="paragraph" w:styleId="BalloonText">
    <w:name w:val="Balloon Text"/>
    <w:basedOn w:val="Parasts1"/>
    <w:link w:val="BalloonTextChar"/>
    <w:uiPriority w:val="99"/>
    <w:semiHidden/>
    <w:rsid w:val="008C5649"/>
    <w:rPr>
      <w:sz w:val="2"/>
      <w:szCs w:val="20"/>
    </w:rPr>
  </w:style>
  <w:style w:type="character" w:customStyle="1" w:styleId="BalloonTextChar">
    <w:name w:val="Balloon Text Char"/>
    <w:basedOn w:val="DefaultParagraphFont"/>
    <w:link w:val="BalloonText"/>
    <w:uiPriority w:val="99"/>
    <w:semiHidden/>
    <w:locked/>
    <w:rsid w:val="00B7568C"/>
    <w:rPr>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Parasts1"/>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7568C"/>
    <w:rPr>
      <w:sz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7568C"/>
    <w:rPr>
      <w:b/>
      <w:sz w:val="20"/>
      <w:lang w:val="lv-LV" w:eastAsia="lv-LV"/>
    </w:rPr>
  </w:style>
  <w:style w:type="paragraph" w:styleId="Footer">
    <w:name w:val="footer"/>
    <w:basedOn w:val="Parasts1"/>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Parasts1"/>
    <w:link w:val="DocumentMapChar"/>
    <w:uiPriority w:val="99"/>
    <w:semiHidden/>
    <w:rsid w:val="00846994"/>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B7568C"/>
    <w:rPr>
      <w:sz w:val="2"/>
    </w:rPr>
  </w:style>
  <w:style w:type="paragraph" w:styleId="BodyText">
    <w:name w:val="Body Text"/>
    <w:basedOn w:val="Parasts1"/>
    <w:link w:val="BodyTextChar"/>
    <w:rsid w:val="0088104A"/>
    <w:pPr>
      <w:widowControl w:val="0"/>
      <w:overflowPunct w:val="0"/>
      <w:autoSpaceDE w:val="0"/>
      <w:autoSpaceDN w:val="0"/>
      <w:adjustRightInd w:val="0"/>
      <w:textAlignment w:val="baseline"/>
    </w:pPr>
  </w:style>
  <w:style w:type="character" w:customStyle="1" w:styleId="BodyTextChar">
    <w:name w:val="Body Text Char"/>
    <w:basedOn w:val="DefaultParagraphFont"/>
    <w:link w:val="BodyText"/>
    <w:locked/>
    <w:rsid w:val="00B7568C"/>
    <w:rPr>
      <w:sz w:val="24"/>
    </w:rPr>
  </w:style>
  <w:style w:type="paragraph" w:customStyle="1" w:styleId="basetext">
    <w:name w:val="base text"/>
    <w:uiPriority w:val="99"/>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Cs w:val="20"/>
      <w:lang w:val="en-US" w:eastAsia="en-US"/>
    </w:rPr>
  </w:style>
  <w:style w:type="character" w:customStyle="1" w:styleId="apple-style-span">
    <w:name w:val="apple-style-span"/>
    <w:uiPriority w:val="99"/>
    <w:rsid w:val="000E348C"/>
  </w:style>
  <w:style w:type="character" w:customStyle="1" w:styleId="apple-converted-space">
    <w:name w:val="apple-converted-space"/>
    <w:uiPriority w:val="99"/>
    <w:rsid w:val="000E348C"/>
  </w:style>
  <w:style w:type="paragraph" w:customStyle="1" w:styleId="Paraststmeklis1">
    <w:name w:val="Parasts (tīmeklis)1"/>
    <w:basedOn w:val="Parasts1"/>
    <w:uiPriority w:val="99"/>
    <w:rsid w:val="00C97A84"/>
    <w:pPr>
      <w:spacing w:before="100" w:beforeAutospacing="1" w:after="100" w:afterAutospacing="1"/>
    </w:pPr>
  </w:style>
  <w:style w:type="paragraph" w:customStyle="1" w:styleId="ListParagraph1">
    <w:name w:val="List Paragraph1"/>
    <w:basedOn w:val="Parasts1"/>
    <w:uiPriority w:val="99"/>
    <w:rsid w:val="00BB573A"/>
    <w:pPr>
      <w:ind w:left="720"/>
    </w:pPr>
    <w:rPr>
      <w:rFonts w:ascii="Calibri" w:hAnsi="Calibri"/>
      <w:sz w:val="22"/>
      <w:szCs w:val="22"/>
    </w:rPr>
  </w:style>
  <w:style w:type="character" w:styleId="Strong">
    <w:name w:val="Strong"/>
    <w:basedOn w:val="DefaultParagraphFont"/>
    <w:uiPriority w:val="99"/>
    <w:qFormat/>
    <w:rsid w:val="0024755C"/>
    <w:rPr>
      <w:rFonts w:cs="Times New Roman"/>
      <w:b/>
    </w:rPr>
  </w:style>
  <w:style w:type="paragraph" w:styleId="PlainText">
    <w:name w:val="Plain Text"/>
    <w:basedOn w:val="Parasts1"/>
    <w:link w:val="PlainTextChar"/>
    <w:uiPriority w:val="99"/>
    <w:rsid w:val="00715516"/>
    <w:rPr>
      <w:rFonts w:ascii="Courier New" w:hAnsi="Courier New"/>
      <w:sz w:val="20"/>
      <w:szCs w:val="20"/>
    </w:rPr>
  </w:style>
  <w:style w:type="character" w:customStyle="1" w:styleId="PlainTextChar">
    <w:name w:val="Plain Text Char"/>
    <w:basedOn w:val="DefaultParagraphFont"/>
    <w:link w:val="PlainText"/>
    <w:uiPriority w:val="99"/>
    <w:semiHidden/>
    <w:locked/>
    <w:rsid w:val="00B7568C"/>
    <w:rPr>
      <w:rFonts w:ascii="Courier New" w:hAnsi="Courier New"/>
      <w:sz w:val="20"/>
    </w:rPr>
  </w:style>
  <w:style w:type="paragraph" w:styleId="BodyTextIndent2">
    <w:name w:val="Body Text Indent 2"/>
    <w:basedOn w:val="Parasts1"/>
    <w:link w:val="BodyTextIndent2Char"/>
    <w:uiPriority w:val="99"/>
    <w:rsid w:val="00191370"/>
    <w:pPr>
      <w:ind w:firstLine="435"/>
      <w:jc w:val="both"/>
    </w:pPr>
    <w:rPr>
      <w:szCs w:val="20"/>
      <w:lang w:eastAsia="en-US"/>
    </w:rPr>
  </w:style>
  <w:style w:type="character" w:customStyle="1" w:styleId="BodyTextIndent2Char">
    <w:name w:val="Body Text Indent 2 Char"/>
    <w:basedOn w:val="DefaultParagraphFont"/>
    <w:link w:val="BodyTextIndent2"/>
    <w:uiPriority w:val="99"/>
    <w:locked/>
    <w:rsid w:val="00191370"/>
    <w:rPr>
      <w:sz w:val="24"/>
      <w:lang w:eastAsia="en-US"/>
    </w:rPr>
  </w:style>
  <w:style w:type="paragraph" w:styleId="NoSpacing">
    <w:name w:val="No Spacing"/>
    <w:uiPriority w:val="99"/>
    <w:qFormat/>
    <w:rsid w:val="000A7D33"/>
    <w:rPr>
      <w:szCs w:val="24"/>
    </w:rPr>
  </w:style>
  <w:style w:type="paragraph" w:customStyle="1" w:styleId="Default">
    <w:name w:val="Default"/>
    <w:uiPriority w:val="99"/>
    <w:rsid w:val="00601DD8"/>
    <w:pPr>
      <w:autoSpaceDE w:val="0"/>
      <w:autoSpaceDN w:val="0"/>
      <w:adjustRightInd w:val="0"/>
    </w:pPr>
    <w:rPr>
      <w:rFonts w:ascii="EUAlbertina" w:hAnsi="EUAlbertina" w:cs="EUAlbertina"/>
      <w:color w:val="000000"/>
      <w:szCs w:val="24"/>
    </w:rPr>
  </w:style>
  <w:style w:type="paragraph" w:customStyle="1" w:styleId="CM4">
    <w:name w:val="CM4"/>
    <w:basedOn w:val="Default"/>
    <w:next w:val="Default"/>
    <w:uiPriority w:val="99"/>
    <w:rsid w:val="00601DD8"/>
    <w:rPr>
      <w:rFonts w:cs="Times New Roman"/>
      <w:color w:val="auto"/>
    </w:rPr>
  </w:style>
  <w:style w:type="paragraph" w:customStyle="1" w:styleId="naispant">
    <w:name w:val="naispant"/>
    <w:basedOn w:val="Parasts1"/>
    <w:uiPriority w:val="99"/>
    <w:rsid w:val="008421B8"/>
    <w:pPr>
      <w:spacing w:before="75" w:after="75"/>
      <w:ind w:left="375" w:firstLine="375"/>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536">
      <w:bodyDiv w:val="1"/>
      <w:marLeft w:val="0"/>
      <w:marRight w:val="0"/>
      <w:marTop w:val="0"/>
      <w:marBottom w:val="0"/>
      <w:divBdr>
        <w:top w:val="none" w:sz="0" w:space="0" w:color="auto"/>
        <w:left w:val="none" w:sz="0" w:space="0" w:color="auto"/>
        <w:bottom w:val="none" w:sz="0" w:space="0" w:color="auto"/>
        <w:right w:val="none" w:sz="0" w:space="0" w:color="auto"/>
      </w:divBdr>
    </w:div>
    <w:div w:id="1747461536">
      <w:marLeft w:val="0"/>
      <w:marRight w:val="0"/>
      <w:marTop w:val="0"/>
      <w:marBottom w:val="0"/>
      <w:divBdr>
        <w:top w:val="none" w:sz="0" w:space="0" w:color="auto"/>
        <w:left w:val="none" w:sz="0" w:space="0" w:color="auto"/>
        <w:bottom w:val="none" w:sz="0" w:space="0" w:color="auto"/>
        <w:right w:val="none" w:sz="0" w:space="0" w:color="auto"/>
      </w:divBdr>
      <w:divsChild>
        <w:div w:id="1747461535">
          <w:marLeft w:val="161"/>
          <w:marRight w:val="161"/>
          <w:marTop w:val="0"/>
          <w:marBottom w:val="54"/>
          <w:divBdr>
            <w:top w:val="single" w:sz="2" w:space="3" w:color="112449"/>
            <w:left w:val="single" w:sz="2" w:space="3" w:color="112449"/>
            <w:bottom w:val="single" w:sz="2" w:space="3" w:color="112449"/>
            <w:right w:val="single" w:sz="2" w:space="3" w:color="112449"/>
          </w:divBdr>
        </w:div>
      </w:divsChild>
    </w:div>
    <w:div w:id="1747461538">
      <w:marLeft w:val="0"/>
      <w:marRight w:val="0"/>
      <w:marTop w:val="0"/>
      <w:marBottom w:val="0"/>
      <w:divBdr>
        <w:top w:val="none" w:sz="0" w:space="0" w:color="auto"/>
        <w:left w:val="none" w:sz="0" w:space="0" w:color="auto"/>
        <w:bottom w:val="none" w:sz="0" w:space="0" w:color="auto"/>
        <w:right w:val="none" w:sz="0" w:space="0" w:color="auto"/>
      </w:divBdr>
    </w:div>
    <w:div w:id="1747461539">
      <w:marLeft w:val="45"/>
      <w:marRight w:val="45"/>
      <w:marTop w:val="90"/>
      <w:marBottom w:val="90"/>
      <w:divBdr>
        <w:top w:val="none" w:sz="0" w:space="0" w:color="auto"/>
        <w:left w:val="none" w:sz="0" w:space="0" w:color="auto"/>
        <w:bottom w:val="none" w:sz="0" w:space="0" w:color="auto"/>
        <w:right w:val="none" w:sz="0" w:space="0" w:color="auto"/>
      </w:divBdr>
      <w:divsChild>
        <w:div w:id="1747461537">
          <w:marLeft w:val="0"/>
          <w:marRight w:val="0"/>
          <w:marTop w:val="0"/>
          <w:marBottom w:val="567"/>
          <w:divBdr>
            <w:top w:val="none" w:sz="0" w:space="0" w:color="auto"/>
            <w:left w:val="none" w:sz="0" w:space="0" w:color="auto"/>
            <w:bottom w:val="none" w:sz="0" w:space="0" w:color="auto"/>
            <w:right w:val="none" w:sz="0" w:space="0" w:color="auto"/>
          </w:divBdr>
        </w:div>
      </w:divsChild>
    </w:div>
    <w:div w:id="1747461540">
      <w:marLeft w:val="0"/>
      <w:marRight w:val="0"/>
      <w:marTop w:val="0"/>
      <w:marBottom w:val="0"/>
      <w:divBdr>
        <w:top w:val="none" w:sz="0" w:space="0" w:color="auto"/>
        <w:left w:val="none" w:sz="0" w:space="0" w:color="auto"/>
        <w:bottom w:val="none" w:sz="0" w:space="0" w:color="auto"/>
        <w:right w:val="none" w:sz="0" w:space="0" w:color="auto"/>
      </w:divBdr>
    </w:div>
    <w:div w:id="17834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rita.Ozolina@fm.go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EF1B-89FB-4B11-BD91-7719389B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1944</Words>
  <Characters>13495</Characters>
  <Application>Microsoft Office Word</Application>
  <DocSecurity>0</DocSecurity>
  <Lines>519</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21.septembra noteikumos Nr.899 "Likuma "par iedzīvotāju ienākuma nodokli" normu piemērošanas kārtība""sākotnējās ietekmes novērtējuma ziņojums (anotācija)</vt:lpstr>
      <vt:lpstr>Ministru kabineta noteikumu projekts "Grozījumi Ministru kabineta 2008.gada 22.septembra noteikumos Nr.784 "Ģenētiski modificēto organismus ierobežotās izmantošanas un atļaujas izsniegšanas kārtība"</vt:lpstr>
    </vt:vector>
  </TitlesOfParts>
  <Company>FM</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Nr.899 "Likuma "par iedzīvotāju ienākuma nodokli" normu piemērošanas kārtība""sākotnējās ietekmes novērtējuma ziņojums (anotācija)</dc:title>
  <dc:subject>Anotācija</dc:subject>
  <dc:creator>Agrita Ozoliņa</dc:creator>
  <dc:description>Agrita.Ozolina@fm.gov.lv_x000d_
67095493</dc:description>
  <cp:lastModifiedBy>Finanšu Ministrija</cp:lastModifiedBy>
  <cp:revision>29</cp:revision>
  <cp:lastPrinted>2012-12-13T09:04:00Z</cp:lastPrinted>
  <dcterms:created xsi:type="dcterms:W3CDTF">2012-12-12T14:06:00Z</dcterms:created>
  <dcterms:modified xsi:type="dcterms:W3CDTF">2012-12-13T12:48:00Z</dcterms:modified>
</cp:coreProperties>
</file>