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05" w:rsidRPr="008757BF" w:rsidRDefault="0081419B" w:rsidP="00E17A22">
      <w:pPr>
        <w:tabs>
          <w:tab w:val="left" w:pos="709"/>
        </w:tabs>
        <w:jc w:val="center"/>
        <w:rPr>
          <w:b/>
          <w:sz w:val="28"/>
          <w:szCs w:val="28"/>
        </w:rPr>
      </w:pPr>
      <w:bookmarkStart w:id="0" w:name="OLE_LINK1"/>
      <w:bookmarkStart w:id="1" w:name="OLE_LINK2"/>
      <w:bookmarkStart w:id="2" w:name="OLE_LINK3"/>
      <w:bookmarkStart w:id="3" w:name="OLE_LINK4"/>
      <w:bookmarkStart w:id="4" w:name="_GoBack"/>
      <w:bookmarkEnd w:id="4"/>
      <w:r w:rsidRPr="008757BF">
        <w:rPr>
          <w:b/>
          <w:sz w:val="28"/>
          <w:szCs w:val="28"/>
        </w:rPr>
        <w:t>Likumprojekta</w:t>
      </w:r>
      <w:r w:rsidR="00402105" w:rsidRPr="008757BF">
        <w:rPr>
          <w:b/>
          <w:sz w:val="28"/>
          <w:szCs w:val="28"/>
        </w:rPr>
        <w:t xml:space="preserve"> </w:t>
      </w:r>
      <w:r w:rsidR="00E17A22" w:rsidRPr="008757BF">
        <w:rPr>
          <w:b/>
          <w:sz w:val="28"/>
          <w:szCs w:val="28"/>
        </w:rPr>
        <w:t>„</w:t>
      </w:r>
      <w:r w:rsidR="00E17A22" w:rsidRPr="008757BF">
        <w:rPr>
          <w:b/>
          <w:bCs/>
          <w:sz w:val="28"/>
          <w:szCs w:val="28"/>
          <w:lang w:val="pt-BR"/>
        </w:rPr>
        <w:t xml:space="preserve">Grozījumi </w:t>
      </w:r>
      <w:r w:rsidRPr="008757BF">
        <w:rPr>
          <w:b/>
          <w:bCs/>
          <w:sz w:val="28"/>
          <w:szCs w:val="28"/>
        </w:rPr>
        <w:t>likumā</w:t>
      </w:r>
      <w:r w:rsidR="00E17A22" w:rsidRPr="008757BF">
        <w:rPr>
          <w:b/>
          <w:bCs/>
          <w:sz w:val="28"/>
          <w:szCs w:val="28"/>
        </w:rPr>
        <w:t xml:space="preserve"> </w:t>
      </w:r>
      <w:r w:rsidR="00E17A22" w:rsidRPr="008757BF">
        <w:rPr>
          <w:b/>
          <w:bCs/>
          <w:sz w:val="28"/>
          <w:szCs w:val="28"/>
          <w:lang w:val="pt-BR"/>
        </w:rPr>
        <w:t>“</w:t>
      </w:r>
      <w:r w:rsidRPr="008757BF">
        <w:rPr>
          <w:b/>
          <w:bCs/>
          <w:sz w:val="28"/>
          <w:szCs w:val="28"/>
        </w:rPr>
        <w:t>Par iedzīvotāju ienākuma nodokli</w:t>
      </w:r>
      <w:r w:rsidR="00E17A22" w:rsidRPr="008757BF">
        <w:rPr>
          <w:b/>
          <w:bCs/>
          <w:sz w:val="28"/>
          <w:szCs w:val="28"/>
          <w:lang w:val="pt-BR"/>
        </w:rPr>
        <w:t>””</w:t>
      </w:r>
      <w:bookmarkEnd w:id="0"/>
      <w:bookmarkEnd w:id="1"/>
      <w:r w:rsidR="00E17A22" w:rsidRPr="008757BF">
        <w:rPr>
          <w:b/>
          <w:bCs/>
          <w:sz w:val="28"/>
          <w:szCs w:val="28"/>
          <w:lang w:val="pt-BR"/>
        </w:rPr>
        <w:t xml:space="preserve"> </w:t>
      </w:r>
      <w:r w:rsidR="00402105" w:rsidRPr="008757BF">
        <w:rPr>
          <w:b/>
          <w:bCs/>
          <w:sz w:val="28"/>
          <w:szCs w:val="28"/>
        </w:rPr>
        <w:t>sākotnējās ietekmes novērtējuma ziņojums (anotācija)</w:t>
      </w:r>
      <w:bookmarkEnd w:id="2"/>
      <w:bookmarkEnd w:id="3"/>
    </w:p>
    <w:p w:rsidR="00B35BFB" w:rsidRPr="009E4776" w:rsidRDefault="00B35BFB" w:rsidP="0002441D">
      <w:pPr>
        <w:ind w:left="720"/>
        <w:jc w:val="center"/>
        <w:rPr>
          <w:b/>
          <w:bCs/>
          <w:iCs/>
          <w:sz w:val="18"/>
          <w:szCs w:val="1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
        <w:gridCol w:w="522"/>
        <w:gridCol w:w="301"/>
        <w:gridCol w:w="14"/>
        <w:gridCol w:w="34"/>
        <w:gridCol w:w="2357"/>
        <w:gridCol w:w="1192"/>
        <w:gridCol w:w="76"/>
        <w:gridCol w:w="786"/>
        <w:gridCol w:w="3747"/>
        <w:gridCol w:w="25"/>
      </w:tblGrid>
      <w:tr w:rsidR="00353A9E" w:rsidRPr="00353A9E" w:rsidTr="004551E2">
        <w:trPr>
          <w:tblCellSpacing w:w="0" w:type="dxa"/>
        </w:trPr>
        <w:tc>
          <w:tcPr>
            <w:tcW w:w="9101" w:type="dxa"/>
            <w:gridSpan w:val="11"/>
            <w:tcBorders>
              <w:top w:val="outset" w:sz="6" w:space="0" w:color="auto"/>
              <w:left w:val="outset" w:sz="6" w:space="0" w:color="auto"/>
              <w:bottom w:val="outset" w:sz="6" w:space="0" w:color="auto"/>
              <w:right w:val="outset" w:sz="6" w:space="0" w:color="auto"/>
            </w:tcBorders>
            <w:vAlign w:val="center"/>
            <w:hideMark/>
          </w:tcPr>
          <w:p w:rsidR="00353A9E" w:rsidRPr="008621E2" w:rsidRDefault="00353A9E" w:rsidP="004551E2">
            <w:pPr>
              <w:jc w:val="center"/>
              <w:rPr>
                <w:b/>
              </w:rPr>
            </w:pPr>
            <w:r w:rsidRPr="008621E2">
              <w:rPr>
                <w:b/>
                <w:bCs/>
              </w:rPr>
              <w:t>I. Tiesību akta projekta izstrādes nepieciešamība</w:t>
            </w:r>
          </w:p>
        </w:tc>
      </w:tr>
      <w:tr w:rsidR="00DC36D0" w:rsidRPr="00353A9E" w:rsidTr="00CB6A1F">
        <w:trPr>
          <w:trHeight w:val="615"/>
          <w:tblCellSpacing w:w="0" w:type="dxa"/>
        </w:trPr>
        <w:tc>
          <w:tcPr>
            <w:tcW w:w="821" w:type="dxa"/>
            <w:gridSpan w:val="4"/>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1.</w:t>
            </w:r>
          </w:p>
        </w:tc>
        <w:tc>
          <w:tcPr>
            <w:tcW w:w="3426"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Pamatojums</w:t>
            </w:r>
          </w:p>
        </w:tc>
        <w:tc>
          <w:tcPr>
            <w:tcW w:w="4854" w:type="dxa"/>
            <w:gridSpan w:val="4"/>
            <w:tcBorders>
              <w:top w:val="outset" w:sz="6" w:space="0" w:color="auto"/>
              <w:left w:val="outset" w:sz="6" w:space="0" w:color="auto"/>
              <w:bottom w:val="outset" w:sz="6" w:space="0" w:color="auto"/>
              <w:right w:val="outset" w:sz="6" w:space="0" w:color="auto"/>
            </w:tcBorders>
          </w:tcPr>
          <w:p w:rsidR="00BC367B" w:rsidRDefault="006563AC" w:rsidP="006563AC">
            <w:pPr>
              <w:pStyle w:val="ListParagraph"/>
              <w:numPr>
                <w:ilvl w:val="0"/>
                <w:numId w:val="17"/>
              </w:numPr>
              <w:ind w:left="0" w:firstLine="411"/>
              <w:jc w:val="both"/>
            </w:pPr>
            <w:r>
              <w:t>Ministru prezidenta 2012.gada 2.janvāra rezolūcija Nr.12/2011-JUR-342</w:t>
            </w:r>
            <w:r w:rsidR="00096F73">
              <w:t>;</w:t>
            </w:r>
          </w:p>
          <w:p w:rsidR="00096F73" w:rsidRPr="00622713" w:rsidRDefault="00096F73" w:rsidP="00C843FF">
            <w:pPr>
              <w:pStyle w:val="ListParagraph"/>
              <w:numPr>
                <w:ilvl w:val="0"/>
                <w:numId w:val="17"/>
              </w:numPr>
              <w:ind w:left="0" w:firstLine="411"/>
              <w:jc w:val="both"/>
            </w:pPr>
            <w:r>
              <w:t xml:space="preserve">Ministru kabineta 2011.gada 7.jūnija sēdes </w:t>
            </w:r>
            <w:proofErr w:type="spellStart"/>
            <w:r>
              <w:t>protokollēmuma</w:t>
            </w:r>
            <w:proofErr w:type="spellEnd"/>
            <w:r>
              <w:t xml:space="preserve"> Nr.35 30.§ 2.punkts</w:t>
            </w:r>
            <w:r w:rsidR="00C843FF">
              <w:t>.</w:t>
            </w:r>
          </w:p>
        </w:tc>
      </w:tr>
      <w:tr w:rsidR="00DC36D0" w:rsidRPr="00353A9E" w:rsidTr="00CB6A1F">
        <w:trPr>
          <w:trHeight w:val="472"/>
          <w:tblCellSpacing w:w="0" w:type="dxa"/>
        </w:trPr>
        <w:tc>
          <w:tcPr>
            <w:tcW w:w="821" w:type="dxa"/>
            <w:gridSpan w:val="4"/>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2.</w:t>
            </w:r>
          </w:p>
        </w:tc>
        <w:tc>
          <w:tcPr>
            <w:tcW w:w="3426"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Pašreizējā situācija un problēmas</w:t>
            </w:r>
          </w:p>
        </w:tc>
        <w:tc>
          <w:tcPr>
            <w:tcW w:w="4854" w:type="dxa"/>
            <w:gridSpan w:val="4"/>
            <w:tcBorders>
              <w:top w:val="outset" w:sz="6" w:space="0" w:color="auto"/>
              <w:left w:val="outset" w:sz="6" w:space="0" w:color="auto"/>
              <w:bottom w:val="outset" w:sz="6" w:space="0" w:color="auto"/>
              <w:right w:val="outset" w:sz="6" w:space="0" w:color="auto"/>
            </w:tcBorders>
          </w:tcPr>
          <w:p w:rsidR="0091167E" w:rsidRPr="00E01E92" w:rsidRDefault="0091167E" w:rsidP="0091167E">
            <w:pPr>
              <w:jc w:val="both"/>
              <w:rPr>
                <w:i/>
                <w:sz w:val="22"/>
                <w:szCs w:val="22"/>
                <w:u w:val="single"/>
              </w:rPr>
            </w:pPr>
            <w:r w:rsidRPr="00E01E92">
              <w:rPr>
                <w:i/>
                <w:sz w:val="22"/>
                <w:szCs w:val="22"/>
                <w:u w:val="single"/>
              </w:rPr>
              <w:t>Likuma</w:t>
            </w:r>
            <w:r w:rsidR="0004029B" w:rsidRPr="00E01E92">
              <w:rPr>
                <w:i/>
                <w:sz w:val="22"/>
                <w:szCs w:val="22"/>
                <w:u w:val="single"/>
              </w:rPr>
              <w:t xml:space="preserve"> „Par iedzīvotāju ienākuma nodokli” (turpmāk – Likums) </w:t>
            </w:r>
            <w:r w:rsidRPr="00E01E92">
              <w:rPr>
                <w:i/>
                <w:sz w:val="22"/>
                <w:szCs w:val="22"/>
                <w:u w:val="single"/>
              </w:rPr>
              <w:t>8.panta 2.</w:t>
            </w:r>
            <w:r w:rsidRPr="00E01E92">
              <w:rPr>
                <w:i/>
                <w:sz w:val="22"/>
                <w:szCs w:val="22"/>
                <w:u w:val="single"/>
                <w:vertAlign w:val="superscript"/>
              </w:rPr>
              <w:t>5</w:t>
            </w:r>
            <w:r w:rsidRPr="00E01E92">
              <w:rPr>
                <w:i/>
                <w:sz w:val="22"/>
                <w:szCs w:val="22"/>
                <w:u w:val="single"/>
              </w:rPr>
              <w:t xml:space="preserve"> un 2.</w:t>
            </w:r>
            <w:r w:rsidRPr="00E01E92">
              <w:rPr>
                <w:i/>
                <w:sz w:val="22"/>
                <w:szCs w:val="22"/>
                <w:u w:val="single"/>
                <w:vertAlign w:val="superscript"/>
              </w:rPr>
              <w:t>6</w:t>
            </w:r>
            <w:r w:rsidRPr="00E01E92">
              <w:rPr>
                <w:i/>
                <w:sz w:val="22"/>
                <w:szCs w:val="22"/>
                <w:u w:val="single"/>
              </w:rPr>
              <w:t xml:space="preserve"> daļa</w:t>
            </w:r>
            <w:r w:rsidR="009C3215">
              <w:rPr>
                <w:i/>
                <w:sz w:val="22"/>
                <w:szCs w:val="22"/>
                <w:u w:val="single"/>
              </w:rPr>
              <w:t>,</w:t>
            </w:r>
            <w:r w:rsidRPr="00E01E92">
              <w:rPr>
                <w:i/>
                <w:sz w:val="22"/>
                <w:szCs w:val="22"/>
                <w:u w:val="single"/>
              </w:rPr>
              <w:t xml:space="preserve"> 9.panta pirmās daļas 43.punkts, </w:t>
            </w:r>
            <w:r w:rsidR="009C3215">
              <w:rPr>
                <w:i/>
                <w:sz w:val="22"/>
                <w:szCs w:val="22"/>
                <w:u w:val="single"/>
              </w:rPr>
              <w:t xml:space="preserve">9.panta vienpadsmitā daļa, </w:t>
            </w:r>
            <w:r w:rsidRPr="00E01E92">
              <w:rPr>
                <w:i/>
                <w:sz w:val="22"/>
                <w:szCs w:val="22"/>
                <w:u w:val="single"/>
              </w:rPr>
              <w:t>11.</w:t>
            </w:r>
            <w:r w:rsidRPr="00E01E92">
              <w:rPr>
                <w:i/>
                <w:sz w:val="22"/>
                <w:szCs w:val="22"/>
                <w:u w:val="single"/>
                <w:vertAlign w:val="superscript"/>
              </w:rPr>
              <w:t>9</w:t>
            </w:r>
            <w:r w:rsidRPr="00E01E92">
              <w:rPr>
                <w:i/>
                <w:sz w:val="22"/>
                <w:szCs w:val="22"/>
                <w:u w:val="single"/>
              </w:rPr>
              <w:t xml:space="preserve"> panta 4.</w:t>
            </w:r>
            <w:r w:rsidRPr="00E01E92">
              <w:rPr>
                <w:i/>
                <w:sz w:val="22"/>
                <w:szCs w:val="22"/>
                <w:u w:val="single"/>
                <w:vertAlign w:val="superscript"/>
              </w:rPr>
              <w:t>1</w:t>
            </w:r>
            <w:r w:rsidRPr="00E01E92">
              <w:rPr>
                <w:i/>
                <w:sz w:val="22"/>
                <w:szCs w:val="22"/>
                <w:u w:val="single"/>
              </w:rPr>
              <w:t xml:space="preserve"> daļa, 11.</w:t>
            </w:r>
            <w:r w:rsidRPr="00E01E92">
              <w:rPr>
                <w:i/>
                <w:sz w:val="22"/>
                <w:szCs w:val="22"/>
                <w:u w:val="single"/>
                <w:vertAlign w:val="superscript"/>
              </w:rPr>
              <w:t>11</w:t>
            </w:r>
            <w:r w:rsidRPr="00E01E92">
              <w:rPr>
                <w:i/>
                <w:sz w:val="22"/>
                <w:szCs w:val="22"/>
                <w:u w:val="single"/>
              </w:rPr>
              <w:t xml:space="preserve"> pants, 16.</w:t>
            </w:r>
            <w:r w:rsidRPr="00E01E92">
              <w:rPr>
                <w:i/>
                <w:sz w:val="22"/>
                <w:szCs w:val="22"/>
                <w:u w:val="single"/>
                <w:vertAlign w:val="superscript"/>
              </w:rPr>
              <w:t>1</w:t>
            </w:r>
            <w:r w:rsidRPr="00E01E92">
              <w:rPr>
                <w:i/>
                <w:sz w:val="22"/>
                <w:szCs w:val="22"/>
                <w:u w:val="single"/>
              </w:rPr>
              <w:t xml:space="preserve"> panta vienpadsmitā daļa, pārejas noteikumu 9</w:t>
            </w:r>
            <w:r w:rsidR="00F83BDE" w:rsidRPr="00E01E92">
              <w:rPr>
                <w:i/>
                <w:sz w:val="22"/>
                <w:szCs w:val="22"/>
                <w:u w:val="single"/>
              </w:rPr>
              <w:t>3</w:t>
            </w:r>
            <w:r w:rsidRPr="00E01E92">
              <w:rPr>
                <w:i/>
                <w:sz w:val="22"/>
                <w:szCs w:val="22"/>
                <w:u w:val="single"/>
              </w:rPr>
              <w:t>.punkts</w:t>
            </w:r>
          </w:p>
          <w:p w:rsidR="001E3E6D" w:rsidRDefault="001E3E6D" w:rsidP="0091167E">
            <w:pPr>
              <w:jc w:val="both"/>
            </w:pPr>
            <w:r w:rsidRPr="00516403">
              <w:t xml:space="preserve">Akciju pirkuma tiesību piešķiršana pašreiz praksē sastopama tikai gadījumos, kad tās Latvijas rezidentiem piešķir ārvalstu akciju sabiedrības – Latvijas kapitālsabiedrību mātes uzņēmumi, taču likums </w:t>
            </w:r>
            <w:r>
              <w:t>īpašu kārtību</w:t>
            </w:r>
            <w:r w:rsidRPr="00516403">
              <w:t xml:space="preserve"> šādu ienākumu aplikšanai</w:t>
            </w:r>
            <w:r>
              <w:t xml:space="preserve"> ar nodokli neatrunā</w:t>
            </w:r>
            <w:r w:rsidRPr="00516403">
              <w:t>.</w:t>
            </w:r>
          </w:p>
          <w:p w:rsidR="0091167E" w:rsidRDefault="0091167E" w:rsidP="0091167E">
            <w:pPr>
              <w:jc w:val="both"/>
            </w:pPr>
            <w:r w:rsidRPr="00516403">
              <w:t>Ņemot vērā biržas un auditorfirmu pārstāvju priekšlikumus, likumprojekts paredz regulējumu attiecībā uz akciju pirkuma tiesību īstenošanas ienākumu aplikšanu ar nodokli. Komerclikuma normas pagaidām Latvijas akciju sabiedrībām liedz darbiniekiem piešķirt akciju pirkuma</w:t>
            </w:r>
            <w:r w:rsidR="004D100A">
              <w:t xml:space="preserve"> tiesības</w:t>
            </w:r>
            <w:r w:rsidRPr="00516403">
              <w:t xml:space="preserve">, taču pašreiz </w:t>
            </w:r>
            <w:r>
              <w:t xml:space="preserve">Tieslietu ministrijas izveidota </w:t>
            </w:r>
            <w:r w:rsidRPr="00516403">
              <w:t xml:space="preserve">darba grupa izskata </w:t>
            </w:r>
            <w:r>
              <w:t xml:space="preserve">iespēju veikt grozījumu Komerclikumā, </w:t>
            </w:r>
            <w:r w:rsidRPr="00516403">
              <w:t xml:space="preserve">lai arī Latvijas uzņēmumiem būtu iespējams motivēt un piesaistīt darbiniekus. </w:t>
            </w:r>
          </w:p>
          <w:p w:rsidR="00DD27D9" w:rsidRDefault="00DD27D9" w:rsidP="00DD27D9">
            <w:pPr>
              <w:jc w:val="both"/>
              <w:rPr>
                <w:i/>
                <w:sz w:val="22"/>
                <w:u w:val="single"/>
              </w:rPr>
            </w:pPr>
            <w:r w:rsidRPr="00516403">
              <w:rPr>
                <w:i/>
                <w:sz w:val="22"/>
                <w:u w:val="single"/>
              </w:rPr>
              <w:t xml:space="preserve">Likuma 8.panta </w:t>
            </w:r>
            <w:r>
              <w:rPr>
                <w:i/>
                <w:sz w:val="22"/>
                <w:u w:val="single"/>
              </w:rPr>
              <w:t>trešās daļas 12.</w:t>
            </w:r>
            <w:r w:rsidRPr="006B7BCF">
              <w:rPr>
                <w:i/>
                <w:sz w:val="22"/>
                <w:u w:val="single"/>
                <w:vertAlign w:val="superscript"/>
              </w:rPr>
              <w:t>2</w:t>
            </w:r>
            <w:r>
              <w:rPr>
                <w:i/>
                <w:sz w:val="22"/>
                <w:u w:val="single"/>
              </w:rPr>
              <w:t xml:space="preserve"> punkts un divpadsmitā daļa, 17.</w:t>
            </w:r>
            <w:r w:rsidRPr="006B7BCF">
              <w:rPr>
                <w:i/>
                <w:sz w:val="22"/>
                <w:u w:val="single"/>
                <w:vertAlign w:val="superscript"/>
              </w:rPr>
              <w:t>3</w:t>
            </w:r>
            <w:r>
              <w:rPr>
                <w:i/>
                <w:sz w:val="22"/>
                <w:u w:val="single"/>
              </w:rPr>
              <w:t xml:space="preserve"> pants</w:t>
            </w:r>
          </w:p>
          <w:p w:rsidR="00DD27D9" w:rsidRPr="00516403" w:rsidRDefault="00DD27D9" w:rsidP="00DD27D9">
            <w:pPr>
              <w:jc w:val="both"/>
            </w:pPr>
            <w:r>
              <w:t xml:space="preserve">Pašreiz Latvijas nodokļu normatīvajos aktos nav iekļauti noteikumi, kurus varētu uzskatīt par kontrolēto ārvalstu sabiedrību vai tiem līdzīgiem noteikumiem un kurus pielieto, lai attiecīgā valsts ierobežotu savu rezidentu, galvenokārt, fizisko personu, iespējas izmantot ārzonu (zemu nodokļu un beznodokļu valstu un teritoriju) sabiedrības nolūkā izvairīties no nodokļu maksāšanas. Ienākumus no </w:t>
            </w:r>
            <w:r w:rsidR="00190708">
              <w:t xml:space="preserve">ārvalsts </w:t>
            </w:r>
            <w:r>
              <w:t>(zemu nodokļu un beznodokļu valstu un teritoriju)</w:t>
            </w:r>
            <w:r w:rsidR="004D100A">
              <w:t xml:space="preserve"> sabiedrībām</w:t>
            </w:r>
            <w:r>
              <w:t xml:space="preserve"> ar iedzīvotāju ienākuma nodokli apliek vispārējā kārtībā, </w:t>
            </w:r>
            <w:proofErr w:type="spellStart"/>
            <w:r>
              <w:t>t.i</w:t>
            </w:r>
            <w:proofErr w:type="spellEnd"/>
            <w:r>
              <w:t>., tad, kad tiek veikta šīs sabiedrības peļņas sadale (izmaksātas dividendes</w:t>
            </w:r>
            <w:r w:rsidR="001E3E6D">
              <w:t>, kuru gūšanu persona pati deklarē</w:t>
            </w:r>
            <w:r>
              <w:t>).</w:t>
            </w:r>
          </w:p>
          <w:p w:rsidR="00CF5899" w:rsidRPr="0004029B" w:rsidRDefault="00CF5899" w:rsidP="0064595D">
            <w:pPr>
              <w:pStyle w:val="NormalWeb"/>
              <w:spacing w:before="0" w:beforeAutospacing="0" w:after="0" w:afterAutospacing="0"/>
              <w:jc w:val="both"/>
              <w:rPr>
                <w:i/>
                <w:iCs/>
                <w:sz w:val="22"/>
                <w:szCs w:val="22"/>
                <w:u w:val="single"/>
                <w:lang w:eastAsia="en-US"/>
              </w:rPr>
            </w:pPr>
            <w:r w:rsidRPr="0004029B">
              <w:rPr>
                <w:i/>
                <w:iCs/>
                <w:sz w:val="22"/>
                <w:szCs w:val="22"/>
                <w:u w:val="single"/>
                <w:lang w:eastAsia="en-US"/>
              </w:rPr>
              <w:t>Likuma 11.panta papildināšana ar 1.</w:t>
            </w:r>
            <w:r w:rsidRPr="0004029B">
              <w:rPr>
                <w:i/>
                <w:iCs/>
                <w:sz w:val="22"/>
                <w:szCs w:val="22"/>
                <w:u w:val="single"/>
                <w:vertAlign w:val="superscript"/>
                <w:lang w:eastAsia="en-US"/>
              </w:rPr>
              <w:t>5</w:t>
            </w:r>
            <w:r w:rsidR="005554F2" w:rsidRPr="0004029B">
              <w:rPr>
                <w:i/>
                <w:iCs/>
                <w:sz w:val="22"/>
                <w:szCs w:val="22"/>
                <w:u w:val="single"/>
                <w:lang w:eastAsia="en-US"/>
              </w:rPr>
              <w:t xml:space="preserve"> daļ</w:t>
            </w:r>
            <w:r w:rsidR="0004029B">
              <w:rPr>
                <w:i/>
                <w:iCs/>
                <w:sz w:val="22"/>
                <w:szCs w:val="22"/>
                <w:u w:val="single"/>
                <w:lang w:eastAsia="en-US"/>
              </w:rPr>
              <w:t>u</w:t>
            </w:r>
          </w:p>
          <w:p w:rsidR="00CF5899" w:rsidRDefault="0004029B" w:rsidP="00CF5899">
            <w:pPr>
              <w:jc w:val="both"/>
              <w:rPr>
                <w:szCs w:val="28"/>
              </w:rPr>
            </w:pPr>
            <w:r>
              <w:t xml:space="preserve">Šobrīd likumā </w:t>
            </w:r>
            <w:r w:rsidR="00CF5899">
              <w:t>ir noteikti kritēriji, kuriem izpildoties fiziskajai personai ir jāreģistrējas kā saimnieciskās darbības veicējai</w:t>
            </w:r>
            <w:r w:rsidR="001E3E6D">
              <w:t>. Minēta norma nav viennozīmīgi interpretējama gadījumos,</w:t>
            </w:r>
            <w:r w:rsidR="00CF5899">
              <w:t xml:space="preserve"> </w:t>
            </w:r>
            <w:r w:rsidR="002D5C4A">
              <w:t>kad</w:t>
            </w:r>
            <w:r w:rsidR="00CF5899">
              <w:t xml:space="preserve"> </w:t>
            </w:r>
            <w:r w:rsidR="00CF5899" w:rsidRPr="00CF5899">
              <w:rPr>
                <w:bCs/>
              </w:rPr>
              <w:t>persona pārdod sadzīvē radušos lūžņus</w:t>
            </w:r>
            <w:r w:rsidR="00CF5899">
              <w:t xml:space="preserve">. </w:t>
            </w:r>
            <w:r w:rsidR="00CF5899" w:rsidRPr="00CF5899">
              <w:t xml:space="preserve">Lai </w:t>
            </w:r>
            <w:r w:rsidR="00CF5899" w:rsidRPr="00CF5899">
              <w:lastRenderedPageBreak/>
              <w:t xml:space="preserve">samazinātu </w:t>
            </w:r>
            <w:r w:rsidR="00CF5899" w:rsidRPr="00CF5899">
              <w:rPr>
                <w:bCs/>
              </w:rPr>
              <w:t xml:space="preserve">Valsts ieņēmumu dienesta administratīvās funkcijas  un administratīvo slogu fiziskajām personām, </w:t>
            </w:r>
            <w:r w:rsidR="00DE13CE">
              <w:rPr>
                <w:bCs/>
              </w:rPr>
              <w:t>L</w:t>
            </w:r>
            <w:r w:rsidR="00CF5899" w:rsidRPr="00CF5899">
              <w:rPr>
                <w:bCs/>
              </w:rPr>
              <w:t xml:space="preserve">ikumā ir nepieciešami grozījumi, nosakot, ka  </w:t>
            </w:r>
            <w:r w:rsidR="00CF5899" w:rsidRPr="00CF5899">
              <w:rPr>
                <w:szCs w:val="28"/>
              </w:rPr>
              <w:t>fiziskās personas ienākuma gūšana no metāllūžņu pārdošanas nav kvalificējama par saimniecisko darbību, ja izdevumi, kas saistīti ar šā ienākuma gūšanu, nav atzīti par saimnieciskās darbības izdevumiem</w:t>
            </w:r>
            <w:r w:rsidR="006A3B65">
              <w:rPr>
                <w:szCs w:val="28"/>
              </w:rPr>
              <w:t>.</w:t>
            </w:r>
          </w:p>
          <w:p w:rsidR="00FD7368" w:rsidRPr="00FD7368" w:rsidRDefault="00FD7368" w:rsidP="00CF5899">
            <w:pPr>
              <w:jc w:val="both"/>
              <w:rPr>
                <w:i/>
                <w:sz w:val="22"/>
                <w:szCs w:val="28"/>
                <w:u w:val="single"/>
              </w:rPr>
            </w:pPr>
            <w:r w:rsidRPr="00FD7368">
              <w:rPr>
                <w:i/>
                <w:sz w:val="22"/>
                <w:szCs w:val="28"/>
                <w:u w:val="single"/>
              </w:rPr>
              <w:t>Likuma 11.panta papildināšana ar astoņpadsmito daļu</w:t>
            </w:r>
          </w:p>
          <w:p w:rsidR="00FD7368" w:rsidRPr="00CF5899" w:rsidRDefault="00FD7368" w:rsidP="00CF5899">
            <w:pPr>
              <w:jc w:val="both"/>
            </w:pPr>
            <w:r>
              <w:t xml:space="preserve">Pašreiz saskaņā ar </w:t>
            </w:r>
            <w:r w:rsidR="00DE13CE">
              <w:t>L</w:t>
            </w:r>
            <w:r>
              <w:t xml:space="preserve">ikuma pārejas noteikumu 84.punktu, ja maksātājam līdz 2011.gada 31.decembim ir bijis noslēgts uzņēmuma līgums vai tas uzņēmuma līgumu noslēdz 2012.gada laikā un nodoklis no šādi gūtā tiek ieturēts izmaksas vietā, maksātājs var nereģistrēt saimniecisko darbību līdz 2012.gada 31.decembrim. Tādējādi ar 2013.gada 1.janvāri maksātājam būtu jāreģistrējas kā saimnieciskās darbības veicējam. Ņemot vērā uzņēmumu līgumu skaitu, bieži – īslaicīgo darbības termiņu, nav lietderīgi, ka maksātāji vairākas reizes gadā reģistrējas kā saimnieciskās darbības veicēji, bet pēc tam raksta iesniegumu Valsts ieņēmumu dienestam, lai tiktu izslēgti no saimnieciskās darbības veicēju reģistra. </w:t>
            </w:r>
          </w:p>
          <w:p w:rsidR="00C322B4" w:rsidRPr="00BD77A2" w:rsidRDefault="00C322B4" w:rsidP="00C322B4">
            <w:pPr>
              <w:pStyle w:val="NormalWeb"/>
              <w:spacing w:before="0" w:beforeAutospacing="0" w:after="0" w:afterAutospacing="0"/>
              <w:jc w:val="both"/>
              <w:rPr>
                <w:i/>
                <w:iCs/>
                <w:sz w:val="20"/>
                <w:szCs w:val="20"/>
                <w:u w:val="single"/>
                <w:lang w:eastAsia="en-US"/>
              </w:rPr>
            </w:pPr>
            <w:r w:rsidRPr="00BD77A2">
              <w:rPr>
                <w:i/>
                <w:iCs/>
                <w:sz w:val="20"/>
                <w:szCs w:val="20"/>
                <w:u w:val="single"/>
                <w:lang w:eastAsia="en-US"/>
              </w:rPr>
              <w:t>Grozījumi likuma 17.panta sestajā daļā</w:t>
            </w:r>
          </w:p>
          <w:p w:rsidR="00C322B4" w:rsidRDefault="00C322B4" w:rsidP="00C322B4">
            <w:pPr>
              <w:jc w:val="both"/>
            </w:pPr>
            <w:r w:rsidRPr="00C322B4">
              <w:t>Ievērojot</w:t>
            </w:r>
            <w:r>
              <w:t xml:space="preserve"> to</w:t>
            </w:r>
            <w:r w:rsidRPr="00C322B4">
              <w:t>, ka atbilstoši valsts amatpersonas deklarācijas aizpildīšanas kārtībai informācija par darba devēja izmaksātajām summām valsts amatpersonai tiek nodrošināta Valsts ieņēmumu dienesta elektroniskās deklarēšanas sistēmā deklarācijas aizpildīšanas brīdī, likuma norma, kas nosaka, ka valsts amatpersonai paziņojumu par fiziskajai personai izmaksātajām summām darba devējs izsniedz bez pieprasījuma neatkarīgi no tā cik ilgi ir pastāvējušas civildienesta vai darba attiecības, ir izslēdzama.</w:t>
            </w:r>
            <w:r>
              <w:t xml:space="preserve"> Vienlaicīgi </w:t>
            </w:r>
            <w:r w:rsidR="00DE13CE">
              <w:t>L</w:t>
            </w:r>
            <w:r>
              <w:t>ikums ir papildināms ar normu, kas nosaka, j</w:t>
            </w:r>
            <w:r w:rsidRPr="001A115A">
              <w:rPr>
                <w:szCs w:val="28"/>
              </w:rPr>
              <w:t xml:space="preserve">a ar </w:t>
            </w:r>
            <w:r>
              <w:rPr>
                <w:szCs w:val="28"/>
              </w:rPr>
              <w:t>darbinieku</w:t>
            </w:r>
            <w:r w:rsidRPr="001A115A">
              <w:rPr>
                <w:szCs w:val="28"/>
              </w:rPr>
              <w:t xml:space="preserve"> darba attiecības ir izbeigušās pirms taksācijas gada beigām, darba devējs pēc pieprasījuma izsniedz </w:t>
            </w:r>
            <w:r>
              <w:rPr>
                <w:szCs w:val="28"/>
              </w:rPr>
              <w:t>darbiniekam</w:t>
            </w:r>
            <w:r w:rsidRPr="001A115A">
              <w:rPr>
                <w:szCs w:val="28"/>
              </w:rPr>
              <w:t xml:space="preserve"> paziņojumu par fiziskajai personai izmaksātajām summām</w:t>
            </w:r>
            <w:r>
              <w:rPr>
                <w:szCs w:val="28"/>
              </w:rPr>
              <w:t xml:space="preserve"> darba attiecību izbeigšanas dienā, tādejādi </w:t>
            </w:r>
            <w:r w:rsidR="00840E78" w:rsidRPr="00840E78">
              <w:t xml:space="preserve">valsts amatpersonām nodrošinot iespēju saņemt valsts amatpersonas deklarācijas aizpildīšanai nepieciešamo informāciju par tās ienākumiem arī gadījumā, ja darba attiecības tiks turpinātas, bet tai radīsies pienākums iesniegt valsts amatpersonas deklarāciju, kuru iesniedz, </w:t>
            </w:r>
            <w:r w:rsidR="00840E78" w:rsidRPr="00840E78">
              <w:lastRenderedPageBreak/>
              <w:t>beidzot pildīt amata pienākumus, kā arī tām valsts amatpersonām</w:t>
            </w:r>
            <w:r w:rsidR="00840E78">
              <w:t>, kurām saskaņā ar l</w:t>
            </w:r>
            <w:r w:rsidR="00840E78" w:rsidRPr="00840E78">
              <w:t>ikuma "Par interešu konflikta novēršanu valsts amatpersonu darbībā"</w:t>
            </w:r>
            <w:r w:rsidR="00840E78">
              <w:t xml:space="preserve"> </w:t>
            </w:r>
            <w:r w:rsidR="00840E78" w:rsidRPr="00840E78">
              <w:t>23.panta trešo un ceturto daļu savas valsts amatpersonas deklarācijas jāiesniedz Satversmes aizsardzības birojam, Ministru prezidentam vai viņa pilnvarotai personai.</w:t>
            </w:r>
          </w:p>
          <w:p w:rsidR="00B27CED" w:rsidRPr="0004029B" w:rsidRDefault="00B27CED" w:rsidP="00C322B4">
            <w:pPr>
              <w:jc w:val="both"/>
              <w:rPr>
                <w:i/>
                <w:sz w:val="22"/>
                <w:szCs w:val="22"/>
                <w:u w:val="single"/>
              </w:rPr>
            </w:pPr>
            <w:r w:rsidRPr="0004029B">
              <w:rPr>
                <w:i/>
                <w:sz w:val="22"/>
                <w:szCs w:val="22"/>
                <w:u w:val="single"/>
              </w:rPr>
              <w:t>Lik</w:t>
            </w:r>
            <w:r w:rsidR="005554F2" w:rsidRPr="0004029B">
              <w:rPr>
                <w:i/>
                <w:sz w:val="22"/>
                <w:szCs w:val="22"/>
                <w:u w:val="single"/>
              </w:rPr>
              <w:t>uma pārejas noteikumu 45.</w:t>
            </w:r>
            <w:r w:rsidR="00472661" w:rsidRPr="0004029B">
              <w:rPr>
                <w:i/>
                <w:sz w:val="22"/>
                <w:szCs w:val="22"/>
                <w:u w:val="single"/>
                <w:vertAlign w:val="superscript"/>
              </w:rPr>
              <w:t>1</w:t>
            </w:r>
            <w:r w:rsidR="005554F2" w:rsidRPr="0004029B">
              <w:rPr>
                <w:i/>
                <w:sz w:val="22"/>
                <w:szCs w:val="22"/>
                <w:u w:val="single"/>
              </w:rPr>
              <w:t>punkts</w:t>
            </w:r>
          </w:p>
          <w:p w:rsidR="008B6D6E" w:rsidRDefault="00B27CED" w:rsidP="008B6D6E">
            <w:pPr>
              <w:pStyle w:val="NormalWeb"/>
              <w:spacing w:before="0" w:beforeAutospacing="0" w:after="0" w:afterAutospacing="0"/>
              <w:jc w:val="both"/>
              <w:rPr>
                <w:iCs/>
                <w:lang w:eastAsia="en-US"/>
              </w:rPr>
            </w:pPr>
            <w:r>
              <w:rPr>
                <w:iCs/>
                <w:lang w:eastAsia="en-US"/>
              </w:rPr>
              <w:t>Saskaņā ar</w:t>
            </w:r>
            <w:r w:rsidRPr="00795392">
              <w:rPr>
                <w:iCs/>
                <w:lang w:eastAsia="en-US"/>
              </w:rPr>
              <w:t xml:space="preserve"> </w:t>
            </w:r>
            <w:r>
              <w:rPr>
                <w:iCs/>
                <w:lang w:eastAsia="en-US"/>
              </w:rPr>
              <w:t xml:space="preserve">2008.gada 14.novembra </w:t>
            </w:r>
            <w:r w:rsidRPr="00795392">
              <w:rPr>
                <w:iCs/>
                <w:lang w:eastAsia="en-US"/>
              </w:rPr>
              <w:t>likum</w:t>
            </w:r>
            <w:r>
              <w:rPr>
                <w:iCs/>
                <w:lang w:eastAsia="en-US"/>
              </w:rPr>
              <w:t>u „Grozījumi likumā „Par iedzīvotāju ienākuma nodokli””</w:t>
            </w:r>
            <w:r w:rsidRPr="00795392">
              <w:rPr>
                <w:iCs/>
                <w:lang w:eastAsia="en-US"/>
              </w:rPr>
              <w:t xml:space="preserve"> t</w:t>
            </w:r>
            <w:r>
              <w:rPr>
                <w:iCs/>
                <w:lang w:eastAsia="en-US"/>
              </w:rPr>
              <w:t>ika</w:t>
            </w:r>
            <w:r w:rsidRPr="00795392">
              <w:rPr>
                <w:iCs/>
                <w:lang w:eastAsia="en-US"/>
              </w:rPr>
              <w:t xml:space="preserve"> izslēgta atsauce par zemnieku un zvejnieku saimniecību īpašniekiem kā nodokļa maksātājiem par sava uzņēmuma ienākumiem, zemnieku vai zvejnieku saimniecību kā nodokļa ieturētāja pienākumiem </w:t>
            </w:r>
            <w:proofErr w:type="spellStart"/>
            <w:r w:rsidRPr="00795392">
              <w:rPr>
                <w:iCs/>
                <w:lang w:eastAsia="en-US"/>
              </w:rPr>
              <w:t>u.tml</w:t>
            </w:r>
            <w:proofErr w:type="spellEnd"/>
            <w:r w:rsidRPr="00795392">
              <w:rPr>
                <w:iCs/>
                <w:lang w:eastAsia="en-US"/>
              </w:rPr>
              <w:t>.</w:t>
            </w:r>
            <w:r>
              <w:rPr>
                <w:iCs/>
                <w:lang w:eastAsia="en-US"/>
              </w:rPr>
              <w:t xml:space="preserve">, kurai saskaņā ar </w:t>
            </w:r>
            <w:r w:rsidR="00DE13CE">
              <w:rPr>
                <w:iCs/>
                <w:lang w:eastAsia="en-US"/>
              </w:rPr>
              <w:t>L</w:t>
            </w:r>
            <w:r>
              <w:rPr>
                <w:iCs/>
                <w:lang w:eastAsia="en-US"/>
              </w:rPr>
              <w:t>ikuma pārejas noteikumu 45.punktu ir jāstājas spēkā 2013.gada 1.jūlijā.</w:t>
            </w:r>
            <w:r w:rsidRPr="00795392">
              <w:rPr>
                <w:iCs/>
                <w:lang w:eastAsia="en-US"/>
              </w:rPr>
              <w:t xml:space="preserve"> </w:t>
            </w:r>
            <w:r>
              <w:rPr>
                <w:iCs/>
                <w:lang w:eastAsia="en-US"/>
              </w:rPr>
              <w:t xml:space="preserve">Ņemot vērā to, ka 2011.gada 15.decembrī tika pieņemts </w:t>
            </w:r>
            <w:r w:rsidRPr="00795392">
              <w:rPr>
                <w:iCs/>
                <w:lang w:eastAsia="en-US"/>
              </w:rPr>
              <w:t>likum</w:t>
            </w:r>
            <w:r>
              <w:rPr>
                <w:iCs/>
                <w:lang w:eastAsia="en-US"/>
              </w:rPr>
              <w:t xml:space="preserve">s „Par Zemnieku un zvejnieku saimniecību likuma atcelšanu”, kura pārejas noteikums nosaka, ka </w:t>
            </w:r>
            <w:r w:rsidRPr="0064595D">
              <w:t xml:space="preserve">Ministru kabinets līdz 2012.gada 1.jūlijam iesniedz Saeimai nepieciešamos grozījumus likumos sakarā ar </w:t>
            </w:r>
            <w:hyperlink r:id="rId12" w:tgtFrame="_blank" w:tooltip="Zemnieku un zvejnieku saimniecību likums /Spēkā esošs/" w:history="1">
              <w:r w:rsidRPr="0064595D">
                <w:t>Zemnieku un zvejnieku saimniecību likuma</w:t>
              </w:r>
            </w:hyperlink>
            <w:r>
              <w:t xml:space="preserve"> atcelšanu, </w:t>
            </w:r>
            <w:r>
              <w:rPr>
                <w:iCs/>
                <w:lang w:eastAsia="en-US"/>
              </w:rPr>
              <w:t xml:space="preserve">ir nepieciešami grozījumi </w:t>
            </w:r>
            <w:r w:rsidR="00DE13CE">
              <w:rPr>
                <w:iCs/>
                <w:lang w:eastAsia="en-US"/>
              </w:rPr>
              <w:t>L</w:t>
            </w:r>
            <w:r>
              <w:rPr>
                <w:iCs/>
                <w:lang w:eastAsia="en-US"/>
              </w:rPr>
              <w:t>ikumā.</w:t>
            </w:r>
          </w:p>
          <w:p w:rsidR="007D2F7A" w:rsidRPr="0004029B" w:rsidRDefault="007D2F7A" w:rsidP="007D2F7A">
            <w:pPr>
              <w:jc w:val="both"/>
              <w:rPr>
                <w:i/>
                <w:sz w:val="22"/>
                <w:szCs w:val="22"/>
                <w:u w:val="single"/>
              </w:rPr>
            </w:pPr>
            <w:r w:rsidRPr="0004029B">
              <w:rPr>
                <w:i/>
                <w:sz w:val="22"/>
                <w:szCs w:val="22"/>
                <w:u w:val="single"/>
              </w:rPr>
              <w:t xml:space="preserve">Likuma pārejas noteikumu </w:t>
            </w:r>
            <w:r>
              <w:rPr>
                <w:i/>
                <w:sz w:val="22"/>
                <w:szCs w:val="22"/>
                <w:u w:val="single"/>
              </w:rPr>
              <w:t>9</w:t>
            </w:r>
            <w:r w:rsidRPr="0004029B">
              <w:rPr>
                <w:i/>
                <w:sz w:val="22"/>
                <w:szCs w:val="22"/>
                <w:u w:val="single"/>
              </w:rPr>
              <w:t>5</w:t>
            </w:r>
            <w:r>
              <w:rPr>
                <w:i/>
                <w:sz w:val="22"/>
                <w:szCs w:val="22"/>
                <w:u w:val="single"/>
              </w:rPr>
              <w:t>.</w:t>
            </w:r>
            <w:r w:rsidRPr="0004029B">
              <w:rPr>
                <w:i/>
                <w:sz w:val="22"/>
                <w:szCs w:val="22"/>
                <w:u w:val="single"/>
              </w:rPr>
              <w:t>punkts</w:t>
            </w:r>
          </w:p>
          <w:p w:rsidR="001F41CB" w:rsidRPr="00F14581" w:rsidRDefault="007D2F7A" w:rsidP="002F0793">
            <w:pPr>
              <w:tabs>
                <w:tab w:val="left" w:pos="317"/>
                <w:tab w:val="left" w:pos="993"/>
              </w:tabs>
              <w:spacing w:after="120"/>
              <w:jc w:val="both"/>
            </w:pPr>
            <w:r w:rsidRPr="00C363FF">
              <w:t xml:space="preserve">Saskaņā ar </w:t>
            </w:r>
            <w:r>
              <w:t>Likumu</w:t>
            </w:r>
            <w:r w:rsidRPr="00C363FF">
              <w:t xml:space="preserve"> summas, kas izmaksātas kā valsts atbalsts vai Eiropas Savienības atbalsts lauksaimniecībai un lauku attīstībai tiek iekļauts ar iedzīvotāju ienākuma nodokli apliekamajā ienākumā.</w:t>
            </w:r>
            <w:r>
              <w:t xml:space="preserve"> Savukārt š</w:t>
            </w:r>
            <w:r w:rsidRPr="00C363FF">
              <w:t xml:space="preserve">obrīd Eiropas Savienības tiešo maksājumu vidējais līmenis attiecinot uz 2009.gada </w:t>
            </w:r>
            <w:proofErr w:type="spellStart"/>
            <w:r w:rsidRPr="00C363FF">
              <w:t>atbalsttiesīgo</w:t>
            </w:r>
            <w:proofErr w:type="spellEnd"/>
            <w:r w:rsidRPr="00C363FF">
              <w:t xml:space="preserve"> platību Latvijā ir 88 EUR/ha, kas ir 32% no Eiropas Savienības dalībvalstu vidējā līmeņa, savukārt 2013.gadā tas būs attiecīgi 97 EUR/ha vai 34% no Eiropas Savienības vidējā līmeņa. </w:t>
            </w:r>
            <w:r>
              <w:t>Tādējādi Latvijas zemnieki salīdzinājumā ar citu valstu zemniekiem atrodas salīdzinoši nelabvēlīgā situācijā.</w:t>
            </w:r>
          </w:p>
        </w:tc>
      </w:tr>
      <w:tr w:rsidR="00DC36D0" w:rsidRPr="00353A9E" w:rsidTr="00CB6A1F">
        <w:trPr>
          <w:trHeight w:val="547"/>
          <w:tblCellSpacing w:w="0" w:type="dxa"/>
        </w:trPr>
        <w:tc>
          <w:tcPr>
            <w:tcW w:w="821" w:type="dxa"/>
            <w:gridSpan w:val="4"/>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lastRenderedPageBreak/>
              <w:t> 3.</w:t>
            </w:r>
          </w:p>
        </w:tc>
        <w:tc>
          <w:tcPr>
            <w:tcW w:w="3426"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Saistītie politikas ietekmes novērtējumi un pētījumi</w:t>
            </w:r>
          </w:p>
        </w:tc>
        <w:tc>
          <w:tcPr>
            <w:tcW w:w="4854" w:type="dxa"/>
            <w:gridSpan w:val="4"/>
            <w:tcBorders>
              <w:top w:val="outset" w:sz="6" w:space="0" w:color="auto"/>
              <w:left w:val="outset" w:sz="6" w:space="0" w:color="auto"/>
              <w:bottom w:val="outset" w:sz="6" w:space="0" w:color="auto"/>
              <w:right w:val="outset" w:sz="6" w:space="0" w:color="auto"/>
            </w:tcBorders>
            <w:hideMark/>
          </w:tcPr>
          <w:p w:rsidR="00353A9E" w:rsidRPr="00353A9E" w:rsidRDefault="00C56720" w:rsidP="00791766">
            <w:r>
              <w:t>Nav attiecināms.</w:t>
            </w:r>
          </w:p>
        </w:tc>
      </w:tr>
      <w:tr w:rsidR="00DC36D0" w:rsidRPr="00353A9E" w:rsidTr="00CB6A1F">
        <w:trPr>
          <w:trHeight w:val="384"/>
          <w:tblCellSpacing w:w="0" w:type="dxa"/>
        </w:trPr>
        <w:tc>
          <w:tcPr>
            <w:tcW w:w="821" w:type="dxa"/>
            <w:gridSpan w:val="4"/>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4.</w:t>
            </w:r>
          </w:p>
        </w:tc>
        <w:tc>
          <w:tcPr>
            <w:tcW w:w="3426"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Tiesiskā regulējuma mērķis un būtība</w:t>
            </w:r>
          </w:p>
        </w:tc>
        <w:tc>
          <w:tcPr>
            <w:tcW w:w="4854" w:type="dxa"/>
            <w:gridSpan w:val="4"/>
            <w:tcBorders>
              <w:top w:val="outset" w:sz="6" w:space="0" w:color="auto"/>
              <w:left w:val="outset" w:sz="6" w:space="0" w:color="auto"/>
              <w:bottom w:val="outset" w:sz="6" w:space="0" w:color="auto"/>
              <w:right w:val="outset" w:sz="6" w:space="0" w:color="auto"/>
            </w:tcBorders>
            <w:hideMark/>
          </w:tcPr>
          <w:p w:rsidR="0091167E" w:rsidRPr="0004029B" w:rsidRDefault="0091167E" w:rsidP="0091167E">
            <w:pPr>
              <w:jc w:val="both"/>
              <w:rPr>
                <w:i/>
                <w:sz w:val="22"/>
                <w:szCs w:val="22"/>
                <w:u w:val="single"/>
              </w:rPr>
            </w:pPr>
            <w:r w:rsidRPr="0004029B">
              <w:rPr>
                <w:i/>
                <w:sz w:val="22"/>
                <w:szCs w:val="22"/>
                <w:u w:val="single"/>
              </w:rPr>
              <w:t>Likuma 8.panta 2.</w:t>
            </w:r>
            <w:r w:rsidRPr="0004029B">
              <w:rPr>
                <w:i/>
                <w:sz w:val="22"/>
                <w:szCs w:val="22"/>
                <w:u w:val="single"/>
                <w:vertAlign w:val="superscript"/>
              </w:rPr>
              <w:t>5</w:t>
            </w:r>
            <w:r w:rsidRPr="0004029B">
              <w:rPr>
                <w:i/>
                <w:sz w:val="22"/>
                <w:szCs w:val="22"/>
                <w:u w:val="single"/>
              </w:rPr>
              <w:t xml:space="preserve"> un 2.</w:t>
            </w:r>
            <w:r w:rsidRPr="0004029B">
              <w:rPr>
                <w:i/>
                <w:sz w:val="22"/>
                <w:szCs w:val="22"/>
                <w:u w:val="single"/>
                <w:vertAlign w:val="superscript"/>
              </w:rPr>
              <w:t>6</w:t>
            </w:r>
            <w:r w:rsidRPr="0004029B">
              <w:rPr>
                <w:i/>
                <w:sz w:val="22"/>
                <w:szCs w:val="22"/>
                <w:u w:val="single"/>
              </w:rPr>
              <w:t xml:space="preserve"> daļa</w:t>
            </w:r>
            <w:r w:rsidR="009C3215">
              <w:rPr>
                <w:i/>
                <w:sz w:val="22"/>
                <w:szCs w:val="22"/>
                <w:u w:val="single"/>
              </w:rPr>
              <w:t>,</w:t>
            </w:r>
            <w:r w:rsidRPr="0004029B">
              <w:rPr>
                <w:i/>
                <w:sz w:val="22"/>
                <w:szCs w:val="22"/>
                <w:u w:val="single"/>
              </w:rPr>
              <w:t xml:space="preserve"> 9.panta pirmās daļas 43.punkts, </w:t>
            </w:r>
            <w:r w:rsidR="009C3215" w:rsidRPr="009C3215">
              <w:rPr>
                <w:i/>
                <w:sz w:val="22"/>
                <w:szCs w:val="22"/>
                <w:u w:val="single"/>
              </w:rPr>
              <w:t>9.panta vienpadsmitā daļa</w:t>
            </w:r>
            <w:r w:rsidR="009C3215">
              <w:rPr>
                <w:i/>
                <w:sz w:val="22"/>
                <w:szCs w:val="22"/>
                <w:u w:val="single"/>
              </w:rPr>
              <w:t xml:space="preserve">, </w:t>
            </w:r>
            <w:r w:rsidRPr="0004029B">
              <w:rPr>
                <w:i/>
                <w:sz w:val="22"/>
                <w:szCs w:val="22"/>
                <w:u w:val="single"/>
              </w:rPr>
              <w:t>11.</w:t>
            </w:r>
            <w:r w:rsidRPr="0004029B">
              <w:rPr>
                <w:i/>
                <w:sz w:val="22"/>
                <w:szCs w:val="22"/>
                <w:u w:val="single"/>
                <w:vertAlign w:val="superscript"/>
              </w:rPr>
              <w:t>9</w:t>
            </w:r>
            <w:r w:rsidRPr="0004029B">
              <w:rPr>
                <w:i/>
                <w:sz w:val="22"/>
                <w:szCs w:val="22"/>
                <w:u w:val="single"/>
              </w:rPr>
              <w:t xml:space="preserve"> panta 4.</w:t>
            </w:r>
            <w:r w:rsidRPr="0004029B">
              <w:rPr>
                <w:i/>
                <w:sz w:val="22"/>
                <w:szCs w:val="22"/>
                <w:u w:val="single"/>
                <w:vertAlign w:val="superscript"/>
              </w:rPr>
              <w:t>1</w:t>
            </w:r>
            <w:r w:rsidRPr="0004029B">
              <w:rPr>
                <w:i/>
                <w:sz w:val="22"/>
                <w:szCs w:val="22"/>
                <w:u w:val="single"/>
              </w:rPr>
              <w:t xml:space="preserve"> daļa, 11.</w:t>
            </w:r>
            <w:r w:rsidRPr="0004029B">
              <w:rPr>
                <w:i/>
                <w:sz w:val="22"/>
                <w:szCs w:val="22"/>
                <w:u w:val="single"/>
                <w:vertAlign w:val="superscript"/>
              </w:rPr>
              <w:t>11</w:t>
            </w:r>
            <w:r w:rsidRPr="0004029B">
              <w:rPr>
                <w:i/>
                <w:sz w:val="22"/>
                <w:szCs w:val="22"/>
                <w:u w:val="single"/>
              </w:rPr>
              <w:t xml:space="preserve"> pants, 16.</w:t>
            </w:r>
            <w:r w:rsidRPr="0004029B">
              <w:rPr>
                <w:i/>
                <w:sz w:val="22"/>
                <w:szCs w:val="22"/>
                <w:u w:val="single"/>
                <w:vertAlign w:val="superscript"/>
              </w:rPr>
              <w:t>1</w:t>
            </w:r>
            <w:r w:rsidRPr="0004029B">
              <w:rPr>
                <w:i/>
                <w:sz w:val="22"/>
                <w:szCs w:val="22"/>
                <w:u w:val="single"/>
              </w:rPr>
              <w:t xml:space="preserve"> panta vienpadsmitā daļa, pārejas noteikumu 9</w:t>
            </w:r>
            <w:r w:rsidR="00F83BDE" w:rsidRPr="0004029B">
              <w:rPr>
                <w:i/>
                <w:sz w:val="22"/>
                <w:szCs w:val="22"/>
                <w:u w:val="single"/>
              </w:rPr>
              <w:t>3</w:t>
            </w:r>
            <w:r w:rsidRPr="0004029B">
              <w:rPr>
                <w:i/>
                <w:sz w:val="22"/>
                <w:szCs w:val="22"/>
                <w:u w:val="single"/>
              </w:rPr>
              <w:t>.punkts</w:t>
            </w:r>
          </w:p>
          <w:p w:rsidR="0091167E" w:rsidRDefault="0091167E" w:rsidP="0091167E">
            <w:pPr>
              <w:jc w:val="both"/>
            </w:pPr>
            <w:r w:rsidRPr="00516403">
              <w:t>Likumprojekts paredz, ka, ja akciju pirkuma tiesību īstenošanas plāns paredz vismaz trīs gadu turēšanas periodu šādām tiesībām un darbinieks šajā laikā ir darba attiecības ar kapitālsabiedrību</w:t>
            </w:r>
            <w:r>
              <w:t>, kā arī darba devējs ir V</w:t>
            </w:r>
            <w:r w:rsidR="001E3E6D">
              <w:t xml:space="preserve">alsts </w:t>
            </w:r>
            <w:r w:rsidR="001E3E6D">
              <w:lastRenderedPageBreak/>
              <w:t>ieņēmumu dienest</w:t>
            </w:r>
            <w:r w:rsidR="00B5251F">
              <w:t>ā</w:t>
            </w:r>
            <w:r w:rsidR="001E3E6D">
              <w:t xml:space="preserve"> (turpmāk – V</w:t>
            </w:r>
            <w:r>
              <w:t>ID</w:t>
            </w:r>
            <w:r w:rsidR="001E3E6D">
              <w:t>)</w:t>
            </w:r>
            <w:r>
              <w:t xml:space="preserve"> sniedzis </w:t>
            </w:r>
            <w:r w:rsidR="005647CB">
              <w:t>L</w:t>
            </w:r>
            <w:r>
              <w:t>ikumā prasīto informāciju par akciju pirkuma tiesību īstenošanas plāna nosacījumiem</w:t>
            </w:r>
            <w:r w:rsidRPr="00516403">
              <w:t xml:space="preserve">, akciju pirkuma tiesību </w:t>
            </w:r>
            <w:r w:rsidR="001E3E6D">
              <w:t xml:space="preserve"> </w:t>
            </w:r>
            <w:r w:rsidRPr="00516403">
              <w:t>īstenošanas brīdī gūtais ienākums (starpība starp akciju tirgus cenu un cenu, par kādu akcijas iegādājas akciju pirkuma tiesību turētājs) nav apliekams ar nodokli.</w:t>
            </w:r>
            <w:r>
              <w:t xml:space="preserve"> Atvieglojums tiek piemērots arī gadījumos, kad darbinieks tiek pārcelts darbā uz citu – ar darba devēju saistītu uzņēmumu likuma „Par uzņēmumu ienākuma nodokli” izpratnē, vai </w:t>
            </w:r>
            <w:r w:rsidR="00052A78">
              <w:t xml:space="preserve">pārtrauc darba tiesiskās attiecības, jo viņam ir piešķirta valsts vecuma pensija </w:t>
            </w:r>
            <w:r w:rsidR="00052A78" w:rsidRPr="003E5D8B">
              <w:rPr>
                <w:color w:val="000000"/>
              </w:rPr>
              <w:t>(tai skaitā priekšlaicīgi</w:t>
            </w:r>
            <w:r w:rsidR="00052A78">
              <w:rPr>
                <w:color w:val="000000"/>
              </w:rPr>
              <w:t>)</w:t>
            </w:r>
            <w:r>
              <w:t>.</w:t>
            </w:r>
            <w:r w:rsidRPr="00516403">
              <w:t xml:space="preserve"> Citos gadījumos gūtais ienākums ir pielīdzināms algota darba ienākumam. Tādējādi par šo ienākumu ir jāveic gan valsts obligātās sociālās apdrošināšanas iemaks</w:t>
            </w:r>
            <w:r w:rsidR="00F042F5">
              <w:t>as</w:t>
            </w:r>
            <w:r w:rsidRPr="00516403">
              <w:t>, gan jāmaksā iedzīvotāju ienākuma nodoklis.</w:t>
            </w:r>
            <w:r>
              <w:t xml:space="preserve"> </w:t>
            </w:r>
          </w:p>
          <w:p w:rsidR="00814F6A" w:rsidRPr="00622713" w:rsidRDefault="00814F6A" w:rsidP="0091167E">
            <w:pPr>
              <w:jc w:val="both"/>
            </w:pPr>
            <w:r w:rsidRPr="00622713">
              <w:t xml:space="preserve">Ja atvieglojuma piemērošanai noteiktie kritēriji netiek ievēroti no darbinieka neatkarīgu apstākļu dēļ (piemēram, darba devējs nav iesniedzis VID </w:t>
            </w:r>
            <w:r w:rsidR="00DE13CE" w:rsidRPr="00622713">
              <w:t>L</w:t>
            </w:r>
            <w:r w:rsidRPr="00622713">
              <w:t xml:space="preserve">ikumā noteikto informāciju </w:t>
            </w:r>
            <w:r w:rsidR="00DE13CE" w:rsidRPr="00622713">
              <w:t>L</w:t>
            </w:r>
            <w:r w:rsidRPr="00622713">
              <w:t xml:space="preserve">ikumā noteiktajā kārtībā un termiņā), </w:t>
            </w:r>
            <w:r w:rsidR="00D71C08" w:rsidRPr="00622713">
              <w:t xml:space="preserve">akciju pirkuma tiesību īstenošanas ienākums ir apliekams ar algas nodokli un </w:t>
            </w:r>
            <w:r w:rsidRPr="00622713">
              <w:t xml:space="preserve">darba devējs ir atbildīgs par iedzīvotāju ienākuma nodokļa un valsts sociālās apdrošināšanas iemaksu budžetā </w:t>
            </w:r>
            <w:r w:rsidR="00DE13CE" w:rsidRPr="00622713">
              <w:t>L</w:t>
            </w:r>
            <w:r w:rsidRPr="00622713">
              <w:t>ikumā noteiktajā kārtībā.</w:t>
            </w:r>
          </w:p>
          <w:p w:rsidR="00D71C08" w:rsidRPr="00622713" w:rsidRDefault="00D71C08" w:rsidP="0091167E">
            <w:pPr>
              <w:jc w:val="both"/>
            </w:pPr>
            <w:r w:rsidRPr="00622713">
              <w:t xml:space="preserve">Ar nodokli apliekamo ienākumu no akciju pirkuma tiesību īstenošanas nosaka kā akciju tirgus vērtības akciju pirkuma tiesību īstenošanas dienā un akciju iegādes vērtības starpību. Lai noteiktu akciju tirgus vērtību akciju pirkuma tiesību īstenošanas dienā akcijām, kas neatrodas publiskajā apgrozībā, izmanto atzinumu (vērtējumu), kuru sniegusi persona, kas atbilstoši Komerclikumam iekļauta mantiskā ieguldījuma vērtētāju sarakstā. Minētā atzinuma derīguma termiņš atšķirībā no Komerclikumā paredzētā sešu mēnešu termiņu ir noteikts garāks – 12 mēneši, ar mērķi samazināt kapitālsabiedrības izmaksas par atzinuma saņemšanu. Tomēr ņemot vērā noteikto termiņu, likumprojektā arī atrunāts, ka šāds atzinums vairs nav derīgs, ja ir iestājušies būtiski apstākļi, kuru dēļ vērtējums vairs neatspoguļo akciju patieso vērtību (piemēram, </w:t>
            </w:r>
            <w:r w:rsidR="00245E7A" w:rsidRPr="00622713">
              <w:t>būtiskas likviditātes problēmas</w:t>
            </w:r>
            <w:r w:rsidRPr="00622713">
              <w:t>).</w:t>
            </w:r>
          </w:p>
          <w:p w:rsidR="0091167E" w:rsidRDefault="0091167E" w:rsidP="0091167E">
            <w:pPr>
              <w:jc w:val="both"/>
            </w:pPr>
            <w:r>
              <w:t xml:space="preserve">Lai novērstu nodokļa dubultu uzlikšanu, ja akciju pirkuma tiesību īstenošanas brīdī ir veikts iedzīvotāju ienākuma nodokļa maksājums, vēlāk pārdodot akcijas, kuras </w:t>
            </w:r>
            <w:r>
              <w:lastRenderedPageBreak/>
              <w:t>iegūtas, īstenojot akciju pirkuma tiesības, par šo akciju iegādes vērtību uzskata akciju tirgus vērtību akciju pirkuma tiesību īstenošanas dienā.</w:t>
            </w:r>
          </w:p>
          <w:p w:rsidR="0091167E" w:rsidRDefault="0091167E" w:rsidP="0091167E">
            <w:pPr>
              <w:jc w:val="both"/>
            </w:pPr>
            <w:r>
              <w:t>Lai nodrošinātu, ka likum</w:t>
            </w:r>
            <w:r w:rsidR="001E3E6D">
              <w:t>projektā</w:t>
            </w:r>
            <w:r>
              <w:t xml:space="preserve"> noteiktais atvieglojums tiek izmantots sava īstā mērķa sasniegšanai – ar akciju pirkuma tiesību piešķiršanu darbiniekiem tos motivēt un piesaistīt uzņēmumam – likumprojektā ir iekļauts īpašs regulējums:</w:t>
            </w:r>
          </w:p>
          <w:p w:rsidR="0091167E" w:rsidRDefault="0091167E" w:rsidP="0091167E">
            <w:pPr>
              <w:pStyle w:val="ListParagraph"/>
              <w:numPr>
                <w:ilvl w:val="0"/>
                <w:numId w:val="18"/>
              </w:numPr>
              <w:ind w:left="269" w:hanging="269"/>
              <w:jc w:val="both"/>
            </w:pPr>
            <w:r>
              <w:t xml:space="preserve">likumprojekts paredz, ka gadījumos, kad akciju </w:t>
            </w:r>
            <w:r w:rsidR="001E3E6D">
              <w:t>pirkuma tiesību īstenošanas</w:t>
            </w:r>
            <w:r>
              <w:t xml:space="preserve"> plāns pieļauj akciju </w:t>
            </w:r>
            <w:r w:rsidR="001E3E6D">
              <w:t>pirkuma tiesību</w:t>
            </w:r>
            <w:r>
              <w:t xml:space="preserve"> atsavināšanu citai personai, </w:t>
            </w:r>
            <w:r w:rsidR="001E3E6D">
              <w:t>akciju pirkuma tiesību</w:t>
            </w:r>
            <w:r>
              <w:t xml:space="preserve"> īstenošanas brīdī darba devējam būs jāaprēķina tā darbinieka, kuram sākotnēji piešķirtas akciju </w:t>
            </w:r>
            <w:r w:rsidR="001E3E6D">
              <w:t>pirkuma tiesības</w:t>
            </w:r>
            <w:r>
              <w:t>, ar algas nodokli apliekamais ienākums (attiecīgi jānomaksā iedzīvotāju ienākuma nodoklis (algas nodoklis) un valsts obligātās sociālās apdrošināšanas iemaksas pēc likmes, kāda spēkā akciju pirkuma tiesību īstenošanas dienā</w:t>
            </w:r>
            <w:r w:rsidR="001E3E6D">
              <w:t>)</w:t>
            </w:r>
            <w:r>
              <w:t>;</w:t>
            </w:r>
          </w:p>
          <w:p w:rsidR="0091167E" w:rsidRDefault="0091167E" w:rsidP="0091167E">
            <w:pPr>
              <w:pStyle w:val="ListParagraph"/>
              <w:numPr>
                <w:ilvl w:val="0"/>
                <w:numId w:val="18"/>
              </w:numPr>
              <w:ind w:left="269" w:hanging="269"/>
              <w:jc w:val="both"/>
            </w:pPr>
            <w:r>
              <w:t xml:space="preserve">ja darbinieks, kuram sākotnēji piešķirtas akciju </w:t>
            </w:r>
            <w:r w:rsidR="001E3E6D">
              <w:t>pirkuma tiesības</w:t>
            </w:r>
            <w:r>
              <w:t xml:space="preserve">, uz akciju </w:t>
            </w:r>
            <w:r w:rsidR="001E3E6D">
              <w:t>pirkuma tiesību</w:t>
            </w:r>
            <w:r>
              <w:t xml:space="preserve"> īstenošanas brīdi vairs nebūs darba attiecībās ar attiecīgo darba devēju (kā arī neatbildīs kritērijiem, kurus izpildot piešķir nodokļu atbrīvojumu), akciju </w:t>
            </w:r>
            <w:r w:rsidR="001E3E6D">
              <w:t>pirkuma tiesību</w:t>
            </w:r>
            <w:r>
              <w:t xml:space="preserve"> īstenošanas brīdī darba devējs aprēķinās ar algas nodokli apliekamo ienākumu, kuru attiecinās uz bijušā darbinieka nodarbinātības pēdējo mēnesi (attiecīgi jānomaksā iedzīvotāju ienākuma nodoklis (algas nodoklis) un valsts obligātās sociālās apdrošināšanas iemaksas pēc likmes, kāda spēkā dienā, kad darbinieks pārtraucis darba attiecības ar attiecīgo darba devēju);</w:t>
            </w:r>
          </w:p>
          <w:p w:rsidR="0091167E" w:rsidRDefault="0091167E" w:rsidP="0091167E">
            <w:pPr>
              <w:pStyle w:val="ListParagraph"/>
              <w:numPr>
                <w:ilvl w:val="0"/>
                <w:numId w:val="18"/>
              </w:numPr>
              <w:ind w:left="269" w:hanging="269"/>
              <w:jc w:val="both"/>
            </w:pPr>
            <w:r>
              <w:t xml:space="preserve">attiecībā uz darbinieka gūto ienākumu, atsavinot akciju </w:t>
            </w:r>
            <w:r w:rsidR="00BD77A2">
              <w:t>pirkuma</w:t>
            </w:r>
            <w:r w:rsidR="00F042F5">
              <w:t xml:space="preserve"> tiesības</w:t>
            </w:r>
            <w:r>
              <w:t xml:space="preserve">, tiks piemēroti </w:t>
            </w:r>
            <w:r w:rsidR="0009421C">
              <w:t>L</w:t>
            </w:r>
            <w:r>
              <w:t>ikuma 11.</w:t>
            </w:r>
            <w:r w:rsidRPr="00D90E2E">
              <w:rPr>
                <w:vertAlign w:val="superscript"/>
              </w:rPr>
              <w:t>9</w:t>
            </w:r>
            <w:r>
              <w:t xml:space="preserve"> panta noteikumi par kapitāla pieauguma apliekamā ienākuma noteikšanu vispārējā kārtībā.</w:t>
            </w:r>
          </w:p>
          <w:p w:rsidR="0091167E" w:rsidRDefault="0091167E" w:rsidP="0091167E">
            <w:pPr>
              <w:jc w:val="both"/>
            </w:pPr>
            <w:r>
              <w:t>Likumprojekts paredz arī pārejas noteikumus, nosakot, ka likumā noteikto atvieglojumu var piemērot arī tad, ja akciju pirkuma tiesības ir piešķirtas līdz likuma spēkā stāšanās brīdim (31.12.2012.), bet akciju pirkuma tiesību īstenošanu sabiedrība uzsāk pēc likuma spēkā stāšanās (ar 01.01.2013.).</w:t>
            </w:r>
          </w:p>
          <w:p w:rsidR="00DD27D9" w:rsidRDefault="00DD27D9" w:rsidP="00DD27D9">
            <w:pPr>
              <w:jc w:val="both"/>
              <w:rPr>
                <w:i/>
                <w:sz w:val="22"/>
                <w:u w:val="single"/>
              </w:rPr>
            </w:pPr>
            <w:r w:rsidRPr="00516403">
              <w:rPr>
                <w:i/>
                <w:sz w:val="22"/>
                <w:u w:val="single"/>
              </w:rPr>
              <w:t xml:space="preserve">Likuma 8.panta </w:t>
            </w:r>
            <w:r>
              <w:rPr>
                <w:i/>
                <w:sz w:val="22"/>
                <w:u w:val="single"/>
              </w:rPr>
              <w:t>trešās daļas 12.</w:t>
            </w:r>
            <w:r w:rsidRPr="006B7BCF">
              <w:rPr>
                <w:i/>
                <w:sz w:val="22"/>
                <w:u w:val="single"/>
                <w:vertAlign w:val="superscript"/>
              </w:rPr>
              <w:t>2</w:t>
            </w:r>
            <w:r>
              <w:rPr>
                <w:i/>
                <w:sz w:val="22"/>
                <w:u w:val="single"/>
              </w:rPr>
              <w:t xml:space="preserve"> punkts un </w:t>
            </w:r>
            <w:r>
              <w:rPr>
                <w:i/>
                <w:sz w:val="22"/>
                <w:u w:val="single"/>
              </w:rPr>
              <w:lastRenderedPageBreak/>
              <w:t>divpadsmitā daļa, 17.</w:t>
            </w:r>
            <w:r w:rsidRPr="006B7BCF">
              <w:rPr>
                <w:i/>
                <w:sz w:val="22"/>
                <w:u w:val="single"/>
                <w:vertAlign w:val="superscript"/>
              </w:rPr>
              <w:t>3</w:t>
            </w:r>
            <w:r w:rsidR="005554F2">
              <w:rPr>
                <w:i/>
                <w:sz w:val="22"/>
                <w:u w:val="single"/>
              </w:rPr>
              <w:t xml:space="preserve"> pants</w:t>
            </w:r>
          </w:p>
          <w:p w:rsidR="00E3717E" w:rsidRDefault="00B5251F" w:rsidP="00B332AA">
            <w:pPr>
              <w:jc w:val="both"/>
            </w:pPr>
            <w:r>
              <w:t xml:space="preserve">Likumprojekts </w:t>
            </w:r>
            <w:r w:rsidR="00DD27D9">
              <w:t xml:space="preserve">paredz ieviest nodokļu </w:t>
            </w:r>
            <w:proofErr w:type="spellStart"/>
            <w:r w:rsidR="00DD27D9">
              <w:t>pretizvairīšanās</w:t>
            </w:r>
            <w:proofErr w:type="spellEnd"/>
            <w:r w:rsidR="00DD27D9">
              <w:t xml:space="preserve"> normas attiecībā uz tāda ienākuma aplikšanu ar nodokli, kas </w:t>
            </w:r>
            <w:r w:rsidR="00BD77A2">
              <w:t xml:space="preserve">iedzīvotāju ienākuma nodokļa </w:t>
            </w:r>
            <w:r w:rsidR="00DD27D9">
              <w:t xml:space="preserve">maksātājam pienākas no tā līdzdalības zemu nodokļu un beznodokļu valstu vai teritoriju sabiedrībās, </w:t>
            </w:r>
            <w:proofErr w:type="spellStart"/>
            <w:r w:rsidR="00DD27D9">
              <w:t>trastos</w:t>
            </w:r>
            <w:proofErr w:type="spellEnd"/>
            <w:r w:rsidR="00DD27D9">
              <w:t xml:space="preserve"> vai citos juridiskos veidojumos</w:t>
            </w:r>
            <w:r w:rsidR="00BD77A2">
              <w:t xml:space="preserve"> (turpmāk – ārvalstu sabiedrībās)</w:t>
            </w:r>
            <w:r w:rsidR="00DD27D9">
              <w:t xml:space="preserve">. Paredzēts, ka ar nodokli tiks aplikts uz maksātāju attiecināmais ārvalstu sabiedrības ienākums, ja maksātāja līdzdalība ārvalstu sabiedrībā ir būtiska - 25% un vairāk,- neatkarīgi no tā, ka šis ienākums nav ticis sadalīts dividendēs. </w:t>
            </w:r>
          </w:p>
          <w:p w:rsidR="00E3717E" w:rsidRDefault="00174F40" w:rsidP="00B332AA">
            <w:pPr>
              <w:jc w:val="both"/>
              <w:rPr>
                <w:rFonts w:eastAsia="Calibri"/>
                <w:lang w:eastAsia="en-US"/>
              </w:rPr>
            </w:pPr>
            <w:r w:rsidRPr="00C7007D">
              <w:rPr>
                <w:rFonts w:eastAsia="Calibri"/>
                <w:lang w:eastAsia="en-US"/>
              </w:rPr>
              <w:t xml:space="preserve">Tā kā ar ārvalstu sabiedrību likumprojekta izpratnē saprot arī ārvalstu nodibinājumu, trastu vai citu juridisku veidojumu, būtisku līdzdalību vai ietekmi var nodrošināt ne tikai ar līdzdalību ārvalsts sabiedrības pamatkapitālā, balsstiesībās, bet arī ar citām ar līgumu nodibinātām tiesībām, kas maksātājam (rezidentam) nodrošina būtisku ietekmi vai kas ļauj piedalīties ārvalstu nodibinājuma, trasta vai cita juridiska veidojuma </w:t>
            </w:r>
            <w:r w:rsidR="00C7007D">
              <w:rPr>
                <w:rFonts w:eastAsia="Calibri"/>
                <w:lang w:eastAsia="en-US"/>
              </w:rPr>
              <w:t xml:space="preserve">darbības rezultātā gūtās </w:t>
            </w:r>
            <w:r w:rsidRPr="00C7007D">
              <w:rPr>
                <w:rFonts w:eastAsia="Calibri"/>
                <w:lang w:eastAsia="en-US"/>
              </w:rPr>
              <w:t xml:space="preserve">peļņas (aktīvu vērtības pieauguma) sadalē, piemēram ar līgumu nodibinātām tiesībām uz ienākumiem no trasta pārvaldījumā nodotiem aktīviem (nekustamā īpašuma). </w:t>
            </w:r>
          </w:p>
          <w:p w:rsidR="00174F40" w:rsidRPr="00C7007D" w:rsidRDefault="00C7007D" w:rsidP="00E3717E">
            <w:pPr>
              <w:jc w:val="both"/>
              <w:rPr>
                <w:iCs/>
                <w:lang w:eastAsia="en-US"/>
              </w:rPr>
            </w:pPr>
            <w:r>
              <w:rPr>
                <w:rFonts w:eastAsia="Calibri"/>
                <w:lang w:eastAsia="en-US"/>
              </w:rPr>
              <w:t>Tāpat trasta pārvaldījumā iespējams nodot</w:t>
            </w:r>
            <w:r>
              <w:rPr>
                <w:rFonts w:eastAsia="Calibri"/>
                <w:sz w:val="28"/>
                <w:lang w:eastAsia="en-US"/>
              </w:rPr>
              <w:t xml:space="preserve"> </w:t>
            </w:r>
            <w:r w:rsidRPr="00C7007D">
              <w:rPr>
                <w:rFonts w:eastAsia="Calibri"/>
                <w:lang w:eastAsia="en-US"/>
              </w:rPr>
              <w:t xml:space="preserve">tādas </w:t>
            </w:r>
            <w:r>
              <w:rPr>
                <w:rFonts w:eastAsia="Calibri"/>
                <w:lang w:eastAsia="en-US"/>
              </w:rPr>
              <w:t xml:space="preserve">ārvalsts </w:t>
            </w:r>
            <w:r w:rsidRPr="00C7007D">
              <w:rPr>
                <w:rFonts w:eastAsia="Calibri"/>
                <w:lang w:eastAsia="en-US"/>
              </w:rPr>
              <w:t>k</w:t>
            </w:r>
            <w:r>
              <w:rPr>
                <w:rFonts w:eastAsia="Calibri"/>
                <w:lang w:eastAsia="en-US"/>
              </w:rPr>
              <w:t xml:space="preserve">apitālsabiedrības daļas vai akcijas, kura ir reģistrēta, izveidota vai atrodas </w:t>
            </w:r>
            <w:r w:rsidRPr="00C7007D">
              <w:rPr>
                <w:rFonts w:eastAsia="Calibri"/>
                <w:lang w:eastAsia="en-US"/>
              </w:rPr>
              <w:t>zemu nodokļu</w:t>
            </w:r>
            <w:r>
              <w:rPr>
                <w:rFonts w:eastAsia="Calibri"/>
                <w:lang w:eastAsia="en-US"/>
              </w:rPr>
              <w:t xml:space="preserve"> vai beznodokļu valstī vai teritorijā. Šajā gadījumā nodokļa maksātājs savas tiesības attiecībā uz minētās kapitālsabiedrības peļņas sadali īstenos </w:t>
            </w:r>
            <w:r w:rsidR="00D574D9">
              <w:rPr>
                <w:rFonts w:eastAsia="Calibri"/>
                <w:lang w:eastAsia="en-US"/>
              </w:rPr>
              <w:t xml:space="preserve">nevis </w:t>
            </w:r>
            <w:r>
              <w:rPr>
                <w:rFonts w:eastAsia="Calibri"/>
                <w:lang w:eastAsia="en-US"/>
              </w:rPr>
              <w:t>uz līdzdalības kapitālsabiedrības pamatkapitālā vai balss tiesīb</w:t>
            </w:r>
            <w:r w:rsidR="00D574D9">
              <w:rPr>
                <w:rFonts w:eastAsia="Calibri"/>
                <w:lang w:eastAsia="en-US"/>
              </w:rPr>
              <w:t>u pamata</w:t>
            </w:r>
            <w:r>
              <w:rPr>
                <w:rFonts w:eastAsia="Calibri"/>
                <w:lang w:eastAsia="en-US"/>
              </w:rPr>
              <w:t>, bet uz citu tiesību pamata.</w:t>
            </w:r>
          </w:p>
          <w:p w:rsidR="00AB64D2" w:rsidRPr="008C6A18" w:rsidRDefault="00BD77A2" w:rsidP="006E5C03">
            <w:pPr>
              <w:pStyle w:val="CommentText"/>
              <w:jc w:val="both"/>
              <w:rPr>
                <w:sz w:val="24"/>
                <w:szCs w:val="24"/>
                <w:lang w:val="lv-LV"/>
              </w:rPr>
            </w:pPr>
            <w:r w:rsidRPr="008C6A18">
              <w:rPr>
                <w:sz w:val="24"/>
                <w:szCs w:val="24"/>
                <w:lang w:val="lv-LV"/>
              </w:rPr>
              <w:t xml:space="preserve">Minēto ienākumu nodokļa maksātājam jādeklarē rezumējošā kārtībā. </w:t>
            </w:r>
            <w:r w:rsidR="00DD27D9" w:rsidRPr="008C6A18">
              <w:rPr>
                <w:sz w:val="24"/>
                <w:szCs w:val="24"/>
                <w:lang w:val="lv-LV"/>
              </w:rPr>
              <w:t xml:space="preserve">Savukārt vēlākas dividenžu izmaksas gadījumā nodoklis šim ienākumam otrreiz </w:t>
            </w:r>
            <w:r w:rsidR="00F042F5" w:rsidRPr="008C6A18">
              <w:rPr>
                <w:sz w:val="24"/>
                <w:szCs w:val="24"/>
                <w:lang w:val="lv-LV"/>
              </w:rPr>
              <w:t xml:space="preserve">netiek </w:t>
            </w:r>
            <w:r w:rsidR="00DD27D9" w:rsidRPr="008C6A18">
              <w:rPr>
                <w:sz w:val="24"/>
                <w:szCs w:val="24"/>
                <w:lang w:val="lv-LV"/>
              </w:rPr>
              <w:t>uzlikts.</w:t>
            </w:r>
            <w:r w:rsidR="00AB64D2" w:rsidRPr="008C6A18">
              <w:rPr>
                <w:iCs w:val="0"/>
                <w:sz w:val="24"/>
                <w:szCs w:val="24"/>
                <w:lang w:val="lv-LV"/>
              </w:rPr>
              <w:t xml:space="preserve"> Likums arī paredz, ka aprēķināto nodokli var samazināt par </w:t>
            </w:r>
            <w:r w:rsidR="00AB64D2" w:rsidRPr="008C6A18">
              <w:rPr>
                <w:sz w:val="24"/>
                <w:szCs w:val="24"/>
                <w:lang w:val="lv-LV"/>
              </w:rPr>
              <w:t>ārvalstu kapitālsabiedrības līmenī samaksāto nodokļa daļu, kura ir proporcionāla peļņas daļai, kuru var attiecināt  uz nodokļa maksātāju.</w:t>
            </w:r>
          </w:p>
          <w:p w:rsidR="006A3B65" w:rsidRPr="0004029B" w:rsidRDefault="006A3B65" w:rsidP="006A3B65">
            <w:pPr>
              <w:pStyle w:val="NormalWeb"/>
              <w:spacing w:before="0" w:beforeAutospacing="0" w:after="0" w:afterAutospacing="0"/>
              <w:jc w:val="both"/>
              <w:rPr>
                <w:i/>
                <w:iCs/>
                <w:sz w:val="22"/>
                <w:szCs w:val="22"/>
                <w:u w:val="single"/>
                <w:lang w:eastAsia="en-US"/>
              </w:rPr>
            </w:pPr>
            <w:r w:rsidRPr="0004029B">
              <w:rPr>
                <w:i/>
                <w:iCs/>
                <w:sz w:val="22"/>
                <w:szCs w:val="22"/>
                <w:u w:val="single"/>
                <w:lang w:eastAsia="en-US"/>
              </w:rPr>
              <w:t>Likuma 11.panta papildināšana ar 1.</w:t>
            </w:r>
            <w:r w:rsidRPr="0004029B">
              <w:rPr>
                <w:i/>
                <w:iCs/>
                <w:sz w:val="22"/>
                <w:szCs w:val="22"/>
                <w:u w:val="single"/>
                <w:vertAlign w:val="superscript"/>
                <w:lang w:eastAsia="en-US"/>
              </w:rPr>
              <w:t>5</w:t>
            </w:r>
            <w:r w:rsidR="005554F2" w:rsidRPr="0004029B">
              <w:rPr>
                <w:i/>
                <w:iCs/>
                <w:sz w:val="22"/>
                <w:szCs w:val="22"/>
                <w:u w:val="single"/>
                <w:lang w:eastAsia="en-US"/>
              </w:rPr>
              <w:t xml:space="preserve"> daļu</w:t>
            </w:r>
          </w:p>
          <w:p w:rsidR="00FD7368" w:rsidRDefault="006A3B65" w:rsidP="006A3B65">
            <w:pPr>
              <w:jc w:val="both"/>
              <w:rPr>
                <w:szCs w:val="28"/>
              </w:rPr>
            </w:pPr>
            <w:r>
              <w:rPr>
                <w:bCs/>
              </w:rPr>
              <w:t>L</w:t>
            </w:r>
            <w:r w:rsidRPr="00CF5899">
              <w:rPr>
                <w:bCs/>
              </w:rPr>
              <w:t>ikum</w:t>
            </w:r>
            <w:r>
              <w:rPr>
                <w:bCs/>
              </w:rPr>
              <w:t>projektā</w:t>
            </w:r>
            <w:r w:rsidRPr="00CF5899">
              <w:rPr>
                <w:bCs/>
              </w:rPr>
              <w:t xml:space="preserve"> ir </w:t>
            </w:r>
            <w:r>
              <w:rPr>
                <w:bCs/>
              </w:rPr>
              <w:t>noteikts</w:t>
            </w:r>
            <w:r w:rsidRPr="00CF5899">
              <w:rPr>
                <w:bCs/>
              </w:rPr>
              <w:t xml:space="preserve">, ka </w:t>
            </w:r>
            <w:r w:rsidRPr="00CF5899">
              <w:rPr>
                <w:szCs w:val="28"/>
              </w:rPr>
              <w:t>fiziskās personas ienākuma gūšana no metāllūžņu pārdošanas nav kvalificējama par saimniecisko darbību</w:t>
            </w:r>
            <w:r w:rsidR="00FD7368">
              <w:rPr>
                <w:szCs w:val="28"/>
              </w:rPr>
              <w:t xml:space="preserve"> neatkarīgi no šā panta 1.</w:t>
            </w:r>
            <w:r w:rsidR="00FD7368">
              <w:rPr>
                <w:szCs w:val="28"/>
                <w:vertAlign w:val="superscript"/>
              </w:rPr>
              <w:t>3</w:t>
            </w:r>
            <w:r w:rsidR="00FD7368">
              <w:rPr>
                <w:szCs w:val="28"/>
              </w:rPr>
              <w:t xml:space="preserve"> daļā minēto kritēriju </w:t>
            </w:r>
            <w:r w:rsidR="00FD7368">
              <w:rPr>
                <w:szCs w:val="28"/>
              </w:rPr>
              <w:lastRenderedPageBreak/>
              <w:t>izpildes, izņemot gadījumu, kad metāllūžņus pārdod individuālais komersants, kurš atbilstoši Latvijas Republikas normatīvajos aktos noteiktā kārtībā saņēmis licenci melno un krāsaino metālu atgriezumu un lūžņu iepirkšanai Latvijas Republikā</w:t>
            </w:r>
            <w:r w:rsidR="00FD7368" w:rsidRPr="00376488">
              <w:rPr>
                <w:szCs w:val="28"/>
              </w:rPr>
              <w:t>.</w:t>
            </w:r>
            <w:r w:rsidR="00FD7368">
              <w:rPr>
                <w:szCs w:val="28"/>
              </w:rPr>
              <w:t xml:space="preserve"> Tādējādi fiziska persona, kas regulāri nodarbojas ar metāllūžņu vākšanu un nodošanu, neatkarīgi no darījumu skaita nereģistrējas kā saimnieciskās darbības veicējs.</w:t>
            </w:r>
          </w:p>
          <w:p w:rsidR="00FD7368" w:rsidRPr="00FD7368" w:rsidRDefault="00FD7368" w:rsidP="00FD7368">
            <w:pPr>
              <w:jc w:val="both"/>
              <w:rPr>
                <w:i/>
                <w:sz w:val="22"/>
                <w:szCs w:val="28"/>
                <w:u w:val="single"/>
              </w:rPr>
            </w:pPr>
            <w:r w:rsidRPr="00FD7368">
              <w:rPr>
                <w:i/>
                <w:sz w:val="22"/>
                <w:szCs w:val="28"/>
                <w:u w:val="single"/>
              </w:rPr>
              <w:t>Likuma 11.panta papildināšana ar astoņpadsmito daļu</w:t>
            </w:r>
          </w:p>
          <w:p w:rsidR="00FD7368" w:rsidRDefault="00FD7368" w:rsidP="006A3B65">
            <w:pPr>
              <w:jc w:val="both"/>
            </w:pPr>
            <w:r w:rsidRPr="00B332AA">
              <w:t xml:space="preserve">Likumprojekts paredz, ka maksātājs, ko uz uzņēmuma līguma pamata nodarbina komersants, individuālais uzņēmums (arī zemnieku vai zvejnieku saimniecība), kooperatīvā sabiedrība, nerezidenta pastāvīgā pārstāvniecība, iestāde, organizācija, biedrība, nodibinājums vai fiziska persona, kas reģistrēta kā saimnieciskās darbības veicēja, var nereģistrēties Valsts ieņēmumu dienestā kā saimnieciskās darbības veicējs. Šajā gadījumā maksātājs, nosakot ar nodokli apliekamo ienākumu, nav tiesīgs piemērot saimnieciskās darbības izdevumus. Tādējādi tiek nodrošināts, ka maksātājam neveidojas administratīvais slogs, ikreiz reģistrēties Valsts ieņēmumu dienestā kā saimnieciskās darbības veicējam, savukārt informāciju par personām, kas darbojas uz uzņēmuma līguma pamata tiks saņemts no pakalpojuma saņēmēja, kas arī ietur nodokli </w:t>
            </w:r>
            <w:r w:rsidR="00DE13CE">
              <w:t>L</w:t>
            </w:r>
            <w:r w:rsidRPr="00B332AA">
              <w:t>ikuma 17.panta desmitās daļas 17.punktā noteiktajā kārtībā.</w:t>
            </w:r>
            <w:r w:rsidR="00852981" w:rsidRPr="00B332AA">
              <w:t xml:space="preserve"> </w:t>
            </w:r>
          </w:p>
          <w:p w:rsidR="008622D0" w:rsidRPr="00622713" w:rsidRDefault="008622D0" w:rsidP="006A3B65">
            <w:pPr>
              <w:jc w:val="both"/>
            </w:pPr>
            <w:r w:rsidRPr="00622713">
              <w:t>L</w:t>
            </w:r>
            <w:r w:rsidR="00DE13CE" w:rsidRPr="00622713">
              <w:t>īdz ar L</w:t>
            </w:r>
            <w:r w:rsidRPr="00622713">
              <w:t>ikuma 11.panta papildināšanu ar astoņpadsmito daļu, nepieciešams izslēgt pārejas noteikumu 84.punktu.</w:t>
            </w:r>
          </w:p>
          <w:p w:rsidR="00840E78" w:rsidRPr="003E28F7" w:rsidRDefault="00840E78" w:rsidP="00840E78">
            <w:pPr>
              <w:pStyle w:val="NormalWeb"/>
              <w:spacing w:before="0" w:beforeAutospacing="0" w:after="0" w:afterAutospacing="0"/>
              <w:jc w:val="both"/>
              <w:rPr>
                <w:i/>
                <w:iCs/>
                <w:sz w:val="22"/>
                <w:szCs w:val="22"/>
                <w:u w:val="single"/>
                <w:lang w:eastAsia="en-US"/>
              </w:rPr>
            </w:pPr>
            <w:r w:rsidRPr="003E28F7">
              <w:rPr>
                <w:i/>
                <w:iCs/>
                <w:sz w:val="22"/>
                <w:szCs w:val="22"/>
                <w:u w:val="single"/>
                <w:lang w:eastAsia="en-US"/>
              </w:rPr>
              <w:t>Grozījumi likuma 17.panta sestajā daļā</w:t>
            </w:r>
          </w:p>
          <w:p w:rsidR="00840E78" w:rsidRDefault="00840E78" w:rsidP="00840E78">
            <w:pPr>
              <w:jc w:val="both"/>
              <w:rPr>
                <w:szCs w:val="28"/>
              </w:rPr>
            </w:pPr>
            <w:r>
              <w:t xml:space="preserve">Turpmāk </w:t>
            </w:r>
            <w:r w:rsidRPr="001A115A">
              <w:rPr>
                <w:szCs w:val="28"/>
              </w:rPr>
              <w:t>darba devējs pēc pieprasījuma izsnie</w:t>
            </w:r>
            <w:r>
              <w:rPr>
                <w:szCs w:val="28"/>
              </w:rPr>
              <w:t>gs</w:t>
            </w:r>
            <w:r w:rsidRPr="001A115A">
              <w:rPr>
                <w:szCs w:val="28"/>
              </w:rPr>
              <w:t xml:space="preserve"> </w:t>
            </w:r>
            <w:r>
              <w:rPr>
                <w:szCs w:val="28"/>
              </w:rPr>
              <w:t>darbiniekam</w:t>
            </w:r>
            <w:r w:rsidRPr="001A115A">
              <w:rPr>
                <w:szCs w:val="28"/>
              </w:rPr>
              <w:t xml:space="preserve"> paziņojumu par fiziskajai personai izmaksātajām summām</w:t>
            </w:r>
            <w:r>
              <w:rPr>
                <w:szCs w:val="28"/>
              </w:rPr>
              <w:t xml:space="preserve"> darba attiecību izbeigšanas dienā,</w:t>
            </w:r>
            <w:r w:rsidRPr="001A115A">
              <w:rPr>
                <w:szCs w:val="28"/>
              </w:rPr>
              <w:t xml:space="preserve"> </w:t>
            </w:r>
            <w:r>
              <w:rPr>
                <w:szCs w:val="28"/>
              </w:rPr>
              <w:t>j</w:t>
            </w:r>
            <w:r w:rsidRPr="001A115A">
              <w:rPr>
                <w:szCs w:val="28"/>
              </w:rPr>
              <w:t xml:space="preserve">a ar </w:t>
            </w:r>
            <w:r>
              <w:rPr>
                <w:szCs w:val="28"/>
              </w:rPr>
              <w:t>darbinieku</w:t>
            </w:r>
            <w:r w:rsidRPr="001A115A">
              <w:rPr>
                <w:szCs w:val="28"/>
              </w:rPr>
              <w:t xml:space="preserve"> darba attiecības ir izbeigušās pirms taksācijas</w:t>
            </w:r>
            <w:r>
              <w:rPr>
                <w:szCs w:val="28"/>
              </w:rPr>
              <w:t xml:space="preserve"> gada beigām.</w:t>
            </w:r>
          </w:p>
          <w:p w:rsidR="005554F2" w:rsidRPr="003E28F7" w:rsidRDefault="005554F2" w:rsidP="00840E78">
            <w:pPr>
              <w:jc w:val="both"/>
              <w:rPr>
                <w:i/>
                <w:sz w:val="22"/>
                <w:szCs w:val="22"/>
                <w:u w:val="single"/>
              </w:rPr>
            </w:pPr>
            <w:r w:rsidRPr="003E28F7">
              <w:rPr>
                <w:i/>
                <w:sz w:val="22"/>
                <w:szCs w:val="22"/>
                <w:u w:val="single"/>
              </w:rPr>
              <w:t>Grozījumi likuma 3.panta trešās daļas 11.punktā, 9.panta pirmās daļas 6.punktā, 13.panta pirmās daļas 1.punktā un 3.</w:t>
            </w:r>
            <w:r w:rsidRPr="003E28F7">
              <w:rPr>
                <w:i/>
                <w:sz w:val="22"/>
                <w:szCs w:val="22"/>
                <w:u w:val="single"/>
                <w:vertAlign w:val="superscript"/>
              </w:rPr>
              <w:t>3</w:t>
            </w:r>
            <w:r w:rsidR="009C3215">
              <w:rPr>
                <w:i/>
                <w:sz w:val="22"/>
                <w:szCs w:val="22"/>
                <w:u w:val="single"/>
              </w:rPr>
              <w:t>daļā</w:t>
            </w:r>
          </w:p>
          <w:p w:rsidR="00A02463" w:rsidRDefault="00A02463" w:rsidP="00840E78">
            <w:pPr>
              <w:jc w:val="both"/>
            </w:pPr>
            <w:r>
              <w:t>Likumprojektā veikti re</w:t>
            </w:r>
            <w:r w:rsidR="005554F2">
              <w:t>dakcionāla rakstura precizējumi, kas precizē terminus, nosaka konkrētāku atvieglojuma par apgādībā esošu personu piemērošanas kārtību, ja persona</w:t>
            </w:r>
            <w:r w:rsidR="005D6585">
              <w:t>i</w:t>
            </w:r>
            <w:r w:rsidR="005554F2">
              <w:t xml:space="preserve"> </w:t>
            </w:r>
            <w:r w:rsidR="005D6585">
              <w:t>ir piešķirta pensija, kā arī precizē</w:t>
            </w:r>
            <w:r w:rsidR="001F6564">
              <w:t xml:space="preserve"> minētā iedzīvotāju ienākuma nodokļa atvieglojuma </w:t>
            </w:r>
            <w:r w:rsidR="001F6564">
              <w:lastRenderedPageBreak/>
              <w:t xml:space="preserve">piemērošanu, ja apgādībā esošā </w:t>
            </w:r>
            <w:r w:rsidR="001F6564" w:rsidRPr="001F6564">
              <w:t xml:space="preserve">persona </w:t>
            </w:r>
            <w:r w:rsidR="001F6564">
              <w:t xml:space="preserve">turpina </w:t>
            </w:r>
            <w:r w:rsidR="001F6564" w:rsidRPr="001F6564">
              <w:t>vispārējās, profesionālās, augstākās vai speciālās izglītības iegūšanu</w:t>
            </w:r>
            <w:r w:rsidR="001F6564">
              <w:t>.</w:t>
            </w:r>
          </w:p>
          <w:p w:rsidR="00485119" w:rsidRPr="003E28F7" w:rsidRDefault="00485119" w:rsidP="00485119">
            <w:pPr>
              <w:jc w:val="both"/>
              <w:rPr>
                <w:i/>
                <w:sz w:val="22"/>
                <w:szCs w:val="22"/>
                <w:u w:val="single"/>
              </w:rPr>
            </w:pPr>
            <w:r w:rsidRPr="003E28F7">
              <w:rPr>
                <w:i/>
                <w:sz w:val="22"/>
                <w:szCs w:val="22"/>
                <w:u w:val="single"/>
              </w:rPr>
              <w:t>Likuma pārejas noteikumu 45.</w:t>
            </w:r>
            <w:r w:rsidRPr="003E28F7">
              <w:rPr>
                <w:i/>
                <w:sz w:val="22"/>
                <w:szCs w:val="22"/>
                <w:u w:val="single"/>
                <w:vertAlign w:val="superscript"/>
              </w:rPr>
              <w:t>1</w:t>
            </w:r>
            <w:r w:rsidRPr="003E28F7">
              <w:rPr>
                <w:i/>
                <w:sz w:val="22"/>
                <w:szCs w:val="22"/>
                <w:u w:val="single"/>
              </w:rPr>
              <w:t>punkts</w:t>
            </w:r>
          </w:p>
          <w:p w:rsidR="00485119" w:rsidRDefault="00485119" w:rsidP="00840E78">
            <w:pPr>
              <w:jc w:val="both"/>
            </w:pPr>
            <w:r w:rsidRPr="0064595D">
              <w:t>Likumprojektā tie</w:t>
            </w:r>
            <w:r>
              <w:t>k</w:t>
            </w:r>
            <w:r w:rsidRPr="0064595D">
              <w:t xml:space="preserve"> noteikts, ka </w:t>
            </w:r>
            <w:r>
              <w:t>L</w:t>
            </w:r>
            <w:r w:rsidRPr="0064595D">
              <w:t>ikuma pārejas noteikumu 45.punktā paredzēto grozījumu spēkā stāšanās tiek atcelta</w:t>
            </w:r>
            <w:r>
              <w:t>.</w:t>
            </w:r>
          </w:p>
          <w:p w:rsidR="002F0793" w:rsidRPr="0004029B" w:rsidRDefault="002F0793" w:rsidP="002F0793">
            <w:pPr>
              <w:jc w:val="both"/>
              <w:rPr>
                <w:i/>
                <w:sz w:val="22"/>
                <w:szCs w:val="22"/>
                <w:u w:val="single"/>
              </w:rPr>
            </w:pPr>
            <w:r w:rsidRPr="0004029B">
              <w:rPr>
                <w:i/>
                <w:sz w:val="22"/>
                <w:szCs w:val="22"/>
                <w:u w:val="single"/>
              </w:rPr>
              <w:t xml:space="preserve">Likuma pārejas noteikumu </w:t>
            </w:r>
            <w:r>
              <w:rPr>
                <w:i/>
                <w:sz w:val="22"/>
                <w:szCs w:val="22"/>
                <w:u w:val="single"/>
              </w:rPr>
              <w:t>9</w:t>
            </w:r>
            <w:r w:rsidRPr="0004029B">
              <w:rPr>
                <w:i/>
                <w:sz w:val="22"/>
                <w:szCs w:val="22"/>
                <w:u w:val="single"/>
              </w:rPr>
              <w:t>5</w:t>
            </w:r>
            <w:r>
              <w:rPr>
                <w:i/>
                <w:sz w:val="22"/>
                <w:szCs w:val="22"/>
                <w:u w:val="single"/>
              </w:rPr>
              <w:t>.</w:t>
            </w:r>
            <w:r w:rsidRPr="0004029B">
              <w:rPr>
                <w:i/>
                <w:sz w:val="22"/>
                <w:szCs w:val="22"/>
                <w:u w:val="single"/>
              </w:rPr>
              <w:t>punkts</w:t>
            </w:r>
          </w:p>
          <w:p w:rsidR="005554F2" w:rsidRPr="00537DFF" w:rsidRDefault="002F0793" w:rsidP="00485119">
            <w:pPr>
              <w:jc w:val="both"/>
            </w:pPr>
            <w:r>
              <w:t xml:space="preserve">Kā </w:t>
            </w:r>
            <w:r w:rsidRPr="00C363FF">
              <w:t>daļēj</w:t>
            </w:r>
            <w:r>
              <w:t>u</w:t>
            </w:r>
            <w:r w:rsidRPr="00C363FF">
              <w:t xml:space="preserve"> kompromisa variant</w:t>
            </w:r>
            <w:r>
              <w:t xml:space="preserve">u Latvijas zemnieku salīdzinoši zemāko ienākumu problēmas risinājumam Likumprojekts paredz </w:t>
            </w:r>
            <w:r w:rsidRPr="00C363FF">
              <w:t xml:space="preserve"> attiecībā uz valsts atbalsta vai Eiropas Savienības atbalsta lauksaimniecībai un lauku attīstībai ietvaros saņemto maksājumu aplikšanu ar ienākuma nodokļiem (iedzīvotāju ienākuma nodokli un uzņēmumu ienākuma nodokli) iespēj</w:t>
            </w:r>
            <w:r>
              <w:t>u</w:t>
            </w:r>
            <w:r w:rsidRPr="00C363FF">
              <w:t xml:space="preserve">, kamēr Latvijas zemnieku saņemtie atbalsta maksājumi salīdzinājumā ar ES vidējo līmeni ir nesamērīgi zemi, pārejas pasākuma ietvaros 2013.gadā minētos ienākuma veidus atbrīvot no iedzīvotāju ienākuma nodokļa. </w:t>
            </w:r>
          </w:p>
        </w:tc>
      </w:tr>
      <w:tr w:rsidR="00DC36D0" w:rsidRPr="00353A9E" w:rsidTr="00CB6A1F">
        <w:trPr>
          <w:trHeight w:val="208"/>
          <w:tblCellSpacing w:w="0" w:type="dxa"/>
        </w:trPr>
        <w:tc>
          <w:tcPr>
            <w:tcW w:w="821" w:type="dxa"/>
            <w:gridSpan w:val="4"/>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lastRenderedPageBreak/>
              <w:t> 5.</w:t>
            </w:r>
          </w:p>
        </w:tc>
        <w:tc>
          <w:tcPr>
            <w:tcW w:w="3426"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Projekta izstrādē iesaistītās institūcijas</w:t>
            </w:r>
          </w:p>
        </w:tc>
        <w:tc>
          <w:tcPr>
            <w:tcW w:w="4854" w:type="dxa"/>
            <w:gridSpan w:val="4"/>
            <w:tcBorders>
              <w:top w:val="outset" w:sz="6" w:space="0" w:color="auto"/>
              <w:left w:val="outset" w:sz="6" w:space="0" w:color="auto"/>
              <w:bottom w:val="outset" w:sz="6" w:space="0" w:color="auto"/>
              <w:right w:val="outset" w:sz="6" w:space="0" w:color="auto"/>
            </w:tcBorders>
            <w:hideMark/>
          </w:tcPr>
          <w:p w:rsidR="0091167E" w:rsidRPr="003E28F7" w:rsidRDefault="0091167E" w:rsidP="0091167E">
            <w:pPr>
              <w:jc w:val="both"/>
              <w:rPr>
                <w:i/>
                <w:sz w:val="22"/>
                <w:szCs w:val="22"/>
                <w:u w:val="single"/>
              </w:rPr>
            </w:pPr>
            <w:r w:rsidRPr="003E28F7">
              <w:rPr>
                <w:i/>
                <w:sz w:val="22"/>
                <w:szCs w:val="22"/>
                <w:u w:val="single"/>
              </w:rPr>
              <w:t>Likuma 8.panta 2.</w:t>
            </w:r>
            <w:r w:rsidRPr="003E28F7">
              <w:rPr>
                <w:i/>
                <w:sz w:val="22"/>
                <w:szCs w:val="22"/>
                <w:u w:val="single"/>
                <w:vertAlign w:val="superscript"/>
              </w:rPr>
              <w:t>5</w:t>
            </w:r>
            <w:r w:rsidRPr="003E28F7">
              <w:rPr>
                <w:i/>
                <w:sz w:val="22"/>
                <w:szCs w:val="22"/>
                <w:u w:val="single"/>
              </w:rPr>
              <w:t xml:space="preserve"> un 2.</w:t>
            </w:r>
            <w:r w:rsidRPr="003E28F7">
              <w:rPr>
                <w:i/>
                <w:sz w:val="22"/>
                <w:szCs w:val="22"/>
                <w:u w:val="single"/>
                <w:vertAlign w:val="superscript"/>
              </w:rPr>
              <w:t>6</w:t>
            </w:r>
            <w:r w:rsidRPr="003E28F7">
              <w:rPr>
                <w:i/>
                <w:sz w:val="22"/>
                <w:szCs w:val="22"/>
                <w:u w:val="single"/>
              </w:rPr>
              <w:t xml:space="preserve"> daļa</w:t>
            </w:r>
            <w:r w:rsidR="009C3215">
              <w:rPr>
                <w:i/>
                <w:sz w:val="22"/>
                <w:szCs w:val="22"/>
                <w:u w:val="single"/>
              </w:rPr>
              <w:t>,</w:t>
            </w:r>
            <w:r w:rsidRPr="003E28F7">
              <w:rPr>
                <w:i/>
                <w:sz w:val="22"/>
                <w:szCs w:val="22"/>
                <w:u w:val="single"/>
              </w:rPr>
              <w:t xml:space="preserve"> 9.panta pirmās daļas 43.punkts, </w:t>
            </w:r>
            <w:r w:rsidR="009C3215" w:rsidRPr="009C3215">
              <w:rPr>
                <w:i/>
                <w:sz w:val="22"/>
                <w:szCs w:val="22"/>
                <w:u w:val="single"/>
              </w:rPr>
              <w:t>9.panta vienpadsmitā daļa</w:t>
            </w:r>
            <w:r w:rsidR="009C3215">
              <w:rPr>
                <w:i/>
                <w:sz w:val="22"/>
                <w:szCs w:val="22"/>
                <w:u w:val="single"/>
              </w:rPr>
              <w:t xml:space="preserve">, </w:t>
            </w:r>
            <w:r w:rsidRPr="003E28F7">
              <w:rPr>
                <w:i/>
                <w:sz w:val="22"/>
                <w:szCs w:val="22"/>
                <w:u w:val="single"/>
              </w:rPr>
              <w:t>11.</w:t>
            </w:r>
            <w:r w:rsidRPr="003E28F7">
              <w:rPr>
                <w:i/>
                <w:sz w:val="22"/>
                <w:szCs w:val="22"/>
                <w:u w:val="single"/>
                <w:vertAlign w:val="superscript"/>
              </w:rPr>
              <w:t>9</w:t>
            </w:r>
            <w:r w:rsidRPr="003E28F7">
              <w:rPr>
                <w:i/>
                <w:sz w:val="22"/>
                <w:szCs w:val="22"/>
                <w:u w:val="single"/>
              </w:rPr>
              <w:t xml:space="preserve"> panta 4.</w:t>
            </w:r>
            <w:r w:rsidRPr="003E28F7">
              <w:rPr>
                <w:i/>
                <w:sz w:val="22"/>
                <w:szCs w:val="22"/>
                <w:u w:val="single"/>
                <w:vertAlign w:val="superscript"/>
              </w:rPr>
              <w:t>1</w:t>
            </w:r>
            <w:r w:rsidRPr="003E28F7">
              <w:rPr>
                <w:i/>
                <w:sz w:val="22"/>
                <w:szCs w:val="22"/>
                <w:u w:val="single"/>
              </w:rPr>
              <w:t xml:space="preserve"> daļa, 11.</w:t>
            </w:r>
            <w:r w:rsidRPr="003E28F7">
              <w:rPr>
                <w:i/>
                <w:sz w:val="22"/>
                <w:szCs w:val="22"/>
                <w:u w:val="single"/>
                <w:vertAlign w:val="superscript"/>
              </w:rPr>
              <w:t>11</w:t>
            </w:r>
            <w:r w:rsidRPr="003E28F7">
              <w:rPr>
                <w:i/>
                <w:sz w:val="22"/>
                <w:szCs w:val="22"/>
                <w:u w:val="single"/>
              </w:rPr>
              <w:t xml:space="preserve"> pants, 16.</w:t>
            </w:r>
            <w:r w:rsidRPr="003E28F7">
              <w:rPr>
                <w:i/>
                <w:sz w:val="22"/>
                <w:szCs w:val="22"/>
                <w:u w:val="single"/>
                <w:vertAlign w:val="superscript"/>
              </w:rPr>
              <w:t>1</w:t>
            </w:r>
            <w:r w:rsidRPr="003E28F7">
              <w:rPr>
                <w:i/>
                <w:sz w:val="22"/>
                <w:szCs w:val="22"/>
                <w:u w:val="single"/>
              </w:rPr>
              <w:t xml:space="preserve"> panta vienpad</w:t>
            </w:r>
            <w:r w:rsidR="009C3215">
              <w:rPr>
                <w:i/>
                <w:sz w:val="22"/>
                <w:szCs w:val="22"/>
                <w:u w:val="single"/>
              </w:rPr>
              <w:t>smitā daļa, pārejas noteikumu 93</w:t>
            </w:r>
            <w:r w:rsidRPr="003E28F7">
              <w:rPr>
                <w:i/>
                <w:sz w:val="22"/>
                <w:szCs w:val="22"/>
                <w:u w:val="single"/>
              </w:rPr>
              <w:t>.punkts</w:t>
            </w:r>
          </w:p>
          <w:p w:rsidR="00353A9E" w:rsidRPr="00353A9E" w:rsidRDefault="0091167E" w:rsidP="00C76B4B">
            <w:pPr>
              <w:jc w:val="both"/>
            </w:pPr>
            <w:r>
              <w:t>Likumprojekta izstrādē iesaistīta Tieslietu ministrija, Labklājības ministrija, Valsts ieņēmumu dienests.</w:t>
            </w:r>
          </w:p>
        </w:tc>
      </w:tr>
      <w:tr w:rsidR="00DC36D0" w:rsidRPr="00353A9E" w:rsidTr="00CB6A1F">
        <w:trPr>
          <w:trHeight w:val="504"/>
          <w:tblCellSpacing w:w="0" w:type="dxa"/>
        </w:trPr>
        <w:tc>
          <w:tcPr>
            <w:tcW w:w="821" w:type="dxa"/>
            <w:gridSpan w:val="4"/>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6.</w:t>
            </w:r>
          </w:p>
        </w:tc>
        <w:tc>
          <w:tcPr>
            <w:tcW w:w="3426"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Iemesli, kādēļ netika nodrošināta sabiedrības līdzdalība</w:t>
            </w:r>
          </w:p>
        </w:tc>
        <w:tc>
          <w:tcPr>
            <w:tcW w:w="4854" w:type="dxa"/>
            <w:gridSpan w:val="4"/>
            <w:tcBorders>
              <w:top w:val="outset" w:sz="6" w:space="0" w:color="auto"/>
              <w:left w:val="outset" w:sz="6" w:space="0" w:color="auto"/>
              <w:bottom w:val="outset" w:sz="6" w:space="0" w:color="auto"/>
              <w:right w:val="outset" w:sz="6" w:space="0" w:color="auto"/>
            </w:tcBorders>
            <w:hideMark/>
          </w:tcPr>
          <w:p w:rsidR="00353A9E" w:rsidRPr="00353A9E" w:rsidRDefault="0027668D" w:rsidP="00993B99">
            <w:r>
              <w:t>Nav.</w:t>
            </w:r>
            <w:r w:rsidR="00BE5D42">
              <w:t xml:space="preserve"> </w:t>
            </w:r>
          </w:p>
        </w:tc>
      </w:tr>
      <w:tr w:rsidR="00DC36D0" w:rsidRPr="00353A9E" w:rsidTr="00CB6A1F">
        <w:trPr>
          <w:tblCellSpacing w:w="0" w:type="dxa"/>
        </w:trPr>
        <w:tc>
          <w:tcPr>
            <w:tcW w:w="821" w:type="dxa"/>
            <w:gridSpan w:val="4"/>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7.</w:t>
            </w:r>
          </w:p>
        </w:tc>
        <w:tc>
          <w:tcPr>
            <w:tcW w:w="3426"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Cita informācija</w:t>
            </w:r>
          </w:p>
        </w:tc>
        <w:tc>
          <w:tcPr>
            <w:tcW w:w="4854" w:type="dxa"/>
            <w:gridSpan w:val="4"/>
            <w:tcBorders>
              <w:top w:val="outset" w:sz="6" w:space="0" w:color="auto"/>
              <w:left w:val="outset" w:sz="6" w:space="0" w:color="auto"/>
              <w:bottom w:val="outset" w:sz="6" w:space="0" w:color="auto"/>
              <w:right w:val="outset" w:sz="6" w:space="0" w:color="auto"/>
            </w:tcBorders>
            <w:hideMark/>
          </w:tcPr>
          <w:p w:rsidR="00353A9E" w:rsidRPr="00353A9E" w:rsidRDefault="0057157D" w:rsidP="00791766">
            <w:r>
              <w:t>Nav.</w:t>
            </w:r>
          </w:p>
        </w:tc>
      </w:tr>
      <w:tr w:rsidR="00C322B4" w:rsidRPr="00353A9E" w:rsidTr="004551E2">
        <w:trPr>
          <w:tblCellSpacing w:w="0" w:type="dxa"/>
        </w:trPr>
        <w:tc>
          <w:tcPr>
            <w:tcW w:w="9101" w:type="dxa"/>
            <w:gridSpan w:val="11"/>
            <w:tcBorders>
              <w:top w:val="outset" w:sz="6" w:space="0" w:color="auto"/>
              <w:left w:val="outset" w:sz="6" w:space="0" w:color="auto"/>
              <w:bottom w:val="outset" w:sz="6" w:space="0" w:color="auto"/>
              <w:right w:val="outset" w:sz="6" w:space="0" w:color="auto"/>
            </w:tcBorders>
            <w:vAlign w:val="center"/>
            <w:hideMark/>
          </w:tcPr>
          <w:p w:rsidR="00353A9E" w:rsidRPr="008621E2" w:rsidRDefault="00353A9E" w:rsidP="004551E2">
            <w:pPr>
              <w:jc w:val="center"/>
              <w:rPr>
                <w:b/>
              </w:rPr>
            </w:pPr>
            <w:r w:rsidRPr="008621E2">
              <w:rPr>
                <w:b/>
              </w:rPr>
              <w:t>II. Tiesību akta projekta ietekme uz sabiedrību</w:t>
            </w:r>
          </w:p>
        </w:tc>
      </w:tr>
      <w:tr w:rsidR="00DC36D0" w:rsidRPr="00353A9E" w:rsidTr="00CB6A1F">
        <w:trPr>
          <w:trHeight w:val="467"/>
          <w:tblCellSpacing w:w="0" w:type="dxa"/>
        </w:trPr>
        <w:tc>
          <w:tcPr>
            <w:tcW w:w="808"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1.</w:t>
            </w:r>
          </w:p>
        </w:tc>
        <w:tc>
          <w:tcPr>
            <w:tcW w:w="3510" w:type="dxa"/>
            <w:gridSpan w:val="5"/>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xml:space="preserve"> Sabiedrības </w:t>
            </w:r>
            <w:proofErr w:type="spellStart"/>
            <w:r w:rsidRPr="00353A9E">
              <w:t>mērķgrupa</w:t>
            </w:r>
            <w:proofErr w:type="spellEnd"/>
          </w:p>
        </w:tc>
        <w:tc>
          <w:tcPr>
            <w:tcW w:w="4783" w:type="dxa"/>
            <w:gridSpan w:val="3"/>
            <w:tcBorders>
              <w:top w:val="outset" w:sz="6" w:space="0" w:color="auto"/>
              <w:left w:val="outset" w:sz="6" w:space="0" w:color="auto"/>
              <w:bottom w:val="outset" w:sz="6" w:space="0" w:color="auto"/>
              <w:right w:val="outset" w:sz="6" w:space="0" w:color="auto"/>
            </w:tcBorders>
            <w:hideMark/>
          </w:tcPr>
          <w:p w:rsidR="00EE3E93" w:rsidRPr="003E28F7" w:rsidRDefault="00EE3E93" w:rsidP="00EE3E93">
            <w:pPr>
              <w:jc w:val="both"/>
              <w:rPr>
                <w:i/>
                <w:sz w:val="22"/>
                <w:szCs w:val="22"/>
                <w:u w:val="single"/>
              </w:rPr>
            </w:pPr>
            <w:r w:rsidRPr="003E28F7">
              <w:rPr>
                <w:i/>
                <w:sz w:val="22"/>
                <w:szCs w:val="22"/>
                <w:u w:val="single"/>
              </w:rPr>
              <w:t>Likuma 8.panta 2.</w:t>
            </w:r>
            <w:r w:rsidRPr="003E28F7">
              <w:rPr>
                <w:i/>
                <w:sz w:val="22"/>
                <w:szCs w:val="22"/>
                <w:u w:val="single"/>
                <w:vertAlign w:val="superscript"/>
              </w:rPr>
              <w:t>5</w:t>
            </w:r>
            <w:r w:rsidRPr="003E28F7">
              <w:rPr>
                <w:i/>
                <w:sz w:val="22"/>
                <w:szCs w:val="22"/>
                <w:u w:val="single"/>
              </w:rPr>
              <w:t xml:space="preserve"> un 2.</w:t>
            </w:r>
            <w:r w:rsidRPr="003E28F7">
              <w:rPr>
                <w:i/>
                <w:sz w:val="22"/>
                <w:szCs w:val="22"/>
                <w:u w:val="single"/>
                <w:vertAlign w:val="superscript"/>
              </w:rPr>
              <w:t>6</w:t>
            </w:r>
            <w:r w:rsidRPr="003E28F7">
              <w:rPr>
                <w:i/>
                <w:sz w:val="22"/>
                <w:szCs w:val="22"/>
                <w:u w:val="single"/>
              </w:rPr>
              <w:t xml:space="preserve"> daļa</w:t>
            </w:r>
            <w:r w:rsidR="00EA16FE">
              <w:rPr>
                <w:i/>
                <w:sz w:val="22"/>
                <w:szCs w:val="22"/>
                <w:u w:val="single"/>
              </w:rPr>
              <w:t>,</w:t>
            </w:r>
            <w:r w:rsidRPr="003E28F7">
              <w:rPr>
                <w:i/>
                <w:sz w:val="22"/>
                <w:szCs w:val="22"/>
                <w:u w:val="single"/>
              </w:rPr>
              <w:t xml:space="preserve"> 9.panta pirmās daļas 43.punkts, </w:t>
            </w:r>
            <w:r w:rsidR="00EA16FE">
              <w:rPr>
                <w:i/>
                <w:sz w:val="22"/>
                <w:szCs w:val="22"/>
                <w:u w:val="single"/>
              </w:rPr>
              <w:t xml:space="preserve">9.panta vienpadsmitā daļa, </w:t>
            </w:r>
            <w:r w:rsidRPr="003E28F7">
              <w:rPr>
                <w:i/>
                <w:sz w:val="22"/>
                <w:szCs w:val="22"/>
                <w:u w:val="single"/>
              </w:rPr>
              <w:t>11.</w:t>
            </w:r>
            <w:r w:rsidRPr="003E28F7">
              <w:rPr>
                <w:i/>
                <w:sz w:val="22"/>
                <w:szCs w:val="22"/>
                <w:u w:val="single"/>
                <w:vertAlign w:val="superscript"/>
              </w:rPr>
              <w:t>9</w:t>
            </w:r>
            <w:r w:rsidRPr="003E28F7">
              <w:rPr>
                <w:i/>
                <w:sz w:val="22"/>
                <w:szCs w:val="22"/>
                <w:u w:val="single"/>
              </w:rPr>
              <w:t xml:space="preserve"> panta 4.</w:t>
            </w:r>
            <w:r w:rsidRPr="003E28F7">
              <w:rPr>
                <w:i/>
                <w:sz w:val="22"/>
                <w:szCs w:val="22"/>
                <w:u w:val="single"/>
                <w:vertAlign w:val="superscript"/>
              </w:rPr>
              <w:t>1</w:t>
            </w:r>
            <w:r w:rsidRPr="003E28F7">
              <w:rPr>
                <w:i/>
                <w:sz w:val="22"/>
                <w:szCs w:val="22"/>
                <w:u w:val="single"/>
              </w:rPr>
              <w:t xml:space="preserve"> daļa, 11.</w:t>
            </w:r>
            <w:r w:rsidRPr="003E28F7">
              <w:rPr>
                <w:i/>
                <w:sz w:val="22"/>
                <w:szCs w:val="22"/>
                <w:u w:val="single"/>
                <w:vertAlign w:val="superscript"/>
              </w:rPr>
              <w:t>11</w:t>
            </w:r>
            <w:r w:rsidRPr="003E28F7">
              <w:rPr>
                <w:i/>
                <w:sz w:val="22"/>
                <w:szCs w:val="22"/>
                <w:u w:val="single"/>
              </w:rPr>
              <w:t xml:space="preserve"> pants, 16.</w:t>
            </w:r>
            <w:r w:rsidRPr="003E28F7">
              <w:rPr>
                <w:i/>
                <w:sz w:val="22"/>
                <w:szCs w:val="22"/>
                <w:u w:val="single"/>
                <w:vertAlign w:val="superscript"/>
              </w:rPr>
              <w:t>1</w:t>
            </w:r>
            <w:r w:rsidRPr="003E28F7">
              <w:rPr>
                <w:i/>
                <w:sz w:val="22"/>
                <w:szCs w:val="22"/>
                <w:u w:val="single"/>
              </w:rPr>
              <w:t xml:space="preserve"> panta vienpadsmitā daļa, pārejas noteikumu 90.punkts</w:t>
            </w:r>
          </w:p>
          <w:p w:rsidR="00EE3E93" w:rsidRDefault="00EE3E93" w:rsidP="00EE3E93">
            <w:pPr>
              <w:jc w:val="both"/>
            </w:pPr>
            <w:r>
              <w:t>Kapitālsabiedrības, kas darbinieku motivācijas un piesaistīšanas nolūkā darbiniekiem piešķir akciju pirkuma tiesības, kā arī attiecīgi darbinieki – akciju pirkuma tiesību ieguvēji.</w:t>
            </w:r>
          </w:p>
          <w:p w:rsidR="00DD27D9" w:rsidRPr="00516403" w:rsidRDefault="00DD27D9" w:rsidP="00DD27D9">
            <w:pPr>
              <w:jc w:val="both"/>
              <w:rPr>
                <w:i/>
                <w:sz w:val="22"/>
                <w:u w:val="single"/>
              </w:rPr>
            </w:pPr>
            <w:r w:rsidRPr="00516403">
              <w:rPr>
                <w:i/>
                <w:sz w:val="22"/>
                <w:u w:val="single"/>
              </w:rPr>
              <w:t xml:space="preserve">Likuma 8.panta </w:t>
            </w:r>
            <w:r>
              <w:rPr>
                <w:i/>
                <w:sz w:val="22"/>
                <w:u w:val="single"/>
              </w:rPr>
              <w:t>trešās daļas 12.</w:t>
            </w:r>
            <w:r w:rsidRPr="006B7BCF">
              <w:rPr>
                <w:i/>
                <w:sz w:val="22"/>
                <w:u w:val="single"/>
                <w:vertAlign w:val="superscript"/>
              </w:rPr>
              <w:t>2</w:t>
            </w:r>
            <w:r>
              <w:rPr>
                <w:i/>
                <w:sz w:val="22"/>
                <w:u w:val="single"/>
              </w:rPr>
              <w:t xml:space="preserve"> punkts un divpadsmitā daļa, 17.</w:t>
            </w:r>
            <w:r w:rsidRPr="006B7BCF">
              <w:rPr>
                <w:i/>
                <w:sz w:val="22"/>
                <w:u w:val="single"/>
                <w:vertAlign w:val="superscript"/>
              </w:rPr>
              <w:t>3</w:t>
            </w:r>
            <w:r>
              <w:rPr>
                <w:i/>
                <w:sz w:val="22"/>
                <w:u w:val="single"/>
              </w:rPr>
              <w:t xml:space="preserve"> pants</w:t>
            </w:r>
          </w:p>
          <w:p w:rsidR="00DD27D9" w:rsidRDefault="00DD27D9" w:rsidP="00DD27D9">
            <w:pPr>
              <w:jc w:val="both"/>
              <w:rPr>
                <w:bCs/>
              </w:rPr>
            </w:pPr>
            <w:r>
              <w:t>Fiziskās personas (rezidenti), kuriem pieder būtiska līdzdalība ārzonu (zemu nodokļu un beznodokļu valstu un teritoriju) sabiedrībās un kuri potenciāli var izmanot ārzonas sabiedrību nolūkā izvairīties no nodokļu maksāšanas. Precīzi dati par šādu personu skaitu nav pieejami, taču var vērtēt, ka šādu personu īpatsvars kopējā nodokļu maksātāju skaitā ir neliels.</w:t>
            </w:r>
          </w:p>
          <w:p w:rsidR="00BD77A2" w:rsidRPr="003E28F7" w:rsidRDefault="00BD77A2" w:rsidP="00BD77A2">
            <w:pPr>
              <w:pStyle w:val="NormalWeb"/>
              <w:spacing w:before="0" w:beforeAutospacing="0" w:after="0" w:afterAutospacing="0"/>
              <w:jc w:val="both"/>
              <w:rPr>
                <w:i/>
                <w:iCs/>
                <w:sz w:val="22"/>
                <w:szCs w:val="22"/>
                <w:u w:val="single"/>
                <w:lang w:eastAsia="en-US"/>
              </w:rPr>
            </w:pPr>
            <w:r w:rsidRPr="003E28F7">
              <w:rPr>
                <w:i/>
                <w:iCs/>
                <w:sz w:val="22"/>
                <w:szCs w:val="22"/>
                <w:u w:val="single"/>
                <w:lang w:eastAsia="en-US"/>
              </w:rPr>
              <w:t>Grozījumi likuma 17.panta sestajā daļā</w:t>
            </w:r>
          </w:p>
          <w:p w:rsidR="004734D4" w:rsidRDefault="00BD77A2" w:rsidP="00380ADB">
            <w:pPr>
              <w:jc w:val="both"/>
            </w:pPr>
            <w:r>
              <w:lastRenderedPageBreak/>
              <w:t xml:space="preserve">Fiziskās personas – darba ņēmēji, </w:t>
            </w:r>
            <w:proofErr w:type="spellStart"/>
            <w:r>
              <w:t>t.sk</w:t>
            </w:r>
            <w:proofErr w:type="spellEnd"/>
            <w:r>
              <w:t>.</w:t>
            </w:r>
            <w:r w:rsidR="00E75F88">
              <w:t>,</w:t>
            </w:r>
            <w:r>
              <w:t xml:space="preserve"> valsts amatpersonas.</w:t>
            </w:r>
          </w:p>
          <w:p w:rsidR="00BD77A2" w:rsidRPr="003E28F7" w:rsidRDefault="00BD77A2" w:rsidP="00BD77A2">
            <w:pPr>
              <w:jc w:val="both"/>
              <w:rPr>
                <w:i/>
                <w:sz w:val="22"/>
                <w:szCs w:val="22"/>
                <w:u w:val="single"/>
              </w:rPr>
            </w:pPr>
            <w:r w:rsidRPr="003E28F7">
              <w:rPr>
                <w:i/>
                <w:sz w:val="22"/>
                <w:szCs w:val="22"/>
                <w:u w:val="single"/>
              </w:rPr>
              <w:t>Likuma pārejas noteikumu 45.</w:t>
            </w:r>
            <w:r w:rsidR="00472661" w:rsidRPr="003E28F7">
              <w:rPr>
                <w:i/>
                <w:sz w:val="22"/>
                <w:szCs w:val="22"/>
                <w:u w:val="single"/>
                <w:vertAlign w:val="superscript"/>
              </w:rPr>
              <w:t>1</w:t>
            </w:r>
            <w:r w:rsidRPr="003E28F7">
              <w:rPr>
                <w:i/>
                <w:sz w:val="22"/>
                <w:szCs w:val="22"/>
                <w:u w:val="single"/>
              </w:rPr>
              <w:t>punkts</w:t>
            </w:r>
          </w:p>
          <w:p w:rsidR="00BD77A2" w:rsidRDefault="00BD77A2" w:rsidP="00B332AA">
            <w:pPr>
              <w:jc w:val="both"/>
            </w:pPr>
            <w:r>
              <w:t>Zemnieku un zvejnieku saimniecības.</w:t>
            </w:r>
          </w:p>
          <w:p w:rsidR="00EA16FE" w:rsidRPr="00EA16FE" w:rsidRDefault="00EA16FE" w:rsidP="00B332AA">
            <w:pPr>
              <w:jc w:val="both"/>
              <w:rPr>
                <w:i/>
                <w:sz w:val="22"/>
                <w:szCs w:val="22"/>
                <w:u w:val="single"/>
              </w:rPr>
            </w:pPr>
            <w:r w:rsidRPr="00EA16FE">
              <w:rPr>
                <w:i/>
                <w:sz w:val="22"/>
                <w:szCs w:val="22"/>
                <w:u w:val="single"/>
              </w:rPr>
              <w:t>Likuma pārejas noteikumu 95.punkts</w:t>
            </w:r>
          </w:p>
          <w:p w:rsidR="00EA16FE" w:rsidRPr="00353A9E" w:rsidRDefault="00EA16FE" w:rsidP="00EA16FE">
            <w:pPr>
              <w:jc w:val="both"/>
            </w:pPr>
            <w:r>
              <w:t xml:space="preserve">Personas, kas saņem </w:t>
            </w:r>
            <w:r w:rsidRPr="00EA16FE">
              <w:t>valsts atbalst</w:t>
            </w:r>
            <w:r>
              <w:t>u</w:t>
            </w:r>
            <w:r w:rsidRPr="00EA16FE">
              <w:t xml:space="preserve"> lauksaimniecībai</w:t>
            </w:r>
            <w:r>
              <w:t xml:space="preserve"> vai Eiropas Savienības atbalstu</w:t>
            </w:r>
            <w:r w:rsidRPr="00EA16FE">
              <w:t xml:space="preserve"> lauksaimniecībai un lauku attīstībai</w:t>
            </w:r>
            <w:r>
              <w:t>.</w:t>
            </w:r>
          </w:p>
        </w:tc>
      </w:tr>
      <w:tr w:rsidR="00DC36D0" w:rsidRPr="00353A9E" w:rsidTr="00CB6A1F">
        <w:trPr>
          <w:trHeight w:val="405"/>
          <w:tblCellSpacing w:w="0" w:type="dxa"/>
        </w:trPr>
        <w:tc>
          <w:tcPr>
            <w:tcW w:w="808"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lastRenderedPageBreak/>
              <w:t> 2.</w:t>
            </w:r>
          </w:p>
        </w:tc>
        <w:tc>
          <w:tcPr>
            <w:tcW w:w="3510" w:type="dxa"/>
            <w:gridSpan w:val="5"/>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xml:space="preserve"> Citas sabiedrības grupas (bez </w:t>
            </w:r>
            <w:proofErr w:type="spellStart"/>
            <w:r w:rsidRPr="00353A9E">
              <w:t>mērķgrupas</w:t>
            </w:r>
            <w:proofErr w:type="spellEnd"/>
            <w:r w:rsidRPr="00353A9E">
              <w:t>), kuras tiesiskais regulējums arī ietekmē vai varētu ietekmēt</w:t>
            </w:r>
          </w:p>
        </w:tc>
        <w:tc>
          <w:tcPr>
            <w:tcW w:w="4783" w:type="dxa"/>
            <w:gridSpan w:val="3"/>
            <w:tcBorders>
              <w:top w:val="outset" w:sz="6" w:space="0" w:color="auto"/>
              <w:left w:val="outset" w:sz="6" w:space="0" w:color="auto"/>
              <w:bottom w:val="outset" w:sz="6" w:space="0" w:color="auto"/>
              <w:right w:val="outset" w:sz="6" w:space="0" w:color="auto"/>
            </w:tcBorders>
            <w:hideMark/>
          </w:tcPr>
          <w:p w:rsidR="00DD27D9" w:rsidRPr="00516403" w:rsidRDefault="00DD27D9" w:rsidP="00DD27D9">
            <w:pPr>
              <w:jc w:val="both"/>
              <w:rPr>
                <w:i/>
                <w:sz w:val="22"/>
                <w:u w:val="single"/>
              </w:rPr>
            </w:pPr>
            <w:r w:rsidRPr="00516403">
              <w:rPr>
                <w:i/>
                <w:sz w:val="22"/>
                <w:u w:val="single"/>
              </w:rPr>
              <w:t xml:space="preserve">Likuma 8.panta </w:t>
            </w:r>
            <w:r>
              <w:rPr>
                <w:i/>
                <w:sz w:val="22"/>
                <w:u w:val="single"/>
              </w:rPr>
              <w:t>trešās daļas 12.</w:t>
            </w:r>
            <w:r w:rsidRPr="006B7BCF">
              <w:rPr>
                <w:i/>
                <w:sz w:val="22"/>
                <w:u w:val="single"/>
                <w:vertAlign w:val="superscript"/>
              </w:rPr>
              <w:t>2</w:t>
            </w:r>
            <w:r>
              <w:rPr>
                <w:i/>
                <w:sz w:val="22"/>
                <w:u w:val="single"/>
              </w:rPr>
              <w:t xml:space="preserve"> punkts un divpadsmitā daļa, 17.</w:t>
            </w:r>
            <w:r w:rsidRPr="006B7BCF">
              <w:rPr>
                <w:i/>
                <w:sz w:val="22"/>
                <w:u w:val="single"/>
                <w:vertAlign w:val="superscript"/>
              </w:rPr>
              <w:t>3</w:t>
            </w:r>
            <w:r>
              <w:rPr>
                <w:i/>
                <w:sz w:val="22"/>
                <w:u w:val="single"/>
              </w:rPr>
              <w:t xml:space="preserve"> pants</w:t>
            </w:r>
          </w:p>
          <w:p w:rsidR="0006166B" w:rsidRPr="0006166B" w:rsidRDefault="00DD27D9" w:rsidP="00DD27D9">
            <w:pPr>
              <w:jc w:val="both"/>
            </w:pPr>
            <w:r>
              <w:t xml:space="preserve">Iedzīvotāju ienākuma nodokļa maksātāji, kas labprātīgi izpilda </w:t>
            </w:r>
            <w:r w:rsidR="00DE13CE">
              <w:t>L</w:t>
            </w:r>
            <w:r>
              <w:t>ikuma uzliktās nodokļa maksāšanas prasības un kuru nodokļa maksāšanas motivāciju mazina informācija par nodokļu plānošanas shēmām, kuru radīšanu, cita starpā, ietekmēja arī attiecīga, uz būtisku līdzdalību ārzonu sabiedrībās orientēta, regulējuma trūkums nodokļu likumos.</w:t>
            </w:r>
          </w:p>
        </w:tc>
      </w:tr>
      <w:tr w:rsidR="00DC36D0" w:rsidRPr="00353A9E" w:rsidTr="00CB6A1F">
        <w:trPr>
          <w:trHeight w:val="405"/>
          <w:tblCellSpacing w:w="0" w:type="dxa"/>
        </w:trPr>
        <w:tc>
          <w:tcPr>
            <w:tcW w:w="808"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3.</w:t>
            </w:r>
          </w:p>
        </w:tc>
        <w:tc>
          <w:tcPr>
            <w:tcW w:w="3510" w:type="dxa"/>
            <w:gridSpan w:val="5"/>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Tiesiskā regulējuma finansiālā ietekme</w:t>
            </w:r>
          </w:p>
        </w:tc>
        <w:tc>
          <w:tcPr>
            <w:tcW w:w="4783"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F82139" w:rsidP="0063265A">
            <w:pPr>
              <w:jc w:val="both"/>
            </w:pPr>
            <w:r w:rsidRPr="003202C9">
              <w:t>Nav attiecināms</w:t>
            </w:r>
            <w:r>
              <w:t>.</w:t>
            </w:r>
          </w:p>
        </w:tc>
      </w:tr>
      <w:tr w:rsidR="00DC36D0" w:rsidRPr="00353A9E" w:rsidTr="00CB6A1F">
        <w:trPr>
          <w:trHeight w:val="236"/>
          <w:tblCellSpacing w:w="0" w:type="dxa"/>
        </w:trPr>
        <w:tc>
          <w:tcPr>
            <w:tcW w:w="808"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4.</w:t>
            </w:r>
          </w:p>
        </w:tc>
        <w:tc>
          <w:tcPr>
            <w:tcW w:w="3510" w:type="dxa"/>
            <w:gridSpan w:val="5"/>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Tiesiskā regulējuma nefinansiālā ietekme</w:t>
            </w:r>
          </w:p>
        </w:tc>
        <w:tc>
          <w:tcPr>
            <w:tcW w:w="4783"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473E68" w:rsidP="00791766">
            <w:r w:rsidRPr="003202C9">
              <w:t>Nav attiecināms</w:t>
            </w:r>
            <w:r>
              <w:t>.</w:t>
            </w:r>
          </w:p>
        </w:tc>
      </w:tr>
      <w:tr w:rsidR="00DC36D0" w:rsidRPr="00353A9E" w:rsidTr="00CB6A1F">
        <w:trPr>
          <w:trHeight w:val="227"/>
          <w:tblCellSpacing w:w="0" w:type="dxa"/>
        </w:trPr>
        <w:tc>
          <w:tcPr>
            <w:tcW w:w="808"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5.</w:t>
            </w:r>
          </w:p>
        </w:tc>
        <w:tc>
          <w:tcPr>
            <w:tcW w:w="3510" w:type="dxa"/>
            <w:gridSpan w:val="5"/>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Administratīvās procedūras raksturojums</w:t>
            </w:r>
          </w:p>
        </w:tc>
        <w:tc>
          <w:tcPr>
            <w:tcW w:w="4783"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473E68" w:rsidP="00791766">
            <w:r w:rsidRPr="003202C9">
              <w:t>Nav attiecināms</w:t>
            </w:r>
            <w:r>
              <w:t>.</w:t>
            </w:r>
          </w:p>
        </w:tc>
      </w:tr>
      <w:tr w:rsidR="00DC36D0" w:rsidRPr="00353A9E" w:rsidTr="00CB6A1F">
        <w:trPr>
          <w:trHeight w:val="357"/>
          <w:tblCellSpacing w:w="0" w:type="dxa"/>
        </w:trPr>
        <w:tc>
          <w:tcPr>
            <w:tcW w:w="808"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6.</w:t>
            </w:r>
          </w:p>
        </w:tc>
        <w:tc>
          <w:tcPr>
            <w:tcW w:w="3510" w:type="dxa"/>
            <w:gridSpan w:val="5"/>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Administratīvo izmaksu monetārs novērtējums</w:t>
            </w:r>
          </w:p>
        </w:tc>
        <w:tc>
          <w:tcPr>
            <w:tcW w:w="4783" w:type="dxa"/>
            <w:gridSpan w:val="3"/>
            <w:tcBorders>
              <w:top w:val="outset" w:sz="6" w:space="0" w:color="auto"/>
              <w:left w:val="outset" w:sz="6" w:space="0" w:color="auto"/>
              <w:bottom w:val="outset" w:sz="6" w:space="0" w:color="auto"/>
              <w:right w:val="outset" w:sz="6" w:space="0" w:color="auto"/>
            </w:tcBorders>
            <w:hideMark/>
          </w:tcPr>
          <w:p w:rsidR="00353A9E" w:rsidRPr="0063265A" w:rsidRDefault="00473E68" w:rsidP="00791766">
            <w:r w:rsidRPr="003202C9">
              <w:t>Nav attiecināms</w:t>
            </w:r>
            <w:r>
              <w:t>.</w:t>
            </w:r>
          </w:p>
        </w:tc>
      </w:tr>
      <w:tr w:rsidR="00DC36D0" w:rsidRPr="00353A9E" w:rsidTr="00CB6A1F">
        <w:trPr>
          <w:tblCellSpacing w:w="0" w:type="dxa"/>
        </w:trPr>
        <w:tc>
          <w:tcPr>
            <w:tcW w:w="808"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7.</w:t>
            </w:r>
          </w:p>
        </w:tc>
        <w:tc>
          <w:tcPr>
            <w:tcW w:w="3510" w:type="dxa"/>
            <w:gridSpan w:val="5"/>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Cita informācija</w:t>
            </w:r>
          </w:p>
        </w:tc>
        <w:tc>
          <w:tcPr>
            <w:tcW w:w="4783"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C45612" w:rsidP="00791766">
            <w:r>
              <w:t>Nav.</w:t>
            </w:r>
          </w:p>
        </w:tc>
      </w:tr>
      <w:tr w:rsidR="00473B6E" w:rsidRPr="00473B6E" w:rsidTr="004551E2">
        <w:trPr>
          <w:trHeight w:val="652"/>
          <w:tblCellSpacing w:w="0" w:type="dxa"/>
        </w:trPr>
        <w:tc>
          <w:tcPr>
            <w:tcW w:w="9101" w:type="dxa"/>
            <w:gridSpan w:val="11"/>
            <w:tcBorders>
              <w:top w:val="outset" w:sz="6" w:space="0" w:color="auto"/>
              <w:left w:val="outset" w:sz="6" w:space="0" w:color="auto"/>
              <w:bottom w:val="outset" w:sz="6" w:space="0" w:color="auto"/>
              <w:right w:val="outset" w:sz="6" w:space="0" w:color="auto"/>
            </w:tcBorders>
          </w:tcPr>
          <w:p w:rsidR="00473B6E" w:rsidRPr="004551E2" w:rsidRDefault="00353A9E" w:rsidP="00473B6E">
            <w:pPr>
              <w:jc w:val="center"/>
              <w:rPr>
                <w:rFonts w:eastAsia="Calibri"/>
                <w:b/>
                <w:lang w:eastAsia="en-US"/>
              </w:rPr>
            </w:pPr>
            <w:r w:rsidRPr="004551E2">
              <w:t> </w:t>
            </w:r>
            <w:r w:rsidR="00473B6E" w:rsidRPr="004551E2">
              <w:rPr>
                <w:rFonts w:eastAsia="Calibri"/>
                <w:b/>
                <w:lang w:eastAsia="en-US"/>
              </w:rPr>
              <w:t>III. Tiesību akta projekta ietekme uz valsts budžetu un pašvaldību budžetiem</w:t>
            </w:r>
          </w:p>
        </w:tc>
      </w:tr>
      <w:tr w:rsidR="00473B6E" w:rsidRPr="00473B6E" w:rsidTr="004551E2">
        <w:trPr>
          <w:trHeight w:val="411"/>
          <w:tblCellSpacing w:w="0" w:type="dxa"/>
        </w:trPr>
        <w:tc>
          <w:tcPr>
            <w:tcW w:w="9101" w:type="dxa"/>
            <w:gridSpan w:val="11"/>
            <w:tcBorders>
              <w:top w:val="outset" w:sz="6" w:space="0" w:color="auto"/>
              <w:left w:val="outset" w:sz="6" w:space="0" w:color="auto"/>
              <w:bottom w:val="outset" w:sz="6" w:space="0" w:color="auto"/>
              <w:right w:val="outset" w:sz="6" w:space="0" w:color="auto"/>
            </w:tcBorders>
          </w:tcPr>
          <w:tbl>
            <w:tblPr>
              <w:tblW w:w="0" w:type="auto"/>
              <w:tblCellSpacing w:w="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43"/>
              <w:gridCol w:w="1129"/>
              <w:gridCol w:w="1433"/>
              <w:gridCol w:w="1341"/>
              <w:gridCol w:w="1341"/>
              <w:gridCol w:w="1353"/>
            </w:tblGrid>
            <w:tr w:rsidR="00473B6E" w:rsidRPr="00473B6E" w:rsidTr="001D0D68">
              <w:trPr>
                <w:trHeight w:val="381"/>
                <w:tblCellSpacing w:w="0" w:type="dxa"/>
              </w:trPr>
              <w:tc>
                <w:tcPr>
                  <w:tcW w:w="2443" w:type="dxa"/>
                  <w:vMerge w:val="restart"/>
                </w:tcPr>
                <w:p w:rsidR="00473B6E" w:rsidRPr="0095377B" w:rsidRDefault="00473B6E" w:rsidP="00473B6E">
                  <w:pPr>
                    <w:spacing w:after="200" w:line="276" w:lineRule="auto"/>
                    <w:jc w:val="center"/>
                  </w:pPr>
                  <w:r w:rsidRPr="0095377B">
                    <w:rPr>
                      <w:rFonts w:eastAsia="Calibri"/>
                      <w:b/>
                      <w:bCs/>
                      <w:lang w:eastAsia="en-US"/>
                    </w:rPr>
                    <w:t>Rādītāji</w:t>
                  </w:r>
                </w:p>
              </w:tc>
              <w:tc>
                <w:tcPr>
                  <w:tcW w:w="2562" w:type="dxa"/>
                  <w:gridSpan w:val="2"/>
                </w:tcPr>
                <w:p w:rsidR="00473B6E" w:rsidRPr="0095377B" w:rsidRDefault="00473B6E" w:rsidP="00290788">
                  <w:pPr>
                    <w:spacing w:after="200" w:line="276" w:lineRule="auto"/>
                    <w:jc w:val="center"/>
                  </w:pPr>
                  <w:r w:rsidRPr="0095377B">
                    <w:rPr>
                      <w:rFonts w:eastAsia="Calibri"/>
                      <w:b/>
                      <w:bCs/>
                      <w:lang w:eastAsia="en-US"/>
                    </w:rPr>
                    <w:t>201</w:t>
                  </w:r>
                  <w:r w:rsidR="00290788">
                    <w:rPr>
                      <w:rFonts w:eastAsia="Calibri"/>
                      <w:b/>
                      <w:bCs/>
                      <w:lang w:eastAsia="en-US"/>
                    </w:rPr>
                    <w:t>2</w:t>
                  </w:r>
                </w:p>
              </w:tc>
              <w:tc>
                <w:tcPr>
                  <w:tcW w:w="4035" w:type="dxa"/>
                  <w:gridSpan w:val="3"/>
                </w:tcPr>
                <w:p w:rsidR="00473B6E" w:rsidRPr="0095377B" w:rsidRDefault="00473B6E" w:rsidP="00473B6E">
                  <w:pPr>
                    <w:spacing w:after="200" w:line="276" w:lineRule="auto"/>
                    <w:jc w:val="center"/>
                  </w:pPr>
                  <w:r w:rsidRPr="0095377B">
                    <w:rPr>
                      <w:rFonts w:eastAsia="Calibri"/>
                      <w:lang w:eastAsia="en-US"/>
                    </w:rPr>
                    <w:t>Turpmākie trīs gadi (</w:t>
                  </w:r>
                  <w:proofErr w:type="spellStart"/>
                  <w:r w:rsidRPr="0095377B">
                    <w:rPr>
                      <w:rFonts w:eastAsia="Calibri"/>
                      <w:lang w:eastAsia="en-US"/>
                    </w:rPr>
                    <w:t>tūkst</w:t>
                  </w:r>
                  <w:proofErr w:type="spellEnd"/>
                  <w:smartTag w:uri="schemas-tilde-lv/tildestengine" w:element="currency2">
                    <w:smartTagPr>
                      <w:attr w:name="currency_id" w:val="48"/>
                      <w:attr w:name="currency_key" w:val="LVL"/>
                      <w:attr w:name="currency_value" w:val="."/>
                      <w:attr w:name="currency_text" w:val="latu"/>
                    </w:smartTagPr>
                    <w:r w:rsidRPr="0095377B">
                      <w:rPr>
                        <w:rFonts w:eastAsia="Calibri"/>
                        <w:lang w:eastAsia="en-US"/>
                      </w:rPr>
                      <w:t>. latu</w:t>
                    </w:r>
                  </w:smartTag>
                  <w:r w:rsidRPr="0095377B">
                    <w:rPr>
                      <w:rFonts w:eastAsia="Calibri"/>
                      <w:lang w:eastAsia="en-US"/>
                    </w:rPr>
                    <w:t>)</w:t>
                  </w:r>
                </w:p>
              </w:tc>
            </w:tr>
            <w:tr w:rsidR="00473B6E" w:rsidRPr="00473B6E" w:rsidTr="001D0D68">
              <w:trPr>
                <w:trHeight w:val="381"/>
                <w:tblCellSpacing w:w="0" w:type="dxa"/>
              </w:trPr>
              <w:tc>
                <w:tcPr>
                  <w:tcW w:w="2443" w:type="dxa"/>
                  <w:vMerge/>
                </w:tcPr>
                <w:p w:rsidR="00473B6E" w:rsidRPr="0095377B" w:rsidRDefault="00473B6E" w:rsidP="00473B6E">
                  <w:pPr>
                    <w:spacing w:after="200" w:line="276" w:lineRule="auto"/>
                    <w:jc w:val="center"/>
                  </w:pPr>
                </w:p>
              </w:tc>
              <w:tc>
                <w:tcPr>
                  <w:tcW w:w="1129" w:type="dxa"/>
                  <w:vMerge w:val="restart"/>
                </w:tcPr>
                <w:p w:rsidR="00473B6E" w:rsidRPr="0095377B" w:rsidRDefault="00473B6E" w:rsidP="00473B6E">
                  <w:pPr>
                    <w:jc w:val="center"/>
                  </w:pPr>
                  <w:r w:rsidRPr="0095377B">
                    <w:rPr>
                      <w:rFonts w:eastAsia="Calibri"/>
                      <w:lang w:eastAsia="en-US"/>
                    </w:rPr>
                    <w:t>Saskaņā ar valsts budžetu kārtējam gadam</w:t>
                  </w:r>
                </w:p>
              </w:tc>
              <w:tc>
                <w:tcPr>
                  <w:tcW w:w="1433" w:type="dxa"/>
                  <w:vMerge w:val="restart"/>
                </w:tcPr>
                <w:p w:rsidR="00473B6E" w:rsidRPr="0095377B" w:rsidRDefault="00473B6E" w:rsidP="00473B6E">
                  <w:pPr>
                    <w:jc w:val="center"/>
                  </w:pPr>
                  <w:r w:rsidRPr="0095377B">
                    <w:rPr>
                      <w:rFonts w:eastAsia="Calibri"/>
                      <w:lang w:eastAsia="en-US"/>
                    </w:rPr>
                    <w:t>Izmaiņas kārtējā gadā, salīdzinot ar budžetu kārtējam gadam</w:t>
                  </w:r>
                </w:p>
              </w:tc>
              <w:tc>
                <w:tcPr>
                  <w:tcW w:w="1341" w:type="dxa"/>
                </w:tcPr>
                <w:p w:rsidR="00473B6E" w:rsidRPr="0095377B" w:rsidRDefault="00473B6E" w:rsidP="00290788">
                  <w:pPr>
                    <w:jc w:val="center"/>
                  </w:pPr>
                  <w:r w:rsidRPr="0095377B">
                    <w:rPr>
                      <w:rFonts w:eastAsia="Calibri"/>
                      <w:b/>
                      <w:bCs/>
                      <w:lang w:eastAsia="en-US"/>
                    </w:rPr>
                    <w:t>201</w:t>
                  </w:r>
                  <w:r w:rsidR="00290788">
                    <w:rPr>
                      <w:rFonts w:eastAsia="Calibri"/>
                      <w:b/>
                      <w:bCs/>
                      <w:lang w:eastAsia="en-US"/>
                    </w:rPr>
                    <w:t>3</w:t>
                  </w:r>
                </w:p>
              </w:tc>
              <w:tc>
                <w:tcPr>
                  <w:tcW w:w="1341" w:type="dxa"/>
                </w:tcPr>
                <w:p w:rsidR="00473B6E" w:rsidRPr="0095377B" w:rsidRDefault="00473B6E" w:rsidP="00290788">
                  <w:pPr>
                    <w:jc w:val="center"/>
                  </w:pPr>
                  <w:r w:rsidRPr="0095377B">
                    <w:rPr>
                      <w:rFonts w:eastAsia="Calibri"/>
                      <w:b/>
                      <w:bCs/>
                      <w:lang w:eastAsia="en-US"/>
                    </w:rPr>
                    <w:t>201</w:t>
                  </w:r>
                  <w:r w:rsidR="00290788">
                    <w:rPr>
                      <w:rFonts w:eastAsia="Calibri"/>
                      <w:b/>
                      <w:bCs/>
                      <w:lang w:eastAsia="en-US"/>
                    </w:rPr>
                    <w:t>4</w:t>
                  </w:r>
                </w:p>
              </w:tc>
              <w:tc>
                <w:tcPr>
                  <w:tcW w:w="1353" w:type="dxa"/>
                </w:tcPr>
                <w:p w:rsidR="00473B6E" w:rsidRPr="0095377B" w:rsidRDefault="00473B6E" w:rsidP="00290788">
                  <w:pPr>
                    <w:jc w:val="center"/>
                  </w:pPr>
                  <w:r w:rsidRPr="0095377B">
                    <w:rPr>
                      <w:rFonts w:eastAsia="Calibri"/>
                      <w:b/>
                      <w:bCs/>
                      <w:lang w:eastAsia="en-US"/>
                    </w:rPr>
                    <w:t>201</w:t>
                  </w:r>
                  <w:r w:rsidR="00290788">
                    <w:rPr>
                      <w:rFonts w:eastAsia="Calibri"/>
                      <w:b/>
                      <w:bCs/>
                      <w:lang w:eastAsia="en-US"/>
                    </w:rPr>
                    <w:t>5</w:t>
                  </w:r>
                </w:p>
              </w:tc>
            </w:tr>
            <w:tr w:rsidR="00473B6E" w:rsidRPr="00473B6E" w:rsidTr="001D0D68">
              <w:trPr>
                <w:trHeight w:val="381"/>
                <w:tblCellSpacing w:w="0" w:type="dxa"/>
              </w:trPr>
              <w:tc>
                <w:tcPr>
                  <w:tcW w:w="2443" w:type="dxa"/>
                  <w:vMerge/>
                </w:tcPr>
                <w:p w:rsidR="00473B6E" w:rsidRPr="0095377B" w:rsidRDefault="00473B6E" w:rsidP="00473B6E">
                  <w:pPr>
                    <w:spacing w:after="200" w:line="276" w:lineRule="auto"/>
                    <w:jc w:val="center"/>
                  </w:pPr>
                </w:p>
              </w:tc>
              <w:tc>
                <w:tcPr>
                  <w:tcW w:w="1129" w:type="dxa"/>
                  <w:vMerge/>
                </w:tcPr>
                <w:p w:rsidR="00473B6E" w:rsidRPr="0095377B" w:rsidRDefault="00473B6E" w:rsidP="00473B6E">
                  <w:pPr>
                    <w:jc w:val="center"/>
                  </w:pPr>
                </w:p>
              </w:tc>
              <w:tc>
                <w:tcPr>
                  <w:tcW w:w="1433" w:type="dxa"/>
                  <w:vMerge/>
                </w:tcPr>
                <w:p w:rsidR="00473B6E" w:rsidRPr="0095377B" w:rsidRDefault="00473B6E" w:rsidP="00473B6E">
                  <w:pPr>
                    <w:jc w:val="center"/>
                  </w:pPr>
                </w:p>
              </w:tc>
              <w:tc>
                <w:tcPr>
                  <w:tcW w:w="1341" w:type="dxa"/>
                </w:tcPr>
                <w:p w:rsidR="00473B6E" w:rsidRPr="0095377B" w:rsidRDefault="00473B6E" w:rsidP="00473B6E">
                  <w:pPr>
                    <w:jc w:val="center"/>
                  </w:pPr>
                  <w:r w:rsidRPr="0095377B">
                    <w:rPr>
                      <w:rFonts w:eastAsia="Calibri"/>
                      <w:lang w:eastAsia="en-US"/>
                    </w:rPr>
                    <w:t>Izmaiņas, salīdzinot ar kārtējo (n) gadu</w:t>
                  </w:r>
                </w:p>
              </w:tc>
              <w:tc>
                <w:tcPr>
                  <w:tcW w:w="1341" w:type="dxa"/>
                </w:tcPr>
                <w:p w:rsidR="00473B6E" w:rsidRPr="0095377B" w:rsidRDefault="00473B6E" w:rsidP="00473B6E">
                  <w:pPr>
                    <w:jc w:val="center"/>
                  </w:pPr>
                  <w:r w:rsidRPr="0095377B">
                    <w:rPr>
                      <w:rFonts w:eastAsia="Calibri"/>
                      <w:lang w:eastAsia="en-US"/>
                    </w:rPr>
                    <w:t>Izmaiņas, salīdzinot ar kārtējo (n) gadu</w:t>
                  </w:r>
                </w:p>
              </w:tc>
              <w:tc>
                <w:tcPr>
                  <w:tcW w:w="1353" w:type="dxa"/>
                </w:tcPr>
                <w:p w:rsidR="00473B6E" w:rsidRPr="0095377B" w:rsidRDefault="00473B6E" w:rsidP="00473B6E">
                  <w:pPr>
                    <w:jc w:val="center"/>
                  </w:pPr>
                  <w:r w:rsidRPr="0095377B">
                    <w:rPr>
                      <w:rFonts w:eastAsia="Calibri"/>
                      <w:lang w:eastAsia="en-US"/>
                    </w:rPr>
                    <w:t>Izmaiņas, salīdzinot ar kārtējo (n) gadu</w:t>
                  </w:r>
                </w:p>
              </w:tc>
            </w:tr>
            <w:tr w:rsidR="00473B6E" w:rsidRPr="00473B6E" w:rsidTr="001D0D68">
              <w:trPr>
                <w:trHeight w:val="144"/>
                <w:tblCellSpacing w:w="0" w:type="dxa"/>
              </w:trPr>
              <w:tc>
                <w:tcPr>
                  <w:tcW w:w="2443" w:type="dxa"/>
                </w:tcPr>
                <w:p w:rsidR="00473B6E" w:rsidRPr="00473B6E" w:rsidRDefault="00473B6E" w:rsidP="00473B6E">
                  <w:pPr>
                    <w:spacing w:after="200" w:line="276" w:lineRule="auto"/>
                    <w:jc w:val="center"/>
                    <w:rPr>
                      <w:sz w:val="26"/>
                      <w:szCs w:val="26"/>
                    </w:rPr>
                  </w:pPr>
                  <w:r w:rsidRPr="00473B6E">
                    <w:rPr>
                      <w:sz w:val="26"/>
                      <w:szCs w:val="26"/>
                    </w:rPr>
                    <w:t>1</w:t>
                  </w:r>
                </w:p>
              </w:tc>
              <w:tc>
                <w:tcPr>
                  <w:tcW w:w="1129" w:type="dxa"/>
                </w:tcPr>
                <w:p w:rsidR="00473B6E" w:rsidRPr="00473B6E" w:rsidRDefault="00473B6E" w:rsidP="00473B6E">
                  <w:pPr>
                    <w:spacing w:after="200" w:line="276" w:lineRule="auto"/>
                    <w:jc w:val="center"/>
                    <w:rPr>
                      <w:sz w:val="26"/>
                      <w:szCs w:val="26"/>
                    </w:rPr>
                  </w:pPr>
                  <w:r w:rsidRPr="00473B6E">
                    <w:rPr>
                      <w:sz w:val="26"/>
                      <w:szCs w:val="26"/>
                    </w:rPr>
                    <w:t>2</w:t>
                  </w:r>
                </w:p>
              </w:tc>
              <w:tc>
                <w:tcPr>
                  <w:tcW w:w="1433" w:type="dxa"/>
                </w:tcPr>
                <w:p w:rsidR="00473B6E" w:rsidRPr="00473B6E" w:rsidRDefault="00473B6E" w:rsidP="00473B6E">
                  <w:pPr>
                    <w:spacing w:after="200" w:line="276" w:lineRule="auto"/>
                    <w:jc w:val="center"/>
                    <w:rPr>
                      <w:sz w:val="26"/>
                      <w:szCs w:val="26"/>
                    </w:rPr>
                  </w:pPr>
                  <w:r w:rsidRPr="00473B6E">
                    <w:rPr>
                      <w:sz w:val="26"/>
                      <w:szCs w:val="26"/>
                    </w:rPr>
                    <w:t>3</w:t>
                  </w:r>
                </w:p>
              </w:tc>
              <w:tc>
                <w:tcPr>
                  <w:tcW w:w="1341" w:type="dxa"/>
                </w:tcPr>
                <w:p w:rsidR="00473B6E" w:rsidRPr="00473B6E" w:rsidRDefault="00473B6E" w:rsidP="00473B6E">
                  <w:pPr>
                    <w:spacing w:after="200" w:line="276" w:lineRule="auto"/>
                    <w:jc w:val="center"/>
                    <w:rPr>
                      <w:rFonts w:eastAsia="Calibri"/>
                      <w:sz w:val="26"/>
                      <w:szCs w:val="26"/>
                      <w:lang w:eastAsia="en-US"/>
                    </w:rPr>
                  </w:pPr>
                  <w:r w:rsidRPr="00473B6E">
                    <w:rPr>
                      <w:rFonts w:eastAsia="Calibri"/>
                      <w:sz w:val="26"/>
                      <w:szCs w:val="26"/>
                      <w:lang w:eastAsia="en-US"/>
                    </w:rPr>
                    <w:t>4</w:t>
                  </w:r>
                </w:p>
              </w:tc>
              <w:tc>
                <w:tcPr>
                  <w:tcW w:w="1341" w:type="dxa"/>
                </w:tcPr>
                <w:p w:rsidR="00473B6E" w:rsidRPr="00473B6E" w:rsidRDefault="00473B6E" w:rsidP="00473B6E">
                  <w:pPr>
                    <w:spacing w:after="200" w:line="276" w:lineRule="auto"/>
                    <w:jc w:val="center"/>
                    <w:rPr>
                      <w:rFonts w:eastAsia="Calibri"/>
                      <w:sz w:val="26"/>
                      <w:szCs w:val="26"/>
                      <w:lang w:eastAsia="en-US"/>
                    </w:rPr>
                  </w:pPr>
                  <w:r w:rsidRPr="00473B6E">
                    <w:rPr>
                      <w:rFonts w:eastAsia="Calibri"/>
                      <w:sz w:val="26"/>
                      <w:szCs w:val="26"/>
                      <w:lang w:eastAsia="en-US"/>
                    </w:rPr>
                    <w:t>5</w:t>
                  </w:r>
                </w:p>
              </w:tc>
              <w:tc>
                <w:tcPr>
                  <w:tcW w:w="1353" w:type="dxa"/>
                </w:tcPr>
                <w:p w:rsidR="00473B6E" w:rsidRPr="00473B6E" w:rsidRDefault="00473B6E" w:rsidP="00473B6E">
                  <w:pPr>
                    <w:spacing w:after="200" w:line="276" w:lineRule="auto"/>
                    <w:jc w:val="center"/>
                    <w:rPr>
                      <w:rFonts w:eastAsia="Calibri"/>
                      <w:sz w:val="26"/>
                      <w:szCs w:val="26"/>
                      <w:lang w:eastAsia="en-US"/>
                    </w:rPr>
                  </w:pPr>
                  <w:r w:rsidRPr="00473B6E">
                    <w:rPr>
                      <w:rFonts w:eastAsia="Calibri"/>
                      <w:sz w:val="26"/>
                      <w:szCs w:val="26"/>
                      <w:lang w:eastAsia="en-US"/>
                    </w:rPr>
                    <w:t>6</w:t>
                  </w:r>
                </w:p>
              </w:tc>
            </w:tr>
            <w:tr w:rsidR="00A537AF" w:rsidRPr="00473B6E" w:rsidTr="001D0D68">
              <w:trPr>
                <w:trHeight w:val="381"/>
                <w:tblCellSpacing w:w="0" w:type="dxa"/>
              </w:trPr>
              <w:tc>
                <w:tcPr>
                  <w:tcW w:w="2443" w:type="dxa"/>
                </w:tcPr>
                <w:p w:rsidR="00A537AF" w:rsidRPr="0095377B" w:rsidRDefault="00A537AF" w:rsidP="00473B6E">
                  <w:pPr>
                    <w:rPr>
                      <w:rFonts w:eastAsia="Calibri"/>
                      <w:lang w:eastAsia="en-US"/>
                    </w:rPr>
                  </w:pPr>
                  <w:r w:rsidRPr="0095377B">
                    <w:rPr>
                      <w:rFonts w:eastAsia="Calibri"/>
                      <w:lang w:eastAsia="en-US"/>
                    </w:rPr>
                    <w:t>1. Budžeta ieņēmumi:</w:t>
                  </w:r>
                </w:p>
              </w:tc>
              <w:tc>
                <w:tcPr>
                  <w:tcW w:w="1129" w:type="dxa"/>
                </w:tcPr>
                <w:p w:rsidR="00A537AF" w:rsidRPr="00473B6E" w:rsidRDefault="00D96D4C" w:rsidP="00473B6E">
                  <w:pPr>
                    <w:spacing w:after="200" w:line="276" w:lineRule="auto"/>
                    <w:jc w:val="center"/>
                    <w:rPr>
                      <w:sz w:val="26"/>
                      <w:szCs w:val="26"/>
                    </w:rPr>
                  </w:pPr>
                  <w:r>
                    <w:rPr>
                      <w:sz w:val="26"/>
                      <w:szCs w:val="26"/>
                    </w:rPr>
                    <w:t>0</w:t>
                  </w:r>
                </w:p>
              </w:tc>
              <w:tc>
                <w:tcPr>
                  <w:tcW w:w="1433" w:type="dxa"/>
                </w:tcPr>
                <w:p w:rsidR="00A537AF" w:rsidRPr="00473B6E" w:rsidRDefault="00537878" w:rsidP="00A537AF">
                  <w:pPr>
                    <w:spacing w:after="200" w:line="276" w:lineRule="auto"/>
                    <w:jc w:val="right"/>
                    <w:rPr>
                      <w:sz w:val="26"/>
                      <w:szCs w:val="26"/>
                    </w:rPr>
                  </w:pPr>
                  <w:r>
                    <w:rPr>
                      <w:sz w:val="26"/>
                      <w:szCs w:val="26"/>
                    </w:rPr>
                    <w:t>+812 158,0</w:t>
                  </w:r>
                </w:p>
              </w:tc>
              <w:tc>
                <w:tcPr>
                  <w:tcW w:w="1341" w:type="dxa"/>
                </w:tcPr>
                <w:p w:rsidR="00A537AF" w:rsidRPr="0095377B" w:rsidRDefault="00D96D4C" w:rsidP="00A537AF">
                  <w:pPr>
                    <w:spacing w:after="200" w:line="276" w:lineRule="auto"/>
                    <w:jc w:val="right"/>
                    <w:rPr>
                      <w:rFonts w:eastAsia="Calibri"/>
                      <w:lang w:eastAsia="en-US"/>
                    </w:rPr>
                  </w:pPr>
                  <w:r>
                    <w:rPr>
                      <w:rFonts w:eastAsia="Calibri"/>
                      <w:lang w:eastAsia="en-US"/>
                    </w:rPr>
                    <w:t>0</w:t>
                  </w:r>
                </w:p>
              </w:tc>
              <w:tc>
                <w:tcPr>
                  <w:tcW w:w="1341" w:type="dxa"/>
                </w:tcPr>
                <w:p w:rsidR="00A537AF" w:rsidRPr="0095377B" w:rsidRDefault="00537878" w:rsidP="001D0D68">
                  <w:pPr>
                    <w:spacing w:after="200" w:line="276" w:lineRule="auto"/>
                    <w:jc w:val="right"/>
                    <w:rPr>
                      <w:rFonts w:eastAsia="Calibri"/>
                      <w:lang w:eastAsia="en-US"/>
                    </w:rPr>
                  </w:pPr>
                  <w:r>
                    <w:rPr>
                      <w:rFonts w:eastAsia="Calibri"/>
                      <w:lang w:eastAsia="en-US"/>
                    </w:rPr>
                    <w:t>-</w:t>
                  </w:r>
                  <w:r w:rsidR="001D0D68">
                    <w:rPr>
                      <w:rFonts w:eastAsia="Calibri"/>
                      <w:lang w:eastAsia="en-US"/>
                    </w:rPr>
                    <w:t>2 430</w:t>
                  </w:r>
                  <w:r>
                    <w:rPr>
                      <w:rFonts w:eastAsia="Calibri"/>
                      <w:lang w:eastAsia="en-US"/>
                    </w:rPr>
                    <w:t>,0</w:t>
                  </w:r>
                </w:p>
              </w:tc>
              <w:tc>
                <w:tcPr>
                  <w:tcW w:w="1353" w:type="dxa"/>
                </w:tcPr>
                <w:p w:rsidR="00A537AF" w:rsidRPr="0095377B" w:rsidRDefault="00D96D4C" w:rsidP="00A537AF">
                  <w:pPr>
                    <w:spacing w:after="200" w:line="276" w:lineRule="auto"/>
                    <w:jc w:val="right"/>
                    <w:rPr>
                      <w:rFonts w:eastAsia="Calibri"/>
                      <w:lang w:eastAsia="en-US"/>
                    </w:rPr>
                  </w:pPr>
                  <w:r>
                    <w:rPr>
                      <w:rFonts w:eastAsia="Calibri"/>
                      <w:lang w:eastAsia="en-US"/>
                    </w:rPr>
                    <w:t>0</w:t>
                  </w:r>
                </w:p>
              </w:tc>
            </w:tr>
            <w:tr w:rsidR="00A537AF" w:rsidRPr="00473B6E" w:rsidTr="001D0D68">
              <w:trPr>
                <w:trHeight w:val="381"/>
                <w:tblCellSpacing w:w="0" w:type="dxa"/>
              </w:trPr>
              <w:tc>
                <w:tcPr>
                  <w:tcW w:w="2443" w:type="dxa"/>
                </w:tcPr>
                <w:p w:rsidR="00A537AF" w:rsidRPr="0095377B" w:rsidRDefault="00A537AF" w:rsidP="00473B6E">
                  <w:pPr>
                    <w:rPr>
                      <w:rFonts w:eastAsia="Calibri"/>
                      <w:lang w:eastAsia="en-US"/>
                    </w:rPr>
                  </w:pPr>
                  <w:r w:rsidRPr="0095377B">
                    <w:rPr>
                      <w:rFonts w:eastAsia="Calibri"/>
                      <w:lang w:eastAsia="en-US"/>
                    </w:rPr>
                    <w:t>1.1. valsts pamatbudžets, tai skaitā ieņēmumi no maksas pakalpojumiem un citi pašu ieņēmumi</w:t>
                  </w:r>
                </w:p>
              </w:tc>
              <w:tc>
                <w:tcPr>
                  <w:tcW w:w="1129" w:type="dxa"/>
                </w:tcPr>
                <w:p w:rsidR="00A537AF" w:rsidRPr="00473B6E" w:rsidRDefault="00D96D4C" w:rsidP="00473B6E">
                  <w:pPr>
                    <w:spacing w:after="200" w:line="276" w:lineRule="auto"/>
                    <w:jc w:val="center"/>
                    <w:rPr>
                      <w:sz w:val="26"/>
                      <w:szCs w:val="26"/>
                    </w:rPr>
                  </w:pPr>
                  <w:r>
                    <w:rPr>
                      <w:sz w:val="26"/>
                      <w:szCs w:val="26"/>
                    </w:rPr>
                    <w:t>0</w:t>
                  </w:r>
                </w:p>
              </w:tc>
              <w:tc>
                <w:tcPr>
                  <w:tcW w:w="1433" w:type="dxa"/>
                </w:tcPr>
                <w:p w:rsidR="00A537AF" w:rsidRPr="00473B6E" w:rsidRDefault="00537878" w:rsidP="00A537AF">
                  <w:pPr>
                    <w:spacing w:after="200" w:line="276" w:lineRule="auto"/>
                    <w:jc w:val="right"/>
                    <w:rPr>
                      <w:sz w:val="26"/>
                      <w:szCs w:val="26"/>
                    </w:rPr>
                  </w:pPr>
                  <w:r>
                    <w:rPr>
                      <w:sz w:val="26"/>
                      <w:szCs w:val="26"/>
                    </w:rPr>
                    <w:t>+162 431,6</w:t>
                  </w:r>
                </w:p>
              </w:tc>
              <w:tc>
                <w:tcPr>
                  <w:tcW w:w="1341" w:type="dxa"/>
                </w:tcPr>
                <w:p w:rsidR="00A537AF" w:rsidRPr="0095377B" w:rsidRDefault="00D96D4C" w:rsidP="00A537AF">
                  <w:pPr>
                    <w:spacing w:after="200" w:line="276" w:lineRule="auto"/>
                    <w:jc w:val="right"/>
                    <w:rPr>
                      <w:rFonts w:eastAsia="Calibri"/>
                      <w:lang w:eastAsia="en-US"/>
                    </w:rPr>
                  </w:pPr>
                  <w:r>
                    <w:rPr>
                      <w:rFonts w:eastAsia="Calibri"/>
                      <w:lang w:eastAsia="en-US"/>
                    </w:rPr>
                    <w:t>0</w:t>
                  </w:r>
                </w:p>
              </w:tc>
              <w:tc>
                <w:tcPr>
                  <w:tcW w:w="1341" w:type="dxa"/>
                </w:tcPr>
                <w:p w:rsidR="00A537AF" w:rsidRPr="0095377B" w:rsidRDefault="00537878" w:rsidP="001D0D68">
                  <w:pPr>
                    <w:spacing w:after="200" w:line="276" w:lineRule="auto"/>
                    <w:jc w:val="right"/>
                    <w:rPr>
                      <w:rFonts w:eastAsia="Calibri"/>
                      <w:lang w:eastAsia="en-US"/>
                    </w:rPr>
                  </w:pPr>
                  <w:r>
                    <w:rPr>
                      <w:rFonts w:eastAsia="Calibri"/>
                      <w:lang w:eastAsia="en-US"/>
                    </w:rPr>
                    <w:t>-</w:t>
                  </w:r>
                  <w:r w:rsidR="001D0D68">
                    <w:rPr>
                      <w:rFonts w:eastAsia="Calibri"/>
                      <w:lang w:eastAsia="en-US"/>
                    </w:rPr>
                    <w:t>486</w:t>
                  </w:r>
                  <w:r>
                    <w:rPr>
                      <w:rFonts w:eastAsia="Calibri"/>
                      <w:lang w:eastAsia="en-US"/>
                    </w:rPr>
                    <w:t>,0</w:t>
                  </w:r>
                </w:p>
              </w:tc>
              <w:tc>
                <w:tcPr>
                  <w:tcW w:w="1353" w:type="dxa"/>
                </w:tcPr>
                <w:p w:rsidR="00A537AF" w:rsidRPr="0095377B" w:rsidRDefault="00D96D4C" w:rsidP="00A537AF">
                  <w:pPr>
                    <w:spacing w:after="200" w:line="276" w:lineRule="auto"/>
                    <w:jc w:val="right"/>
                    <w:rPr>
                      <w:rFonts w:eastAsia="Calibri"/>
                      <w:lang w:eastAsia="en-US"/>
                    </w:rPr>
                  </w:pPr>
                  <w:r>
                    <w:rPr>
                      <w:rFonts w:eastAsia="Calibri"/>
                      <w:lang w:eastAsia="en-US"/>
                    </w:rPr>
                    <w:t>0</w:t>
                  </w:r>
                </w:p>
              </w:tc>
            </w:tr>
            <w:tr w:rsidR="00A537AF" w:rsidRPr="00473B6E" w:rsidTr="001D0D68">
              <w:trPr>
                <w:trHeight w:val="599"/>
                <w:tblCellSpacing w:w="0" w:type="dxa"/>
              </w:trPr>
              <w:tc>
                <w:tcPr>
                  <w:tcW w:w="2443" w:type="dxa"/>
                </w:tcPr>
                <w:p w:rsidR="00A537AF" w:rsidRPr="0095377B" w:rsidRDefault="00A537AF" w:rsidP="00473B6E">
                  <w:pPr>
                    <w:rPr>
                      <w:rFonts w:eastAsia="Calibri"/>
                      <w:lang w:eastAsia="en-US"/>
                    </w:rPr>
                  </w:pPr>
                  <w:r w:rsidRPr="0095377B">
                    <w:rPr>
                      <w:rFonts w:eastAsia="Calibri"/>
                      <w:lang w:eastAsia="en-US"/>
                    </w:rPr>
                    <w:t>1.2. valsts speciālais budžets</w:t>
                  </w:r>
                </w:p>
              </w:tc>
              <w:tc>
                <w:tcPr>
                  <w:tcW w:w="1129" w:type="dxa"/>
                </w:tcPr>
                <w:p w:rsidR="00A537AF" w:rsidRPr="00473B6E" w:rsidRDefault="00D96D4C" w:rsidP="00473B6E">
                  <w:pPr>
                    <w:spacing w:after="200" w:line="276" w:lineRule="auto"/>
                    <w:jc w:val="center"/>
                    <w:rPr>
                      <w:sz w:val="26"/>
                      <w:szCs w:val="26"/>
                    </w:rPr>
                  </w:pPr>
                  <w:r>
                    <w:rPr>
                      <w:sz w:val="26"/>
                      <w:szCs w:val="26"/>
                    </w:rPr>
                    <w:t>0</w:t>
                  </w:r>
                </w:p>
              </w:tc>
              <w:tc>
                <w:tcPr>
                  <w:tcW w:w="1433" w:type="dxa"/>
                </w:tcPr>
                <w:p w:rsidR="00A537AF" w:rsidRPr="00473B6E" w:rsidRDefault="00D96D4C" w:rsidP="00E128E2">
                  <w:pPr>
                    <w:spacing w:after="200" w:line="276" w:lineRule="auto"/>
                    <w:jc w:val="right"/>
                    <w:rPr>
                      <w:sz w:val="26"/>
                      <w:szCs w:val="26"/>
                    </w:rPr>
                  </w:pPr>
                  <w:r>
                    <w:rPr>
                      <w:sz w:val="26"/>
                      <w:szCs w:val="26"/>
                    </w:rPr>
                    <w:t>0</w:t>
                  </w:r>
                </w:p>
              </w:tc>
              <w:tc>
                <w:tcPr>
                  <w:tcW w:w="1341" w:type="dxa"/>
                </w:tcPr>
                <w:p w:rsidR="00A537AF" w:rsidRPr="0095377B" w:rsidRDefault="00D96D4C" w:rsidP="00E128E2">
                  <w:pPr>
                    <w:spacing w:after="200" w:line="276" w:lineRule="auto"/>
                    <w:jc w:val="right"/>
                    <w:rPr>
                      <w:rFonts w:eastAsia="Calibri"/>
                      <w:lang w:eastAsia="en-US"/>
                    </w:rPr>
                  </w:pPr>
                  <w:r>
                    <w:rPr>
                      <w:rFonts w:eastAsia="Calibri"/>
                      <w:lang w:eastAsia="en-US"/>
                    </w:rPr>
                    <w:t>0</w:t>
                  </w:r>
                </w:p>
              </w:tc>
              <w:tc>
                <w:tcPr>
                  <w:tcW w:w="1341" w:type="dxa"/>
                </w:tcPr>
                <w:p w:rsidR="00A537AF" w:rsidRPr="0095377B" w:rsidRDefault="00D96D4C" w:rsidP="00A537AF">
                  <w:pPr>
                    <w:spacing w:after="200" w:line="276" w:lineRule="auto"/>
                    <w:jc w:val="right"/>
                    <w:rPr>
                      <w:rFonts w:eastAsia="Calibri"/>
                      <w:lang w:eastAsia="en-US"/>
                    </w:rPr>
                  </w:pPr>
                  <w:r>
                    <w:rPr>
                      <w:rFonts w:eastAsia="Calibri"/>
                      <w:lang w:eastAsia="en-US"/>
                    </w:rPr>
                    <w:t>0</w:t>
                  </w:r>
                </w:p>
              </w:tc>
              <w:tc>
                <w:tcPr>
                  <w:tcW w:w="1353" w:type="dxa"/>
                </w:tcPr>
                <w:p w:rsidR="00A537AF" w:rsidRPr="0095377B" w:rsidRDefault="00D96D4C" w:rsidP="00A537AF">
                  <w:pPr>
                    <w:spacing w:after="200" w:line="276" w:lineRule="auto"/>
                    <w:jc w:val="right"/>
                    <w:rPr>
                      <w:rFonts w:eastAsia="Calibri"/>
                      <w:lang w:eastAsia="en-US"/>
                    </w:rPr>
                  </w:pPr>
                  <w:r>
                    <w:rPr>
                      <w:rFonts w:eastAsia="Calibri"/>
                      <w:lang w:eastAsia="en-US"/>
                    </w:rPr>
                    <w:t>0</w:t>
                  </w:r>
                </w:p>
              </w:tc>
            </w:tr>
            <w:tr w:rsidR="00A537AF" w:rsidRPr="00473B6E" w:rsidTr="001D0D68">
              <w:trPr>
                <w:trHeight w:val="381"/>
                <w:tblCellSpacing w:w="0" w:type="dxa"/>
              </w:trPr>
              <w:tc>
                <w:tcPr>
                  <w:tcW w:w="2443" w:type="dxa"/>
                </w:tcPr>
                <w:p w:rsidR="00A537AF" w:rsidRPr="0095377B" w:rsidRDefault="00A537AF" w:rsidP="00473B6E">
                  <w:pPr>
                    <w:rPr>
                      <w:rFonts w:eastAsia="Calibri"/>
                      <w:lang w:eastAsia="en-US"/>
                    </w:rPr>
                  </w:pPr>
                  <w:r w:rsidRPr="0095377B">
                    <w:rPr>
                      <w:rFonts w:eastAsia="Calibri"/>
                      <w:lang w:eastAsia="en-US"/>
                    </w:rPr>
                    <w:lastRenderedPageBreak/>
                    <w:t>1.3. pašvaldību budžets</w:t>
                  </w:r>
                </w:p>
              </w:tc>
              <w:tc>
                <w:tcPr>
                  <w:tcW w:w="1129" w:type="dxa"/>
                </w:tcPr>
                <w:p w:rsidR="00A537AF" w:rsidRPr="00473B6E" w:rsidRDefault="00D96D4C" w:rsidP="00473B6E">
                  <w:pPr>
                    <w:spacing w:after="200" w:line="276" w:lineRule="auto"/>
                    <w:jc w:val="center"/>
                    <w:rPr>
                      <w:sz w:val="26"/>
                      <w:szCs w:val="26"/>
                    </w:rPr>
                  </w:pPr>
                  <w:r>
                    <w:rPr>
                      <w:sz w:val="26"/>
                      <w:szCs w:val="26"/>
                    </w:rPr>
                    <w:t>0</w:t>
                  </w:r>
                </w:p>
              </w:tc>
              <w:tc>
                <w:tcPr>
                  <w:tcW w:w="1433" w:type="dxa"/>
                </w:tcPr>
                <w:p w:rsidR="00A537AF" w:rsidRPr="00473B6E" w:rsidRDefault="00386744" w:rsidP="00A537AF">
                  <w:pPr>
                    <w:spacing w:after="200" w:line="276" w:lineRule="auto"/>
                    <w:jc w:val="right"/>
                    <w:rPr>
                      <w:sz w:val="26"/>
                      <w:szCs w:val="26"/>
                    </w:rPr>
                  </w:pPr>
                  <w:r>
                    <w:rPr>
                      <w:sz w:val="26"/>
                      <w:szCs w:val="26"/>
                    </w:rPr>
                    <w:t>+</w:t>
                  </w:r>
                  <w:r w:rsidR="00537878">
                    <w:rPr>
                      <w:sz w:val="26"/>
                      <w:szCs w:val="26"/>
                    </w:rPr>
                    <w:t>649 726,4</w:t>
                  </w:r>
                </w:p>
              </w:tc>
              <w:tc>
                <w:tcPr>
                  <w:tcW w:w="1341" w:type="dxa"/>
                </w:tcPr>
                <w:p w:rsidR="00A537AF" w:rsidRPr="0095377B" w:rsidRDefault="00D96D4C" w:rsidP="00A537AF">
                  <w:pPr>
                    <w:spacing w:after="200" w:line="276" w:lineRule="auto"/>
                    <w:jc w:val="right"/>
                    <w:rPr>
                      <w:rFonts w:eastAsia="Calibri"/>
                      <w:lang w:eastAsia="en-US"/>
                    </w:rPr>
                  </w:pPr>
                  <w:r>
                    <w:rPr>
                      <w:rFonts w:eastAsia="Calibri"/>
                      <w:lang w:eastAsia="en-US"/>
                    </w:rPr>
                    <w:t>0</w:t>
                  </w:r>
                </w:p>
              </w:tc>
              <w:tc>
                <w:tcPr>
                  <w:tcW w:w="1341" w:type="dxa"/>
                </w:tcPr>
                <w:p w:rsidR="00A537AF" w:rsidRPr="0095377B" w:rsidRDefault="00537878" w:rsidP="001D0D68">
                  <w:pPr>
                    <w:spacing w:after="200" w:line="276" w:lineRule="auto"/>
                    <w:jc w:val="right"/>
                    <w:rPr>
                      <w:rFonts w:eastAsia="Calibri"/>
                      <w:lang w:eastAsia="en-US"/>
                    </w:rPr>
                  </w:pPr>
                  <w:r>
                    <w:rPr>
                      <w:rFonts w:eastAsia="Calibri"/>
                      <w:lang w:eastAsia="en-US"/>
                    </w:rPr>
                    <w:t>-</w:t>
                  </w:r>
                  <w:r w:rsidR="001D0D68">
                    <w:rPr>
                      <w:rFonts w:eastAsia="Calibri"/>
                      <w:lang w:eastAsia="en-US"/>
                    </w:rPr>
                    <w:t>1 944</w:t>
                  </w:r>
                  <w:r>
                    <w:rPr>
                      <w:rFonts w:eastAsia="Calibri"/>
                      <w:lang w:eastAsia="en-US"/>
                    </w:rPr>
                    <w:t>,0</w:t>
                  </w:r>
                </w:p>
              </w:tc>
              <w:tc>
                <w:tcPr>
                  <w:tcW w:w="1353" w:type="dxa"/>
                </w:tcPr>
                <w:p w:rsidR="00A537AF" w:rsidRPr="0095377B" w:rsidRDefault="00D96D4C" w:rsidP="00A537AF">
                  <w:pPr>
                    <w:spacing w:after="200" w:line="276" w:lineRule="auto"/>
                    <w:jc w:val="right"/>
                    <w:rPr>
                      <w:rFonts w:eastAsia="Calibri"/>
                      <w:lang w:eastAsia="en-US"/>
                    </w:rPr>
                  </w:pPr>
                  <w:r>
                    <w:rPr>
                      <w:rFonts w:eastAsia="Calibri"/>
                      <w:lang w:eastAsia="en-US"/>
                    </w:rPr>
                    <w:t>0</w:t>
                  </w:r>
                </w:p>
              </w:tc>
            </w:tr>
            <w:tr w:rsidR="00473B6E" w:rsidRPr="00473B6E" w:rsidTr="001D0D68">
              <w:trPr>
                <w:trHeight w:val="381"/>
                <w:tblCellSpacing w:w="0" w:type="dxa"/>
              </w:trPr>
              <w:tc>
                <w:tcPr>
                  <w:tcW w:w="2443" w:type="dxa"/>
                </w:tcPr>
                <w:p w:rsidR="00473B6E" w:rsidRPr="0095377B" w:rsidRDefault="004551E2" w:rsidP="00473B6E">
                  <w:pPr>
                    <w:rPr>
                      <w:rFonts w:eastAsia="Calibri"/>
                      <w:lang w:eastAsia="en-US"/>
                    </w:rPr>
                  </w:pPr>
                  <w:r>
                    <w:rPr>
                      <w:rFonts w:eastAsia="Calibri"/>
                      <w:lang w:eastAsia="en-US"/>
                    </w:rPr>
                    <w:t>2. Budžeta izdevum</w:t>
                  </w:r>
                  <w:r w:rsidR="00473B6E" w:rsidRPr="0095377B">
                    <w:rPr>
                      <w:rFonts w:eastAsia="Calibri"/>
                      <w:lang w:eastAsia="en-US"/>
                    </w:rPr>
                    <w:t>i:</w:t>
                  </w:r>
                </w:p>
              </w:tc>
              <w:tc>
                <w:tcPr>
                  <w:tcW w:w="1129" w:type="dxa"/>
                </w:tcPr>
                <w:p w:rsidR="00473B6E" w:rsidRPr="00473B6E" w:rsidRDefault="00D96D4C" w:rsidP="00473B6E">
                  <w:pPr>
                    <w:spacing w:after="200" w:line="276" w:lineRule="auto"/>
                    <w:jc w:val="center"/>
                    <w:rPr>
                      <w:sz w:val="26"/>
                      <w:szCs w:val="26"/>
                    </w:rPr>
                  </w:pPr>
                  <w:r>
                    <w:rPr>
                      <w:sz w:val="26"/>
                      <w:szCs w:val="26"/>
                    </w:rPr>
                    <w:t>0</w:t>
                  </w:r>
                </w:p>
              </w:tc>
              <w:tc>
                <w:tcPr>
                  <w:tcW w:w="1433" w:type="dxa"/>
                </w:tcPr>
                <w:p w:rsidR="00473B6E" w:rsidRPr="00473B6E" w:rsidRDefault="00D96D4C" w:rsidP="00473B6E">
                  <w:pPr>
                    <w:spacing w:after="200" w:line="276" w:lineRule="auto"/>
                    <w:jc w:val="center"/>
                    <w:rPr>
                      <w:sz w:val="26"/>
                      <w:szCs w:val="26"/>
                    </w:rPr>
                  </w:pPr>
                  <w:r>
                    <w:rPr>
                      <w:sz w:val="26"/>
                      <w:szCs w:val="26"/>
                    </w:rPr>
                    <w:t>0</w:t>
                  </w:r>
                </w:p>
              </w:tc>
              <w:tc>
                <w:tcPr>
                  <w:tcW w:w="1341" w:type="dxa"/>
                </w:tcPr>
                <w:p w:rsidR="00473B6E" w:rsidRPr="00473B6E" w:rsidRDefault="00D96D4C" w:rsidP="0095377B">
                  <w:pPr>
                    <w:spacing w:after="200" w:line="276" w:lineRule="auto"/>
                    <w:jc w:val="right"/>
                    <w:rPr>
                      <w:rFonts w:eastAsia="Calibri"/>
                      <w:sz w:val="26"/>
                      <w:szCs w:val="26"/>
                      <w:lang w:eastAsia="en-US"/>
                    </w:rPr>
                  </w:pPr>
                  <w:r>
                    <w:rPr>
                      <w:rFonts w:eastAsia="Calibri"/>
                      <w:sz w:val="26"/>
                      <w:szCs w:val="26"/>
                      <w:lang w:eastAsia="en-US"/>
                    </w:rPr>
                    <w:t>0</w:t>
                  </w:r>
                </w:p>
              </w:tc>
              <w:tc>
                <w:tcPr>
                  <w:tcW w:w="1341" w:type="dxa"/>
                </w:tcPr>
                <w:p w:rsidR="00473B6E" w:rsidRPr="00473B6E" w:rsidRDefault="00D96D4C" w:rsidP="0095377B">
                  <w:pPr>
                    <w:spacing w:after="200" w:line="276" w:lineRule="auto"/>
                    <w:jc w:val="right"/>
                    <w:rPr>
                      <w:rFonts w:eastAsia="Calibri"/>
                      <w:sz w:val="26"/>
                      <w:szCs w:val="26"/>
                      <w:lang w:eastAsia="en-US"/>
                    </w:rPr>
                  </w:pPr>
                  <w:r>
                    <w:rPr>
                      <w:rFonts w:eastAsia="Calibri"/>
                      <w:sz w:val="26"/>
                      <w:szCs w:val="26"/>
                      <w:lang w:eastAsia="en-US"/>
                    </w:rPr>
                    <w:t>0</w:t>
                  </w:r>
                </w:p>
              </w:tc>
              <w:tc>
                <w:tcPr>
                  <w:tcW w:w="1353" w:type="dxa"/>
                </w:tcPr>
                <w:p w:rsidR="00473B6E" w:rsidRPr="00473B6E" w:rsidRDefault="00D96D4C" w:rsidP="0095377B">
                  <w:pPr>
                    <w:spacing w:after="200" w:line="276" w:lineRule="auto"/>
                    <w:jc w:val="right"/>
                    <w:rPr>
                      <w:rFonts w:eastAsia="Calibri"/>
                      <w:sz w:val="26"/>
                      <w:szCs w:val="26"/>
                      <w:lang w:eastAsia="en-US"/>
                    </w:rPr>
                  </w:pPr>
                  <w:r>
                    <w:rPr>
                      <w:rFonts w:eastAsia="Calibri"/>
                      <w:sz w:val="26"/>
                      <w:szCs w:val="26"/>
                      <w:lang w:eastAsia="en-US"/>
                    </w:rPr>
                    <w:t>0</w:t>
                  </w:r>
                </w:p>
              </w:tc>
            </w:tr>
            <w:tr w:rsidR="00473B6E" w:rsidRPr="00473B6E" w:rsidTr="001D0D68">
              <w:trPr>
                <w:trHeight w:val="381"/>
                <w:tblCellSpacing w:w="0" w:type="dxa"/>
              </w:trPr>
              <w:tc>
                <w:tcPr>
                  <w:tcW w:w="2443" w:type="dxa"/>
                </w:tcPr>
                <w:p w:rsidR="00473B6E" w:rsidRPr="0095377B" w:rsidRDefault="00473B6E" w:rsidP="00473B6E">
                  <w:pPr>
                    <w:rPr>
                      <w:rFonts w:eastAsia="Calibri"/>
                      <w:lang w:eastAsia="en-US"/>
                    </w:rPr>
                  </w:pPr>
                  <w:r w:rsidRPr="0095377B">
                    <w:rPr>
                      <w:rFonts w:eastAsia="Calibri"/>
                      <w:lang w:eastAsia="en-US"/>
                    </w:rPr>
                    <w:t>2.1. valsts pamatbudžets</w:t>
                  </w:r>
                </w:p>
              </w:tc>
              <w:tc>
                <w:tcPr>
                  <w:tcW w:w="1129" w:type="dxa"/>
                </w:tcPr>
                <w:p w:rsidR="00473B6E" w:rsidRPr="00473B6E" w:rsidRDefault="00D96D4C" w:rsidP="00473B6E">
                  <w:pPr>
                    <w:spacing w:after="200" w:line="276" w:lineRule="auto"/>
                    <w:jc w:val="center"/>
                    <w:rPr>
                      <w:sz w:val="26"/>
                      <w:szCs w:val="26"/>
                    </w:rPr>
                  </w:pPr>
                  <w:r>
                    <w:rPr>
                      <w:sz w:val="26"/>
                      <w:szCs w:val="26"/>
                    </w:rPr>
                    <w:t>0</w:t>
                  </w:r>
                </w:p>
              </w:tc>
              <w:tc>
                <w:tcPr>
                  <w:tcW w:w="1433" w:type="dxa"/>
                </w:tcPr>
                <w:p w:rsidR="00473B6E" w:rsidRPr="00473B6E" w:rsidRDefault="00D96D4C" w:rsidP="00473B6E">
                  <w:pPr>
                    <w:spacing w:after="200" w:line="276" w:lineRule="auto"/>
                    <w:jc w:val="center"/>
                    <w:rPr>
                      <w:sz w:val="26"/>
                      <w:szCs w:val="26"/>
                    </w:rPr>
                  </w:pPr>
                  <w:r>
                    <w:rPr>
                      <w:sz w:val="26"/>
                      <w:szCs w:val="26"/>
                    </w:rPr>
                    <w:t>0</w:t>
                  </w:r>
                </w:p>
              </w:tc>
              <w:tc>
                <w:tcPr>
                  <w:tcW w:w="1341" w:type="dxa"/>
                </w:tcPr>
                <w:p w:rsidR="00473B6E" w:rsidRPr="00473B6E" w:rsidRDefault="00D96D4C" w:rsidP="0095377B">
                  <w:pPr>
                    <w:spacing w:after="200" w:line="276" w:lineRule="auto"/>
                    <w:jc w:val="right"/>
                    <w:rPr>
                      <w:rFonts w:eastAsia="Calibri"/>
                      <w:sz w:val="26"/>
                      <w:szCs w:val="26"/>
                      <w:lang w:eastAsia="en-US"/>
                    </w:rPr>
                  </w:pPr>
                  <w:r>
                    <w:rPr>
                      <w:rFonts w:eastAsia="Calibri"/>
                      <w:sz w:val="26"/>
                      <w:szCs w:val="26"/>
                      <w:lang w:eastAsia="en-US"/>
                    </w:rPr>
                    <w:t>0</w:t>
                  </w:r>
                </w:p>
              </w:tc>
              <w:tc>
                <w:tcPr>
                  <w:tcW w:w="1341" w:type="dxa"/>
                </w:tcPr>
                <w:p w:rsidR="00473B6E" w:rsidRPr="00473B6E" w:rsidRDefault="00D96D4C" w:rsidP="0095377B">
                  <w:pPr>
                    <w:spacing w:after="200" w:line="276" w:lineRule="auto"/>
                    <w:jc w:val="right"/>
                    <w:rPr>
                      <w:rFonts w:eastAsia="Calibri"/>
                      <w:sz w:val="26"/>
                      <w:szCs w:val="26"/>
                      <w:lang w:eastAsia="en-US"/>
                    </w:rPr>
                  </w:pPr>
                  <w:r>
                    <w:rPr>
                      <w:rFonts w:eastAsia="Calibri"/>
                      <w:sz w:val="26"/>
                      <w:szCs w:val="26"/>
                      <w:lang w:eastAsia="en-US"/>
                    </w:rPr>
                    <w:t>0</w:t>
                  </w:r>
                </w:p>
              </w:tc>
              <w:tc>
                <w:tcPr>
                  <w:tcW w:w="1353" w:type="dxa"/>
                </w:tcPr>
                <w:p w:rsidR="00473B6E" w:rsidRPr="00473B6E" w:rsidRDefault="00D96D4C" w:rsidP="0095377B">
                  <w:pPr>
                    <w:spacing w:after="200" w:line="276" w:lineRule="auto"/>
                    <w:jc w:val="right"/>
                    <w:rPr>
                      <w:rFonts w:eastAsia="Calibri"/>
                      <w:sz w:val="26"/>
                      <w:szCs w:val="26"/>
                      <w:lang w:eastAsia="en-US"/>
                    </w:rPr>
                  </w:pPr>
                  <w:r>
                    <w:rPr>
                      <w:rFonts w:eastAsia="Calibri"/>
                      <w:sz w:val="26"/>
                      <w:szCs w:val="26"/>
                      <w:lang w:eastAsia="en-US"/>
                    </w:rPr>
                    <w:t>0</w:t>
                  </w:r>
                </w:p>
              </w:tc>
            </w:tr>
            <w:tr w:rsidR="00473B6E" w:rsidRPr="00473B6E" w:rsidTr="001D0D68">
              <w:trPr>
                <w:trHeight w:val="381"/>
                <w:tblCellSpacing w:w="0" w:type="dxa"/>
              </w:trPr>
              <w:tc>
                <w:tcPr>
                  <w:tcW w:w="2443" w:type="dxa"/>
                </w:tcPr>
                <w:p w:rsidR="00473B6E" w:rsidRPr="0095377B" w:rsidRDefault="00473B6E" w:rsidP="00473B6E">
                  <w:pPr>
                    <w:rPr>
                      <w:rFonts w:eastAsia="Calibri"/>
                      <w:lang w:eastAsia="en-US"/>
                    </w:rPr>
                  </w:pPr>
                  <w:r w:rsidRPr="0095377B">
                    <w:rPr>
                      <w:rFonts w:eastAsia="Calibri"/>
                      <w:lang w:eastAsia="en-US"/>
                    </w:rPr>
                    <w:t>2.2. valsts speciālais budžets</w:t>
                  </w:r>
                </w:p>
              </w:tc>
              <w:tc>
                <w:tcPr>
                  <w:tcW w:w="1129" w:type="dxa"/>
                </w:tcPr>
                <w:p w:rsidR="00473B6E" w:rsidRPr="00473B6E" w:rsidRDefault="00D96D4C" w:rsidP="00473B6E">
                  <w:pPr>
                    <w:spacing w:after="200" w:line="276" w:lineRule="auto"/>
                    <w:jc w:val="center"/>
                    <w:rPr>
                      <w:sz w:val="26"/>
                      <w:szCs w:val="26"/>
                    </w:rPr>
                  </w:pPr>
                  <w:r>
                    <w:rPr>
                      <w:sz w:val="26"/>
                      <w:szCs w:val="26"/>
                    </w:rPr>
                    <w:t>0</w:t>
                  </w:r>
                </w:p>
              </w:tc>
              <w:tc>
                <w:tcPr>
                  <w:tcW w:w="1433" w:type="dxa"/>
                </w:tcPr>
                <w:p w:rsidR="00473B6E" w:rsidRPr="00473B6E" w:rsidRDefault="00D96D4C" w:rsidP="00473B6E">
                  <w:pPr>
                    <w:spacing w:after="200" w:line="276" w:lineRule="auto"/>
                    <w:jc w:val="center"/>
                    <w:rPr>
                      <w:sz w:val="26"/>
                      <w:szCs w:val="26"/>
                    </w:rPr>
                  </w:pPr>
                  <w:r>
                    <w:rPr>
                      <w:sz w:val="26"/>
                      <w:szCs w:val="26"/>
                    </w:rPr>
                    <w:t>0</w:t>
                  </w:r>
                </w:p>
              </w:tc>
              <w:tc>
                <w:tcPr>
                  <w:tcW w:w="1341" w:type="dxa"/>
                </w:tcPr>
                <w:p w:rsidR="00473B6E" w:rsidRPr="00473B6E" w:rsidRDefault="00D96D4C" w:rsidP="0095377B">
                  <w:pPr>
                    <w:spacing w:after="200" w:line="276" w:lineRule="auto"/>
                    <w:jc w:val="right"/>
                    <w:rPr>
                      <w:rFonts w:eastAsia="Calibri"/>
                      <w:sz w:val="26"/>
                      <w:szCs w:val="26"/>
                      <w:lang w:eastAsia="en-US"/>
                    </w:rPr>
                  </w:pPr>
                  <w:r>
                    <w:rPr>
                      <w:rFonts w:eastAsia="Calibri"/>
                      <w:sz w:val="26"/>
                      <w:szCs w:val="26"/>
                      <w:lang w:eastAsia="en-US"/>
                    </w:rPr>
                    <w:t>0</w:t>
                  </w:r>
                </w:p>
              </w:tc>
              <w:tc>
                <w:tcPr>
                  <w:tcW w:w="1341" w:type="dxa"/>
                </w:tcPr>
                <w:p w:rsidR="00473B6E" w:rsidRPr="00473B6E" w:rsidRDefault="00D96D4C" w:rsidP="0095377B">
                  <w:pPr>
                    <w:spacing w:after="200" w:line="276" w:lineRule="auto"/>
                    <w:jc w:val="right"/>
                    <w:rPr>
                      <w:rFonts w:eastAsia="Calibri"/>
                      <w:sz w:val="26"/>
                      <w:szCs w:val="26"/>
                      <w:lang w:eastAsia="en-US"/>
                    </w:rPr>
                  </w:pPr>
                  <w:r>
                    <w:rPr>
                      <w:rFonts w:eastAsia="Calibri"/>
                      <w:sz w:val="26"/>
                      <w:szCs w:val="26"/>
                      <w:lang w:eastAsia="en-US"/>
                    </w:rPr>
                    <w:t>0</w:t>
                  </w:r>
                </w:p>
              </w:tc>
              <w:tc>
                <w:tcPr>
                  <w:tcW w:w="1353" w:type="dxa"/>
                </w:tcPr>
                <w:p w:rsidR="00473B6E" w:rsidRPr="00473B6E" w:rsidRDefault="00D96D4C" w:rsidP="0095377B">
                  <w:pPr>
                    <w:spacing w:after="200" w:line="276" w:lineRule="auto"/>
                    <w:jc w:val="right"/>
                    <w:rPr>
                      <w:rFonts w:eastAsia="Calibri"/>
                      <w:sz w:val="26"/>
                      <w:szCs w:val="26"/>
                      <w:lang w:eastAsia="en-US"/>
                    </w:rPr>
                  </w:pPr>
                  <w:r>
                    <w:rPr>
                      <w:rFonts w:eastAsia="Calibri"/>
                      <w:sz w:val="26"/>
                      <w:szCs w:val="26"/>
                      <w:lang w:eastAsia="en-US"/>
                    </w:rPr>
                    <w:t>0</w:t>
                  </w:r>
                </w:p>
              </w:tc>
            </w:tr>
            <w:tr w:rsidR="00473B6E" w:rsidRPr="00473B6E" w:rsidTr="001D0D68">
              <w:trPr>
                <w:trHeight w:val="381"/>
                <w:tblCellSpacing w:w="0" w:type="dxa"/>
              </w:trPr>
              <w:tc>
                <w:tcPr>
                  <w:tcW w:w="2443" w:type="dxa"/>
                </w:tcPr>
                <w:p w:rsidR="00473B6E" w:rsidRPr="0095377B" w:rsidRDefault="00473B6E" w:rsidP="00473B6E">
                  <w:pPr>
                    <w:rPr>
                      <w:rFonts w:eastAsia="Calibri"/>
                      <w:lang w:eastAsia="en-US"/>
                    </w:rPr>
                  </w:pPr>
                  <w:r w:rsidRPr="0095377B">
                    <w:rPr>
                      <w:rFonts w:eastAsia="Calibri"/>
                      <w:lang w:eastAsia="en-US"/>
                    </w:rPr>
                    <w:t>2.3. pašvaldību budžets</w:t>
                  </w:r>
                </w:p>
              </w:tc>
              <w:tc>
                <w:tcPr>
                  <w:tcW w:w="1129" w:type="dxa"/>
                </w:tcPr>
                <w:p w:rsidR="00473B6E" w:rsidRPr="00473B6E" w:rsidRDefault="00D96D4C" w:rsidP="00473B6E">
                  <w:pPr>
                    <w:spacing w:after="200" w:line="276" w:lineRule="auto"/>
                    <w:jc w:val="center"/>
                    <w:rPr>
                      <w:sz w:val="26"/>
                      <w:szCs w:val="26"/>
                    </w:rPr>
                  </w:pPr>
                  <w:r>
                    <w:rPr>
                      <w:sz w:val="26"/>
                      <w:szCs w:val="26"/>
                    </w:rPr>
                    <w:t>0</w:t>
                  </w:r>
                </w:p>
              </w:tc>
              <w:tc>
                <w:tcPr>
                  <w:tcW w:w="1433" w:type="dxa"/>
                </w:tcPr>
                <w:p w:rsidR="00473B6E" w:rsidRPr="00473B6E" w:rsidRDefault="00D96D4C" w:rsidP="00473B6E">
                  <w:pPr>
                    <w:spacing w:after="200" w:line="276" w:lineRule="auto"/>
                    <w:jc w:val="center"/>
                    <w:rPr>
                      <w:sz w:val="26"/>
                      <w:szCs w:val="26"/>
                    </w:rPr>
                  </w:pPr>
                  <w:r>
                    <w:rPr>
                      <w:sz w:val="26"/>
                      <w:szCs w:val="26"/>
                    </w:rPr>
                    <w:t>0</w:t>
                  </w:r>
                </w:p>
              </w:tc>
              <w:tc>
                <w:tcPr>
                  <w:tcW w:w="1341" w:type="dxa"/>
                </w:tcPr>
                <w:p w:rsidR="00473B6E" w:rsidRPr="0095377B" w:rsidRDefault="00D96D4C" w:rsidP="0095377B">
                  <w:pPr>
                    <w:spacing w:after="200" w:line="276" w:lineRule="auto"/>
                    <w:jc w:val="right"/>
                    <w:rPr>
                      <w:rFonts w:eastAsia="Calibri"/>
                      <w:lang w:eastAsia="en-US"/>
                    </w:rPr>
                  </w:pPr>
                  <w:r>
                    <w:rPr>
                      <w:rFonts w:eastAsia="Calibri"/>
                      <w:lang w:eastAsia="en-US"/>
                    </w:rPr>
                    <w:t>0</w:t>
                  </w:r>
                </w:p>
              </w:tc>
              <w:tc>
                <w:tcPr>
                  <w:tcW w:w="1341" w:type="dxa"/>
                </w:tcPr>
                <w:p w:rsidR="00473B6E" w:rsidRPr="0095377B" w:rsidRDefault="00D96D4C" w:rsidP="0095377B">
                  <w:pPr>
                    <w:spacing w:after="200" w:line="276" w:lineRule="auto"/>
                    <w:jc w:val="right"/>
                    <w:rPr>
                      <w:rFonts w:eastAsia="Calibri"/>
                      <w:lang w:eastAsia="en-US"/>
                    </w:rPr>
                  </w:pPr>
                  <w:r>
                    <w:rPr>
                      <w:rFonts w:eastAsia="Calibri"/>
                      <w:lang w:eastAsia="en-US"/>
                    </w:rPr>
                    <w:t>0</w:t>
                  </w:r>
                </w:p>
              </w:tc>
              <w:tc>
                <w:tcPr>
                  <w:tcW w:w="1353" w:type="dxa"/>
                </w:tcPr>
                <w:p w:rsidR="00473B6E" w:rsidRPr="0095377B" w:rsidRDefault="00D96D4C" w:rsidP="0095377B">
                  <w:pPr>
                    <w:spacing w:after="200" w:line="276" w:lineRule="auto"/>
                    <w:jc w:val="right"/>
                    <w:rPr>
                      <w:rFonts w:eastAsia="Calibri"/>
                      <w:lang w:eastAsia="en-US"/>
                    </w:rPr>
                  </w:pPr>
                  <w:r>
                    <w:rPr>
                      <w:rFonts w:eastAsia="Calibri"/>
                      <w:lang w:eastAsia="en-US"/>
                    </w:rPr>
                    <w:t>0</w:t>
                  </w:r>
                </w:p>
              </w:tc>
            </w:tr>
            <w:tr w:rsidR="001D0D68" w:rsidRPr="00473B6E" w:rsidTr="001D0D68">
              <w:trPr>
                <w:trHeight w:val="381"/>
                <w:tblCellSpacing w:w="0" w:type="dxa"/>
              </w:trPr>
              <w:tc>
                <w:tcPr>
                  <w:tcW w:w="2443" w:type="dxa"/>
                </w:tcPr>
                <w:p w:rsidR="001D0D68" w:rsidRPr="0095377B" w:rsidRDefault="001D0D68" w:rsidP="00473B6E">
                  <w:pPr>
                    <w:rPr>
                      <w:rFonts w:eastAsia="Calibri"/>
                      <w:lang w:eastAsia="en-US"/>
                    </w:rPr>
                  </w:pPr>
                  <w:r w:rsidRPr="0095377B">
                    <w:rPr>
                      <w:rFonts w:eastAsia="Calibri"/>
                      <w:lang w:eastAsia="en-US"/>
                    </w:rPr>
                    <w:t>3. Finansiālā ietekme:</w:t>
                  </w:r>
                </w:p>
              </w:tc>
              <w:tc>
                <w:tcPr>
                  <w:tcW w:w="1129" w:type="dxa"/>
                </w:tcPr>
                <w:p w:rsidR="001D0D68" w:rsidRPr="00473B6E" w:rsidRDefault="001D0D68" w:rsidP="00473B6E">
                  <w:pPr>
                    <w:spacing w:after="200" w:line="276" w:lineRule="auto"/>
                    <w:jc w:val="center"/>
                    <w:rPr>
                      <w:sz w:val="26"/>
                      <w:szCs w:val="26"/>
                    </w:rPr>
                  </w:pPr>
                  <w:r>
                    <w:rPr>
                      <w:sz w:val="26"/>
                      <w:szCs w:val="26"/>
                    </w:rPr>
                    <w:t>0</w:t>
                  </w:r>
                </w:p>
              </w:tc>
              <w:tc>
                <w:tcPr>
                  <w:tcW w:w="1433" w:type="dxa"/>
                </w:tcPr>
                <w:p w:rsidR="001D0D68" w:rsidRPr="00473B6E" w:rsidRDefault="001D0D68" w:rsidP="00DB6C54">
                  <w:pPr>
                    <w:spacing w:after="200" w:line="276" w:lineRule="auto"/>
                    <w:jc w:val="right"/>
                    <w:rPr>
                      <w:sz w:val="26"/>
                      <w:szCs w:val="26"/>
                    </w:rPr>
                  </w:pPr>
                  <w:r>
                    <w:rPr>
                      <w:sz w:val="26"/>
                      <w:szCs w:val="26"/>
                    </w:rPr>
                    <w:t>0</w:t>
                  </w:r>
                </w:p>
              </w:tc>
              <w:tc>
                <w:tcPr>
                  <w:tcW w:w="1341" w:type="dxa"/>
                </w:tcPr>
                <w:p w:rsidR="001D0D68" w:rsidRPr="0095377B" w:rsidRDefault="001D0D68" w:rsidP="00DB6C54">
                  <w:pPr>
                    <w:spacing w:after="200" w:line="276" w:lineRule="auto"/>
                    <w:jc w:val="right"/>
                    <w:rPr>
                      <w:rFonts w:eastAsia="Calibri"/>
                      <w:lang w:eastAsia="en-US"/>
                    </w:rPr>
                  </w:pPr>
                  <w:r>
                    <w:rPr>
                      <w:rFonts w:eastAsia="Calibri"/>
                      <w:lang w:eastAsia="en-US"/>
                    </w:rPr>
                    <w:t>0</w:t>
                  </w:r>
                </w:p>
              </w:tc>
              <w:tc>
                <w:tcPr>
                  <w:tcW w:w="1341" w:type="dxa"/>
                </w:tcPr>
                <w:p w:rsidR="001D0D68" w:rsidRPr="0095377B" w:rsidRDefault="001D0D68" w:rsidP="004C7C00">
                  <w:pPr>
                    <w:spacing w:after="200" w:line="276" w:lineRule="auto"/>
                    <w:jc w:val="right"/>
                    <w:rPr>
                      <w:rFonts w:eastAsia="Calibri"/>
                      <w:lang w:eastAsia="en-US"/>
                    </w:rPr>
                  </w:pPr>
                  <w:r>
                    <w:rPr>
                      <w:rFonts w:eastAsia="Calibri"/>
                      <w:lang w:eastAsia="en-US"/>
                    </w:rPr>
                    <w:t>-2 430,0</w:t>
                  </w:r>
                </w:p>
              </w:tc>
              <w:tc>
                <w:tcPr>
                  <w:tcW w:w="1353" w:type="dxa"/>
                </w:tcPr>
                <w:p w:rsidR="001D0D68" w:rsidRPr="0095377B" w:rsidRDefault="001D0D68" w:rsidP="00DB6C54">
                  <w:pPr>
                    <w:spacing w:after="200" w:line="276" w:lineRule="auto"/>
                    <w:jc w:val="right"/>
                    <w:rPr>
                      <w:rFonts w:eastAsia="Calibri"/>
                      <w:lang w:eastAsia="en-US"/>
                    </w:rPr>
                  </w:pPr>
                  <w:r>
                    <w:rPr>
                      <w:rFonts w:eastAsia="Calibri"/>
                      <w:lang w:eastAsia="en-US"/>
                    </w:rPr>
                    <w:t>0</w:t>
                  </w:r>
                </w:p>
              </w:tc>
            </w:tr>
            <w:tr w:rsidR="001D0D68" w:rsidRPr="00473B6E" w:rsidTr="001D0D68">
              <w:trPr>
                <w:trHeight w:val="381"/>
                <w:tblCellSpacing w:w="0" w:type="dxa"/>
              </w:trPr>
              <w:tc>
                <w:tcPr>
                  <w:tcW w:w="2443" w:type="dxa"/>
                </w:tcPr>
                <w:p w:rsidR="001D0D68" w:rsidRPr="0095377B" w:rsidRDefault="001D0D68" w:rsidP="00473B6E">
                  <w:pPr>
                    <w:rPr>
                      <w:rFonts w:eastAsia="Calibri"/>
                      <w:lang w:eastAsia="en-US"/>
                    </w:rPr>
                  </w:pPr>
                  <w:r w:rsidRPr="0095377B">
                    <w:rPr>
                      <w:rFonts w:eastAsia="Calibri"/>
                      <w:lang w:eastAsia="en-US"/>
                    </w:rPr>
                    <w:t>3.1. valsts pamatbudžets</w:t>
                  </w:r>
                </w:p>
              </w:tc>
              <w:tc>
                <w:tcPr>
                  <w:tcW w:w="1129" w:type="dxa"/>
                </w:tcPr>
                <w:p w:rsidR="001D0D68" w:rsidRPr="00473B6E" w:rsidRDefault="001D0D68" w:rsidP="00473B6E">
                  <w:pPr>
                    <w:spacing w:after="200" w:line="276" w:lineRule="auto"/>
                    <w:jc w:val="center"/>
                    <w:rPr>
                      <w:sz w:val="26"/>
                      <w:szCs w:val="26"/>
                    </w:rPr>
                  </w:pPr>
                  <w:r>
                    <w:rPr>
                      <w:sz w:val="26"/>
                      <w:szCs w:val="26"/>
                    </w:rPr>
                    <w:t>0</w:t>
                  </w:r>
                </w:p>
              </w:tc>
              <w:tc>
                <w:tcPr>
                  <w:tcW w:w="1433" w:type="dxa"/>
                </w:tcPr>
                <w:p w:rsidR="001D0D68" w:rsidRPr="00473B6E" w:rsidRDefault="001D0D68" w:rsidP="00DB6C54">
                  <w:pPr>
                    <w:spacing w:after="200" w:line="276" w:lineRule="auto"/>
                    <w:jc w:val="right"/>
                    <w:rPr>
                      <w:sz w:val="26"/>
                      <w:szCs w:val="26"/>
                    </w:rPr>
                  </w:pPr>
                  <w:r>
                    <w:rPr>
                      <w:sz w:val="26"/>
                      <w:szCs w:val="26"/>
                    </w:rPr>
                    <w:t>0</w:t>
                  </w:r>
                </w:p>
              </w:tc>
              <w:tc>
                <w:tcPr>
                  <w:tcW w:w="1341" w:type="dxa"/>
                </w:tcPr>
                <w:p w:rsidR="001D0D68" w:rsidRPr="0095377B" w:rsidRDefault="001D0D68" w:rsidP="00DB6C54">
                  <w:pPr>
                    <w:spacing w:after="200" w:line="276" w:lineRule="auto"/>
                    <w:jc w:val="right"/>
                    <w:rPr>
                      <w:rFonts w:eastAsia="Calibri"/>
                      <w:lang w:eastAsia="en-US"/>
                    </w:rPr>
                  </w:pPr>
                  <w:r>
                    <w:rPr>
                      <w:rFonts w:eastAsia="Calibri"/>
                      <w:lang w:eastAsia="en-US"/>
                    </w:rPr>
                    <w:t>0</w:t>
                  </w:r>
                </w:p>
              </w:tc>
              <w:tc>
                <w:tcPr>
                  <w:tcW w:w="1341" w:type="dxa"/>
                </w:tcPr>
                <w:p w:rsidR="001D0D68" w:rsidRPr="0095377B" w:rsidRDefault="001D0D68" w:rsidP="004C7C00">
                  <w:pPr>
                    <w:spacing w:after="200" w:line="276" w:lineRule="auto"/>
                    <w:jc w:val="right"/>
                    <w:rPr>
                      <w:rFonts w:eastAsia="Calibri"/>
                      <w:lang w:eastAsia="en-US"/>
                    </w:rPr>
                  </w:pPr>
                  <w:r>
                    <w:rPr>
                      <w:rFonts w:eastAsia="Calibri"/>
                      <w:lang w:eastAsia="en-US"/>
                    </w:rPr>
                    <w:t>-486,0</w:t>
                  </w:r>
                </w:p>
              </w:tc>
              <w:tc>
                <w:tcPr>
                  <w:tcW w:w="1353" w:type="dxa"/>
                </w:tcPr>
                <w:p w:rsidR="001D0D68" w:rsidRPr="0095377B" w:rsidRDefault="001D0D68" w:rsidP="00DB6C54">
                  <w:pPr>
                    <w:spacing w:after="200" w:line="276" w:lineRule="auto"/>
                    <w:jc w:val="right"/>
                    <w:rPr>
                      <w:rFonts w:eastAsia="Calibri"/>
                      <w:lang w:eastAsia="en-US"/>
                    </w:rPr>
                  </w:pPr>
                  <w:r>
                    <w:rPr>
                      <w:rFonts w:eastAsia="Calibri"/>
                      <w:lang w:eastAsia="en-US"/>
                    </w:rPr>
                    <w:t>0</w:t>
                  </w:r>
                </w:p>
              </w:tc>
            </w:tr>
            <w:tr w:rsidR="001D0D68" w:rsidRPr="00473B6E" w:rsidTr="001D0D68">
              <w:trPr>
                <w:trHeight w:val="381"/>
                <w:tblCellSpacing w:w="0" w:type="dxa"/>
              </w:trPr>
              <w:tc>
                <w:tcPr>
                  <w:tcW w:w="2443" w:type="dxa"/>
                </w:tcPr>
                <w:p w:rsidR="001D0D68" w:rsidRPr="0095377B" w:rsidRDefault="001D0D68" w:rsidP="00473B6E">
                  <w:pPr>
                    <w:rPr>
                      <w:rFonts w:eastAsia="Calibri"/>
                      <w:lang w:eastAsia="en-US"/>
                    </w:rPr>
                  </w:pPr>
                  <w:r w:rsidRPr="0095377B">
                    <w:rPr>
                      <w:rFonts w:eastAsia="Calibri"/>
                      <w:lang w:eastAsia="en-US"/>
                    </w:rPr>
                    <w:t>3.2. speciālais budžets</w:t>
                  </w:r>
                </w:p>
              </w:tc>
              <w:tc>
                <w:tcPr>
                  <w:tcW w:w="1129" w:type="dxa"/>
                </w:tcPr>
                <w:p w:rsidR="001D0D68" w:rsidRPr="00473B6E" w:rsidRDefault="001D0D68" w:rsidP="00473B6E">
                  <w:pPr>
                    <w:spacing w:after="200" w:line="276" w:lineRule="auto"/>
                    <w:jc w:val="center"/>
                    <w:rPr>
                      <w:sz w:val="26"/>
                      <w:szCs w:val="26"/>
                    </w:rPr>
                  </w:pPr>
                  <w:r>
                    <w:rPr>
                      <w:sz w:val="26"/>
                      <w:szCs w:val="26"/>
                    </w:rPr>
                    <w:t>0</w:t>
                  </w:r>
                </w:p>
              </w:tc>
              <w:tc>
                <w:tcPr>
                  <w:tcW w:w="1433" w:type="dxa"/>
                </w:tcPr>
                <w:p w:rsidR="001D0D68" w:rsidRPr="00473B6E" w:rsidRDefault="001D0D68" w:rsidP="00E128E2">
                  <w:pPr>
                    <w:spacing w:after="200" w:line="276" w:lineRule="auto"/>
                    <w:jc w:val="right"/>
                    <w:rPr>
                      <w:sz w:val="26"/>
                      <w:szCs w:val="26"/>
                    </w:rPr>
                  </w:pPr>
                  <w:r>
                    <w:rPr>
                      <w:sz w:val="26"/>
                      <w:szCs w:val="26"/>
                    </w:rPr>
                    <w:t>0</w:t>
                  </w:r>
                </w:p>
              </w:tc>
              <w:tc>
                <w:tcPr>
                  <w:tcW w:w="1341" w:type="dxa"/>
                </w:tcPr>
                <w:p w:rsidR="001D0D68" w:rsidRPr="0095377B" w:rsidRDefault="001D0D68" w:rsidP="00E128E2">
                  <w:pPr>
                    <w:spacing w:after="200" w:line="276" w:lineRule="auto"/>
                    <w:jc w:val="right"/>
                    <w:rPr>
                      <w:rFonts w:eastAsia="Calibri"/>
                      <w:lang w:eastAsia="en-US"/>
                    </w:rPr>
                  </w:pPr>
                  <w:r>
                    <w:rPr>
                      <w:rFonts w:eastAsia="Calibri"/>
                      <w:lang w:eastAsia="en-US"/>
                    </w:rPr>
                    <w:t>0</w:t>
                  </w:r>
                </w:p>
              </w:tc>
              <w:tc>
                <w:tcPr>
                  <w:tcW w:w="1341" w:type="dxa"/>
                </w:tcPr>
                <w:p w:rsidR="001D0D68" w:rsidRPr="0095377B" w:rsidRDefault="001D0D68" w:rsidP="004C7C00">
                  <w:pPr>
                    <w:spacing w:after="200" w:line="276" w:lineRule="auto"/>
                    <w:jc w:val="right"/>
                    <w:rPr>
                      <w:rFonts w:eastAsia="Calibri"/>
                      <w:lang w:eastAsia="en-US"/>
                    </w:rPr>
                  </w:pPr>
                  <w:r>
                    <w:rPr>
                      <w:rFonts w:eastAsia="Calibri"/>
                      <w:lang w:eastAsia="en-US"/>
                    </w:rPr>
                    <w:t>0</w:t>
                  </w:r>
                </w:p>
              </w:tc>
              <w:tc>
                <w:tcPr>
                  <w:tcW w:w="1353" w:type="dxa"/>
                </w:tcPr>
                <w:p w:rsidR="001D0D68" w:rsidRPr="0095377B" w:rsidRDefault="001D0D68" w:rsidP="00DB6C54">
                  <w:pPr>
                    <w:spacing w:after="200" w:line="276" w:lineRule="auto"/>
                    <w:jc w:val="right"/>
                    <w:rPr>
                      <w:rFonts w:eastAsia="Calibri"/>
                      <w:lang w:eastAsia="en-US"/>
                    </w:rPr>
                  </w:pPr>
                  <w:r>
                    <w:rPr>
                      <w:rFonts w:eastAsia="Calibri"/>
                      <w:lang w:eastAsia="en-US"/>
                    </w:rPr>
                    <w:t>0</w:t>
                  </w:r>
                </w:p>
              </w:tc>
            </w:tr>
            <w:tr w:rsidR="001D0D68" w:rsidRPr="00473B6E" w:rsidTr="001D0D68">
              <w:trPr>
                <w:trHeight w:val="381"/>
                <w:tblCellSpacing w:w="0" w:type="dxa"/>
              </w:trPr>
              <w:tc>
                <w:tcPr>
                  <w:tcW w:w="2443" w:type="dxa"/>
                </w:tcPr>
                <w:p w:rsidR="001D0D68" w:rsidRDefault="001D0D68" w:rsidP="00473B6E">
                  <w:pPr>
                    <w:rPr>
                      <w:rFonts w:eastAsia="Calibri"/>
                      <w:lang w:eastAsia="en-US"/>
                    </w:rPr>
                  </w:pPr>
                  <w:r w:rsidRPr="0095377B">
                    <w:rPr>
                      <w:rFonts w:eastAsia="Calibri"/>
                      <w:lang w:eastAsia="en-US"/>
                    </w:rPr>
                    <w:t>3.3. pašvaldību budžets</w:t>
                  </w:r>
                </w:p>
                <w:p w:rsidR="001D0D68" w:rsidRPr="0095377B" w:rsidRDefault="001D0D68" w:rsidP="0021729A">
                  <w:pPr>
                    <w:pStyle w:val="NormalWeb"/>
                    <w:spacing w:before="0" w:beforeAutospacing="0" w:after="0" w:afterAutospacing="0"/>
                    <w:ind w:left="280"/>
                    <w:rPr>
                      <w:rFonts w:eastAsia="Calibri"/>
                      <w:lang w:eastAsia="en-US"/>
                    </w:rPr>
                  </w:pPr>
                </w:p>
              </w:tc>
              <w:tc>
                <w:tcPr>
                  <w:tcW w:w="1129" w:type="dxa"/>
                </w:tcPr>
                <w:p w:rsidR="001D0D68" w:rsidRPr="00473B6E" w:rsidRDefault="001D0D68" w:rsidP="00473B6E">
                  <w:pPr>
                    <w:spacing w:after="200" w:line="276" w:lineRule="auto"/>
                    <w:jc w:val="center"/>
                    <w:rPr>
                      <w:sz w:val="26"/>
                      <w:szCs w:val="26"/>
                    </w:rPr>
                  </w:pPr>
                  <w:r>
                    <w:rPr>
                      <w:sz w:val="26"/>
                      <w:szCs w:val="26"/>
                    </w:rPr>
                    <w:t>0</w:t>
                  </w:r>
                </w:p>
              </w:tc>
              <w:tc>
                <w:tcPr>
                  <w:tcW w:w="1433" w:type="dxa"/>
                </w:tcPr>
                <w:p w:rsidR="001D0D68" w:rsidRPr="00473B6E" w:rsidRDefault="001D0D68" w:rsidP="00DB6C54">
                  <w:pPr>
                    <w:spacing w:after="200" w:line="276" w:lineRule="auto"/>
                    <w:jc w:val="right"/>
                    <w:rPr>
                      <w:sz w:val="26"/>
                      <w:szCs w:val="26"/>
                    </w:rPr>
                  </w:pPr>
                  <w:r>
                    <w:rPr>
                      <w:sz w:val="26"/>
                      <w:szCs w:val="26"/>
                    </w:rPr>
                    <w:t>0</w:t>
                  </w:r>
                </w:p>
              </w:tc>
              <w:tc>
                <w:tcPr>
                  <w:tcW w:w="1341" w:type="dxa"/>
                </w:tcPr>
                <w:p w:rsidR="001D0D68" w:rsidRPr="0095377B" w:rsidRDefault="001D0D68" w:rsidP="00DB6C54">
                  <w:pPr>
                    <w:spacing w:after="200" w:line="276" w:lineRule="auto"/>
                    <w:jc w:val="right"/>
                    <w:rPr>
                      <w:rFonts w:eastAsia="Calibri"/>
                      <w:lang w:eastAsia="en-US"/>
                    </w:rPr>
                  </w:pPr>
                  <w:r>
                    <w:rPr>
                      <w:rFonts w:eastAsia="Calibri"/>
                      <w:lang w:eastAsia="en-US"/>
                    </w:rPr>
                    <w:t>0</w:t>
                  </w:r>
                </w:p>
              </w:tc>
              <w:tc>
                <w:tcPr>
                  <w:tcW w:w="1341" w:type="dxa"/>
                </w:tcPr>
                <w:p w:rsidR="001D0D68" w:rsidRPr="0095377B" w:rsidRDefault="001D0D68" w:rsidP="004C7C00">
                  <w:pPr>
                    <w:spacing w:after="200" w:line="276" w:lineRule="auto"/>
                    <w:jc w:val="right"/>
                    <w:rPr>
                      <w:rFonts w:eastAsia="Calibri"/>
                      <w:lang w:eastAsia="en-US"/>
                    </w:rPr>
                  </w:pPr>
                  <w:r>
                    <w:rPr>
                      <w:rFonts w:eastAsia="Calibri"/>
                      <w:lang w:eastAsia="en-US"/>
                    </w:rPr>
                    <w:t>-1 944,0</w:t>
                  </w:r>
                </w:p>
              </w:tc>
              <w:tc>
                <w:tcPr>
                  <w:tcW w:w="1353" w:type="dxa"/>
                </w:tcPr>
                <w:p w:rsidR="001D0D68" w:rsidRPr="0095377B" w:rsidRDefault="001D0D68" w:rsidP="00DB6C54">
                  <w:pPr>
                    <w:spacing w:after="200" w:line="276" w:lineRule="auto"/>
                    <w:jc w:val="right"/>
                    <w:rPr>
                      <w:rFonts w:eastAsia="Calibri"/>
                      <w:lang w:eastAsia="en-US"/>
                    </w:rPr>
                  </w:pPr>
                  <w:r>
                    <w:rPr>
                      <w:rFonts w:eastAsia="Calibri"/>
                      <w:lang w:eastAsia="en-US"/>
                    </w:rPr>
                    <w:t>0</w:t>
                  </w:r>
                </w:p>
              </w:tc>
            </w:tr>
            <w:tr w:rsidR="00473B6E" w:rsidRPr="00473B6E" w:rsidTr="001D0D68">
              <w:trPr>
                <w:trHeight w:val="381"/>
                <w:tblCellSpacing w:w="0" w:type="dxa"/>
              </w:trPr>
              <w:tc>
                <w:tcPr>
                  <w:tcW w:w="2443" w:type="dxa"/>
                  <w:vMerge w:val="restart"/>
                </w:tcPr>
                <w:p w:rsidR="00473B6E" w:rsidRPr="0095377B" w:rsidRDefault="00473B6E" w:rsidP="00473B6E">
                  <w:pPr>
                    <w:rPr>
                      <w:rFonts w:eastAsia="Calibri"/>
                      <w:lang w:eastAsia="en-US"/>
                    </w:rPr>
                  </w:pPr>
                  <w:r w:rsidRPr="0095377B">
                    <w:rPr>
                      <w:rFonts w:eastAsia="Calibri"/>
                      <w:lang w:eastAsia="en-US"/>
                    </w:rPr>
                    <w:t>4. Finanšu līdzekļi papildu izde</w:t>
                  </w:r>
                  <w:r w:rsidRPr="0095377B">
                    <w:rPr>
                      <w:rFonts w:eastAsia="Calibri"/>
                      <w:lang w:eastAsia="en-US"/>
                    </w:rPr>
                    <w:softHyphen/>
                    <w:t>vumu finansēšanai (kompensējošu izdevumu samazinājumu norāda ar "+" zīmi)</w:t>
                  </w:r>
                </w:p>
              </w:tc>
              <w:tc>
                <w:tcPr>
                  <w:tcW w:w="1129" w:type="dxa"/>
                  <w:vMerge w:val="restart"/>
                </w:tcPr>
                <w:p w:rsidR="00473B6E" w:rsidRPr="00473B6E" w:rsidRDefault="00D96D4C" w:rsidP="00473B6E">
                  <w:pPr>
                    <w:spacing w:after="200" w:line="276" w:lineRule="auto"/>
                    <w:jc w:val="center"/>
                    <w:rPr>
                      <w:sz w:val="26"/>
                      <w:szCs w:val="26"/>
                    </w:rPr>
                  </w:pPr>
                  <w:r>
                    <w:rPr>
                      <w:sz w:val="26"/>
                      <w:szCs w:val="26"/>
                    </w:rPr>
                    <w:t>0</w:t>
                  </w:r>
                </w:p>
              </w:tc>
              <w:tc>
                <w:tcPr>
                  <w:tcW w:w="1433" w:type="dxa"/>
                </w:tcPr>
                <w:p w:rsidR="00473B6E" w:rsidRPr="00473B6E" w:rsidRDefault="00D96D4C" w:rsidP="00473B6E">
                  <w:pPr>
                    <w:spacing w:after="200" w:line="276" w:lineRule="auto"/>
                    <w:jc w:val="center"/>
                    <w:rPr>
                      <w:sz w:val="26"/>
                      <w:szCs w:val="26"/>
                    </w:rPr>
                  </w:pPr>
                  <w:r>
                    <w:rPr>
                      <w:sz w:val="26"/>
                      <w:szCs w:val="26"/>
                    </w:rPr>
                    <w:t>0</w:t>
                  </w:r>
                </w:p>
              </w:tc>
              <w:tc>
                <w:tcPr>
                  <w:tcW w:w="1341" w:type="dxa"/>
                </w:tcPr>
                <w:p w:rsidR="00473B6E" w:rsidRPr="00473B6E" w:rsidRDefault="00D96D4C" w:rsidP="00473B6E">
                  <w:pPr>
                    <w:spacing w:after="200" w:line="276" w:lineRule="auto"/>
                    <w:jc w:val="center"/>
                    <w:rPr>
                      <w:rFonts w:eastAsia="Calibri"/>
                      <w:sz w:val="26"/>
                      <w:szCs w:val="26"/>
                      <w:lang w:eastAsia="en-US"/>
                    </w:rPr>
                  </w:pPr>
                  <w:r>
                    <w:rPr>
                      <w:rFonts w:eastAsia="Calibri"/>
                      <w:sz w:val="26"/>
                      <w:szCs w:val="26"/>
                      <w:lang w:eastAsia="en-US"/>
                    </w:rPr>
                    <w:t>0</w:t>
                  </w:r>
                </w:p>
              </w:tc>
              <w:tc>
                <w:tcPr>
                  <w:tcW w:w="1341" w:type="dxa"/>
                </w:tcPr>
                <w:p w:rsidR="00473B6E" w:rsidRPr="00473B6E" w:rsidRDefault="00D96D4C" w:rsidP="00473B6E">
                  <w:pPr>
                    <w:spacing w:after="200" w:line="276" w:lineRule="auto"/>
                    <w:jc w:val="center"/>
                    <w:rPr>
                      <w:rFonts w:eastAsia="Calibri"/>
                      <w:sz w:val="26"/>
                      <w:szCs w:val="26"/>
                      <w:lang w:eastAsia="en-US"/>
                    </w:rPr>
                  </w:pPr>
                  <w:r>
                    <w:rPr>
                      <w:rFonts w:eastAsia="Calibri"/>
                      <w:sz w:val="26"/>
                      <w:szCs w:val="26"/>
                      <w:lang w:eastAsia="en-US"/>
                    </w:rPr>
                    <w:t>0</w:t>
                  </w:r>
                </w:p>
              </w:tc>
              <w:tc>
                <w:tcPr>
                  <w:tcW w:w="1353" w:type="dxa"/>
                </w:tcPr>
                <w:p w:rsidR="00473B6E" w:rsidRPr="00473B6E" w:rsidRDefault="00D96D4C" w:rsidP="00473B6E">
                  <w:pPr>
                    <w:spacing w:after="200" w:line="276" w:lineRule="auto"/>
                    <w:jc w:val="center"/>
                    <w:rPr>
                      <w:rFonts w:eastAsia="Calibri"/>
                      <w:sz w:val="26"/>
                      <w:szCs w:val="26"/>
                      <w:lang w:eastAsia="en-US"/>
                    </w:rPr>
                  </w:pPr>
                  <w:r>
                    <w:rPr>
                      <w:rFonts w:eastAsia="Calibri"/>
                      <w:sz w:val="26"/>
                      <w:szCs w:val="26"/>
                      <w:lang w:eastAsia="en-US"/>
                    </w:rPr>
                    <w:t>0</w:t>
                  </w:r>
                </w:p>
              </w:tc>
            </w:tr>
            <w:tr w:rsidR="00473B6E" w:rsidRPr="00473B6E" w:rsidTr="001D0D68">
              <w:trPr>
                <w:trHeight w:val="381"/>
                <w:tblCellSpacing w:w="0" w:type="dxa"/>
              </w:trPr>
              <w:tc>
                <w:tcPr>
                  <w:tcW w:w="2443" w:type="dxa"/>
                  <w:vMerge/>
                </w:tcPr>
                <w:p w:rsidR="00473B6E" w:rsidRPr="0095377B" w:rsidRDefault="00473B6E" w:rsidP="00473B6E">
                  <w:pPr>
                    <w:jc w:val="center"/>
                    <w:rPr>
                      <w:rFonts w:eastAsia="Calibri"/>
                      <w:lang w:eastAsia="en-US"/>
                    </w:rPr>
                  </w:pPr>
                </w:p>
              </w:tc>
              <w:tc>
                <w:tcPr>
                  <w:tcW w:w="1129" w:type="dxa"/>
                  <w:vMerge/>
                </w:tcPr>
                <w:p w:rsidR="00473B6E" w:rsidRPr="00473B6E" w:rsidRDefault="00473B6E" w:rsidP="00473B6E">
                  <w:pPr>
                    <w:spacing w:after="200" w:line="276" w:lineRule="auto"/>
                    <w:jc w:val="center"/>
                    <w:rPr>
                      <w:sz w:val="26"/>
                      <w:szCs w:val="26"/>
                    </w:rPr>
                  </w:pPr>
                </w:p>
              </w:tc>
              <w:tc>
                <w:tcPr>
                  <w:tcW w:w="1433" w:type="dxa"/>
                </w:tcPr>
                <w:p w:rsidR="00473B6E" w:rsidRPr="00473B6E" w:rsidRDefault="00D96D4C" w:rsidP="00473B6E">
                  <w:pPr>
                    <w:spacing w:after="200" w:line="276" w:lineRule="auto"/>
                    <w:jc w:val="center"/>
                    <w:rPr>
                      <w:sz w:val="26"/>
                      <w:szCs w:val="26"/>
                    </w:rPr>
                  </w:pPr>
                  <w:r>
                    <w:rPr>
                      <w:sz w:val="26"/>
                      <w:szCs w:val="26"/>
                    </w:rPr>
                    <w:t>0</w:t>
                  </w:r>
                </w:p>
              </w:tc>
              <w:tc>
                <w:tcPr>
                  <w:tcW w:w="1341" w:type="dxa"/>
                </w:tcPr>
                <w:p w:rsidR="00473B6E" w:rsidRPr="00473B6E" w:rsidRDefault="00D96D4C" w:rsidP="00473B6E">
                  <w:pPr>
                    <w:spacing w:after="200" w:line="276" w:lineRule="auto"/>
                    <w:jc w:val="center"/>
                    <w:rPr>
                      <w:rFonts w:eastAsia="Calibri"/>
                      <w:sz w:val="26"/>
                      <w:szCs w:val="26"/>
                      <w:lang w:eastAsia="en-US"/>
                    </w:rPr>
                  </w:pPr>
                  <w:r>
                    <w:rPr>
                      <w:rFonts w:eastAsia="Calibri"/>
                      <w:sz w:val="26"/>
                      <w:szCs w:val="26"/>
                      <w:lang w:eastAsia="en-US"/>
                    </w:rPr>
                    <w:t>0</w:t>
                  </w:r>
                </w:p>
              </w:tc>
              <w:tc>
                <w:tcPr>
                  <w:tcW w:w="1341" w:type="dxa"/>
                </w:tcPr>
                <w:p w:rsidR="00473B6E" w:rsidRPr="00473B6E" w:rsidRDefault="00D96D4C" w:rsidP="00473B6E">
                  <w:pPr>
                    <w:spacing w:after="200" w:line="276" w:lineRule="auto"/>
                    <w:jc w:val="center"/>
                    <w:rPr>
                      <w:rFonts w:eastAsia="Calibri"/>
                      <w:sz w:val="26"/>
                      <w:szCs w:val="26"/>
                      <w:lang w:eastAsia="en-US"/>
                    </w:rPr>
                  </w:pPr>
                  <w:r>
                    <w:rPr>
                      <w:rFonts w:eastAsia="Calibri"/>
                      <w:sz w:val="26"/>
                      <w:szCs w:val="26"/>
                      <w:lang w:eastAsia="en-US"/>
                    </w:rPr>
                    <w:t>0</w:t>
                  </w:r>
                </w:p>
              </w:tc>
              <w:tc>
                <w:tcPr>
                  <w:tcW w:w="1353" w:type="dxa"/>
                </w:tcPr>
                <w:p w:rsidR="00473B6E" w:rsidRPr="00473B6E" w:rsidRDefault="00D96D4C" w:rsidP="00473B6E">
                  <w:pPr>
                    <w:spacing w:after="200" w:line="276" w:lineRule="auto"/>
                    <w:jc w:val="center"/>
                    <w:rPr>
                      <w:rFonts w:eastAsia="Calibri"/>
                      <w:sz w:val="26"/>
                      <w:szCs w:val="26"/>
                      <w:lang w:eastAsia="en-US"/>
                    </w:rPr>
                  </w:pPr>
                  <w:r>
                    <w:rPr>
                      <w:rFonts w:eastAsia="Calibri"/>
                      <w:sz w:val="26"/>
                      <w:szCs w:val="26"/>
                      <w:lang w:eastAsia="en-US"/>
                    </w:rPr>
                    <w:t>0</w:t>
                  </w:r>
                </w:p>
              </w:tc>
            </w:tr>
            <w:tr w:rsidR="00473B6E" w:rsidRPr="00473B6E" w:rsidTr="001D0D68">
              <w:trPr>
                <w:trHeight w:val="381"/>
                <w:tblCellSpacing w:w="0" w:type="dxa"/>
              </w:trPr>
              <w:tc>
                <w:tcPr>
                  <w:tcW w:w="2443" w:type="dxa"/>
                  <w:vMerge/>
                </w:tcPr>
                <w:p w:rsidR="00473B6E" w:rsidRPr="0095377B" w:rsidRDefault="00473B6E" w:rsidP="00473B6E">
                  <w:pPr>
                    <w:jc w:val="center"/>
                    <w:rPr>
                      <w:rFonts w:eastAsia="Calibri"/>
                      <w:lang w:eastAsia="en-US"/>
                    </w:rPr>
                  </w:pPr>
                </w:p>
              </w:tc>
              <w:tc>
                <w:tcPr>
                  <w:tcW w:w="1129" w:type="dxa"/>
                  <w:vMerge/>
                </w:tcPr>
                <w:p w:rsidR="00473B6E" w:rsidRPr="00473B6E" w:rsidRDefault="00473B6E" w:rsidP="00473B6E">
                  <w:pPr>
                    <w:spacing w:after="200" w:line="276" w:lineRule="auto"/>
                    <w:jc w:val="center"/>
                    <w:rPr>
                      <w:sz w:val="26"/>
                      <w:szCs w:val="26"/>
                    </w:rPr>
                  </w:pPr>
                </w:p>
              </w:tc>
              <w:tc>
                <w:tcPr>
                  <w:tcW w:w="1433" w:type="dxa"/>
                </w:tcPr>
                <w:p w:rsidR="00473B6E" w:rsidRPr="00473B6E" w:rsidRDefault="00D96D4C" w:rsidP="00473B6E">
                  <w:pPr>
                    <w:spacing w:after="200" w:line="276" w:lineRule="auto"/>
                    <w:jc w:val="center"/>
                    <w:rPr>
                      <w:sz w:val="26"/>
                      <w:szCs w:val="26"/>
                    </w:rPr>
                  </w:pPr>
                  <w:r>
                    <w:rPr>
                      <w:sz w:val="26"/>
                      <w:szCs w:val="26"/>
                    </w:rPr>
                    <w:t>0</w:t>
                  </w:r>
                </w:p>
              </w:tc>
              <w:tc>
                <w:tcPr>
                  <w:tcW w:w="1341" w:type="dxa"/>
                </w:tcPr>
                <w:p w:rsidR="00473B6E" w:rsidRPr="00473B6E" w:rsidRDefault="00D96D4C" w:rsidP="00473B6E">
                  <w:pPr>
                    <w:spacing w:after="200" w:line="276" w:lineRule="auto"/>
                    <w:jc w:val="center"/>
                    <w:rPr>
                      <w:rFonts w:eastAsia="Calibri"/>
                      <w:sz w:val="26"/>
                      <w:szCs w:val="26"/>
                      <w:lang w:eastAsia="en-US"/>
                    </w:rPr>
                  </w:pPr>
                  <w:r>
                    <w:rPr>
                      <w:rFonts w:eastAsia="Calibri"/>
                      <w:sz w:val="26"/>
                      <w:szCs w:val="26"/>
                      <w:lang w:eastAsia="en-US"/>
                    </w:rPr>
                    <w:t>0</w:t>
                  </w:r>
                </w:p>
              </w:tc>
              <w:tc>
                <w:tcPr>
                  <w:tcW w:w="1341" w:type="dxa"/>
                </w:tcPr>
                <w:p w:rsidR="00473B6E" w:rsidRPr="00473B6E" w:rsidRDefault="00D96D4C" w:rsidP="00473B6E">
                  <w:pPr>
                    <w:spacing w:after="200" w:line="276" w:lineRule="auto"/>
                    <w:jc w:val="center"/>
                    <w:rPr>
                      <w:rFonts w:eastAsia="Calibri"/>
                      <w:sz w:val="26"/>
                      <w:szCs w:val="26"/>
                      <w:lang w:eastAsia="en-US"/>
                    </w:rPr>
                  </w:pPr>
                  <w:r>
                    <w:rPr>
                      <w:rFonts w:eastAsia="Calibri"/>
                      <w:sz w:val="26"/>
                      <w:szCs w:val="26"/>
                      <w:lang w:eastAsia="en-US"/>
                    </w:rPr>
                    <w:t>0</w:t>
                  </w:r>
                </w:p>
              </w:tc>
              <w:tc>
                <w:tcPr>
                  <w:tcW w:w="1353" w:type="dxa"/>
                </w:tcPr>
                <w:p w:rsidR="00473B6E" w:rsidRPr="00473B6E" w:rsidRDefault="00D96D4C" w:rsidP="00473B6E">
                  <w:pPr>
                    <w:spacing w:after="200" w:line="276" w:lineRule="auto"/>
                    <w:jc w:val="center"/>
                    <w:rPr>
                      <w:rFonts w:eastAsia="Calibri"/>
                      <w:sz w:val="26"/>
                      <w:szCs w:val="26"/>
                      <w:lang w:eastAsia="en-US"/>
                    </w:rPr>
                  </w:pPr>
                  <w:r>
                    <w:rPr>
                      <w:rFonts w:eastAsia="Calibri"/>
                      <w:sz w:val="26"/>
                      <w:szCs w:val="26"/>
                      <w:lang w:eastAsia="en-US"/>
                    </w:rPr>
                    <w:t>0</w:t>
                  </w:r>
                </w:p>
              </w:tc>
            </w:tr>
            <w:tr w:rsidR="00473B6E" w:rsidRPr="00473B6E" w:rsidTr="001D0D68">
              <w:trPr>
                <w:trHeight w:val="381"/>
                <w:tblCellSpacing w:w="0" w:type="dxa"/>
              </w:trPr>
              <w:tc>
                <w:tcPr>
                  <w:tcW w:w="2443" w:type="dxa"/>
                </w:tcPr>
                <w:p w:rsidR="00473B6E" w:rsidRPr="0095377B" w:rsidRDefault="00473B6E" w:rsidP="00473B6E">
                  <w:pPr>
                    <w:rPr>
                      <w:rFonts w:eastAsia="Calibri"/>
                      <w:lang w:eastAsia="en-US"/>
                    </w:rPr>
                  </w:pPr>
                  <w:r w:rsidRPr="0095377B">
                    <w:rPr>
                      <w:rFonts w:eastAsia="Calibri"/>
                      <w:lang w:eastAsia="en-US"/>
                    </w:rPr>
                    <w:t>5. Precizēta finansiālā ietekme:</w:t>
                  </w:r>
                </w:p>
              </w:tc>
              <w:tc>
                <w:tcPr>
                  <w:tcW w:w="1129" w:type="dxa"/>
                  <w:vMerge w:val="restart"/>
                </w:tcPr>
                <w:p w:rsidR="00473B6E" w:rsidRPr="00473B6E" w:rsidRDefault="00473B6E" w:rsidP="00473B6E">
                  <w:pPr>
                    <w:spacing w:after="200" w:line="276" w:lineRule="auto"/>
                    <w:jc w:val="center"/>
                    <w:rPr>
                      <w:sz w:val="26"/>
                      <w:szCs w:val="26"/>
                    </w:rPr>
                  </w:pPr>
                  <w:r w:rsidRPr="00473B6E">
                    <w:rPr>
                      <w:sz w:val="26"/>
                      <w:szCs w:val="26"/>
                    </w:rPr>
                    <w:t>X</w:t>
                  </w:r>
                </w:p>
              </w:tc>
              <w:tc>
                <w:tcPr>
                  <w:tcW w:w="1433" w:type="dxa"/>
                </w:tcPr>
                <w:p w:rsidR="00473B6E" w:rsidRPr="00473B6E" w:rsidRDefault="00D96D4C" w:rsidP="00473B6E">
                  <w:pPr>
                    <w:spacing w:after="200" w:line="276" w:lineRule="auto"/>
                    <w:jc w:val="center"/>
                    <w:rPr>
                      <w:sz w:val="26"/>
                      <w:szCs w:val="26"/>
                    </w:rPr>
                  </w:pPr>
                  <w:r>
                    <w:rPr>
                      <w:sz w:val="26"/>
                      <w:szCs w:val="26"/>
                    </w:rPr>
                    <w:t>0</w:t>
                  </w:r>
                </w:p>
              </w:tc>
              <w:tc>
                <w:tcPr>
                  <w:tcW w:w="1341" w:type="dxa"/>
                </w:tcPr>
                <w:p w:rsidR="00473B6E" w:rsidRPr="00473B6E" w:rsidRDefault="00D96D4C" w:rsidP="00473B6E">
                  <w:pPr>
                    <w:spacing w:after="200" w:line="276" w:lineRule="auto"/>
                    <w:jc w:val="center"/>
                    <w:rPr>
                      <w:rFonts w:eastAsia="Calibri"/>
                      <w:sz w:val="26"/>
                      <w:szCs w:val="26"/>
                      <w:lang w:eastAsia="en-US"/>
                    </w:rPr>
                  </w:pPr>
                  <w:r>
                    <w:rPr>
                      <w:rFonts w:eastAsia="Calibri"/>
                      <w:sz w:val="26"/>
                      <w:szCs w:val="26"/>
                      <w:lang w:eastAsia="en-US"/>
                    </w:rPr>
                    <w:t>0</w:t>
                  </w:r>
                </w:p>
              </w:tc>
              <w:tc>
                <w:tcPr>
                  <w:tcW w:w="1341" w:type="dxa"/>
                </w:tcPr>
                <w:p w:rsidR="00473B6E" w:rsidRPr="00473B6E" w:rsidRDefault="00D96D4C" w:rsidP="00473B6E">
                  <w:pPr>
                    <w:spacing w:after="200" w:line="276" w:lineRule="auto"/>
                    <w:jc w:val="center"/>
                    <w:rPr>
                      <w:rFonts w:eastAsia="Calibri"/>
                      <w:sz w:val="26"/>
                      <w:szCs w:val="26"/>
                      <w:lang w:eastAsia="en-US"/>
                    </w:rPr>
                  </w:pPr>
                  <w:r>
                    <w:rPr>
                      <w:rFonts w:eastAsia="Calibri"/>
                      <w:sz w:val="26"/>
                      <w:szCs w:val="26"/>
                      <w:lang w:eastAsia="en-US"/>
                    </w:rPr>
                    <w:t>0</w:t>
                  </w:r>
                </w:p>
              </w:tc>
              <w:tc>
                <w:tcPr>
                  <w:tcW w:w="1353" w:type="dxa"/>
                </w:tcPr>
                <w:p w:rsidR="00473B6E" w:rsidRPr="00473B6E" w:rsidRDefault="00D96D4C" w:rsidP="00473B6E">
                  <w:pPr>
                    <w:spacing w:after="200" w:line="276" w:lineRule="auto"/>
                    <w:jc w:val="center"/>
                    <w:rPr>
                      <w:rFonts w:eastAsia="Calibri"/>
                      <w:sz w:val="26"/>
                      <w:szCs w:val="26"/>
                      <w:lang w:eastAsia="en-US"/>
                    </w:rPr>
                  </w:pPr>
                  <w:r>
                    <w:rPr>
                      <w:rFonts w:eastAsia="Calibri"/>
                      <w:sz w:val="26"/>
                      <w:szCs w:val="26"/>
                      <w:lang w:eastAsia="en-US"/>
                    </w:rPr>
                    <w:t>0</w:t>
                  </w:r>
                </w:p>
              </w:tc>
            </w:tr>
            <w:tr w:rsidR="00473B6E" w:rsidRPr="00473B6E" w:rsidTr="001D0D68">
              <w:trPr>
                <w:trHeight w:val="381"/>
                <w:tblCellSpacing w:w="0" w:type="dxa"/>
              </w:trPr>
              <w:tc>
                <w:tcPr>
                  <w:tcW w:w="2443" w:type="dxa"/>
                </w:tcPr>
                <w:p w:rsidR="00473B6E" w:rsidRPr="0095377B" w:rsidRDefault="00473B6E" w:rsidP="00473B6E">
                  <w:pPr>
                    <w:rPr>
                      <w:rFonts w:eastAsia="Calibri"/>
                      <w:lang w:eastAsia="en-US"/>
                    </w:rPr>
                  </w:pPr>
                  <w:r w:rsidRPr="0095377B">
                    <w:rPr>
                      <w:rFonts w:eastAsia="Calibri"/>
                      <w:lang w:eastAsia="en-US"/>
                    </w:rPr>
                    <w:t>5.1. valsts pamatbudžets</w:t>
                  </w:r>
                </w:p>
              </w:tc>
              <w:tc>
                <w:tcPr>
                  <w:tcW w:w="1129" w:type="dxa"/>
                  <w:vMerge/>
                </w:tcPr>
                <w:p w:rsidR="00473B6E" w:rsidRPr="00473B6E" w:rsidRDefault="00473B6E" w:rsidP="00473B6E">
                  <w:pPr>
                    <w:spacing w:after="200" w:line="276" w:lineRule="auto"/>
                    <w:jc w:val="center"/>
                    <w:rPr>
                      <w:sz w:val="26"/>
                      <w:szCs w:val="26"/>
                    </w:rPr>
                  </w:pPr>
                </w:p>
              </w:tc>
              <w:tc>
                <w:tcPr>
                  <w:tcW w:w="1433" w:type="dxa"/>
                </w:tcPr>
                <w:p w:rsidR="00473B6E" w:rsidRPr="00473B6E" w:rsidRDefault="00D96D4C" w:rsidP="00473B6E">
                  <w:pPr>
                    <w:spacing w:after="200" w:line="276" w:lineRule="auto"/>
                    <w:jc w:val="center"/>
                    <w:rPr>
                      <w:sz w:val="26"/>
                      <w:szCs w:val="26"/>
                    </w:rPr>
                  </w:pPr>
                  <w:r>
                    <w:rPr>
                      <w:sz w:val="26"/>
                      <w:szCs w:val="26"/>
                    </w:rPr>
                    <w:t>0</w:t>
                  </w:r>
                </w:p>
              </w:tc>
              <w:tc>
                <w:tcPr>
                  <w:tcW w:w="1341" w:type="dxa"/>
                </w:tcPr>
                <w:p w:rsidR="00473B6E" w:rsidRPr="00473B6E" w:rsidRDefault="00D96D4C" w:rsidP="00473B6E">
                  <w:pPr>
                    <w:spacing w:after="200" w:line="276" w:lineRule="auto"/>
                    <w:jc w:val="center"/>
                    <w:rPr>
                      <w:rFonts w:eastAsia="Calibri"/>
                      <w:sz w:val="26"/>
                      <w:szCs w:val="26"/>
                      <w:lang w:eastAsia="en-US"/>
                    </w:rPr>
                  </w:pPr>
                  <w:r>
                    <w:rPr>
                      <w:rFonts w:eastAsia="Calibri"/>
                      <w:sz w:val="26"/>
                      <w:szCs w:val="26"/>
                      <w:lang w:eastAsia="en-US"/>
                    </w:rPr>
                    <w:t>0</w:t>
                  </w:r>
                </w:p>
              </w:tc>
              <w:tc>
                <w:tcPr>
                  <w:tcW w:w="1341" w:type="dxa"/>
                </w:tcPr>
                <w:p w:rsidR="00473B6E" w:rsidRPr="00473B6E" w:rsidRDefault="00D96D4C" w:rsidP="00473B6E">
                  <w:pPr>
                    <w:spacing w:after="200" w:line="276" w:lineRule="auto"/>
                    <w:jc w:val="center"/>
                    <w:rPr>
                      <w:rFonts w:eastAsia="Calibri"/>
                      <w:sz w:val="26"/>
                      <w:szCs w:val="26"/>
                      <w:lang w:eastAsia="en-US"/>
                    </w:rPr>
                  </w:pPr>
                  <w:r>
                    <w:rPr>
                      <w:rFonts w:eastAsia="Calibri"/>
                      <w:sz w:val="26"/>
                      <w:szCs w:val="26"/>
                      <w:lang w:eastAsia="en-US"/>
                    </w:rPr>
                    <w:t>0</w:t>
                  </w:r>
                </w:p>
              </w:tc>
              <w:tc>
                <w:tcPr>
                  <w:tcW w:w="1353" w:type="dxa"/>
                </w:tcPr>
                <w:p w:rsidR="00473B6E" w:rsidRPr="00473B6E" w:rsidRDefault="00D96D4C" w:rsidP="00473B6E">
                  <w:pPr>
                    <w:spacing w:after="200" w:line="276" w:lineRule="auto"/>
                    <w:jc w:val="center"/>
                    <w:rPr>
                      <w:rFonts w:eastAsia="Calibri"/>
                      <w:sz w:val="26"/>
                      <w:szCs w:val="26"/>
                      <w:lang w:eastAsia="en-US"/>
                    </w:rPr>
                  </w:pPr>
                  <w:r>
                    <w:rPr>
                      <w:rFonts w:eastAsia="Calibri"/>
                      <w:sz w:val="26"/>
                      <w:szCs w:val="26"/>
                      <w:lang w:eastAsia="en-US"/>
                    </w:rPr>
                    <w:t>0</w:t>
                  </w:r>
                </w:p>
              </w:tc>
            </w:tr>
            <w:tr w:rsidR="00473B6E" w:rsidRPr="00473B6E" w:rsidTr="001D0D68">
              <w:trPr>
                <w:trHeight w:val="381"/>
                <w:tblCellSpacing w:w="0" w:type="dxa"/>
              </w:trPr>
              <w:tc>
                <w:tcPr>
                  <w:tcW w:w="2443" w:type="dxa"/>
                </w:tcPr>
                <w:p w:rsidR="00473B6E" w:rsidRPr="0095377B" w:rsidRDefault="00473B6E" w:rsidP="00473B6E">
                  <w:pPr>
                    <w:rPr>
                      <w:rFonts w:eastAsia="Calibri"/>
                      <w:lang w:eastAsia="en-US"/>
                    </w:rPr>
                  </w:pPr>
                  <w:r w:rsidRPr="0095377B">
                    <w:rPr>
                      <w:rFonts w:eastAsia="Calibri"/>
                      <w:lang w:eastAsia="en-US"/>
                    </w:rPr>
                    <w:t>5.2. speciālais budžets</w:t>
                  </w:r>
                </w:p>
              </w:tc>
              <w:tc>
                <w:tcPr>
                  <w:tcW w:w="1129" w:type="dxa"/>
                  <w:vMerge/>
                </w:tcPr>
                <w:p w:rsidR="00473B6E" w:rsidRPr="00473B6E" w:rsidRDefault="00473B6E" w:rsidP="00473B6E">
                  <w:pPr>
                    <w:spacing w:after="200" w:line="276" w:lineRule="auto"/>
                    <w:jc w:val="center"/>
                    <w:rPr>
                      <w:sz w:val="26"/>
                      <w:szCs w:val="26"/>
                    </w:rPr>
                  </w:pPr>
                </w:p>
              </w:tc>
              <w:tc>
                <w:tcPr>
                  <w:tcW w:w="1433" w:type="dxa"/>
                </w:tcPr>
                <w:p w:rsidR="00473B6E" w:rsidRPr="00473B6E" w:rsidRDefault="00D96D4C" w:rsidP="00473B6E">
                  <w:pPr>
                    <w:spacing w:after="200" w:line="276" w:lineRule="auto"/>
                    <w:jc w:val="center"/>
                    <w:rPr>
                      <w:sz w:val="26"/>
                      <w:szCs w:val="26"/>
                    </w:rPr>
                  </w:pPr>
                  <w:r>
                    <w:rPr>
                      <w:sz w:val="26"/>
                      <w:szCs w:val="26"/>
                    </w:rPr>
                    <w:t>0</w:t>
                  </w:r>
                </w:p>
              </w:tc>
              <w:tc>
                <w:tcPr>
                  <w:tcW w:w="1341" w:type="dxa"/>
                </w:tcPr>
                <w:p w:rsidR="00473B6E" w:rsidRPr="00473B6E" w:rsidRDefault="00D96D4C" w:rsidP="00473B6E">
                  <w:pPr>
                    <w:spacing w:after="200" w:line="276" w:lineRule="auto"/>
                    <w:jc w:val="center"/>
                    <w:rPr>
                      <w:rFonts w:eastAsia="Calibri"/>
                      <w:sz w:val="26"/>
                      <w:szCs w:val="26"/>
                      <w:lang w:eastAsia="en-US"/>
                    </w:rPr>
                  </w:pPr>
                  <w:r>
                    <w:rPr>
                      <w:rFonts w:eastAsia="Calibri"/>
                      <w:sz w:val="26"/>
                      <w:szCs w:val="26"/>
                      <w:lang w:eastAsia="en-US"/>
                    </w:rPr>
                    <w:t>0</w:t>
                  </w:r>
                </w:p>
              </w:tc>
              <w:tc>
                <w:tcPr>
                  <w:tcW w:w="1341" w:type="dxa"/>
                </w:tcPr>
                <w:p w:rsidR="00473B6E" w:rsidRPr="00473B6E" w:rsidRDefault="00D96D4C" w:rsidP="00473B6E">
                  <w:pPr>
                    <w:spacing w:after="200" w:line="276" w:lineRule="auto"/>
                    <w:jc w:val="center"/>
                    <w:rPr>
                      <w:rFonts w:eastAsia="Calibri"/>
                      <w:sz w:val="26"/>
                      <w:szCs w:val="26"/>
                      <w:lang w:eastAsia="en-US"/>
                    </w:rPr>
                  </w:pPr>
                  <w:r>
                    <w:rPr>
                      <w:rFonts w:eastAsia="Calibri"/>
                      <w:sz w:val="26"/>
                      <w:szCs w:val="26"/>
                      <w:lang w:eastAsia="en-US"/>
                    </w:rPr>
                    <w:t>0</w:t>
                  </w:r>
                </w:p>
              </w:tc>
              <w:tc>
                <w:tcPr>
                  <w:tcW w:w="1353" w:type="dxa"/>
                </w:tcPr>
                <w:p w:rsidR="00473B6E" w:rsidRPr="00473B6E" w:rsidRDefault="00D96D4C" w:rsidP="00473B6E">
                  <w:pPr>
                    <w:spacing w:after="200" w:line="276" w:lineRule="auto"/>
                    <w:jc w:val="center"/>
                    <w:rPr>
                      <w:rFonts w:eastAsia="Calibri"/>
                      <w:sz w:val="26"/>
                      <w:szCs w:val="26"/>
                      <w:lang w:eastAsia="en-US"/>
                    </w:rPr>
                  </w:pPr>
                  <w:r>
                    <w:rPr>
                      <w:rFonts w:eastAsia="Calibri"/>
                      <w:sz w:val="26"/>
                      <w:szCs w:val="26"/>
                      <w:lang w:eastAsia="en-US"/>
                    </w:rPr>
                    <w:t>0</w:t>
                  </w:r>
                </w:p>
              </w:tc>
            </w:tr>
            <w:tr w:rsidR="00473B6E" w:rsidRPr="00473B6E" w:rsidTr="001D0D68">
              <w:trPr>
                <w:trHeight w:val="381"/>
                <w:tblCellSpacing w:w="0" w:type="dxa"/>
              </w:trPr>
              <w:tc>
                <w:tcPr>
                  <w:tcW w:w="2443" w:type="dxa"/>
                </w:tcPr>
                <w:p w:rsidR="00473B6E" w:rsidRPr="0095377B" w:rsidRDefault="00473B6E" w:rsidP="00473B6E">
                  <w:pPr>
                    <w:rPr>
                      <w:rFonts w:eastAsia="Calibri"/>
                      <w:lang w:eastAsia="en-US"/>
                    </w:rPr>
                  </w:pPr>
                  <w:r w:rsidRPr="0095377B">
                    <w:rPr>
                      <w:rFonts w:eastAsia="Calibri"/>
                      <w:lang w:eastAsia="en-US"/>
                    </w:rPr>
                    <w:t>5.3. pašvaldību budžets</w:t>
                  </w:r>
                </w:p>
              </w:tc>
              <w:tc>
                <w:tcPr>
                  <w:tcW w:w="1129" w:type="dxa"/>
                  <w:vMerge/>
                </w:tcPr>
                <w:p w:rsidR="00473B6E" w:rsidRPr="00473B6E" w:rsidRDefault="00473B6E" w:rsidP="00473B6E">
                  <w:pPr>
                    <w:spacing w:after="200" w:line="276" w:lineRule="auto"/>
                    <w:jc w:val="center"/>
                    <w:rPr>
                      <w:sz w:val="26"/>
                      <w:szCs w:val="26"/>
                    </w:rPr>
                  </w:pPr>
                </w:p>
              </w:tc>
              <w:tc>
                <w:tcPr>
                  <w:tcW w:w="1433" w:type="dxa"/>
                </w:tcPr>
                <w:p w:rsidR="00473B6E" w:rsidRPr="00473B6E" w:rsidRDefault="00D96D4C" w:rsidP="00473B6E">
                  <w:pPr>
                    <w:spacing w:after="200" w:line="276" w:lineRule="auto"/>
                    <w:jc w:val="center"/>
                    <w:rPr>
                      <w:sz w:val="26"/>
                      <w:szCs w:val="26"/>
                    </w:rPr>
                  </w:pPr>
                  <w:r>
                    <w:rPr>
                      <w:sz w:val="26"/>
                      <w:szCs w:val="26"/>
                    </w:rPr>
                    <w:t>0</w:t>
                  </w:r>
                </w:p>
              </w:tc>
              <w:tc>
                <w:tcPr>
                  <w:tcW w:w="1341" w:type="dxa"/>
                </w:tcPr>
                <w:p w:rsidR="00473B6E" w:rsidRPr="00473B6E" w:rsidRDefault="00D96D4C" w:rsidP="00473B6E">
                  <w:pPr>
                    <w:spacing w:after="200" w:line="276" w:lineRule="auto"/>
                    <w:jc w:val="center"/>
                    <w:rPr>
                      <w:rFonts w:eastAsia="Calibri"/>
                      <w:sz w:val="26"/>
                      <w:szCs w:val="26"/>
                      <w:lang w:eastAsia="en-US"/>
                    </w:rPr>
                  </w:pPr>
                  <w:r>
                    <w:rPr>
                      <w:rFonts w:eastAsia="Calibri"/>
                      <w:sz w:val="26"/>
                      <w:szCs w:val="26"/>
                      <w:lang w:eastAsia="en-US"/>
                    </w:rPr>
                    <w:t>0</w:t>
                  </w:r>
                </w:p>
              </w:tc>
              <w:tc>
                <w:tcPr>
                  <w:tcW w:w="1341" w:type="dxa"/>
                </w:tcPr>
                <w:p w:rsidR="00473B6E" w:rsidRPr="00473B6E" w:rsidRDefault="00D96D4C" w:rsidP="00473B6E">
                  <w:pPr>
                    <w:spacing w:after="200" w:line="276" w:lineRule="auto"/>
                    <w:jc w:val="center"/>
                    <w:rPr>
                      <w:rFonts w:eastAsia="Calibri"/>
                      <w:sz w:val="26"/>
                      <w:szCs w:val="26"/>
                      <w:lang w:eastAsia="en-US"/>
                    </w:rPr>
                  </w:pPr>
                  <w:r>
                    <w:rPr>
                      <w:rFonts w:eastAsia="Calibri"/>
                      <w:sz w:val="26"/>
                      <w:szCs w:val="26"/>
                      <w:lang w:eastAsia="en-US"/>
                    </w:rPr>
                    <w:t>0</w:t>
                  </w:r>
                </w:p>
              </w:tc>
              <w:tc>
                <w:tcPr>
                  <w:tcW w:w="1353" w:type="dxa"/>
                </w:tcPr>
                <w:p w:rsidR="00473B6E" w:rsidRPr="00473B6E" w:rsidRDefault="00D96D4C" w:rsidP="00473B6E">
                  <w:pPr>
                    <w:spacing w:after="200" w:line="276" w:lineRule="auto"/>
                    <w:jc w:val="center"/>
                    <w:rPr>
                      <w:rFonts w:eastAsia="Calibri"/>
                      <w:sz w:val="26"/>
                      <w:szCs w:val="26"/>
                      <w:lang w:eastAsia="en-US"/>
                    </w:rPr>
                  </w:pPr>
                  <w:r>
                    <w:rPr>
                      <w:rFonts w:eastAsia="Calibri"/>
                      <w:sz w:val="26"/>
                      <w:szCs w:val="26"/>
                      <w:lang w:eastAsia="en-US"/>
                    </w:rPr>
                    <w:t>0</w:t>
                  </w:r>
                </w:p>
              </w:tc>
            </w:tr>
            <w:tr w:rsidR="00473B6E" w:rsidRPr="00473B6E" w:rsidTr="001D0D68">
              <w:trPr>
                <w:trHeight w:val="381"/>
                <w:tblCellSpacing w:w="0" w:type="dxa"/>
              </w:trPr>
              <w:tc>
                <w:tcPr>
                  <w:tcW w:w="2443" w:type="dxa"/>
                </w:tcPr>
                <w:p w:rsidR="00473B6E" w:rsidRPr="0095377B" w:rsidRDefault="00473B6E" w:rsidP="00473B6E">
                  <w:pPr>
                    <w:rPr>
                      <w:rFonts w:eastAsia="Calibri"/>
                      <w:lang w:eastAsia="en-US"/>
                    </w:rPr>
                  </w:pPr>
                  <w:r w:rsidRPr="0095377B">
                    <w:rPr>
                      <w:rFonts w:eastAsia="Calibri"/>
                      <w:lang w:eastAsia="en-US"/>
                    </w:rPr>
                    <w:t>6. Detalizēts ieņēmumu un izdevu</w:t>
                  </w:r>
                  <w:r w:rsidRPr="0095377B">
                    <w:rPr>
                      <w:rFonts w:eastAsia="Calibri"/>
                      <w:lang w:eastAsia="en-US"/>
                    </w:rPr>
                    <w:softHyphen/>
                    <w:t>mu aprēķins (ja nepieciešams, detalizētu ieņēmumu un izdevumu</w:t>
                  </w:r>
                  <w:r w:rsidR="004551E2">
                    <w:rPr>
                      <w:rFonts w:eastAsia="Calibri"/>
                      <w:lang w:eastAsia="en-US"/>
                    </w:rPr>
                    <w:t xml:space="preserve"> aprēķinu var pievienot anotācij</w:t>
                  </w:r>
                  <w:r w:rsidRPr="0095377B">
                    <w:rPr>
                      <w:rFonts w:eastAsia="Calibri"/>
                      <w:lang w:eastAsia="en-US"/>
                    </w:rPr>
                    <w:t>as pielikumā):</w:t>
                  </w:r>
                </w:p>
              </w:tc>
              <w:tc>
                <w:tcPr>
                  <w:tcW w:w="6597" w:type="dxa"/>
                  <w:gridSpan w:val="5"/>
                  <w:vMerge w:val="restart"/>
                </w:tcPr>
                <w:p w:rsidR="001D0D68" w:rsidRDefault="001E4FD5" w:rsidP="001D0D68">
                  <w:pPr>
                    <w:ind w:left="105"/>
                    <w:jc w:val="both"/>
                  </w:pPr>
                  <w:r>
                    <w:t xml:space="preserve">2009.gadā </w:t>
                  </w:r>
                  <w:r w:rsidRPr="001E4FD5">
                    <w:t xml:space="preserve">valsts atbalsts lauksaimniecībai vai Eiropas Savienības atbalsts lauksaimniecībai un lauku attīstībai </w:t>
                  </w:r>
                  <w:r>
                    <w:t xml:space="preserve">(turpmāk – </w:t>
                  </w:r>
                  <w:r w:rsidR="001D0D68">
                    <w:t>subsīdijas</w:t>
                  </w:r>
                  <w:r>
                    <w:t>) tika izmaksāts</w:t>
                  </w:r>
                  <w:r w:rsidR="001D0D68">
                    <w:t xml:space="preserve"> 80,9 </w:t>
                  </w:r>
                  <w:proofErr w:type="spellStart"/>
                  <w:r w:rsidR="001D0D68">
                    <w:t>milj.Ls</w:t>
                  </w:r>
                  <w:proofErr w:type="spellEnd"/>
                  <w:r w:rsidR="001D0D68">
                    <w:t xml:space="preserve"> apmērā, kas tolaik bija neapliekams ienākums. Apliekamie ienākumi no lauksaimnieciskās ražošanas un lauku tūrisma pakalpojumu sniegšanas (neņemot vērā iepriekšējo gadu zaudējumus, kurus sedz ar taksācijas gada apliekamiem ienākumiem) bija 0,29 </w:t>
                  </w:r>
                  <w:proofErr w:type="spellStart"/>
                  <w:r w:rsidR="001D0D68">
                    <w:t>milj.Ls</w:t>
                  </w:r>
                  <w:proofErr w:type="spellEnd"/>
                  <w:r w:rsidR="001D0D68">
                    <w:t>.</w:t>
                  </w:r>
                </w:p>
                <w:p w:rsidR="001D0D68" w:rsidRDefault="001D0D68" w:rsidP="001D0D68">
                  <w:pPr>
                    <w:ind w:left="105"/>
                    <w:jc w:val="both"/>
                  </w:pPr>
                  <w:r>
                    <w:t>2010.gadā subsīdijas tika izmaksātas aptuveni 98</w:t>
                  </w:r>
                  <w:r w:rsidR="001E4FD5">
                    <w:t>,0</w:t>
                  </w:r>
                  <w:r>
                    <w:t xml:space="preserve"> </w:t>
                  </w:r>
                  <w:proofErr w:type="spellStart"/>
                  <w:r>
                    <w:t>milj.Ls</w:t>
                  </w:r>
                  <w:proofErr w:type="spellEnd"/>
                  <w:r>
                    <w:t xml:space="preserve"> apmērā. Apliekamie ienākumi no lauksaimnieciskās ražošanas un lauku tūrisma pakalpojumu sniegšanas (neņemot vērā iepriekšējo gadu zaudējumus, kurus sedz ar taksācijas gada apliekamiem ienākumiem) bija 6,04 </w:t>
                  </w:r>
                  <w:proofErr w:type="spellStart"/>
                  <w:r>
                    <w:t>milj.Ls</w:t>
                  </w:r>
                  <w:proofErr w:type="spellEnd"/>
                  <w:r>
                    <w:t xml:space="preserve">. Saskaņā ar </w:t>
                  </w:r>
                  <w:r w:rsidR="001E4FD5">
                    <w:t>L</w:t>
                  </w:r>
                  <w:r>
                    <w:t xml:space="preserve">ikuma pārejas noteikumu 54.punktu </w:t>
                  </w:r>
                  <w:r w:rsidRPr="0041696C">
                    <w:rPr>
                      <w:szCs w:val="28"/>
                    </w:rPr>
                    <w:t xml:space="preserve">atbalsta summas, kas piešķirtas par 2009.gadu kā valsts atbalsts lauksaimniecībai vai Eiropas Savienības atbalsts lauksaimniecībai un lauku attīstībai, bet </w:t>
                  </w:r>
                  <w:r w:rsidRPr="0041696C">
                    <w:rPr>
                      <w:szCs w:val="28"/>
                    </w:rPr>
                    <w:lastRenderedPageBreak/>
                    <w:t xml:space="preserve">izmaksātas pēc 2009.gada 31.decembra, nav iekļaujamas maksātāja apliekamajā ienākumā. </w:t>
                  </w:r>
                  <w:r>
                    <w:rPr>
                      <w:szCs w:val="28"/>
                    </w:rPr>
                    <w:t xml:space="preserve">Šādas subsīdijas veidoja neapliekamos ienākumus 40,6 </w:t>
                  </w:r>
                  <w:proofErr w:type="spellStart"/>
                  <w:r>
                    <w:t>milj.Ls</w:t>
                  </w:r>
                  <w:proofErr w:type="spellEnd"/>
                  <w:r>
                    <w:t xml:space="preserve"> apmērā. Tātad subsīdijas, kas tika iekļautas ieņēmumos, bija aptuveni 58 </w:t>
                  </w:r>
                  <w:proofErr w:type="spellStart"/>
                  <w:r>
                    <w:t>milj.latu</w:t>
                  </w:r>
                  <w:proofErr w:type="spellEnd"/>
                  <w:r>
                    <w:t xml:space="preserve">. Minētās subsīdijas palielināja apliekamos ienākumus no lauksaimnieciskās ražošanas un lauku tūrisma pakalpojumu sniegšanas (neņemot vērā iepriekšējo gadu zaudējumus, kurus sedz ar taksācijas gada apliekamiem ienākumiem) par 5,75 (6.04-0.29) </w:t>
                  </w:r>
                  <w:proofErr w:type="spellStart"/>
                  <w:r>
                    <w:t>milj.Ls</w:t>
                  </w:r>
                  <w:proofErr w:type="spellEnd"/>
                  <w:r>
                    <w:t xml:space="preserve">, jeb 1,44 </w:t>
                  </w:r>
                  <w:proofErr w:type="spellStart"/>
                  <w:r>
                    <w:t>milj.Ls</w:t>
                  </w:r>
                  <w:proofErr w:type="spellEnd"/>
                  <w:r>
                    <w:t xml:space="preserve"> nodokļa izteiksmē, salīdzinot ar 2009.gadu.</w:t>
                  </w:r>
                </w:p>
                <w:p w:rsidR="001D0D68" w:rsidRDefault="001D0D68" w:rsidP="001D0D68">
                  <w:pPr>
                    <w:ind w:left="105"/>
                    <w:jc w:val="both"/>
                  </w:pPr>
                </w:p>
                <w:p w:rsidR="008C6A18" w:rsidRPr="00147D29" w:rsidRDefault="001D0D68" w:rsidP="009C3215">
                  <w:pPr>
                    <w:ind w:left="105"/>
                    <w:jc w:val="both"/>
                  </w:pPr>
                  <w:r>
                    <w:t xml:space="preserve">Pieņemot, ka </w:t>
                  </w:r>
                  <w:r w:rsidR="001C32B2">
                    <w:t>2013.gadā</w:t>
                  </w:r>
                  <w:r>
                    <w:t xml:space="preserve"> subsīdiju apmērs saglabāsies 2010.gada līmenī ~98</w:t>
                  </w:r>
                  <w:r w:rsidR="001C32B2">
                    <w:t>,0</w:t>
                  </w:r>
                  <w:r>
                    <w:t xml:space="preserve"> </w:t>
                  </w:r>
                  <w:proofErr w:type="spellStart"/>
                  <w:r>
                    <w:t>milj.Ls</w:t>
                  </w:r>
                  <w:proofErr w:type="spellEnd"/>
                  <w:r>
                    <w:t xml:space="preserve">, un visas būs iekļaujamas ieņēmumos, negatīvā fiskālā ietekme no priekšlikuma īstenošanas būtu aptuveni </w:t>
                  </w:r>
                  <w:r w:rsidRPr="00E03733">
                    <w:rPr>
                      <w:b/>
                    </w:rPr>
                    <w:t xml:space="preserve">2,43 </w:t>
                  </w:r>
                  <w:proofErr w:type="spellStart"/>
                  <w:r w:rsidRPr="00E03733">
                    <w:rPr>
                      <w:b/>
                    </w:rPr>
                    <w:t>milj.Ls</w:t>
                  </w:r>
                  <w:proofErr w:type="spellEnd"/>
                  <w:r>
                    <w:t>. (98*1,44/58 – pieņemot, ka apliekamais ienākums palielināsies proporcionāli ieņēmumos iekļaujamo subsīdiju apmēram).</w:t>
                  </w:r>
                </w:p>
              </w:tc>
            </w:tr>
            <w:tr w:rsidR="00473B6E" w:rsidRPr="00473B6E" w:rsidTr="001D0D68">
              <w:trPr>
                <w:trHeight w:val="381"/>
                <w:tblCellSpacing w:w="0" w:type="dxa"/>
              </w:trPr>
              <w:tc>
                <w:tcPr>
                  <w:tcW w:w="2443" w:type="dxa"/>
                </w:tcPr>
                <w:p w:rsidR="00473B6E" w:rsidRPr="0095377B" w:rsidRDefault="00473B6E" w:rsidP="00473B6E">
                  <w:pPr>
                    <w:rPr>
                      <w:rFonts w:eastAsia="Calibri"/>
                      <w:lang w:eastAsia="en-US"/>
                    </w:rPr>
                  </w:pPr>
                  <w:r w:rsidRPr="0095377B">
                    <w:rPr>
                      <w:rFonts w:eastAsia="Calibri"/>
                      <w:lang w:eastAsia="en-US"/>
                    </w:rPr>
                    <w:t>6.1. detalizēts ieņēmumu aprēķins</w:t>
                  </w:r>
                </w:p>
              </w:tc>
              <w:tc>
                <w:tcPr>
                  <w:tcW w:w="6597" w:type="dxa"/>
                  <w:gridSpan w:val="5"/>
                  <w:vMerge/>
                </w:tcPr>
                <w:p w:rsidR="00473B6E" w:rsidRPr="00473B6E" w:rsidRDefault="00473B6E" w:rsidP="00473B6E">
                  <w:pPr>
                    <w:spacing w:after="200" w:line="276" w:lineRule="auto"/>
                    <w:jc w:val="center"/>
                    <w:rPr>
                      <w:rFonts w:eastAsia="Calibri"/>
                      <w:sz w:val="26"/>
                      <w:szCs w:val="26"/>
                      <w:lang w:eastAsia="en-US"/>
                    </w:rPr>
                  </w:pPr>
                </w:p>
              </w:tc>
            </w:tr>
            <w:tr w:rsidR="00473B6E" w:rsidRPr="00473B6E" w:rsidTr="001D0D68">
              <w:trPr>
                <w:trHeight w:val="381"/>
                <w:tblCellSpacing w:w="0" w:type="dxa"/>
              </w:trPr>
              <w:tc>
                <w:tcPr>
                  <w:tcW w:w="2443" w:type="dxa"/>
                </w:tcPr>
                <w:p w:rsidR="00473B6E" w:rsidRPr="0095377B" w:rsidRDefault="00473B6E" w:rsidP="00473B6E">
                  <w:pPr>
                    <w:rPr>
                      <w:rFonts w:eastAsia="Calibri"/>
                      <w:lang w:eastAsia="en-US"/>
                    </w:rPr>
                  </w:pPr>
                  <w:r w:rsidRPr="0095377B">
                    <w:rPr>
                      <w:rFonts w:eastAsia="Calibri"/>
                      <w:lang w:eastAsia="en-US"/>
                    </w:rPr>
                    <w:t>6.2. detalizēts izdevumu aprēķins</w:t>
                  </w:r>
                </w:p>
              </w:tc>
              <w:tc>
                <w:tcPr>
                  <w:tcW w:w="6597" w:type="dxa"/>
                  <w:gridSpan w:val="5"/>
                  <w:vMerge/>
                </w:tcPr>
                <w:p w:rsidR="00473B6E" w:rsidRPr="00473B6E" w:rsidRDefault="00473B6E" w:rsidP="00473B6E">
                  <w:pPr>
                    <w:spacing w:after="200" w:line="276" w:lineRule="auto"/>
                    <w:jc w:val="center"/>
                    <w:rPr>
                      <w:rFonts w:eastAsia="Calibri"/>
                      <w:sz w:val="26"/>
                      <w:szCs w:val="26"/>
                      <w:lang w:eastAsia="en-US"/>
                    </w:rPr>
                  </w:pPr>
                </w:p>
              </w:tc>
            </w:tr>
            <w:tr w:rsidR="00473B6E" w:rsidRPr="00473B6E" w:rsidTr="001D0D68">
              <w:trPr>
                <w:trHeight w:val="381"/>
                <w:tblCellSpacing w:w="0" w:type="dxa"/>
              </w:trPr>
              <w:tc>
                <w:tcPr>
                  <w:tcW w:w="2443" w:type="dxa"/>
                </w:tcPr>
                <w:p w:rsidR="00473B6E" w:rsidRPr="0095377B" w:rsidRDefault="00473B6E" w:rsidP="00473B6E">
                  <w:pPr>
                    <w:rPr>
                      <w:rFonts w:eastAsia="Calibri"/>
                      <w:lang w:eastAsia="en-US"/>
                    </w:rPr>
                  </w:pPr>
                  <w:r w:rsidRPr="0095377B">
                    <w:rPr>
                      <w:rFonts w:eastAsia="Calibri"/>
                      <w:lang w:eastAsia="en-US"/>
                    </w:rPr>
                    <w:lastRenderedPageBreak/>
                    <w:t>7. Cita informācija</w:t>
                  </w:r>
                </w:p>
              </w:tc>
              <w:tc>
                <w:tcPr>
                  <w:tcW w:w="6597" w:type="dxa"/>
                  <w:gridSpan w:val="5"/>
                </w:tcPr>
                <w:p w:rsidR="00473B6E" w:rsidRPr="00473B6E" w:rsidRDefault="00AB1AA1" w:rsidP="0007124B">
                  <w:pPr>
                    <w:jc w:val="both"/>
                    <w:rPr>
                      <w:rFonts w:eastAsia="Calibri"/>
                      <w:sz w:val="26"/>
                      <w:szCs w:val="26"/>
                      <w:lang w:eastAsia="en-US"/>
                    </w:rPr>
                  </w:pPr>
                  <w:r w:rsidRPr="007352D7">
                    <w:rPr>
                      <w:rFonts w:eastAsia="Calibri"/>
                      <w:lang w:eastAsia="en-US"/>
                    </w:rPr>
                    <w:t>Nav.</w:t>
                  </w:r>
                </w:p>
              </w:tc>
            </w:tr>
          </w:tbl>
          <w:p w:rsidR="00473B6E" w:rsidRPr="00473B6E" w:rsidRDefault="00473B6E" w:rsidP="00473B6E">
            <w:pPr>
              <w:jc w:val="center"/>
              <w:rPr>
                <w:rFonts w:eastAsia="Calibri"/>
                <w:sz w:val="28"/>
                <w:szCs w:val="28"/>
                <w:lang w:eastAsia="en-US"/>
              </w:rPr>
            </w:pPr>
          </w:p>
        </w:tc>
      </w:tr>
      <w:tr w:rsidR="00473B6E" w:rsidRPr="00473B6E" w:rsidTr="004551E2">
        <w:trPr>
          <w:tblCellSpacing w:w="0" w:type="dxa"/>
        </w:trPr>
        <w:tc>
          <w:tcPr>
            <w:tcW w:w="9101" w:type="dxa"/>
            <w:gridSpan w:val="11"/>
            <w:tcBorders>
              <w:top w:val="outset" w:sz="6" w:space="0" w:color="auto"/>
              <w:left w:val="outset" w:sz="6" w:space="0" w:color="auto"/>
              <w:bottom w:val="outset" w:sz="6" w:space="0" w:color="auto"/>
              <w:right w:val="outset" w:sz="6" w:space="0" w:color="auto"/>
            </w:tcBorders>
          </w:tcPr>
          <w:p w:rsidR="00473B6E" w:rsidRPr="00EE5399" w:rsidRDefault="00473B6E" w:rsidP="00473B6E">
            <w:pPr>
              <w:jc w:val="center"/>
              <w:rPr>
                <w:rFonts w:eastAsia="Calibri"/>
                <w:b/>
                <w:lang w:eastAsia="en-US"/>
              </w:rPr>
            </w:pPr>
            <w:r w:rsidRPr="00EE5399">
              <w:rPr>
                <w:rFonts w:eastAsia="Calibri"/>
                <w:b/>
                <w:lang w:eastAsia="en-US"/>
              </w:rPr>
              <w:lastRenderedPageBreak/>
              <w:t>IV. Tiesību akta projekta ietekme uz spēkā esošo tiesību normu sistēmu</w:t>
            </w:r>
          </w:p>
        </w:tc>
      </w:tr>
      <w:tr w:rsidR="00DC36D0" w:rsidRPr="00473B6E" w:rsidTr="00CB6A1F">
        <w:trPr>
          <w:tblCellSpacing w:w="0" w:type="dxa"/>
        </w:trPr>
        <w:tc>
          <w:tcPr>
            <w:tcW w:w="528" w:type="dxa"/>
            <w:gridSpan w:val="2"/>
            <w:tcBorders>
              <w:top w:val="outset" w:sz="6" w:space="0" w:color="auto"/>
              <w:left w:val="outset" w:sz="6" w:space="0" w:color="auto"/>
              <w:bottom w:val="outset" w:sz="6" w:space="0" w:color="auto"/>
              <w:right w:val="outset" w:sz="6" w:space="0" w:color="auto"/>
            </w:tcBorders>
          </w:tcPr>
          <w:p w:rsidR="00473B6E" w:rsidRPr="00EE5399" w:rsidRDefault="00473B6E" w:rsidP="00473B6E">
            <w:pPr>
              <w:jc w:val="both"/>
              <w:rPr>
                <w:rFonts w:eastAsia="Calibri"/>
                <w:lang w:eastAsia="en-US"/>
              </w:rPr>
            </w:pPr>
            <w:r w:rsidRPr="00EE5399">
              <w:rPr>
                <w:rFonts w:eastAsia="Calibri"/>
                <w:lang w:eastAsia="en-US"/>
              </w:rPr>
              <w:t> 1.</w:t>
            </w:r>
          </w:p>
        </w:tc>
        <w:tc>
          <w:tcPr>
            <w:tcW w:w="2522" w:type="dxa"/>
            <w:gridSpan w:val="4"/>
            <w:tcBorders>
              <w:top w:val="outset" w:sz="6" w:space="0" w:color="auto"/>
              <w:left w:val="outset" w:sz="6" w:space="0" w:color="auto"/>
              <w:bottom w:val="outset" w:sz="6" w:space="0" w:color="auto"/>
              <w:right w:val="outset" w:sz="6" w:space="0" w:color="auto"/>
            </w:tcBorders>
          </w:tcPr>
          <w:p w:rsidR="00473B6E" w:rsidRPr="00EE5399" w:rsidRDefault="00473B6E" w:rsidP="00473B6E">
            <w:pPr>
              <w:jc w:val="both"/>
              <w:rPr>
                <w:rFonts w:eastAsia="Calibri"/>
                <w:lang w:eastAsia="en-US"/>
              </w:rPr>
            </w:pPr>
            <w:r w:rsidRPr="00EE5399">
              <w:rPr>
                <w:rFonts w:eastAsia="Calibri"/>
                <w:lang w:eastAsia="en-US"/>
              </w:rPr>
              <w:t> Nepieciešamie saistītie tiesību aktu projekti</w:t>
            </w:r>
          </w:p>
        </w:tc>
        <w:tc>
          <w:tcPr>
            <w:tcW w:w="6051" w:type="dxa"/>
            <w:gridSpan w:val="5"/>
            <w:tcBorders>
              <w:top w:val="outset" w:sz="6" w:space="0" w:color="auto"/>
              <w:left w:val="outset" w:sz="6" w:space="0" w:color="auto"/>
              <w:bottom w:val="outset" w:sz="6" w:space="0" w:color="auto"/>
              <w:right w:val="outset" w:sz="6" w:space="0" w:color="auto"/>
            </w:tcBorders>
          </w:tcPr>
          <w:p w:rsidR="00E93A70" w:rsidRPr="003E28F7" w:rsidRDefault="00E93A70" w:rsidP="00E93A70">
            <w:pPr>
              <w:jc w:val="both"/>
              <w:rPr>
                <w:i/>
                <w:sz w:val="22"/>
                <w:szCs w:val="22"/>
                <w:u w:val="single"/>
              </w:rPr>
            </w:pPr>
            <w:r w:rsidRPr="003E28F7">
              <w:rPr>
                <w:i/>
                <w:sz w:val="22"/>
                <w:szCs w:val="22"/>
                <w:u w:val="single"/>
              </w:rPr>
              <w:t>Likuma 8.panta 2.</w:t>
            </w:r>
            <w:r w:rsidRPr="003E28F7">
              <w:rPr>
                <w:i/>
                <w:sz w:val="22"/>
                <w:szCs w:val="22"/>
                <w:u w:val="single"/>
                <w:vertAlign w:val="superscript"/>
              </w:rPr>
              <w:t>5</w:t>
            </w:r>
            <w:r w:rsidRPr="003E28F7">
              <w:rPr>
                <w:i/>
                <w:sz w:val="22"/>
                <w:szCs w:val="22"/>
                <w:u w:val="single"/>
              </w:rPr>
              <w:t xml:space="preserve"> un 2.</w:t>
            </w:r>
            <w:r w:rsidRPr="003E28F7">
              <w:rPr>
                <w:i/>
                <w:sz w:val="22"/>
                <w:szCs w:val="22"/>
                <w:u w:val="single"/>
                <w:vertAlign w:val="superscript"/>
              </w:rPr>
              <w:t>6</w:t>
            </w:r>
            <w:r w:rsidRPr="003E28F7">
              <w:rPr>
                <w:i/>
                <w:sz w:val="22"/>
                <w:szCs w:val="22"/>
                <w:u w:val="single"/>
              </w:rPr>
              <w:t xml:space="preserve"> daļa</w:t>
            </w:r>
            <w:r w:rsidR="00A5588B">
              <w:rPr>
                <w:i/>
                <w:sz w:val="22"/>
                <w:szCs w:val="22"/>
                <w:u w:val="single"/>
              </w:rPr>
              <w:t>,</w:t>
            </w:r>
            <w:r w:rsidRPr="003E28F7">
              <w:rPr>
                <w:i/>
                <w:sz w:val="22"/>
                <w:szCs w:val="22"/>
                <w:u w:val="single"/>
              </w:rPr>
              <w:t xml:space="preserve"> 9.panta pirmās daļas 43.punkts, </w:t>
            </w:r>
            <w:r w:rsidR="00A5588B">
              <w:rPr>
                <w:i/>
                <w:sz w:val="22"/>
                <w:szCs w:val="22"/>
                <w:u w:val="single"/>
              </w:rPr>
              <w:t xml:space="preserve">9.panta vienpadsmitā daļa, </w:t>
            </w:r>
            <w:r w:rsidRPr="003E28F7">
              <w:rPr>
                <w:i/>
                <w:sz w:val="22"/>
                <w:szCs w:val="22"/>
                <w:u w:val="single"/>
              </w:rPr>
              <w:t>11.</w:t>
            </w:r>
            <w:r w:rsidRPr="003E28F7">
              <w:rPr>
                <w:i/>
                <w:sz w:val="22"/>
                <w:szCs w:val="22"/>
                <w:u w:val="single"/>
                <w:vertAlign w:val="superscript"/>
              </w:rPr>
              <w:t>9</w:t>
            </w:r>
            <w:r w:rsidRPr="003E28F7">
              <w:rPr>
                <w:i/>
                <w:sz w:val="22"/>
                <w:szCs w:val="22"/>
                <w:u w:val="single"/>
              </w:rPr>
              <w:t xml:space="preserve"> panta 4.</w:t>
            </w:r>
            <w:r w:rsidRPr="003E28F7">
              <w:rPr>
                <w:i/>
                <w:sz w:val="22"/>
                <w:szCs w:val="22"/>
                <w:u w:val="single"/>
                <w:vertAlign w:val="superscript"/>
              </w:rPr>
              <w:t>1</w:t>
            </w:r>
            <w:r w:rsidRPr="003E28F7">
              <w:rPr>
                <w:i/>
                <w:sz w:val="22"/>
                <w:szCs w:val="22"/>
                <w:u w:val="single"/>
              </w:rPr>
              <w:t xml:space="preserve"> daļa, 11.</w:t>
            </w:r>
            <w:r w:rsidRPr="003E28F7">
              <w:rPr>
                <w:i/>
                <w:sz w:val="22"/>
                <w:szCs w:val="22"/>
                <w:u w:val="single"/>
                <w:vertAlign w:val="superscript"/>
              </w:rPr>
              <w:t>11</w:t>
            </w:r>
            <w:r w:rsidRPr="003E28F7">
              <w:rPr>
                <w:i/>
                <w:sz w:val="22"/>
                <w:szCs w:val="22"/>
                <w:u w:val="single"/>
              </w:rPr>
              <w:t xml:space="preserve"> pants, 16.</w:t>
            </w:r>
            <w:r w:rsidRPr="003E28F7">
              <w:rPr>
                <w:i/>
                <w:sz w:val="22"/>
                <w:szCs w:val="22"/>
                <w:u w:val="single"/>
                <w:vertAlign w:val="superscript"/>
              </w:rPr>
              <w:t>1</w:t>
            </w:r>
            <w:r w:rsidRPr="003E28F7">
              <w:rPr>
                <w:i/>
                <w:sz w:val="22"/>
                <w:szCs w:val="22"/>
                <w:u w:val="single"/>
              </w:rPr>
              <w:t xml:space="preserve"> panta vienpad</w:t>
            </w:r>
            <w:r w:rsidR="0033082E">
              <w:rPr>
                <w:i/>
                <w:sz w:val="22"/>
                <w:szCs w:val="22"/>
                <w:u w:val="single"/>
              </w:rPr>
              <w:t>smitā daļa, pārejas noteikumu 93</w:t>
            </w:r>
            <w:r w:rsidRPr="003E28F7">
              <w:rPr>
                <w:i/>
                <w:sz w:val="22"/>
                <w:szCs w:val="22"/>
                <w:u w:val="single"/>
              </w:rPr>
              <w:t>.punkts</w:t>
            </w:r>
          </w:p>
          <w:p w:rsidR="00E93A70" w:rsidRDefault="00E93A70" w:rsidP="00E93A70">
            <w:pPr>
              <w:jc w:val="both"/>
              <w:rPr>
                <w:bCs/>
                <w:szCs w:val="28"/>
              </w:rPr>
            </w:pPr>
            <w:r>
              <w:t>Likuma grozījumiem saistībā ar akciju pirkuma tiesību īstenošanas ienākuma aplikšanai ar algas nodokli jāstājas spēkā vienlaicīgi ar attiecīgajiem grozījumiem likumā „Par valsts sociālo apdrošināšanu”. Pēc likuma spēkā stāšanās nepieciešams veikt arī grozījumus Ministru kabineta 2010.gada 7.septembra noteikumos Nr.827 „</w:t>
            </w:r>
            <w:r w:rsidRPr="000C7B20">
              <w:rPr>
                <w:bCs/>
                <w:szCs w:val="28"/>
              </w:rPr>
              <w:t>Noteikumi par valsts sociālās apdrošināšanas obligāto iemaksu veicēju reģistrāciju un ziņojumiem par valsts sociālās apdrošināšanas obligātajām iemaksām un iedzīvotāju ienākuma nodokli”</w:t>
            </w:r>
            <w:r>
              <w:rPr>
                <w:bCs/>
                <w:szCs w:val="28"/>
              </w:rPr>
              <w:t>, nodrošinot šo grozījumu spēkā stāšanos līdz 2013.gada 1.janvārim.</w:t>
            </w:r>
            <w:r w:rsidR="00325C6A">
              <w:t xml:space="preserve"> Grozījumus Ministru kabineta 2010.gada 7.septembra noteikumos Nr.827 „</w:t>
            </w:r>
            <w:r w:rsidR="00325C6A" w:rsidRPr="000C7B20">
              <w:rPr>
                <w:bCs/>
                <w:szCs w:val="28"/>
              </w:rPr>
              <w:t>Noteikumi par valsts sociālās apdrošināšanas obligāto iemaksu veicēju reģistrāciju un ziņojumiem par valsts sociālās apdrošināšanas obligātajām iemaksām un iedzīvotāju ienākuma nodokli”</w:t>
            </w:r>
            <w:r w:rsidR="00325C6A">
              <w:rPr>
                <w:bCs/>
                <w:szCs w:val="28"/>
              </w:rPr>
              <w:t xml:space="preserve"> izstrādās Labklājības ministrija.</w:t>
            </w:r>
          </w:p>
          <w:p w:rsidR="000110C9" w:rsidRPr="003E28F7" w:rsidRDefault="000110C9" w:rsidP="000110C9">
            <w:pPr>
              <w:jc w:val="both"/>
              <w:rPr>
                <w:i/>
                <w:sz w:val="22"/>
                <w:szCs w:val="22"/>
                <w:u w:val="single"/>
              </w:rPr>
            </w:pPr>
            <w:r w:rsidRPr="003E28F7">
              <w:rPr>
                <w:i/>
                <w:sz w:val="22"/>
                <w:szCs w:val="22"/>
                <w:u w:val="single"/>
              </w:rPr>
              <w:t>Likuma 8.panta trešās daļas 12.</w:t>
            </w:r>
            <w:r w:rsidRPr="003E28F7">
              <w:rPr>
                <w:i/>
                <w:sz w:val="22"/>
                <w:szCs w:val="22"/>
                <w:u w:val="single"/>
                <w:vertAlign w:val="superscript"/>
              </w:rPr>
              <w:t>2</w:t>
            </w:r>
            <w:r w:rsidRPr="003E28F7">
              <w:rPr>
                <w:i/>
                <w:sz w:val="22"/>
                <w:szCs w:val="22"/>
                <w:u w:val="single"/>
              </w:rPr>
              <w:t xml:space="preserve"> punkts un divpadsmitā daļa, 17.</w:t>
            </w:r>
            <w:r w:rsidRPr="003E28F7">
              <w:rPr>
                <w:i/>
                <w:sz w:val="22"/>
                <w:szCs w:val="22"/>
                <w:u w:val="single"/>
                <w:vertAlign w:val="superscript"/>
              </w:rPr>
              <w:t>3</w:t>
            </w:r>
            <w:r w:rsidRPr="003E28F7">
              <w:rPr>
                <w:i/>
                <w:sz w:val="22"/>
                <w:szCs w:val="22"/>
                <w:u w:val="single"/>
              </w:rPr>
              <w:t xml:space="preserve"> pants</w:t>
            </w:r>
          </w:p>
          <w:p w:rsidR="00473B6E" w:rsidRPr="007352D7" w:rsidRDefault="000110C9" w:rsidP="00E97262">
            <w:pPr>
              <w:jc w:val="both"/>
              <w:rPr>
                <w:rFonts w:eastAsia="Calibri"/>
                <w:lang w:eastAsia="en-US"/>
              </w:rPr>
            </w:pPr>
            <w:r>
              <w:t xml:space="preserve">Pēc </w:t>
            </w:r>
            <w:r w:rsidR="00DE13CE">
              <w:t>L</w:t>
            </w:r>
            <w:r>
              <w:t>ikuma grozījumu spēkā stāšanās nepieciešams veikt grozījumu</w:t>
            </w:r>
            <w:r w:rsidR="00325C6A">
              <w:t>s</w:t>
            </w:r>
            <w:r>
              <w:t xml:space="preserve"> Ministru kabineta 2009.gada 17.februāra noteikumos Nr.149 „Noteikumi par iedzīvotāju gada ienākumu deklarāciju un tās aizpildīšanas kārtību”</w:t>
            </w:r>
            <w:r>
              <w:rPr>
                <w:bCs/>
                <w:szCs w:val="28"/>
              </w:rPr>
              <w:t>, nodrošinot šo grozījumu spēkā stāšanos līdz 2013.gada 1.janvārim</w:t>
            </w:r>
            <w:r w:rsidR="00204106">
              <w:rPr>
                <w:bCs/>
                <w:szCs w:val="28"/>
              </w:rPr>
              <w:t xml:space="preserve"> un </w:t>
            </w:r>
            <w:r w:rsidR="00204106">
              <w:t>Ministru kabineta 2010.gada 21.septembra noteikumos Nr.899 „Likuma „Par iedzīvotāju ienākuma nodokli” normu piemērošanas kārtība””</w:t>
            </w:r>
            <w:r>
              <w:rPr>
                <w:bCs/>
                <w:szCs w:val="28"/>
              </w:rPr>
              <w:t>.</w:t>
            </w:r>
            <w:r w:rsidR="00325C6A">
              <w:t xml:space="preserve"> Grozījumus Ministru kabineta 2009.gada 17.februāra noteikumos Nr.149 „Noteikumi par iedzīvotāju gada ienākumu deklarāciju un tās aizpildīšanas kārtību” </w:t>
            </w:r>
            <w:r w:rsidR="00204106">
              <w:rPr>
                <w:bCs/>
                <w:szCs w:val="28"/>
              </w:rPr>
              <w:t xml:space="preserve">un </w:t>
            </w:r>
            <w:r w:rsidR="00204106">
              <w:t xml:space="preserve">Ministru </w:t>
            </w:r>
            <w:r w:rsidR="00204106">
              <w:lastRenderedPageBreak/>
              <w:t xml:space="preserve">kabineta 2010.gada 21.septembra noteikumos Nr.899 „Likuma „Par iedzīvotāju ienākuma nodokli” normu piemērošanas kārtība”” </w:t>
            </w:r>
            <w:r w:rsidR="00325C6A">
              <w:t xml:space="preserve">izstrādās Finanšu ministrija. </w:t>
            </w:r>
          </w:p>
        </w:tc>
      </w:tr>
      <w:tr w:rsidR="00DC36D0" w:rsidRPr="00473B6E" w:rsidTr="00CB6A1F">
        <w:trPr>
          <w:tblCellSpacing w:w="0" w:type="dxa"/>
        </w:trPr>
        <w:tc>
          <w:tcPr>
            <w:tcW w:w="528" w:type="dxa"/>
            <w:gridSpan w:val="2"/>
            <w:tcBorders>
              <w:top w:val="outset" w:sz="6" w:space="0" w:color="auto"/>
              <w:left w:val="outset" w:sz="6" w:space="0" w:color="auto"/>
              <w:bottom w:val="outset" w:sz="6" w:space="0" w:color="auto"/>
              <w:right w:val="outset" w:sz="6" w:space="0" w:color="auto"/>
            </w:tcBorders>
          </w:tcPr>
          <w:p w:rsidR="00473B6E" w:rsidRPr="00EE5399" w:rsidRDefault="00473B6E" w:rsidP="00473B6E">
            <w:pPr>
              <w:jc w:val="both"/>
              <w:rPr>
                <w:rFonts w:eastAsia="Calibri"/>
                <w:lang w:eastAsia="en-US"/>
              </w:rPr>
            </w:pPr>
            <w:r w:rsidRPr="00EE5399">
              <w:rPr>
                <w:rFonts w:eastAsia="Calibri"/>
                <w:lang w:eastAsia="en-US"/>
              </w:rPr>
              <w:lastRenderedPageBreak/>
              <w:t> 2.</w:t>
            </w:r>
          </w:p>
        </w:tc>
        <w:tc>
          <w:tcPr>
            <w:tcW w:w="2522" w:type="dxa"/>
            <w:gridSpan w:val="4"/>
            <w:tcBorders>
              <w:top w:val="outset" w:sz="6" w:space="0" w:color="auto"/>
              <w:left w:val="outset" w:sz="6" w:space="0" w:color="auto"/>
              <w:bottom w:val="outset" w:sz="6" w:space="0" w:color="auto"/>
              <w:right w:val="outset" w:sz="6" w:space="0" w:color="auto"/>
            </w:tcBorders>
          </w:tcPr>
          <w:p w:rsidR="00473B6E" w:rsidRPr="00EE5399" w:rsidRDefault="00473B6E" w:rsidP="00473B6E">
            <w:pPr>
              <w:jc w:val="both"/>
              <w:rPr>
                <w:rFonts w:eastAsia="Calibri"/>
                <w:lang w:eastAsia="en-US"/>
              </w:rPr>
            </w:pPr>
            <w:r w:rsidRPr="00EE5399">
              <w:rPr>
                <w:rFonts w:eastAsia="Calibri"/>
                <w:lang w:eastAsia="en-US"/>
              </w:rPr>
              <w:t> Cita informācija</w:t>
            </w:r>
          </w:p>
        </w:tc>
        <w:tc>
          <w:tcPr>
            <w:tcW w:w="6051" w:type="dxa"/>
            <w:gridSpan w:val="5"/>
            <w:tcBorders>
              <w:top w:val="outset" w:sz="6" w:space="0" w:color="auto"/>
              <w:left w:val="outset" w:sz="6" w:space="0" w:color="auto"/>
              <w:bottom w:val="outset" w:sz="6" w:space="0" w:color="auto"/>
              <w:right w:val="outset" w:sz="6" w:space="0" w:color="auto"/>
            </w:tcBorders>
          </w:tcPr>
          <w:p w:rsidR="00473B6E" w:rsidRPr="007352D7" w:rsidRDefault="00473B6E" w:rsidP="00473B6E">
            <w:pPr>
              <w:jc w:val="both"/>
              <w:rPr>
                <w:rFonts w:eastAsia="Calibri"/>
                <w:lang w:eastAsia="en-US"/>
              </w:rPr>
            </w:pPr>
            <w:r w:rsidRPr="007352D7">
              <w:rPr>
                <w:rFonts w:eastAsia="Calibri"/>
                <w:lang w:eastAsia="en-US"/>
              </w:rPr>
              <w:t>Nav</w:t>
            </w:r>
            <w:r w:rsidR="00AB1AA1">
              <w:rPr>
                <w:rFonts w:eastAsia="Calibri"/>
                <w:lang w:eastAsia="en-US"/>
              </w:rPr>
              <w:t>.</w:t>
            </w:r>
          </w:p>
        </w:tc>
      </w:tr>
      <w:tr w:rsidR="00473B6E" w:rsidRPr="00473B6E" w:rsidTr="004551E2">
        <w:tblPrEx>
          <w:tblCellSpacing w:w="0" w:type="nil"/>
          <w:tblCellMar>
            <w:top w:w="30" w:type="dxa"/>
            <w:left w:w="30" w:type="dxa"/>
            <w:bottom w:w="30" w:type="dxa"/>
            <w:right w:w="30" w:type="dxa"/>
          </w:tblCellMar>
        </w:tblPrEx>
        <w:tc>
          <w:tcPr>
            <w:tcW w:w="9101" w:type="dxa"/>
            <w:gridSpan w:val="11"/>
            <w:tcBorders>
              <w:top w:val="outset" w:sz="6" w:space="0" w:color="auto"/>
              <w:left w:val="outset" w:sz="6" w:space="0" w:color="auto"/>
              <w:bottom w:val="outset" w:sz="6" w:space="0" w:color="auto"/>
              <w:right w:val="outset" w:sz="6" w:space="0" w:color="auto"/>
            </w:tcBorders>
            <w:vAlign w:val="center"/>
          </w:tcPr>
          <w:p w:rsidR="00473B6E" w:rsidRPr="00EE5399" w:rsidRDefault="00473B6E" w:rsidP="00473B6E">
            <w:pPr>
              <w:jc w:val="center"/>
              <w:rPr>
                <w:rFonts w:eastAsia="Calibri"/>
                <w:b/>
                <w:lang w:eastAsia="en-US"/>
              </w:rPr>
            </w:pPr>
            <w:r w:rsidRPr="00473B6E">
              <w:rPr>
                <w:rFonts w:eastAsia="Calibri"/>
                <w:sz w:val="28"/>
                <w:szCs w:val="28"/>
                <w:lang w:eastAsia="en-US"/>
              </w:rPr>
              <w:t> </w:t>
            </w:r>
            <w:r w:rsidRPr="00EE5399">
              <w:rPr>
                <w:rFonts w:eastAsia="Calibri"/>
                <w:b/>
                <w:lang w:eastAsia="en-US"/>
              </w:rPr>
              <w:t>V. Tiesību akta projekta atbilstība Latvijas Republikas starptautiskajām saistībām</w:t>
            </w:r>
          </w:p>
        </w:tc>
      </w:tr>
      <w:tr w:rsidR="00CB6A1F" w:rsidRPr="00473B6E" w:rsidTr="00CB6A1F">
        <w:tblPrEx>
          <w:tblCellSpacing w:w="0" w:type="nil"/>
          <w:tblCellMar>
            <w:top w:w="30" w:type="dxa"/>
            <w:left w:w="30" w:type="dxa"/>
            <w:bottom w:w="30" w:type="dxa"/>
            <w:right w:w="30" w:type="dxa"/>
          </w:tblCellMar>
        </w:tblPrEx>
        <w:trPr>
          <w:trHeight w:val="406"/>
        </w:trPr>
        <w:tc>
          <w:tcPr>
            <w:tcW w:w="9101" w:type="dxa"/>
            <w:gridSpan w:val="11"/>
            <w:tcBorders>
              <w:top w:val="outset" w:sz="6" w:space="0" w:color="auto"/>
              <w:left w:val="outset" w:sz="6" w:space="0" w:color="auto"/>
              <w:bottom w:val="outset" w:sz="6" w:space="0" w:color="auto"/>
              <w:right w:val="outset" w:sz="6" w:space="0" w:color="auto"/>
            </w:tcBorders>
            <w:vAlign w:val="center"/>
          </w:tcPr>
          <w:p w:rsidR="00CB6A1F" w:rsidRPr="00EE5399" w:rsidRDefault="00CB6A1F" w:rsidP="00CB6A1F">
            <w:pPr>
              <w:jc w:val="center"/>
              <w:rPr>
                <w:rFonts w:eastAsia="Calibri"/>
                <w:lang w:eastAsia="en-US"/>
              </w:rPr>
            </w:pPr>
            <w:r>
              <w:rPr>
                <w:rFonts w:eastAsia="Calibri"/>
                <w:lang w:eastAsia="en-US"/>
              </w:rPr>
              <w:t>Likumprojekts šo jomu neskar.</w:t>
            </w:r>
          </w:p>
        </w:tc>
      </w:tr>
      <w:tr w:rsidR="00473B6E" w:rsidRPr="00473B6E" w:rsidTr="004551E2">
        <w:trPr>
          <w:tblCellSpacing w:w="0" w:type="dxa"/>
        </w:trPr>
        <w:tc>
          <w:tcPr>
            <w:tcW w:w="9101" w:type="dxa"/>
            <w:gridSpan w:val="11"/>
            <w:tcBorders>
              <w:top w:val="outset" w:sz="6" w:space="0" w:color="auto"/>
              <w:left w:val="outset" w:sz="6" w:space="0" w:color="auto"/>
              <w:bottom w:val="outset" w:sz="6" w:space="0" w:color="auto"/>
              <w:right w:val="outset" w:sz="6" w:space="0" w:color="auto"/>
            </w:tcBorders>
          </w:tcPr>
          <w:p w:rsidR="00473B6E" w:rsidRPr="00EE5399" w:rsidRDefault="00473B6E" w:rsidP="00473B6E">
            <w:pPr>
              <w:jc w:val="center"/>
              <w:rPr>
                <w:rFonts w:eastAsia="Calibri"/>
                <w:b/>
                <w:lang w:eastAsia="en-US"/>
              </w:rPr>
            </w:pPr>
            <w:r w:rsidRPr="00EE5399">
              <w:rPr>
                <w:rFonts w:eastAsia="Calibri"/>
                <w:b/>
                <w:lang w:eastAsia="en-US"/>
              </w:rPr>
              <w:t>VI. Sabiedrības līdzdalība un šīs līdzdalības rezultāti</w:t>
            </w:r>
          </w:p>
        </w:tc>
      </w:tr>
      <w:tr w:rsidR="00473B6E" w:rsidRPr="00473B6E" w:rsidTr="004551E2">
        <w:trPr>
          <w:trHeight w:val="342"/>
          <w:tblCellSpacing w:w="0" w:type="dxa"/>
        </w:trPr>
        <w:tc>
          <w:tcPr>
            <w:tcW w:w="9101" w:type="dxa"/>
            <w:gridSpan w:val="11"/>
            <w:tcBorders>
              <w:top w:val="outset" w:sz="6" w:space="0" w:color="auto"/>
              <w:left w:val="outset" w:sz="6" w:space="0" w:color="auto"/>
              <w:right w:val="outset" w:sz="6" w:space="0" w:color="auto"/>
            </w:tcBorders>
          </w:tcPr>
          <w:tbl>
            <w:tblPr>
              <w:tblW w:w="9049" w:type="dxa"/>
              <w:tblCellSpacing w:w="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
              <w:gridCol w:w="2376"/>
              <w:gridCol w:w="6106"/>
            </w:tblGrid>
            <w:tr w:rsidR="0025620E" w:rsidRPr="0028053B" w:rsidTr="0025620E">
              <w:trPr>
                <w:tblCellSpacing w:w="0" w:type="dxa"/>
              </w:trPr>
              <w:tc>
                <w:tcPr>
                  <w:tcW w:w="567" w:type="dxa"/>
                </w:tcPr>
                <w:p w:rsidR="0025620E" w:rsidRPr="0028053B" w:rsidRDefault="0025620E" w:rsidP="0025620E">
                  <w:pPr>
                    <w:spacing w:before="100" w:beforeAutospacing="1" w:after="100" w:afterAutospacing="1"/>
                    <w:rPr>
                      <w:bCs/>
                    </w:rPr>
                  </w:pPr>
                  <w:r w:rsidRPr="0028053B">
                    <w:rPr>
                      <w:bCs/>
                    </w:rPr>
                    <w:t>1.</w:t>
                  </w:r>
                </w:p>
              </w:tc>
              <w:tc>
                <w:tcPr>
                  <w:tcW w:w="2376" w:type="dxa"/>
                </w:tcPr>
                <w:p w:rsidR="0025620E" w:rsidRPr="0028053B" w:rsidRDefault="0025620E" w:rsidP="0025620E">
                  <w:pPr>
                    <w:spacing w:before="100" w:beforeAutospacing="1" w:after="100" w:afterAutospacing="1"/>
                    <w:rPr>
                      <w:bCs/>
                    </w:rPr>
                  </w:pPr>
                  <w:r w:rsidRPr="0028053B">
                    <w:rPr>
                      <w:bCs/>
                    </w:rPr>
                    <w:t>Sabiedrības informēšana par projekta izstrādes uzsākšanu</w:t>
                  </w:r>
                </w:p>
              </w:tc>
              <w:tc>
                <w:tcPr>
                  <w:tcW w:w="6106" w:type="dxa"/>
                </w:tcPr>
                <w:p w:rsidR="0025620E" w:rsidRPr="0028053B" w:rsidRDefault="0025620E" w:rsidP="00C76B4B">
                  <w:pPr>
                    <w:spacing w:before="100" w:beforeAutospacing="1" w:after="100" w:afterAutospacing="1"/>
                    <w:jc w:val="both"/>
                    <w:rPr>
                      <w:b/>
                      <w:bCs/>
                    </w:rPr>
                  </w:pPr>
                  <w:r w:rsidRPr="0028053B">
                    <w:t xml:space="preserve">Likumprojekta izstrādes laikā notika konsultācijas ar </w:t>
                  </w:r>
                  <w:r>
                    <w:t>Valsts ieņēmumu dienestu</w:t>
                  </w:r>
                  <w:r w:rsidRPr="0028053B">
                    <w:t>.</w:t>
                  </w:r>
                </w:p>
              </w:tc>
            </w:tr>
            <w:tr w:rsidR="0025620E" w:rsidRPr="0028053B" w:rsidTr="0025620E">
              <w:trPr>
                <w:tblCellSpacing w:w="0" w:type="dxa"/>
              </w:trPr>
              <w:tc>
                <w:tcPr>
                  <w:tcW w:w="567" w:type="dxa"/>
                </w:tcPr>
                <w:p w:rsidR="0025620E" w:rsidRPr="0028053B" w:rsidRDefault="0025620E" w:rsidP="0025620E">
                  <w:pPr>
                    <w:spacing w:before="100" w:beforeAutospacing="1" w:after="100" w:afterAutospacing="1"/>
                    <w:rPr>
                      <w:bCs/>
                    </w:rPr>
                  </w:pPr>
                  <w:r w:rsidRPr="0028053B">
                    <w:rPr>
                      <w:bCs/>
                    </w:rPr>
                    <w:t>2.</w:t>
                  </w:r>
                </w:p>
              </w:tc>
              <w:tc>
                <w:tcPr>
                  <w:tcW w:w="2376" w:type="dxa"/>
                </w:tcPr>
                <w:p w:rsidR="0025620E" w:rsidRPr="0028053B" w:rsidRDefault="0025620E" w:rsidP="0025620E">
                  <w:pPr>
                    <w:spacing w:before="100" w:beforeAutospacing="1" w:after="100" w:afterAutospacing="1"/>
                    <w:ind w:left="-15"/>
                    <w:rPr>
                      <w:bCs/>
                    </w:rPr>
                  </w:pPr>
                  <w:r w:rsidRPr="0028053B">
                    <w:rPr>
                      <w:bCs/>
                    </w:rPr>
                    <w:t>Sabiedrības līdzdalība projekta izstrādē</w:t>
                  </w:r>
                </w:p>
              </w:tc>
              <w:tc>
                <w:tcPr>
                  <w:tcW w:w="6106" w:type="dxa"/>
                </w:tcPr>
                <w:p w:rsidR="00E93A70" w:rsidRPr="003E28F7" w:rsidRDefault="00E93A70" w:rsidP="00E93A70">
                  <w:pPr>
                    <w:jc w:val="both"/>
                    <w:rPr>
                      <w:i/>
                      <w:sz w:val="22"/>
                      <w:szCs w:val="22"/>
                      <w:u w:val="single"/>
                    </w:rPr>
                  </w:pPr>
                  <w:r w:rsidRPr="003E28F7">
                    <w:rPr>
                      <w:i/>
                      <w:sz w:val="22"/>
                      <w:szCs w:val="22"/>
                      <w:u w:val="single"/>
                    </w:rPr>
                    <w:t>Likuma 8.panta 2.</w:t>
                  </w:r>
                  <w:r w:rsidRPr="003E28F7">
                    <w:rPr>
                      <w:i/>
                      <w:sz w:val="22"/>
                      <w:szCs w:val="22"/>
                      <w:u w:val="single"/>
                      <w:vertAlign w:val="superscript"/>
                    </w:rPr>
                    <w:t>5</w:t>
                  </w:r>
                  <w:r w:rsidRPr="003E28F7">
                    <w:rPr>
                      <w:i/>
                      <w:sz w:val="22"/>
                      <w:szCs w:val="22"/>
                      <w:u w:val="single"/>
                    </w:rPr>
                    <w:t xml:space="preserve"> un 2.</w:t>
                  </w:r>
                  <w:r w:rsidRPr="003E28F7">
                    <w:rPr>
                      <w:i/>
                      <w:sz w:val="22"/>
                      <w:szCs w:val="22"/>
                      <w:u w:val="single"/>
                      <w:vertAlign w:val="superscript"/>
                    </w:rPr>
                    <w:t>6</w:t>
                  </w:r>
                  <w:r w:rsidRPr="003E28F7">
                    <w:rPr>
                      <w:i/>
                      <w:sz w:val="22"/>
                      <w:szCs w:val="22"/>
                      <w:u w:val="single"/>
                    </w:rPr>
                    <w:t xml:space="preserve"> daļa 9.panta pirmās daļas 43.punkts, </w:t>
                  </w:r>
                  <w:r w:rsidR="00CC397A">
                    <w:rPr>
                      <w:i/>
                      <w:sz w:val="22"/>
                      <w:szCs w:val="22"/>
                      <w:u w:val="single"/>
                    </w:rPr>
                    <w:t xml:space="preserve">9.panta vienpadsmitā daļa, </w:t>
                  </w:r>
                  <w:r w:rsidRPr="003E28F7">
                    <w:rPr>
                      <w:i/>
                      <w:sz w:val="22"/>
                      <w:szCs w:val="22"/>
                      <w:u w:val="single"/>
                    </w:rPr>
                    <w:t>11.</w:t>
                  </w:r>
                  <w:r w:rsidRPr="003E28F7">
                    <w:rPr>
                      <w:i/>
                      <w:sz w:val="22"/>
                      <w:szCs w:val="22"/>
                      <w:u w:val="single"/>
                      <w:vertAlign w:val="superscript"/>
                    </w:rPr>
                    <w:t>9</w:t>
                  </w:r>
                  <w:r w:rsidRPr="003E28F7">
                    <w:rPr>
                      <w:i/>
                      <w:sz w:val="22"/>
                      <w:szCs w:val="22"/>
                      <w:u w:val="single"/>
                    </w:rPr>
                    <w:t xml:space="preserve"> panta 4.</w:t>
                  </w:r>
                  <w:r w:rsidRPr="003E28F7">
                    <w:rPr>
                      <w:i/>
                      <w:sz w:val="22"/>
                      <w:szCs w:val="22"/>
                      <w:u w:val="single"/>
                      <w:vertAlign w:val="superscript"/>
                    </w:rPr>
                    <w:t>1</w:t>
                  </w:r>
                  <w:r w:rsidRPr="003E28F7">
                    <w:rPr>
                      <w:i/>
                      <w:sz w:val="22"/>
                      <w:szCs w:val="22"/>
                      <w:u w:val="single"/>
                    </w:rPr>
                    <w:t xml:space="preserve"> daļa, 11.</w:t>
                  </w:r>
                  <w:r w:rsidRPr="003E28F7">
                    <w:rPr>
                      <w:i/>
                      <w:sz w:val="22"/>
                      <w:szCs w:val="22"/>
                      <w:u w:val="single"/>
                      <w:vertAlign w:val="superscript"/>
                    </w:rPr>
                    <w:t>11</w:t>
                  </w:r>
                  <w:r w:rsidRPr="003E28F7">
                    <w:rPr>
                      <w:i/>
                      <w:sz w:val="22"/>
                      <w:szCs w:val="22"/>
                      <w:u w:val="single"/>
                    </w:rPr>
                    <w:t xml:space="preserve"> pants, 16.</w:t>
                  </w:r>
                  <w:r w:rsidRPr="003E28F7">
                    <w:rPr>
                      <w:i/>
                      <w:sz w:val="22"/>
                      <w:szCs w:val="22"/>
                      <w:u w:val="single"/>
                      <w:vertAlign w:val="superscript"/>
                    </w:rPr>
                    <w:t>1</w:t>
                  </w:r>
                  <w:r w:rsidRPr="003E28F7">
                    <w:rPr>
                      <w:i/>
                      <w:sz w:val="22"/>
                      <w:szCs w:val="22"/>
                      <w:u w:val="single"/>
                    </w:rPr>
                    <w:t xml:space="preserve"> panta vienpadsmitā daļa, pārejas noteikumu 9</w:t>
                  </w:r>
                  <w:r w:rsidR="00FA27BA">
                    <w:rPr>
                      <w:i/>
                      <w:sz w:val="22"/>
                      <w:szCs w:val="22"/>
                      <w:u w:val="single"/>
                    </w:rPr>
                    <w:t>3</w:t>
                  </w:r>
                  <w:r w:rsidRPr="003E28F7">
                    <w:rPr>
                      <w:i/>
                      <w:sz w:val="22"/>
                      <w:szCs w:val="22"/>
                      <w:u w:val="single"/>
                    </w:rPr>
                    <w:t>.punkts</w:t>
                  </w:r>
                </w:p>
                <w:p w:rsidR="00E93A70" w:rsidRDefault="00E93A70" w:rsidP="00E93A70">
                  <w:pPr>
                    <w:jc w:val="both"/>
                  </w:pPr>
                  <w:r>
                    <w:t>Likumprojekta izstrādē piedalījās tā izstrādes rosinātāji – biržas (NASDAQ OMX Rīga) un auditorfirmu (</w:t>
                  </w:r>
                  <w:proofErr w:type="spellStart"/>
                  <w:r>
                    <w:t>PriceWaterhouseCoopers</w:t>
                  </w:r>
                  <w:proofErr w:type="spellEnd"/>
                  <w:r>
                    <w:t xml:space="preserve">, </w:t>
                  </w:r>
                  <w:proofErr w:type="spellStart"/>
                  <w:r>
                    <w:t>Ernst&amp;Young</w:t>
                  </w:r>
                  <w:proofErr w:type="spellEnd"/>
                  <w:r>
                    <w:t>) pārstāvji.</w:t>
                  </w:r>
                </w:p>
                <w:p w:rsidR="0025620E" w:rsidRPr="0028053B" w:rsidRDefault="0025620E" w:rsidP="00E93A70">
                  <w:pPr>
                    <w:jc w:val="both"/>
                    <w:rPr>
                      <w:bCs/>
                    </w:rPr>
                  </w:pPr>
                  <w:r w:rsidRPr="0028053B">
                    <w:t xml:space="preserve">Saņemti rakstiski priekšlikumi no </w:t>
                  </w:r>
                  <w:r>
                    <w:t>Zemkopības ministrijas</w:t>
                  </w:r>
                  <w:r w:rsidRPr="0028053B">
                    <w:rPr>
                      <w:bCs/>
                    </w:rPr>
                    <w:t>.</w:t>
                  </w:r>
                  <w:r w:rsidRPr="0028053B">
                    <w:t xml:space="preserve"> </w:t>
                  </w:r>
                </w:p>
              </w:tc>
            </w:tr>
            <w:tr w:rsidR="0025620E" w:rsidRPr="0028053B" w:rsidTr="0025620E">
              <w:trPr>
                <w:tblCellSpacing w:w="0" w:type="dxa"/>
              </w:trPr>
              <w:tc>
                <w:tcPr>
                  <w:tcW w:w="567" w:type="dxa"/>
                </w:tcPr>
                <w:p w:rsidR="0025620E" w:rsidRPr="0028053B" w:rsidRDefault="0025620E" w:rsidP="0025620E">
                  <w:pPr>
                    <w:spacing w:before="100" w:beforeAutospacing="1" w:after="100" w:afterAutospacing="1"/>
                    <w:rPr>
                      <w:bCs/>
                    </w:rPr>
                  </w:pPr>
                  <w:r w:rsidRPr="0028053B">
                    <w:rPr>
                      <w:bCs/>
                    </w:rPr>
                    <w:t>3.</w:t>
                  </w:r>
                </w:p>
              </w:tc>
              <w:tc>
                <w:tcPr>
                  <w:tcW w:w="2376" w:type="dxa"/>
                </w:tcPr>
                <w:p w:rsidR="0025620E" w:rsidRPr="0028053B" w:rsidRDefault="0025620E" w:rsidP="0025620E">
                  <w:pPr>
                    <w:spacing w:before="100" w:beforeAutospacing="1" w:after="100" w:afterAutospacing="1"/>
                    <w:rPr>
                      <w:bCs/>
                    </w:rPr>
                  </w:pPr>
                  <w:r w:rsidRPr="0028053B">
                    <w:rPr>
                      <w:bCs/>
                    </w:rPr>
                    <w:t>Sabiedrības līdzdalības rezultāti</w:t>
                  </w:r>
                </w:p>
              </w:tc>
              <w:tc>
                <w:tcPr>
                  <w:tcW w:w="6106" w:type="dxa"/>
                </w:tcPr>
                <w:p w:rsidR="0025620E" w:rsidRPr="0028053B" w:rsidRDefault="00903425" w:rsidP="0025620E">
                  <w:pPr>
                    <w:spacing w:before="100" w:beforeAutospacing="1" w:after="100" w:afterAutospacing="1"/>
                    <w:jc w:val="both"/>
                    <w:rPr>
                      <w:b/>
                      <w:bCs/>
                    </w:rPr>
                  </w:pPr>
                  <w:r>
                    <w:t>Projekta apspriešanas procesā tika ņemti vērā biržas un auditorfirmu izteiktie priekšlikumi un iestrādāti likumprojektā.</w:t>
                  </w:r>
                </w:p>
              </w:tc>
            </w:tr>
            <w:tr w:rsidR="0025620E" w:rsidRPr="0028053B" w:rsidTr="0025620E">
              <w:trPr>
                <w:tblCellSpacing w:w="0" w:type="dxa"/>
              </w:trPr>
              <w:tc>
                <w:tcPr>
                  <w:tcW w:w="567" w:type="dxa"/>
                </w:tcPr>
                <w:p w:rsidR="0025620E" w:rsidRPr="0028053B" w:rsidRDefault="0025620E" w:rsidP="0025620E">
                  <w:pPr>
                    <w:spacing w:before="100" w:beforeAutospacing="1" w:after="100" w:afterAutospacing="1"/>
                    <w:rPr>
                      <w:bCs/>
                    </w:rPr>
                  </w:pPr>
                  <w:r w:rsidRPr="0028053B">
                    <w:rPr>
                      <w:bCs/>
                    </w:rPr>
                    <w:t>4.</w:t>
                  </w:r>
                </w:p>
              </w:tc>
              <w:tc>
                <w:tcPr>
                  <w:tcW w:w="2376" w:type="dxa"/>
                </w:tcPr>
                <w:p w:rsidR="0025620E" w:rsidRPr="0028053B" w:rsidRDefault="0025620E" w:rsidP="0025620E">
                  <w:pPr>
                    <w:spacing w:before="100" w:beforeAutospacing="1" w:after="100" w:afterAutospacing="1"/>
                    <w:rPr>
                      <w:bCs/>
                    </w:rPr>
                  </w:pPr>
                  <w:r w:rsidRPr="0028053B">
                    <w:rPr>
                      <w:bCs/>
                    </w:rPr>
                    <w:t>Saeimas un ekspertu līdzdalība</w:t>
                  </w:r>
                </w:p>
              </w:tc>
              <w:tc>
                <w:tcPr>
                  <w:tcW w:w="6106" w:type="dxa"/>
                </w:tcPr>
                <w:p w:rsidR="0025620E" w:rsidRPr="0028053B" w:rsidRDefault="0025620E" w:rsidP="0025620E">
                  <w:pPr>
                    <w:spacing w:before="100" w:beforeAutospacing="1" w:after="100" w:afterAutospacing="1"/>
                    <w:rPr>
                      <w:bCs/>
                    </w:rPr>
                  </w:pPr>
                  <w:r w:rsidRPr="0028053B">
                    <w:rPr>
                      <w:bCs/>
                    </w:rPr>
                    <w:t>Nav attiecināms.</w:t>
                  </w:r>
                </w:p>
              </w:tc>
            </w:tr>
            <w:tr w:rsidR="0025620E" w:rsidRPr="0028053B" w:rsidTr="0025620E">
              <w:trPr>
                <w:tblCellSpacing w:w="0" w:type="dxa"/>
              </w:trPr>
              <w:tc>
                <w:tcPr>
                  <w:tcW w:w="567" w:type="dxa"/>
                </w:tcPr>
                <w:p w:rsidR="0025620E" w:rsidRPr="0028053B" w:rsidRDefault="0025620E" w:rsidP="0025620E">
                  <w:pPr>
                    <w:spacing w:before="100" w:beforeAutospacing="1" w:after="100" w:afterAutospacing="1"/>
                    <w:rPr>
                      <w:bCs/>
                    </w:rPr>
                  </w:pPr>
                  <w:r w:rsidRPr="0028053B">
                    <w:rPr>
                      <w:bCs/>
                    </w:rPr>
                    <w:t>5.</w:t>
                  </w:r>
                </w:p>
              </w:tc>
              <w:tc>
                <w:tcPr>
                  <w:tcW w:w="2376" w:type="dxa"/>
                </w:tcPr>
                <w:p w:rsidR="0025620E" w:rsidRPr="0028053B" w:rsidRDefault="0025620E" w:rsidP="0025620E">
                  <w:pPr>
                    <w:spacing w:before="100" w:beforeAutospacing="1" w:after="100" w:afterAutospacing="1"/>
                    <w:rPr>
                      <w:bCs/>
                    </w:rPr>
                  </w:pPr>
                  <w:r w:rsidRPr="0028053B">
                    <w:rPr>
                      <w:bCs/>
                    </w:rPr>
                    <w:t>Cita informācija</w:t>
                  </w:r>
                </w:p>
              </w:tc>
              <w:tc>
                <w:tcPr>
                  <w:tcW w:w="6106" w:type="dxa"/>
                </w:tcPr>
                <w:p w:rsidR="0025620E" w:rsidRPr="0028053B" w:rsidRDefault="0025620E" w:rsidP="0025620E">
                  <w:pPr>
                    <w:spacing w:before="100" w:beforeAutospacing="1" w:after="100" w:afterAutospacing="1"/>
                    <w:rPr>
                      <w:bCs/>
                    </w:rPr>
                  </w:pPr>
                  <w:r w:rsidRPr="0028053B">
                    <w:rPr>
                      <w:bCs/>
                    </w:rPr>
                    <w:t>Nav.</w:t>
                  </w:r>
                </w:p>
              </w:tc>
            </w:tr>
          </w:tbl>
          <w:p w:rsidR="00473B6E" w:rsidRPr="00260F5A" w:rsidRDefault="00473B6E" w:rsidP="00473B6E">
            <w:pPr>
              <w:jc w:val="center"/>
              <w:rPr>
                <w:rFonts w:eastAsia="Calibri"/>
                <w:lang w:eastAsia="en-US"/>
              </w:rPr>
            </w:pPr>
          </w:p>
        </w:tc>
      </w:tr>
      <w:tr w:rsidR="00473B6E" w:rsidRPr="00473B6E" w:rsidTr="00CB6A1F">
        <w:trPr>
          <w:gridBefore w:val="1"/>
          <w:gridAfter w:val="1"/>
          <w:wBefore w:w="41" w:type="dxa"/>
          <w:wAfter w:w="23" w:type="dxa"/>
          <w:tblCellSpacing w:w="0" w:type="dxa"/>
        </w:trPr>
        <w:tc>
          <w:tcPr>
            <w:tcW w:w="9037" w:type="dxa"/>
            <w:gridSpan w:val="9"/>
            <w:tcBorders>
              <w:top w:val="outset" w:sz="6" w:space="0" w:color="auto"/>
              <w:left w:val="outset" w:sz="6" w:space="0" w:color="auto"/>
              <w:bottom w:val="outset" w:sz="6" w:space="0" w:color="auto"/>
              <w:right w:val="outset" w:sz="6" w:space="0" w:color="auto"/>
            </w:tcBorders>
          </w:tcPr>
          <w:p w:rsidR="00473B6E" w:rsidRPr="001E7BBE" w:rsidRDefault="00473B6E" w:rsidP="00473B6E">
            <w:pPr>
              <w:jc w:val="center"/>
              <w:rPr>
                <w:rFonts w:eastAsia="Calibri"/>
                <w:b/>
                <w:lang w:eastAsia="en-US"/>
              </w:rPr>
            </w:pPr>
            <w:r w:rsidRPr="001E7BBE">
              <w:rPr>
                <w:rFonts w:eastAsia="Calibri"/>
                <w:b/>
                <w:lang w:eastAsia="en-US"/>
              </w:rPr>
              <w:t>VII. Tiesību akta projekta izpildes nodrošināšana un tās ietekme uz institūcijām</w:t>
            </w:r>
          </w:p>
        </w:tc>
      </w:tr>
      <w:tr w:rsidR="00DC36D0" w:rsidRPr="00473B6E" w:rsidTr="00CB6A1F">
        <w:trPr>
          <w:gridBefore w:val="1"/>
          <w:gridAfter w:val="1"/>
          <w:wBefore w:w="41" w:type="dxa"/>
          <w:wAfter w:w="23" w:type="dxa"/>
          <w:trHeight w:val="427"/>
          <w:tblCellSpacing w:w="0" w:type="dxa"/>
        </w:trPr>
        <w:tc>
          <w:tcPr>
            <w:tcW w:w="812"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1.</w:t>
            </w:r>
          </w:p>
        </w:tc>
        <w:tc>
          <w:tcPr>
            <w:tcW w:w="4350"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Projekta izpildē iesaistītās institūcijas</w:t>
            </w:r>
          </w:p>
        </w:tc>
        <w:tc>
          <w:tcPr>
            <w:tcW w:w="3875" w:type="dxa"/>
            <w:tcBorders>
              <w:top w:val="outset" w:sz="6" w:space="0" w:color="auto"/>
              <w:left w:val="outset" w:sz="6" w:space="0" w:color="auto"/>
              <w:bottom w:val="outset" w:sz="6" w:space="0" w:color="auto"/>
              <w:right w:val="outset" w:sz="6" w:space="0" w:color="auto"/>
            </w:tcBorders>
          </w:tcPr>
          <w:p w:rsidR="00473B6E" w:rsidRPr="00260F5A" w:rsidRDefault="00C76B4B" w:rsidP="00C76B4B">
            <w:pPr>
              <w:jc w:val="both"/>
              <w:rPr>
                <w:rFonts w:eastAsia="Calibri"/>
                <w:lang w:eastAsia="en-US"/>
              </w:rPr>
            </w:pPr>
            <w:r>
              <w:rPr>
                <w:rFonts w:eastAsia="Calibri"/>
                <w:lang w:eastAsia="en-US"/>
              </w:rPr>
              <w:t>Finanšu ministrija un</w:t>
            </w:r>
            <w:r w:rsidR="007F2A8B">
              <w:rPr>
                <w:rFonts w:eastAsia="Calibri"/>
                <w:lang w:eastAsia="en-US"/>
              </w:rPr>
              <w:t xml:space="preserve"> </w:t>
            </w:r>
            <w:r w:rsidR="00473B6E" w:rsidRPr="00260F5A">
              <w:rPr>
                <w:rFonts w:eastAsia="Calibri"/>
                <w:lang w:eastAsia="en-US"/>
              </w:rPr>
              <w:t>Valsts ieņēmumu dienests.</w:t>
            </w:r>
          </w:p>
        </w:tc>
      </w:tr>
      <w:tr w:rsidR="00DC36D0" w:rsidRPr="00473B6E" w:rsidTr="00CB6A1F">
        <w:trPr>
          <w:gridBefore w:val="1"/>
          <w:gridAfter w:val="1"/>
          <w:wBefore w:w="41" w:type="dxa"/>
          <w:wAfter w:w="23" w:type="dxa"/>
          <w:trHeight w:val="463"/>
          <w:tblCellSpacing w:w="0" w:type="dxa"/>
        </w:trPr>
        <w:tc>
          <w:tcPr>
            <w:tcW w:w="812"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2.</w:t>
            </w:r>
          </w:p>
        </w:tc>
        <w:tc>
          <w:tcPr>
            <w:tcW w:w="4350"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Projekta izpildes ietekme uz pārvaldes funkcijām</w:t>
            </w:r>
          </w:p>
        </w:tc>
        <w:tc>
          <w:tcPr>
            <w:tcW w:w="3875" w:type="dxa"/>
            <w:tcBorders>
              <w:top w:val="outset" w:sz="6" w:space="0" w:color="auto"/>
              <w:left w:val="outset" w:sz="6" w:space="0" w:color="auto"/>
              <w:bottom w:val="outset" w:sz="6" w:space="0" w:color="auto"/>
              <w:right w:val="outset" w:sz="6" w:space="0" w:color="auto"/>
            </w:tcBorders>
          </w:tcPr>
          <w:p w:rsidR="00473B6E" w:rsidRPr="00260F5A" w:rsidRDefault="00473B6E" w:rsidP="00473B6E">
            <w:pPr>
              <w:jc w:val="both"/>
              <w:rPr>
                <w:rFonts w:eastAsia="Calibri"/>
                <w:lang w:eastAsia="en-US"/>
              </w:rPr>
            </w:pPr>
            <w:r w:rsidRPr="00260F5A">
              <w:rPr>
                <w:rFonts w:eastAsia="Calibri"/>
                <w:lang w:eastAsia="en-US"/>
              </w:rPr>
              <w:t>Projekts šo jomu neskar.</w:t>
            </w:r>
          </w:p>
        </w:tc>
      </w:tr>
      <w:tr w:rsidR="00DC36D0" w:rsidRPr="00473B6E" w:rsidTr="00CB6A1F">
        <w:trPr>
          <w:gridBefore w:val="1"/>
          <w:gridAfter w:val="1"/>
          <w:wBefore w:w="41" w:type="dxa"/>
          <w:wAfter w:w="23" w:type="dxa"/>
          <w:trHeight w:val="725"/>
          <w:tblCellSpacing w:w="0" w:type="dxa"/>
        </w:trPr>
        <w:tc>
          <w:tcPr>
            <w:tcW w:w="812"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3.</w:t>
            </w:r>
          </w:p>
        </w:tc>
        <w:tc>
          <w:tcPr>
            <w:tcW w:w="4350"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Projekta izpildes ietekme uz pārvaldes institucionālo struktūru.</w:t>
            </w:r>
          </w:p>
          <w:p w:rsidR="00473B6E" w:rsidRPr="008A6AE3" w:rsidRDefault="00473B6E" w:rsidP="00473B6E">
            <w:pPr>
              <w:jc w:val="both"/>
              <w:rPr>
                <w:rFonts w:eastAsia="Calibri"/>
                <w:lang w:eastAsia="en-US"/>
              </w:rPr>
            </w:pPr>
            <w:r w:rsidRPr="008A6AE3">
              <w:rPr>
                <w:rFonts w:eastAsia="Calibri"/>
                <w:lang w:eastAsia="en-US"/>
              </w:rPr>
              <w:t>Jaunu institūciju izveide</w:t>
            </w:r>
          </w:p>
        </w:tc>
        <w:tc>
          <w:tcPr>
            <w:tcW w:w="3875" w:type="dxa"/>
            <w:tcBorders>
              <w:top w:val="outset" w:sz="6" w:space="0" w:color="auto"/>
              <w:left w:val="outset" w:sz="6" w:space="0" w:color="auto"/>
              <w:bottom w:val="outset" w:sz="6" w:space="0" w:color="auto"/>
              <w:right w:val="outset" w:sz="6" w:space="0" w:color="auto"/>
            </w:tcBorders>
          </w:tcPr>
          <w:p w:rsidR="00473B6E" w:rsidRPr="00260F5A" w:rsidRDefault="00473B6E" w:rsidP="00473B6E">
            <w:pPr>
              <w:jc w:val="both"/>
              <w:rPr>
                <w:rFonts w:eastAsia="Calibri"/>
                <w:lang w:eastAsia="en-US"/>
              </w:rPr>
            </w:pPr>
            <w:r w:rsidRPr="00260F5A">
              <w:rPr>
                <w:rFonts w:eastAsia="Calibri"/>
                <w:lang w:eastAsia="en-US"/>
              </w:rPr>
              <w:t>Jaunas institūcijas nav nepieciešams izveidot.</w:t>
            </w:r>
          </w:p>
        </w:tc>
      </w:tr>
      <w:tr w:rsidR="00DC36D0" w:rsidRPr="00473B6E" w:rsidTr="00CB6A1F">
        <w:trPr>
          <w:gridBefore w:val="1"/>
          <w:gridAfter w:val="1"/>
          <w:wBefore w:w="41" w:type="dxa"/>
          <w:wAfter w:w="23" w:type="dxa"/>
          <w:trHeight w:val="780"/>
          <w:tblCellSpacing w:w="0" w:type="dxa"/>
        </w:trPr>
        <w:tc>
          <w:tcPr>
            <w:tcW w:w="812"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4.</w:t>
            </w:r>
          </w:p>
        </w:tc>
        <w:tc>
          <w:tcPr>
            <w:tcW w:w="4350"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Projekta izpildes ietekme uz pārvaldes institucionālo struktūru.</w:t>
            </w:r>
          </w:p>
          <w:p w:rsidR="00473B6E" w:rsidRPr="008A6AE3" w:rsidRDefault="00473B6E" w:rsidP="00473B6E">
            <w:pPr>
              <w:jc w:val="both"/>
              <w:rPr>
                <w:rFonts w:eastAsia="Calibri"/>
                <w:lang w:eastAsia="en-US"/>
              </w:rPr>
            </w:pPr>
            <w:r w:rsidRPr="008A6AE3">
              <w:rPr>
                <w:rFonts w:eastAsia="Calibri"/>
                <w:lang w:eastAsia="en-US"/>
              </w:rPr>
              <w:t>Esošu institūciju likvidācija</w:t>
            </w:r>
          </w:p>
        </w:tc>
        <w:tc>
          <w:tcPr>
            <w:tcW w:w="3875" w:type="dxa"/>
            <w:tcBorders>
              <w:top w:val="outset" w:sz="6" w:space="0" w:color="auto"/>
              <w:left w:val="outset" w:sz="6" w:space="0" w:color="auto"/>
              <w:bottom w:val="outset" w:sz="6" w:space="0" w:color="auto"/>
              <w:right w:val="outset" w:sz="6" w:space="0" w:color="auto"/>
            </w:tcBorders>
          </w:tcPr>
          <w:p w:rsidR="00473B6E" w:rsidRPr="00260F5A" w:rsidRDefault="00473B6E" w:rsidP="00473B6E">
            <w:pPr>
              <w:jc w:val="both"/>
              <w:rPr>
                <w:rFonts w:eastAsia="Calibri"/>
                <w:lang w:eastAsia="en-US"/>
              </w:rPr>
            </w:pPr>
            <w:r w:rsidRPr="00260F5A">
              <w:rPr>
                <w:rFonts w:eastAsia="Calibri"/>
                <w:lang w:eastAsia="en-US"/>
              </w:rPr>
              <w:t>Nav plānota esošu institūciju likvidācija.</w:t>
            </w:r>
          </w:p>
        </w:tc>
      </w:tr>
      <w:tr w:rsidR="00DC36D0" w:rsidRPr="00473B6E" w:rsidTr="00CB6A1F">
        <w:trPr>
          <w:gridBefore w:val="1"/>
          <w:gridAfter w:val="1"/>
          <w:wBefore w:w="41" w:type="dxa"/>
          <w:wAfter w:w="23" w:type="dxa"/>
          <w:trHeight w:val="703"/>
          <w:tblCellSpacing w:w="0" w:type="dxa"/>
        </w:trPr>
        <w:tc>
          <w:tcPr>
            <w:tcW w:w="812"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5.</w:t>
            </w:r>
          </w:p>
        </w:tc>
        <w:tc>
          <w:tcPr>
            <w:tcW w:w="4350"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Projekta izpildes ietekme uz pārvaldes institucionālo struktūru.</w:t>
            </w:r>
          </w:p>
          <w:p w:rsidR="00473B6E" w:rsidRPr="008A6AE3" w:rsidRDefault="00473B6E" w:rsidP="00473B6E">
            <w:pPr>
              <w:jc w:val="both"/>
              <w:rPr>
                <w:rFonts w:eastAsia="Calibri"/>
                <w:lang w:eastAsia="en-US"/>
              </w:rPr>
            </w:pPr>
            <w:r w:rsidRPr="008A6AE3">
              <w:rPr>
                <w:rFonts w:eastAsia="Calibri"/>
                <w:lang w:eastAsia="en-US"/>
              </w:rPr>
              <w:t>Esošu institūciju reorganizācija</w:t>
            </w:r>
          </w:p>
        </w:tc>
        <w:tc>
          <w:tcPr>
            <w:tcW w:w="3875" w:type="dxa"/>
            <w:tcBorders>
              <w:top w:val="outset" w:sz="6" w:space="0" w:color="auto"/>
              <w:left w:val="outset" w:sz="6" w:space="0" w:color="auto"/>
              <w:bottom w:val="outset" w:sz="6" w:space="0" w:color="auto"/>
              <w:right w:val="outset" w:sz="6" w:space="0" w:color="auto"/>
            </w:tcBorders>
          </w:tcPr>
          <w:p w:rsidR="00473B6E" w:rsidRPr="00260F5A" w:rsidRDefault="00473B6E" w:rsidP="00473B6E">
            <w:pPr>
              <w:jc w:val="both"/>
              <w:rPr>
                <w:rFonts w:eastAsia="Calibri"/>
                <w:lang w:eastAsia="en-US"/>
              </w:rPr>
            </w:pPr>
            <w:r w:rsidRPr="00260F5A">
              <w:rPr>
                <w:rFonts w:eastAsia="Calibri"/>
                <w:lang w:eastAsia="en-US"/>
              </w:rPr>
              <w:t> Nav plānota esošu institūciju reorganizācija.</w:t>
            </w:r>
          </w:p>
        </w:tc>
      </w:tr>
      <w:tr w:rsidR="00DC36D0" w:rsidRPr="00473B6E" w:rsidTr="00FA27BA">
        <w:trPr>
          <w:gridBefore w:val="1"/>
          <w:gridAfter w:val="1"/>
          <w:wBefore w:w="41" w:type="dxa"/>
          <w:wAfter w:w="23" w:type="dxa"/>
          <w:trHeight w:val="557"/>
          <w:tblCellSpacing w:w="0" w:type="dxa"/>
        </w:trPr>
        <w:tc>
          <w:tcPr>
            <w:tcW w:w="812"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6.</w:t>
            </w:r>
          </w:p>
        </w:tc>
        <w:tc>
          <w:tcPr>
            <w:tcW w:w="4350"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Cita informācija</w:t>
            </w:r>
          </w:p>
        </w:tc>
        <w:tc>
          <w:tcPr>
            <w:tcW w:w="3875" w:type="dxa"/>
            <w:tcBorders>
              <w:top w:val="outset" w:sz="6" w:space="0" w:color="auto"/>
              <w:left w:val="outset" w:sz="6" w:space="0" w:color="auto"/>
              <w:bottom w:val="outset" w:sz="6" w:space="0" w:color="auto"/>
              <w:right w:val="outset" w:sz="6" w:space="0" w:color="auto"/>
            </w:tcBorders>
          </w:tcPr>
          <w:p w:rsidR="00473B6E" w:rsidRPr="00260F5A" w:rsidRDefault="00473B6E" w:rsidP="00473B6E">
            <w:pPr>
              <w:jc w:val="both"/>
              <w:rPr>
                <w:rFonts w:eastAsia="Calibri"/>
                <w:lang w:eastAsia="en-US"/>
              </w:rPr>
            </w:pPr>
            <w:r w:rsidRPr="00260F5A">
              <w:rPr>
                <w:rFonts w:eastAsia="Calibri"/>
                <w:lang w:eastAsia="en-US"/>
              </w:rPr>
              <w:t>Jaunā funkcija tiks īstenota, izmantojot esošos pārvaldes resursus.</w:t>
            </w:r>
          </w:p>
        </w:tc>
      </w:tr>
    </w:tbl>
    <w:p w:rsidR="006E5C03" w:rsidRDefault="006E5C03" w:rsidP="00791766">
      <w:pPr>
        <w:rPr>
          <w:bCs/>
          <w:iCs/>
          <w:sz w:val="28"/>
          <w:szCs w:val="28"/>
        </w:rPr>
      </w:pPr>
    </w:p>
    <w:p w:rsidR="009C3215" w:rsidRDefault="009C3215" w:rsidP="00791766">
      <w:pPr>
        <w:rPr>
          <w:bCs/>
          <w:iCs/>
          <w:sz w:val="28"/>
          <w:szCs w:val="28"/>
        </w:rPr>
      </w:pPr>
    </w:p>
    <w:p w:rsidR="004857F9" w:rsidRDefault="003B34FC" w:rsidP="00FA27BA">
      <w:pPr>
        <w:ind w:firstLine="720"/>
        <w:rPr>
          <w:bCs/>
          <w:iCs/>
          <w:sz w:val="28"/>
          <w:szCs w:val="28"/>
        </w:rPr>
      </w:pPr>
      <w:r w:rsidRPr="003B34FC">
        <w:rPr>
          <w:bCs/>
          <w:iCs/>
          <w:sz w:val="28"/>
          <w:szCs w:val="28"/>
        </w:rPr>
        <w:t>Finanšu ministrs</w:t>
      </w:r>
      <w:r w:rsidRPr="003B34FC">
        <w:rPr>
          <w:bCs/>
          <w:iCs/>
          <w:sz w:val="28"/>
          <w:szCs w:val="28"/>
        </w:rPr>
        <w:tab/>
      </w:r>
      <w:r w:rsidRPr="003B34FC">
        <w:rPr>
          <w:bCs/>
          <w:iCs/>
          <w:sz w:val="28"/>
          <w:szCs w:val="28"/>
        </w:rPr>
        <w:tab/>
      </w:r>
      <w:r w:rsidRPr="003B34FC">
        <w:rPr>
          <w:bCs/>
          <w:iCs/>
          <w:sz w:val="28"/>
          <w:szCs w:val="28"/>
        </w:rPr>
        <w:tab/>
      </w:r>
      <w:r w:rsidRPr="003B34FC">
        <w:rPr>
          <w:bCs/>
          <w:iCs/>
          <w:sz w:val="28"/>
          <w:szCs w:val="28"/>
        </w:rPr>
        <w:tab/>
      </w:r>
      <w:r w:rsidRPr="003B34FC">
        <w:rPr>
          <w:bCs/>
          <w:iCs/>
          <w:sz w:val="28"/>
          <w:szCs w:val="28"/>
        </w:rPr>
        <w:tab/>
      </w:r>
      <w:r w:rsidRPr="003B34FC">
        <w:rPr>
          <w:bCs/>
          <w:iCs/>
          <w:sz w:val="28"/>
          <w:szCs w:val="28"/>
        </w:rPr>
        <w:tab/>
      </w:r>
      <w:r w:rsidRPr="003B34FC">
        <w:rPr>
          <w:bCs/>
          <w:iCs/>
          <w:sz w:val="28"/>
          <w:szCs w:val="28"/>
        </w:rPr>
        <w:tab/>
      </w:r>
      <w:r w:rsidRPr="003B34FC">
        <w:rPr>
          <w:bCs/>
          <w:iCs/>
          <w:sz w:val="28"/>
          <w:szCs w:val="28"/>
        </w:rPr>
        <w:tab/>
        <w:t>A.Vilks</w:t>
      </w:r>
    </w:p>
    <w:p w:rsidR="00FA27BA" w:rsidRDefault="00FA27BA" w:rsidP="00FA27BA">
      <w:pPr>
        <w:ind w:firstLine="720"/>
        <w:rPr>
          <w:bCs/>
          <w:iCs/>
          <w:sz w:val="16"/>
          <w:szCs w:val="16"/>
        </w:rPr>
      </w:pPr>
    </w:p>
    <w:p w:rsidR="00485119" w:rsidRPr="00FA27BA" w:rsidRDefault="00485119" w:rsidP="00FA27BA">
      <w:pPr>
        <w:ind w:firstLine="720"/>
        <w:rPr>
          <w:bCs/>
          <w:iCs/>
          <w:sz w:val="16"/>
          <w:szCs w:val="16"/>
        </w:rPr>
      </w:pPr>
    </w:p>
    <w:p w:rsidR="00622713" w:rsidRDefault="00622713" w:rsidP="00791766">
      <w:pPr>
        <w:tabs>
          <w:tab w:val="left" w:pos="7088"/>
        </w:tabs>
        <w:jc w:val="both"/>
        <w:rPr>
          <w:sz w:val="20"/>
          <w:szCs w:val="20"/>
        </w:rPr>
      </w:pPr>
      <w:r>
        <w:rPr>
          <w:sz w:val="20"/>
          <w:szCs w:val="20"/>
        </w:rPr>
        <w:fldChar w:fldCharType="begin"/>
      </w:r>
      <w:r>
        <w:rPr>
          <w:sz w:val="20"/>
          <w:szCs w:val="20"/>
        </w:rPr>
        <w:instrText xml:space="preserve"> CREATEDATE  \@ "dd.MM.yyyy H:mm"  \* MERGEFORMAT </w:instrText>
      </w:r>
      <w:r>
        <w:rPr>
          <w:sz w:val="20"/>
          <w:szCs w:val="20"/>
        </w:rPr>
        <w:fldChar w:fldCharType="separate"/>
      </w:r>
      <w:r w:rsidR="002F0793">
        <w:rPr>
          <w:noProof/>
          <w:sz w:val="20"/>
          <w:szCs w:val="20"/>
        </w:rPr>
        <w:t>14.08.2012 13:16</w:t>
      </w:r>
      <w:r>
        <w:rPr>
          <w:sz w:val="20"/>
          <w:szCs w:val="20"/>
        </w:rPr>
        <w:fldChar w:fldCharType="end"/>
      </w:r>
    </w:p>
    <w:p w:rsidR="00A80706" w:rsidRDefault="00A80706" w:rsidP="00791766">
      <w:pPr>
        <w:tabs>
          <w:tab w:val="left" w:pos="7088"/>
        </w:tabs>
        <w:jc w:val="both"/>
        <w:rPr>
          <w:sz w:val="20"/>
          <w:szCs w:val="20"/>
        </w:rPr>
      </w:pPr>
      <w:r w:rsidRPr="006C15CB">
        <w:rPr>
          <w:sz w:val="20"/>
          <w:szCs w:val="20"/>
        </w:rPr>
        <w:fldChar w:fldCharType="begin"/>
      </w:r>
      <w:r w:rsidRPr="006C15CB">
        <w:rPr>
          <w:sz w:val="20"/>
          <w:szCs w:val="20"/>
        </w:rPr>
        <w:instrText xml:space="preserve"> NUMWORDS  \* MERGEFORMAT </w:instrText>
      </w:r>
      <w:r w:rsidRPr="006C15CB">
        <w:rPr>
          <w:sz w:val="20"/>
          <w:szCs w:val="20"/>
        </w:rPr>
        <w:fldChar w:fldCharType="separate"/>
      </w:r>
      <w:r w:rsidR="009C3215">
        <w:rPr>
          <w:noProof/>
          <w:sz w:val="20"/>
          <w:szCs w:val="20"/>
        </w:rPr>
        <w:t>3240</w:t>
      </w:r>
      <w:r w:rsidRPr="006C15CB">
        <w:rPr>
          <w:sz w:val="20"/>
          <w:szCs w:val="20"/>
        </w:rPr>
        <w:fldChar w:fldCharType="end"/>
      </w:r>
    </w:p>
    <w:p w:rsidR="00A80706" w:rsidRDefault="00622713" w:rsidP="00791766">
      <w:pPr>
        <w:tabs>
          <w:tab w:val="left" w:pos="7088"/>
        </w:tabs>
        <w:jc w:val="both"/>
        <w:rPr>
          <w:sz w:val="20"/>
          <w:szCs w:val="20"/>
        </w:rPr>
      </w:pPr>
      <w:r>
        <w:rPr>
          <w:sz w:val="20"/>
          <w:szCs w:val="20"/>
        </w:rPr>
        <w:t>Orehova</w:t>
      </w:r>
      <w:r w:rsidR="00C45612">
        <w:rPr>
          <w:sz w:val="20"/>
          <w:szCs w:val="20"/>
        </w:rPr>
        <w:t xml:space="preserve"> 670</w:t>
      </w:r>
      <w:r>
        <w:rPr>
          <w:sz w:val="20"/>
          <w:szCs w:val="20"/>
        </w:rPr>
        <w:t>95494</w:t>
      </w:r>
    </w:p>
    <w:p w:rsidR="004368E3" w:rsidRPr="009F4215" w:rsidRDefault="00E402AF" w:rsidP="00791766">
      <w:pPr>
        <w:rPr>
          <w:sz w:val="20"/>
          <w:szCs w:val="20"/>
        </w:rPr>
      </w:pPr>
      <w:hyperlink r:id="rId13" w:history="1">
        <w:r w:rsidR="00622713" w:rsidRPr="003767DF">
          <w:rPr>
            <w:rStyle w:val="Hyperlink"/>
            <w:sz w:val="20"/>
            <w:szCs w:val="20"/>
          </w:rPr>
          <w:t>Anda.Orehova@fm.gov.lv</w:t>
        </w:r>
      </w:hyperlink>
      <w:r w:rsidR="00E97262">
        <w:rPr>
          <w:sz w:val="20"/>
          <w:szCs w:val="20"/>
        </w:rPr>
        <w:t xml:space="preserve"> </w:t>
      </w:r>
      <w:r w:rsidR="00C45612" w:rsidRPr="009F4215">
        <w:rPr>
          <w:sz w:val="20"/>
          <w:szCs w:val="20"/>
        </w:rPr>
        <w:t xml:space="preserve"> </w:t>
      </w:r>
    </w:p>
    <w:sectPr w:rsidR="004368E3" w:rsidRPr="009F4215" w:rsidSect="001B1222">
      <w:headerReference w:type="even" r:id="rId14"/>
      <w:headerReference w:type="default" r:id="rId15"/>
      <w:footerReference w:type="even" r:id="rId16"/>
      <w:footerReference w:type="default" r:id="rId17"/>
      <w:footerReference w:type="first" r:id="rId18"/>
      <w:pgSz w:w="11906" w:h="16838" w:code="9"/>
      <w:pgMar w:top="851" w:right="1134" w:bottom="1134" w:left="1701" w:header="709"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AF" w:rsidRDefault="00E402AF">
      <w:r>
        <w:separator/>
      </w:r>
    </w:p>
  </w:endnote>
  <w:endnote w:type="continuationSeparator" w:id="0">
    <w:p w:rsidR="00E402AF" w:rsidRDefault="00E4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01" w:rsidRDefault="007D3801"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3801" w:rsidRDefault="007D3801"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01" w:rsidRPr="00432A31" w:rsidRDefault="007D3801" w:rsidP="00432A31">
    <w:pPr>
      <w:pStyle w:val="naislab"/>
      <w:spacing w:before="0" w:after="0"/>
      <w:jc w:val="both"/>
      <w:rPr>
        <w:bCs/>
        <w:sz w:val="20"/>
        <w:szCs w:val="20"/>
        <w:lang w:val="pt-BR"/>
      </w:rPr>
    </w:pPr>
    <w:r>
      <w:rPr>
        <w:sz w:val="20"/>
        <w:szCs w:val="20"/>
      </w:rPr>
      <w:fldChar w:fldCharType="begin"/>
    </w:r>
    <w:r>
      <w:rPr>
        <w:sz w:val="20"/>
        <w:szCs w:val="20"/>
      </w:rPr>
      <w:instrText xml:space="preserve"> FILENAME   \* MERGEFORMAT </w:instrText>
    </w:r>
    <w:r>
      <w:rPr>
        <w:sz w:val="20"/>
        <w:szCs w:val="20"/>
      </w:rPr>
      <w:fldChar w:fldCharType="separate"/>
    </w:r>
    <w:r w:rsidR="009C3215">
      <w:rPr>
        <w:noProof/>
        <w:sz w:val="20"/>
        <w:szCs w:val="20"/>
      </w:rPr>
      <w:t>FMAnot_130812_IINgroz</w:t>
    </w:r>
    <w:r>
      <w:rPr>
        <w:sz w:val="20"/>
        <w:szCs w:val="20"/>
      </w:rPr>
      <w:fldChar w:fldCharType="end"/>
    </w:r>
    <w:r>
      <w:rPr>
        <w:sz w:val="20"/>
        <w:szCs w:val="20"/>
      </w:rPr>
      <w:t>; Anotācija likumprojektam „</w:t>
    </w:r>
    <w:r>
      <w:rPr>
        <w:bCs/>
        <w:sz w:val="20"/>
        <w:szCs w:val="20"/>
        <w:lang w:val="pt-BR"/>
      </w:rPr>
      <w:t xml:space="preserve">Grozījumi </w:t>
    </w:r>
    <w:r>
      <w:rPr>
        <w:bCs/>
        <w:sz w:val="20"/>
        <w:szCs w:val="20"/>
      </w:rPr>
      <w:t>likumā „Par iedzīvotāju ienākuma nodokli</w:t>
    </w:r>
    <w:r>
      <w:rPr>
        <w:bCs/>
        <w:sz w:val="20"/>
        <w:szCs w:val="20"/>
        <w:lang w:val="pt-B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01" w:rsidRPr="004864E2" w:rsidRDefault="007D3801" w:rsidP="004864E2">
    <w:pPr>
      <w:pStyle w:val="naislab"/>
      <w:spacing w:before="0" w:after="0"/>
      <w:jc w:val="both"/>
      <w:rPr>
        <w:bCs/>
        <w:sz w:val="20"/>
        <w:szCs w:val="20"/>
        <w:lang w:val="pt-BR"/>
      </w:rPr>
    </w:pPr>
    <w:r>
      <w:rPr>
        <w:sz w:val="20"/>
        <w:szCs w:val="20"/>
      </w:rPr>
      <w:fldChar w:fldCharType="begin"/>
    </w:r>
    <w:r>
      <w:rPr>
        <w:sz w:val="20"/>
        <w:szCs w:val="20"/>
      </w:rPr>
      <w:instrText xml:space="preserve"> FILENAME   \* MERGEFORMAT </w:instrText>
    </w:r>
    <w:r>
      <w:rPr>
        <w:sz w:val="20"/>
        <w:szCs w:val="20"/>
      </w:rPr>
      <w:fldChar w:fldCharType="separate"/>
    </w:r>
    <w:r w:rsidR="009C3215">
      <w:rPr>
        <w:noProof/>
        <w:sz w:val="20"/>
        <w:szCs w:val="20"/>
      </w:rPr>
      <w:t>FMAnot_130812_IINgroz</w:t>
    </w:r>
    <w:r>
      <w:rPr>
        <w:sz w:val="20"/>
        <w:szCs w:val="20"/>
      </w:rPr>
      <w:fldChar w:fldCharType="end"/>
    </w:r>
    <w:r>
      <w:rPr>
        <w:sz w:val="20"/>
        <w:szCs w:val="20"/>
      </w:rPr>
      <w:t>; Anotācija likumprojektam „</w:t>
    </w:r>
    <w:r>
      <w:rPr>
        <w:bCs/>
        <w:sz w:val="20"/>
        <w:szCs w:val="20"/>
        <w:lang w:val="pt-BR"/>
      </w:rPr>
      <w:t xml:space="preserve">Grozījumi </w:t>
    </w:r>
    <w:r>
      <w:rPr>
        <w:bCs/>
        <w:sz w:val="20"/>
        <w:szCs w:val="20"/>
      </w:rPr>
      <w:t>likumā „Par iedzīvotāju ienākuma nodokli</w:t>
    </w:r>
    <w:r>
      <w:rPr>
        <w:bCs/>
        <w:sz w:val="20"/>
        <w:szCs w:val="20"/>
        <w:lang w:val="pt-B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AF" w:rsidRDefault="00E402AF">
      <w:r>
        <w:separator/>
      </w:r>
    </w:p>
  </w:footnote>
  <w:footnote w:type="continuationSeparator" w:id="0">
    <w:p w:rsidR="00E402AF" w:rsidRDefault="00E40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01" w:rsidRDefault="007D3801"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3801" w:rsidRDefault="007D3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01" w:rsidRDefault="007D3801"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6485">
      <w:rPr>
        <w:rStyle w:val="PageNumber"/>
        <w:noProof/>
      </w:rPr>
      <w:t>12</w:t>
    </w:r>
    <w:r>
      <w:rPr>
        <w:rStyle w:val="PageNumber"/>
      </w:rPr>
      <w:fldChar w:fldCharType="end"/>
    </w:r>
  </w:p>
  <w:p w:rsidR="007D3801" w:rsidRPr="004F7101" w:rsidRDefault="007D3801"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555"/>
    <w:multiLevelType w:val="hybridMultilevel"/>
    <w:tmpl w:val="3752A3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A504B1D"/>
    <w:multiLevelType w:val="hybridMultilevel"/>
    <w:tmpl w:val="CF9045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A20BF8"/>
    <w:multiLevelType w:val="hybridMultilevel"/>
    <w:tmpl w:val="F370C808"/>
    <w:lvl w:ilvl="0" w:tplc="39D6150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4">
    <w:nsid w:val="2C4920E7"/>
    <w:multiLevelType w:val="hybridMultilevel"/>
    <w:tmpl w:val="8CD0AD06"/>
    <w:lvl w:ilvl="0" w:tplc="B212D8C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A3F451E"/>
    <w:multiLevelType w:val="hybridMultilevel"/>
    <w:tmpl w:val="2368C634"/>
    <w:lvl w:ilvl="0" w:tplc="BF107CC6">
      <w:start w:val="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6">
    <w:nsid w:val="3FE33924"/>
    <w:multiLevelType w:val="multilevel"/>
    <w:tmpl w:val="9A486CBA"/>
    <w:lvl w:ilvl="0">
      <w:start w:val="1"/>
      <w:numFmt w:val="decimal"/>
      <w:lvlText w:val="%1."/>
      <w:lvlJc w:val="left"/>
      <w:pPr>
        <w:tabs>
          <w:tab w:val="num" w:pos="1060"/>
        </w:tabs>
        <w:ind w:left="1060" w:hanging="360"/>
      </w:pPr>
      <w:rPr>
        <w:rFonts w:hint="default"/>
      </w:rPr>
    </w:lvl>
    <w:lvl w:ilvl="1">
      <w:start w:val="2"/>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7">
    <w:nsid w:val="51403BAA"/>
    <w:multiLevelType w:val="hybridMultilevel"/>
    <w:tmpl w:val="D9C4D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1F01ABC"/>
    <w:multiLevelType w:val="hybridMultilevel"/>
    <w:tmpl w:val="3FAC29A8"/>
    <w:lvl w:ilvl="0" w:tplc="C8BA455C">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AAD642B"/>
    <w:multiLevelType w:val="hybridMultilevel"/>
    <w:tmpl w:val="1D2226E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C4E78F2"/>
    <w:multiLevelType w:val="hybridMultilevel"/>
    <w:tmpl w:val="959E34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D1C4263"/>
    <w:multiLevelType w:val="hybridMultilevel"/>
    <w:tmpl w:val="67BE6714"/>
    <w:lvl w:ilvl="0" w:tplc="687E25B0">
      <w:start w:val="1"/>
      <w:numFmt w:val="decimal"/>
      <w:lvlText w:val="%1)"/>
      <w:lvlJc w:val="left"/>
      <w:pPr>
        <w:ind w:left="784" w:hanging="360"/>
      </w:pPr>
      <w:rPr>
        <w:rFonts w:hint="default"/>
      </w:r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12">
    <w:nsid w:val="60C53BA4"/>
    <w:multiLevelType w:val="hybridMultilevel"/>
    <w:tmpl w:val="29E49E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14">
    <w:nsid w:val="73943C85"/>
    <w:multiLevelType w:val="multilevel"/>
    <w:tmpl w:val="DA8EF9BA"/>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5">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7C300F6F"/>
    <w:multiLevelType w:val="hybridMultilevel"/>
    <w:tmpl w:val="26FC0E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17"/>
  </w:num>
  <w:num w:numId="2">
    <w:abstractNumId w:val="13"/>
  </w:num>
  <w:num w:numId="3">
    <w:abstractNumId w:val="15"/>
  </w:num>
  <w:num w:numId="4">
    <w:abstractNumId w:val="1"/>
  </w:num>
  <w:num w:numId="5">
    <w:abstractNumId w:val="3"/>
  </w:num>
  <w:num w:numId="6">
    <w:abstractNumId w:val="5"/>
  </w:num>
  <w:num w:numId="7">
    <w:abstractNumId w:val="7"/>
  </w:num>
  <w:num w:numId="8">
    <w:abstractNumId w:val="16"/>
  </w:num>
  <w:num w:numId="9">
    <w:abstractNumId w:val="6"/>
  </w:num>
  <w:num w:numId="10">
    <w:abstractNumId w:val="12"/>
  </w:num>
  <w:num w:numId="11">
    <w:abstractNumId w:val="4"/>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11"/>
  </w:num>
  <w:num w:numId="16">
    <w:abstractNumId w:val="10"/>
  </w:num>
  <w:num w:numId="17">
    <w:abstractNumId w:val="2"/>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39"/>
    <w:rsid w:val="0000013D"/>
    <w:rsid w:val="000023A3"/>
    <w:rsid w:val="00002826"/>
    <w:rsid w:val="000037D1"/>
    <w:rsid w:val="000038AC"/>
    <w:rsid w:val="00004F5E"/>
    <w:rsid w:val="0000548E"/>
    <w:rsid w:val="000066BE"/>
    <w:rsid w:val="00007705"/>
    <w:rsid w:val="000110C9"/>
    <w:rsid w:val="00015014"/>
    <w:rsid w:val="000155B9"/>
    <w:rsid w:val="00016DD1"/>
    <w:rsid w:val="0001718B"/>
    <w:rsid w:val="00017BB7"/>
    <w:rsid w:val="0002124D"/>
    <w:rsid w:val="0002441D"/>
    <w:rsid w:val="00025259"/>
    <w:rsid w:val="00027EED"/>
    <w:rsid w:val="00031574"/>
    <w:rsid w:val="00031F99"/>
    <w:rsid w:val="00032913"/>
    <w:rsid w:val="000337D8"/>
    <w:rsid w:val="000346F8"/>
    <w:rsid w:val="00035354"/>
    <w:rsid w:val="00036703"/>
    <w:rsid w:val="0004029B"/>
    <w:rsid w:val="00040E0A"/>
    <w:rsid w:val="00040E7B"/>
    <w:rsid w:val="00041FE6"/>
    <w:rsid w:val="00043DB9"/>
    <w:rsid w:val="0004541B"/>
    <w:rsid w:val="00045F01"/>
    <w:rsid w:val="00045FE1"/>
    <w:rsid w:val="00047CB9"/>
    <w:rsid w:val="00047D53"/>
    <w:rsid w:val="000506D8"/>
    <w:rsid w:val="0005107F"/>
    <w:rsid w:val="00051A01"/>
    <w:rsid w:val="00052A78"/>
    <w:rsid w:val="000549EE"/>
    <w:rsid w:val="000566F9"/>
    <w:rsid w:val="00057000"/>
    <w:rsid w:val="0005736C"/>
    <w:rsid w:val="00057C6A"/>
    <w:rsid w:val="00057F0B"/>
    <w:rsid w:val="00060AB5"/>
    <w:rsid w:val="0006166B"/>
    <w:rsid w:val="00063185"/>
    <w:rsid w:val="00063764"/>
    <w:rsid w:val="000648DA"/>
    <w:rsid w:val="000654F2"/>
    <w:rsid w:val="00065C39"/>
    <w:rsid w:val="00066F97"/>
    <w:rsid w:val="0007105F"/>
    <w:rsid w:val="0007124B"/>
    <w:rsid w:val="00072671"/>
    <w:rsid w:val="000733D6"/>
    <w:rsid w:val="00073FA9"/>
    <w:rsid w:val="00074B2B"/>
    <w:rsid w:val="00076485"/>
    <w:rsid w:val="00084265"/>
    <w:rsid w:val="00087B78"/>
    <w:rsid w:val="00090348"/>
    <w:rsid w:val="00092756"/>
    <w:rsid w:val="00093E4A"/>
    <w:rsid w:val="0009421C"/>
    <w:rsid w:val="000944C2"/>
    <w:rsid w:val="00095E0B"/>
    <w:rsid w:val="00096DF4"/>
    <w:rsid w:val="00096F73"/>
    <w:rsid w:val="00097F11"/>
    <w:rsid w:val="000A10BB"/>
    <w:rsid w:val="000A3197"/>
    <w:rsid w:val="000A33BF"/>
    <w:rsid w:val="000A4C8F"/>
    <w:rsid w:val="000A569A"/>
    <w:rsid w:val="000A6650"/>
    <w:rsid w:val="000B0129"/>
    <w:rsid w:val="000B19AF"/>
    <w:rsid w:val="000B2EA2"/>
    <w:rsid w:val="000B4ACB"/>
    <w:rsid w:val="000B7C20"/>
    <w:rsid w:val="000C2366"/>
    <w:rsid w:val="000C57C3"/>
    <w:rsid w:val="000C609C"/>
    <w:rsid w:val="000C728E"/>
    <w:rsid w:val="000D04BB"/>
    <w:rsid w:val="000D27D1"/>
    <w:rsid w:val="000D2826"/>
    <w:rsid w:val="000D4220"/>
    <w:rsid w:val="000D4ACE"/>
    <w:rsid w:val="000D6EDF"/>
    <w:rsid w:val="000D775C"/>
    <w:rsid w:val="000E0A41"/>
    <w:rsid w:val="000E0B55"/>
    <w:rsid w:val="000E3151"/>
    <w:rsid w:val="000E36BB"/>
    <w:rsid w:val="000E46F3"/>
    <w:rsid w:val="000E654B"/>
    <w:rsid w:val="000F01C4"/>
    <w:rsid w:val="000F1969"/>
    <w:rsid w:val="000F37F0"/>
    <w:rsid w:val="000F5642"/>
    <w:rsid w:val="000F67EB"/>
    <w:rsid w:val="001044CC"/>
    <w:rsid w:val="001051D2"/>
    <w:rsid w:val="001114B6"/>
    <w:rsid w:val="001146CF"/>
    <w:rsid w:val="00114B61"/>
    <w:rsid w:val="00114F1C"/>
    <w:rsid w:val="001166E6"/>
    <w:rsid w:val="001167B2"/>
    <w:rsid w:val="001173E0"/>
    <w:rsid w:val="001201E5"/>
    <w:rsid w:val="00121BBA"/>
    <w:rsid w:val="0012288B"/>
    <w:rsid w:val="0012314A"/>
    <w:rsid w:val="0012363C"/>
    <w:rsid w:val="001237BA"/>
    <w:rsid w:val="001251C7"/>
    <w:rsid w:val="00125621"/>
    <w:rsid w:val="0013579F"/>
    <w:rsid w:val="00135A06"/>
    <w:rsid w:val="0013717B"/>
    <w:rsid w:val="00137240"/>
    <w:rsid w:val="0013789E"/>
    <w:rsid w:val="00140B20"/>
    <w:rsid w:val="001428B2"/>
    <w:rsid w:val="00143130"/>
    <w:rsid w:val="001448FD"/>
    <w:rsid w:val="00147D29"/>
    <w:rsid w:val="00151C47"/>
    <w:rsid w:val="00151DC5"/>
    <w:rsid w:val="001542B7"/>
    <w:rsid w:val="00154AB1"/>
    <w:rsid w:val="00154C6F"/>
    <w:rsid w:val="0016059D"/>
    <w:rsid w:val="00160B43"/>
    <w:rsid w:val="00160F5C"/>
    <w:rsid w:val="00165B9B"/>
    <w:rsid w:val="00166B4A"/>
    <w:rsid w:val="00171775"/>
    <w:rsid w:val="00172BA3"/>
    <w:rsid w:val="00174655"/>
    <w:rsid w:val="00174F40"/>
    <w:rsid w:val="00175BA1"/>
    <w:rsid w:val="0018015A"/>
    <w:rsid w:val="001834F5"/>
    <w:rsid w:val="0018701E"/>
    <w:rsid w:val="00187902"/>
    <w:rsid w:val="00190708"/>
    <w:rsid w:val="00193630"/>
    <w:rsid w:val="001937CD"/>
    <w:rsid w:val="00195386"/>
    <w:rsid w:val="00197F7C"/>
    <w:rsid w:val="001A1047"/>
    <w:rsid w:val="001B1222"/>
    <w:rsid w:val="001B2CA8"/>
    <w:rsid w:val="001B4731"/>
    <w:rsid w:val="001B4F4E"/>
    <w:rsid w:val="001B5C7A"/>
    <w:rsid w:val="001C1C65"/>
    <w:rsid w:val="001C2C54"/>
    <w:rsid w:val="001C32B2"/>
    <w:rsid w:val="001C5B40"/>
    <w:rsid w:val="001C784F"/>
    <w:rsid w:val="001D0D68"/>
    <w:rsid w:val="001E02BD"/>
    <w:rsid w:val="001E02EF"/>
    <w:rsid w:val="001E03C0"/>
    <w:rsid w:val="001E1D76"/>
    <w:rsid w:val="001E3915"/>
    <w:rsid w:val="001E3C26"/>
    <w:rsid w:val="001E3E6D"/>
    <w:rsid w:val="001E4704"/>
    <w:rsid w:val="001E4FD5"/>
    <w:rsid w:val="001E626A"/>
    <w:rsid w:val="001E6E99"/>
    <w:rsid w:val="001E796F"/>
    <w:rsid w:val="001E7BBE"/>
    <w:rsid w:val="001F012A"/>
    <w:rsid w:val="001F06B9"/>
    <w:rsid w:val="001F089C"/>
    <w:rsid w:val="001F0AF8"/>
    <w:rsid w:val="001F2B6C"/>
    <w:rsid w:val="001F393F"/>
    <w:rsid w:val="001F4064"/>
    <w:rsid w:val="001F41CB"/>
    <w:rsid w:val="001F6564"/>
    <w:rsid w:val="00200090"/>
    <w:rsid w:val="00204106"/>
    <w:rsid w:val="002047AC"/>
    <w:rsid w:val="00205E66"/>
    <w:rsid w:val="002067BD"/>
    <w:rsid w:val="00206965"/>
    <w:rsid w:val="002102F0"/>
    <w:rsid w:val="0021196D"/>
    <w:rsid w:val="00212CDB"/>
    <w:rsid w:val="002144A3"/>
    <w:rsid w:val="002147DE"/>
    <w:rsid w:val="0021729A"/>
    <w:rsid w:val="00217F40"/>
    <w:rsid w:val="00220F22"/>
    <w:rsid w:val="002237FF"/>
    <w:rsid w:val="002261D5"/>
    <w:rsid w:val="0022688C"/>
    <w:rsid w:val="002361D3"/>
    <w:rsid w:val="00236243"/>
    <w:rsid w:val="00242385"/>
    <w:rsid w:val="00243891"/>
    <w:rsid w:val="00243FCE"/>
    <w:rsid w:val="00244B07"/>
    <w:rsid w:val="00245644"/>
    <w:rsid w:val="00245E7A"/>
    <w:rsid w:val="00247D6F"/>
    <w:rsid w:val="00247E99"/>
    <w:rsid w:val="00251722"/>
    <w:rsid w:val="00251E5A"/>
    <w:rsid w:val="00251FE7"/>
    <w:rsid w:val="002523D7"/>
    <w:rsid w:val="00253117"/>
    <w:rsid w:val="00255A73"/>
    <w:rsid w:val="0025620E"/>
    <w:rsid w:val="00256AE8"/>
    <w:rsid w:val="0026006B"/>
    <w:rsid w:val="00260F5A"/>
    <w:rsid w:val="00263CEB"/>
    <w:rsid w:val="0026529E"/>
    <w:rsid w:val="002675F4"/>
    <w:rsid w:val="00272727"/>
    <w:rsid w:val="002730AB"/>
    <w:rsid w:val="00273D4B"/>
    <w:rsid w:val="00274CEF"/>
    <w:rsid w:val="0027668D"/>
    <w:rsid w:val="00280047"/>
    <w:rsid w:val="00280A6B"/>
    <w:rsid w:val="00280FFF"/>
    <w:rsid w:val="00287C5F"/>
    <w:rsid w:val="00290788"/>
    <w:rsid w:val="002914B8"/>
    <w:rsid w:val="00297048"/>
    <w:rsid w:val="00297F1A"/>
    <w:rsid w:val="00297FFC"/>
    <w:rsid w:val="002A1A91"/>
    <w:rsid w:val="002A2389"/>
    <w:rsid w:val="002A3320"/>
    <w:rsid w:val="002A33A2"/>
    <w:rsid w:val="002A45E0"/>
    <w:rsid w:val="002B100D"/>
    <w:rsid w:val="002B1E4F"/>
    <w:rsid w:val="002B4701"/>
    <w:rsid w:val="002B6FAF"/>
    <w:rsid w:val="002B72DE"/>
    <w:rsid w:val="002C1DAD"/>
    <w:rsid w:val="002C463A"/>
    <w:rsid w:val="002C6535"/>
    <w:rsid w:val="002C66F4"/>
    <w:rsid w:val="002C6A92"/>
    <w:rsid w:val="002D089D"/>
    <w:rsid w:val="002D113F"/>
    <w:rsid w:val="002D1A8F"/>
    <w:rsid w:val="002D227F"/>
    <w:rsid w:val="002D25DC"/>
    <w:rsid w:val="002D27AA"/>
    <w:rsid w:val="002D2955"/>
    <w:rsid w:val="002D49DC"/>
    <w:rsid w:val="002D4CC2"/>
    <w:rsid w:val="002D5C4A"/>
    <w:rsid w:val="002D69F9"/>
    <w:rsid w:val="002D78FA"/>
    <w:rsid w:val="002D7958"/>
    <w:rsid w:val="002D7B87"/>
    <w:rsid w:val="002D7FB6"/>
    <w:rsid w:val="002E05DB"/>
    <w:rsid w:val="002E443A"/>
    <w:rsid w:val="002E5C61"/>
    <w:rsid w:val="002E636C"/>
    <w:rsid w:val="002E63B3"/>
    <w:rsid w:val="002E6AA6"/>
    <w:rsid w:val="002E7758"/>
    <w:rsid w:val="002F05A0"/>
    <w:rsid w:val="002F0793"/>
    <w:rsid w:val="002F6E1A"/>
    <w:rsid w:val="00303319"/>
    <w:rsid w:val="003034C2"/>
    <w:rsid w:val="0030766E"/>
    <w:rsid w:val="0031297B"/>
    <w:rsid w:val="003148DA"/>
    <w:rsid w:val="00314F97"/>
    <w:rsid w:val="00316A49"/>
    <w:rsid w:val="00322DEC"/>
    <w:rsid w:val="00322E6F"/>
    <w:rsid w:val="00323BD8"/>
    <w:rsid w:val="0032418A"/>
    <w:rsid w:val="00324AC2"/>
    <w:rsid w:val="00325C6A"/>
    <w:rsid w:val="0033082E"/>
    <w:rsid w:val="00331977"/>
    <w:rsid w:val="00331DF1"/>
    <w:rsid w:val="003367D8"/>
    <w:rsid w:val="00336EB6"/>
    <w:rsid w:val="00343AC7"/>
    <w:rsid w:val="00343C43"/>
    <w:rsid w:val="00345ECA"/>
    <w:rsid w:val="00346F79"/>
    <w:rsid w:val="00350386"/>
    <w:rsid w:val="0035132A"/>
    <w:rsid w:val="0035263D"/>
    <w:rsid w:val="00353A9E"/>
    <w:rsid w:val="00356281"/>
    <w:rsid w:val="0035665B"/>
    <w:rsid w:val="00360DBA"/>
    <w:rsid w:val="003621A9"/>
    <w:rsid w:val="003621E5"/>
    <w:rsid w:val="00362830"/>
    <w:rsid w:val="00362CDA"/>
    <w:rsid w:val="0036307F"/>
    <w:rsid w:val="00365595"/>
    <w:rsid w:val="003658EE"/>
    <w:rsid w:val="003665F8"/>
    <w:rsid w:val="00366DB5"/>
    <w:rsid w:val="00373F94"/>
    <w:rsid w:val="003756A5"/>
    <w:rsid w:val="003774D3"/>
    <w:rsid w:val="00377F28"/>
    <w:rsid w:val="00380ADB"/>
    <w:rsid w:val="003820A3"/>
    <w:rsid w:val="00383334"/>
    <w:rsid w:val="00386744"/>
    <w:rsid w:val="00386F32"/>
    <w:rsid w:val="00387916"/>
    <w:rsid w:val="0039194F"/>
    <w:rsid w:val="00391FC6"/>
    <w:rsid w:val="00393D80"/>
    <w:rsid w:val="00394242"/>
    <w:rsid w:val="003953CD"/>
    <w:rsid w:val="003A0B50"/>
    <w:rsid w:val="003A1839"/>
    <w:rsid w:val="003A1CCF"/>
    <w:rsid w:val="003A1F0B"/>
    <w:rsid w:val="003A3ECB"/>
    <w:rsid w:val="003A4BA0"/>
    <w:rsid w:val="003A4BE0"/>
    <w:rsid w:val="003A4E6B"/>
    <w:rsid w:val="003A52FE"/>
    <w:rsid w:val="003A57AD"/>
    <w:rsid w:val="003A6E58"/>
    <w:rsid w:val="003A70A0"/>
    <w:rsid w:val="003B10C7"/>
    <w:rsid w:val="003B28C2"/>
    <w:rsid w:val="003B30D3"/>
    <w:rsid w:val="003B34FC"/>
    <w:rsid w:val="003B444C"/>
    <w:rsid w:val="003C2AF9"/>
    <w:rsid w:val="003C37CA"/>
    <w:rsid w:val="003C5117"/>
    <w:rsid w:val="003C5840"/>
    <w:rsid w:val="003C62DB"/>
    <w:rsid w:val="003C78E6"/>
    <w:rsid w:val="003D0A24"/>
    <w:rsid w:val="003D0ED1"/>
    <w:rsid w:val="003D25D7"/>
    <w:rsid w:val="003D4145"/>
    <w:rsid w:val="003D47D5"/>
    <w:rsid w:val="003D5418"/>
    <w:rsid w:val="003D6C31"/>
    <w:rsid w:val="003E01FE"/>
    <w:rsid w:val="003E2622"/>
    <w:rsid w:val="003E28F7"/>
    <w:rsid w:val="003E2A10"/>
    <w:rsid w:val="003E4712"/>
    <w:rsid w:val="003E55F8"/>
    <w:rsid w:val="003E62D2"/>
    <w:rsid w:val="003F0115"/>
    <w:rsid w:val="003F0227"/>
    <w:rsid w:val="003F14B5"/>
    <w:rsid w:val="003F4BFA"/>
    <w:rsid w:val="003F54B7"/>
    <w:rsid w:val="003F5D8F"/>
    <w:rsid w:val="003F5DF4"/>
    <w:rsid w:val="004005F0"/>
    <w:rsid w:val="00401523"/>
    <w:rsid w:val="00402105"/>
    <w:rsid w:val="004038AD"/>
    <w:rsid w:val="004042CA"/>
    <w:rsid w:val="00410F9A"/>
    <w:rsid w:val="004144D5"/>
    <w:rsid w:val="004173EC"/>
    <w:rsid w:val="00423D96"/>
    <w:rsid w:val="004274C4"/>
    <w:rsid w:val="004305E1"/>
    <w:rsid w:val="00432A31"/>
    <w:rsid w:val="00433324"/>
    <w:rsid w:val="00433548"/>
    <w:rsid w:val="00433E14"/>
    <w:rsid w:val="00434BB3"/>
    <w:rsid w:val="00435946"/>
    <w:rsid w:val="004362AA"/>
    <w:rsid w:val="004368E3"/>
    <w:rsid w:val="00436D67"/>
    <w:rsid w:val="004371D9"/>
    <w:rsid w:val="00441817"/>
    <w:rsid w:val="00442A67"/>
    <w:rsid w:val="004462BA"/>
    <w:rsid w:val="00446BCB"/>
    <w:rsid w:val="00450FD3"/>
    <w:rsid w:val="00452463"/>
    <w:rsid w:val="004528E6"/>
    <w:rsid w:val="00453C48"/>
    <w:rsid w:val="00454CFA"/>
    <w:rsid w:val="004551E2"/>
    <w:rsid w:val="00464799"/>
    <w:rsid w:val="00471D23"/>
    <w:rsid w:val="00472661"/>
    <w:rsid w:val="004734D4"/>
    <w:rsid w:val="00473B6E"/>
    <w:rsid w:val="00473E68"/>
    <w:rsid w:val="004740C6"/>
    <w:rsid w:val="00475E96"/>
    <w:rsid w:val="0047704C"/>
    <w:rsid w:val="004775B8"/>
    <w:rsid w:val="00477DD1"/>
    <w:rsid w:val="00481233"/>
    <w:rsid w:val="00481CEC"/>
    <w:rsid w:val="00482CC0"/>
    <w:rsid w:val="00485119"/>
    <w:rsid w:val="004857F9"/>
    <w:rsid w:val="004864E2"/>
    <w:rsid w:val="00487128"/>
    <w:rsid w:val="00493ED1"/>
    <w:rsid w:val="004A32C9"/>
    <w:rsid w:val="004A3EEC"/>
    <w:rsid w:val="004A5D7C"/>
    <w:rsid w:val="004A5E4A"/>
    <w:rsid w:val="004A6555"/>
    <w:rsid w:val="004A7803"/>
    <w:rsid w:val="004B03AB"/>
    <w:rsid w:val="004B1E69"/>
    <w:rsid w:val="004B6A09"/>
    <w:rsid w:val="004B6D91"/>
    <w:rsid w:val="004C0983"/>
    <w:rsid w:val="004C2A4A"/>
    <w:rsid w:val="004C5DBD"/>
    <w:rsid w:val="004C7C1C"/>
    <w:rsid w:val="004D100A"/>
    <w:rsid w:val="004D262E"/>
    <w:rsid w:val="004D2863"/>
    <w:rsid w:val="004D75D3"/>
    <w:rsid w:val="004E03A9"/>
    <w:rsid w:val="004E33EC"/>
    <w:rsid w:val="004E36F0"/>
    <w:rsid w:val="004E4172"/>
    <w:rsid w:val="004E4520"/>
    <w:rsid w:val="004E4F4C"/>
    <w:rsid w:val="004F07D6"/>
    <w:rsid w:val="004F4651"/>
    <w:rsid w:val="004F4A5C"/>
    <w:rsid w:val="004F65E9"/>
    <w:rsid w:val="004F7101"/>
    <w:rsid w:val="004F7974"/>
    <w:rsid w:val="00501538"/>
    <w:rsid w:val="00501AC7"/>
    <w:rsid w:val="00502E97"/>
    <w:rsid w:val="005036FC"/>
    <w:rsid w:val="00503B57"/>
    <w:rsid w:val="00505C2E"/>
    <w:rsid w:val="00506850"/>
    <w:rsid w:val="005103B8"/>
    <w:rsid w:val="00511858"/>
    <w:rsid w:val="00511A6E"/>
    <w:rsid w:val="005129CF"/>
    <w:rsid w:val="00512D27"/>
    <w:rsid w:val="00514BA9"/>
    <w:rsid w:val="005163C8"/>
    <w:rsid w:val="0051769F"/>
    <w:rsid w:val="005202A7"/>
    <w:rsid w:val="0052366C"/>
    <w:rsid w:val="005239CD"/>
    <w:rsid w:val="00523C3F"/>
    <w:rsid w:val="005244A3"/>
    <w:rsid w:val="00525B6E"/>
    <w:rsid w:val="0052644E"/>
    <w:rsid w:val="00531F55"/>
    <w:rsid w:val="00532071"/>
    <w:rsid w:val="00533304"/>
    <w:rsid w:val="00533D63"/>
    <w:rsid w:val="0053419F"/>
    <w:rsid w:val="00534C93"/>
    <w:rsid w:val="0053524E"/>
    <w:rsid w:val="00537878"/>
    <w:rsid w:val="00537DFF"/>
    <w:rsid w:val="00540205"/>
    <w:rsid w:val="0054067D"/>
    <w:rsid w:val="0054284D"/>
    <w:rsid w:val="00543510"/>
    <w:rsid w:val="005436F4"/>
    <w:rsid w:val="00544C90"/>
    <w:rsid w:val="00546CBC"/>
    <w:rsid w:val="00551E56"/>
    <w:rsid w:val="00552D19"/>
    <w:rsid w:val="005554F2"/>
    <w:rsid w:val="00556434"/>
    <w:rsid w:val="005577C0"/>
    <w:rsid w:val="005610AE"/>
    <w:rsid w:val="00561A10"/>
    <w:rsid w:val="00562B5E"/>
    <w:rsid w:val="005647CB"/>
    <w:rsid w:val="005706F8"/>
    <w:rsid w:val="0057157D"/>
    <w:rsid w:val="00573F78"/>
    <w:rsid w:val="0057459B"/>
    <w:rsid w:val="00576296"/>
    <w:rsid w:val="00580C3E"/>
    <w:rsid w:val="00580F14"/>
    <w:rsid w:val="0058116E"/>
    <w:rsid w:val="00581902"/>
    <w:rsid w:val="005846AB"/>
    <w:rsid w:val="00586FA9"/>
    <w:rsid w:val="00587248"/>
    <w:rsid w:val="005900F8"/>
    <w:rsid w:val="00592270"/>
    <w:rsid w:val="00594F0F"/>
    <w:rsid w:val="005A05D6"/>
    <w:rsid w:val="005A0A0B"/>
    <w:rsid w:val="005A38BC"/>
    <w:rsid w:val="005A4734"/>
    <w:rsid w:val="005A65B0"/>
    <w:rsid w:val="005A743F"/>
    <w:rsid w:val="005B0405"/>
    <w:rsid w:val="005B05E5"/>
    <w:rsid w:val="005B1825"/>
    <w:rsid w:val="005B2213"/>
    <w:rsid w:val="005B2727"/>
    <w:rsid w:val="005C1C50"/>
    <w:rsid w:val="005C615C"/>
    <w:rsid w:val="005C653A"/>
    <w:rsid w:val="005C673A"/>
    <w:rsid w:val="005C708F"/>
    <w:rsid w:val="005D037B"/>
    <w:rsid w:val="005D1999"/>
    <w:rsid w:val="005D4084"/>
    <w:rsid w:val="005D6585"/>
    <w:rsid w:val="005E0432"/>
    <w:rsid w:val="005E063A"/>
    <w:rsid w:val="005E253C"/>
    <w:rsid w:val="005E28C7"/>
    <w:rsid w:val="005E3AE4"/>
    <w:rsid w:val="005E52C3"/>
    <w:rsid w:val="005E702D"/>
    <w:rsid w:val="005F13AC"/>
    <w:rsid w:val="005F2DC9"/>
    <w:rsid w:val="005F3559"/>
    <w:rsid w:val="005F3E65"/>
    <w:rsid w:val="005F514E"/>
    <w:rsid w:val="005F7EDF"/>
    <w:rsid w:val="00601053"/>
    <w:rsid w:val="00601409"/>
    <w:rsid w:val="00602A8B"/>
    <w:rsid w:val="00603F40"/>
    <w:rsid w:val="006053C7"/>
    <w:rsid w:val="00605B90"/>
    <w:rsid w:val="00613535"/>
    <w:rsid w:val="00615EF9"/>
    <w:rsid w:val="00617FF5"/>
    <w:rsid w:val="00621DE7"/>
    <w:rsid w:val="00622385"/>
    <w:rsid w:val="00622713"/>
    <w:rsid w:val="00623810"/>
    <w:rsid w:val="00623AF5"/>
    <w:rsid w:val="00624E3E"/>
    <w:rsid w:val="0062578D"/>
    <w:rsid w:val="006314B2"/>
    <w:rsid w:val="0063265A"/>
    <w:rsid w:val="00637C6D"/>
    <w:rsid w:val="00640B0D"/>
    <w:rsid w:val="006411CF"/>
    <w:rsid w:val="0064166A"/>
    <w:rsid w:val="0064425D"/>
    <w:rsid w:val="00644878"/>
    <w:rsid w:val="00645392"/>
    <w:rsid w:val="0064595D"/>
    <w:rsid w:val="0064729F"/>
    <w:rsid w:val="00650DAC"/>
    <w:rsid w:val="00650F9F"/>
    <w:rsid w:val="006535BE"/>
    <w:rsid w:val="006536D7"/>
    <w:rsid w:val="00653D6B"/>
    <w:rsid w:val="006563AC"/>
    <w:rsid w:val="006578E6"/>
    <w:rsid w:val="00660CF8"/>
    <w:rsid w:val="00660FDC"/>
    <w:rsid w:val="00663133"/>
    <w:rsid w:val="00664DDD"/>
    <w:rsid w:val="00666F58"/>
    <w:rsid w:val="006671DA"/>
    <w:rsid w:val="00670E1D"/>
    <w:rsid w:val="00670F1F"/>
    <w:rsid w:val="00677127"/>
    <w:rsid w:val="0068053F"/>
    <w:rsid w:val="00680F0C"/>
    <w:rsid w:val="00682324"/>
    <w:rsid w:val="0068295D"/>
    <w:rsid w:val="00683E2F"/>
    <w:rsid w:val="00685996"/>
    <w:rsid w:val="00690DA6"/>
    <w:rsid w:val="006915A2"/>
    <w:rsid w:val="0069276A"/>
    <w:rsid w:val="00694EFE"/>
    <w:rsid w:val="006957EF"/>
    <w:rsid w:val="0069591B"/>
    <w:rsid w:val="006961F2"/>
    <w:rsid w:val="006966BD"/>
    <w:rsid w:val="006A195C"/>
    <w:rsid w:val="006A1C48"/>
    <w:rsid w:val="006A2164"/>
    <w:rsid w:val="006A3B65"/>
    <w:rsid w:val="006A434A"/>
    <w:rsid w:val="006A7BAF"/>
    <w:rsid w:val="006B1E91"/>
    <w:rsid w:val="006B2374"/>
    <w:rsid w:val="006B3B23"/>
    <w:rsid w:val="006B7056"/>
    <w:rsid w:val="006B75C3"/>
    <w:rsid w:val="006C1684"/>
    <w:rsid w:val="006C2582"/>
    <w:rsid w:val="006C618B"/>
    <w:rsid w:val="006C7F58"/>
    <w:rsid w:val="006D0282"/>
    <w:rsid w:val="006D06DA"/>
    <w:rsid w:val="006D337F"/>
    <w:rsid w:val="006D3469"/>
    <w:rsid w:val="006D47C1"/>
    <w:rsid w:val="006D5A9A"/>
    <w:rsid w:val="006D68A6"/>
    <w:rsid w:val="006D6F72"/>
    <w:rsid w:val="006E0EEB"/>
    <w:rsid w:val="006E17CF"/>
    <w:rsid w:val="006E1DE0"/>
    <w:rsid w:val="006E23AD"/>
    <w:rsid w:val="006E400E"/>
    <w:rsid w:val="006E51D2"/>
    <w:rsid w:val="006E547E"/>
    <w:rsid w:val="006E56BA"/>
    <w:rsid w:val="006E5C03"/>
    <w:rsid w:val="006E60C1"/>
    <w:rsid w:val="006F1293"/>
    <w:rsid w:val="006F34B8"/>
    <w:rsid w:val="006F466A"/>
    <w:rsid w:val="006F49E6"/>
    <w:rsid w:val="006F7181"/>
    <w:rsid w:val="006F72C7"/>
    <w:rsid w:val="00700017"/>
    <w:rsid w:val="007032E3"/>
    <w:rsid w:val="00705572"/>
    <w:rsid w:val="00705703"/>
    <w:rsid w:val="00707236"/>
    <w:rsid w:val="00707A02"/>
    <w:rsid w:val="00710011"/>
    <w:rsid w:val="00713029"/>
    <w:rsid w:val="0071406E"/>
    <w:rsid w:val="0071443D"/>
    <w:rsid w:val="00716105"/>
    <w:rsid w:val="00722064"/>
    <w:rsid w:val="00726B60"/>
    <w:rsid w:val="00727AEB"/>
    <w:rsid w:val="00730ED8"/>
    <w:rsid w:val="00733F6C"/>
    <w:rsid w:val="00734B9F"/>
    <w:rsid w:val="007352D7"/>
    <w:rsid w:val="007379F4"/>
    <w:rsid w:val="00737DB3"/>
    <w:rsid w:val="0074034C"/>
    <w:rsid w:val="007411AD"/>
    <w:rsid w:val="00742BEE"/>
    <w:rsid w:val="0074443D"/>
    <w:rsid w:val="00744891"/>
    <w:rsid w:val="00745587"/>
    <w:rsid w:val="00746169"/>
    <w:rsid w:val="007518B4"/>
    <w:rsid w:val="00753920"/>
    <w:rsid w:val="0075650F"/>
    <w:rsid w:val="00761D65"/>
    <w:rsid w:val="00763A8E"/>
    <w:rsid w:val="007643C2"/>
    <w:rsid w:val="00765A04"/>
    <w:rsid w:val="00765BA6"/>
    <w:rsid w:val="00767BB2"/>
    <w:rsid w:val="00767F03"/>
    <w:rsid w:val="00770B8F"/>
    <w:rsid w:val="007750A6"/>
    <w:rsid w:val="007767A3"/>
    <w:rsid w:val="00780EFF"/>
    <w:rsid w:val="00781431"/>
    <w:rsid w:val="00781781"/>
    <w:rsid w:val="007817D8"/>
    <w:rsid w:val="007854DE"/>
    <w:rsid w:val="00786ED5"/>
    <w:rsid w:val="00790CCD"/>
    <w:rsid w:val="00791766"/>
    <w:rsid w:val="00792B5A"/>
    <w:rsid w:val="00792E4A"/>
    <w:rsid w:val="00792EF3"/>
    <w:rsid w:val="00795392"/>
    <w:rsid w:val="007A3AEF"/>
    <w:rsid w:val="007A5755"/>
    <w:rsid w:val="007A6633"/>
    <w:rsid w:val="007A74B7"/>
    <w:rsid w:val="007B18CC"/>
    <w:rsid w:val="007B1958"/>
    <w:rsid w:val="007B4F46"/>
    <w:rsid w:val="007B5FB7"/>
    <w:rsid w:val="007C12BD"/>
    <w:rsid w:val="007C3EEF"/>
    <w:rsid w:val="007D1250"/>
    <w:rsid w:val="007D2F7A"/>
    <w:rsid w:val="007D3801"/>
    <w:rsid w:val="007D3D6A"/>
    <w:rsid w:val="007D51C7"/>
    <w:rsid w:val="007E02B3"/>
    <w:rsid w:val="007E04C4"/>
    <w:rsid w:val="007E19D7"/>
    <w:rsid w:val="007E25B0"/>
    <w:rsid w:val="007E3992"/>
    <w:rsid w:val="007E42D8"/>
    <w:rsid w:val="007E59FC"/>
    <w:rsid w:val="007E6281"/>
    <w:rsid w:val="007E6533"/>
    <w:rsid w:val="007E71D0"/>
    <w:rsid w:val="007E7C26"/>
    <w:rsid w:val="007F06F6"/>
    <w:rsid w:val="007F2A8B"/>
    <w:rsid w:val="007F33EF"/>
    <w:rsid w:val="007F34C9"/>
    <w:rsid w:val="007F4220"/>
    <w:rsid w:val="007F44A0"/>
    <w:rsid w:val="007F499C"/>
    <w:rsid w:val="007F4F39"/>
    <w:rsid w:val="007F7622"/>
    <w:rsid w:val="0080283B"/>
    <w:rsid w:val="00802E77"/>
    <w:rsid w:val="008047ED"/>
    <w:rsid w:val="008052DB"/>
    <w:rsid w:val="008069C4"/>
    <w:rsid w:val="0081010E"/>
    <w:rsid w:val="008113F0"/>
    <w:rsid w:val="00811B5F"/>
    <w:rsid w:val="00811B62"/>
    <w:rsid w:val="00811D87"/>
    <w:rsid w:val="0081419B"/>
    <w:rsid w:val="00814460"/>
    <w:rsid w:val="00814F6A"/>
    <w:rsid w:val="00822EDE"/>
    <w:rsid w:val="008247DA"/>
    <w:rsid w:val="00826794"/>
    <w:rsid w:val="00827335"/>
    <w:rsid w:val="008309A0"/>
    <w:rsid w:val="0083152E"/>
    <w:rsid w:val="00832A4E"/>
    <w:rsid w:val="00832B10"/>
    <w:rsid w:val="00833ED3"/>
    <w:rsid w:val="00835E9D"/>
    <w:rsid w:val="0083745B"/>
    <w:rsid w:val="00840E78"/>
    <w:rsid w:val="00841648"/>
    <w:rsid w:val="00843A91"/>
    <w:rsid w:val="00847167"/>
    <w:rsid w:val="0084747F"/>
    <w:rsid w:val="00852749"/>
    <w:rsid w:val="00852981"/>
    <w:rsid w:val="00860361"/>
    <w:rsid w:val="008621E2"/>
    <w:rsid w:val="008622D0"/>
    <w:rsid w:val="008624A0"/>
    <w:rsid w:val="00862EFB"/>
    <w:rsid w:val="0086374E"/>
    <w:rsid w:val="008641F4"/>
    <w:rsid w:val="00864C5F"/>
    <w:rsid w:val="00865091"/>
    <w:rsid w:val="0086521B"/>
    <w:rsid w:val="00866955"/>
    <w:rsid w:val="008704E6"/>
    <w:rsid w:val="008757BF"/>
    <w:rsid w:val="00882EF1"/>
    <w:rsid w:val="008832E0"/>
    <w:rsid w:val="00883E6A"/>
    <w:rsid w:val="0088408C"/>
    <w:rsid w:val="008879D7"/>
    <w:rsid w:val="008907D5"/>
    <w:rsid w:val="00890CE7"/>
    <w:rsid w:val="008A18EE"/>
    <w:rsid w:val="008A2266"/>
    <w:rsid w:val="008A405A"/>
    <w:rsid w:val="008A40EB"/>
    <w:rsid w:val="008A434B"/>
    <w:rsid w:val="008A6AE3"/>
    <w:rsid w:val="008B6D6E"/>
    <w:rsid w:val="008C1F57"/>
    <w:rsid w:val="008C2BEC"/>
    <w:rsid w:val="008C4E30"/>
    <w:rsid w:val="008C52E7"/>
    <w:rsid w:val="008C555E"/>
    <w:rsid w:val="008C5A26"/>
    <w:rsid w:val="008C6A18"/>
    <w:rsid w:val="008D407B"/>
    <w:rsid w:val="008D49B3"/>
    <w:rsid w:val="008D4E6A"/>
    <w:rsid w:val="008D6B6F"/>
    <w:rsid w:val="008E04FF"/>
    <w:rsid w:val="008E2914"/>
    <w:rsid w:val="008F1589"/>
    <w:rsid w:val="008F18CF"/>
    <w:rsid w:val="008F27F1"/>
    <w:rsid w:val="008F4BDA"/>
    <w:rsid w:val="00902709"/>
    <w:rsid w:val="00903425"/>
    <w:rsid w:val="00904E4A"/>
    <w:rsid w:val="009054B5"/>
    <w:rsid w:val="00905C1C"/>
    <w:rsid w:val="0090777A"/>
    <w:rsid w:val="00910ECA"/>
    <w:rsid w:val="0091167E"/>
    <w:rsid w:val="00911BE3"/>
    <w:rsid w:val="00916463"/>
    <w:rsid w:val="009211DB"/>
    <w:rsid w:val="00921BC5"/>
    <w:rsid w:val="0092264E"/>
    <w:rsid w:val="00924173"/>
    <w:rsid w:val="0092681F"/>
    <w:rsid w:val="0092757F"/>
    <w:rsid w:val="00931D3F"/>
    <w:rsid w:val="009339FD"/>
    <w:rsid w:val="0093521E"/>
    <w:rsid w:val="0093608E"/>
    <w:rsid w:val="00936D1C"/>
    <w:rsid w:val="00937F78"/>
    <w:rsid w:val="0094020F"/>
    <w:rsid w:val="009415C8"/>
    <w:rsid w:val="0094481D"/>
    <w:rsid w:val="00944841"/>
    <w:rsid w:val="009461D8"/>
    <w:rsid w:val="009474EF"/>
    <w:rsid w:val="00950F05"/>
    <w:rsid w:val="00951922"/>
    <w:rsid w:val="00951ACC"/>
    <w:rsid w:val="00953133"/>
    <w:rsid w:val="0095377B"/>
    <w:rsid w:val="00956992"/>
    <w:rsid w:val="00957AAA"/>
    <w:rsid w:val="00960BF8"/>
    <w:rsid w:val="0096212D"/>
    <w:rsid w:val="00962E3D"/>
    <w:rsid w:val="00963EC8"/>
    <w:rsid w:val="00966905"/>
    <w:rsid w:val="009672D9"/>
    <w:rsid w:val="009708F5"/>
    <w:rsid w:val="009716E6"/>
    <w:rsid w:val="0097632E"/>
    <w:rsid w:val="00977C5E"/>
    <w:rsid w:val="00980B29"/>
    <w:rsid w:val="0098112A"/>
    <w:rsid w:val="009825BB"/>
    <w:rsid w:val="00984D50"/>
    <w:rsid w:val="00986592"/>
    <w:rsid w:val="00986700"/>
    <w:rsid w:val="00993B99"/>
    <w:rsid w:val="009946B9"/>
    <w:rsid w:val="00994C83"/>
    <w:rsid w:val="00994D06"/>
    <w:rsid w:val="00994F1C"/>
    <w:rsid w:val="0099539A"/>
    <w:rsid w:val="00997474"/>
    <w:rsid w:val="00997515"/>
    <w:rsid w:val="009A22C8"/>
    <w:rsid w:val="009A355D"/>
    <w:rsid w:val="009A35BF"/>
    <w:rsid w:val="009A36C5"/>
    <w:rsid w:val="009A5642"/>
    <w:rsid w:val="009B7039"/>
    <w:rsid w:val="009C1BD0"/>
    <w:rsid w:val="009C302D"/>
    <w:rsid w:val="009C3215"/>
    <w:rsid w:val="009C3EB6"/>
    <w:rsid w:val="009C788C"/>
    <w:rsid w:val="009D1E69"/>
    <w:rsid w:val="009D7E6D"/>
    <w:rsid w:val="009D7F6D"/>
    <w:rsid w:val="009E044D"/>
    <w:rsid w:val="009E3571"/>
    <w:rsid w:val="009E4776"/>
    <w:rsid w:val="009E4AE0"/>
    <w:rsid w:val="009E7031"/>
    <w:rsid w:val="009F1C79"/>
    <w:rsid w:val="009F4215"/>
    <w:rsid w:val="009F4E97"/>
    <w:rsid w:val="00A000D4"/>
    <w:rsid w:val="00A02463"/>
    <w:rsid w:val="00A06E0E"/>
    <w:rsid w:val="00A0716A"/>
    <w:rsid w:val="00A1167A"/>
    <w:rsid w:val="00A15BD7"/>
    <w:rsid w:val="00A1603E"/>
    <w:rsid w:val="00A17349"/>
    <w:rsid w:val="00A24FD2"/>
    <w:rsid w:val="00A27A77"/>
    <w:rsid w:val="00A31609"/>
    <w:rsid w:val="00A42B1A"/>
    <w:rsid w:val="00A44CFB"/>
    <w:rsid w:val="00A4641F"/>
    <w:rsid w:val="00A50296"/>
    <w:rsid w:val="00A50C91"/>
    <w:rsid w:val="00A537AF"/>
    <w:rsid w:val="00A5381F"/>
    <w:rsid w:val="00A53FED"/>
    <w:rsid w:val="00A5588B"/>
    <w:rsid w:val="00A55CB6"/>
    <w:rsid w:val="00A5635A"/>
    <w:rsid w:val="00A6030D"/>
    <w:rsid w:val="00A61416"/>
    <w:rsid w:val="00A6183D"/>
    <w:rsid w:val="00A63D10"/>
    <w:rsid w:val="00A64AC7"/>
    <w:rsid w:val="00A64D10"/>
    <w:rsid w:val="00A65864"/>
    <w:rsid w:val="00A67F31"/>
    <w:rsid w:val="00A70FB5"/>
    <w:rsid w:val="00A72958"/>
    <w:rsid w:val="00A7447F"/>
    <w:rsid w:val="00A80706"/>
    <w:rsid w:val="00A82A2D"/>
    <w:rsid w:val="00A83033"/>
    <w:rsid w:val="00A838A8"/>
    <w:rsid w:val="00A84595"/>
    <w:rsid w:val="00A870AD"/>
    <w:rsid w:val="00A91789"/>
    <w:rsid w:val="00A91824"/>
    <w:rsid w:val="00A919F6"/>
    <w:rsid w:val="00A91B4A"/>
    <w:rsid w:val="00AA1413"/>
    <w:rsid w:val="00AA2657"/>
    <w:rsid w:val="00AA7E04"/>
    <w:rsid w:val="00AB04DA"/>
    <w:rsid w:val="00AB1AA1"/>
    <w:rsid w:val="00AB2840"/>
    <w:rsid w:val="00AB2D7E"/>
    <w:rsid w:val="00AB553D"/>
    <w:rsid w:val="00AB57A6"/>
    <w:rsid w:val="00AB64D2"/>
    <w:rsid w:val="00AB6B23"/>
    <w:rsid w:val="00AC1031"/>
    <w:rsid w:val="00AC1309"/>
    <w:rsid w:val="00AC29CE"/>
    <w:rsid w:val="00AC30E6"/>
    <w:rsid w:val="00AC3E14"/>
    <w:rsid w:val="00AC6070"/>
    <w:rsid w:val="00AC6614"/>
    <w:rsid w:val="00AC74A0"/>
    <w:rsid w:val="00AD045D"/>
    <w:rsid w:val="00AD2834"/>
    <w:rsid w:val="00AD3DB1"/>
    <w:rsid w:val="00AD5A97"/>
    <w:rsid w:val="00AD5B10"/>
    <w:rsid w:val="00AD6D25"/>
    <w:rsid w:val="00AE3FBA"/>
    <w:rsid w:val="00AE407F"/>
    <w:rsid w:val="00AE69D4"/>
    <w:rsid w:val="00AF1207"/>
    <w:rsid w:val="00AF1D4A"/>
    <w:rsid w:val="00AF2924"/>
    <w:rsid w:val="00AF35AE"/>
    <w:rsid w:val="00AF3F12"/>
    <w:rsid w:val="00AF60BE"/>
    <w:rsid w:val="00AF6DA8"/>
    <w:rsid w:val="00AF73A3"/>
    <w:rsid w:val="00B0028B"/>
    <w:rsid w:val="00B005F7"/>
    <w:rsid w:val="00B01779"/>
    <w:rsid w:val="00B04AC8"/>
    <w:rsid w:val="00B071A6"/>
    <w:rsid w:val="00B1098C"/>
    <w:rsid w:val="00B138AD"/>
    <w:rsid w:val="00B16C29"/>
    <w:rsid w:val="00B16E2D"/>
    <w:rsid w:val="00B177F5"/>
    <w:rsid w:val="00B25B35"/>
    <w:rsid w:val="00B25FEA"/>
    <w:rsid w:val="00B26E34"/>
    <w:rsid w:val="00B27CED"/>
    <w:rsid w:val="00B31E50"/>
    <w:rsid w:val="00B323B6"/>
    <w:rsid w:val="00B32B29"/>
    <w:rsid w:val="00B332AA"/>
    <w:rsid w:val="00B33ADD"/>
    <w:rsid w:val="00B355CD"/>
    <w:rsid w:val="00B3597D"/>
    <w:rsid w:val="00B35BFB"/>
    <w:rsid w:val="00B429E1"/>
    <w:rsid w:val="00B43B00"/>
    <w:rsid w:val="00B43CC4"/>
    <w:rsid w:val="00B451A4"/>
    <w:rsid w:val="00B46C05"/>
    <w:rsid w:val="00B46E2A"/>
    <w:rsid w:val="00B50C65"/>
    <w:rsid w:val="00B5251F"/>
    <w:rsid w:val="00B548D5"/>
    <w:rsid w:val="00B54C71"/>
    <w:rsid w:val="00B559A4"/>
    <w:rsid w:val="00B55F79"/>
    <w:rsid w:val="00B57437"/>
    <w:rsid w:val="00B61383"/>
    <w:rsid w:val="00B61D62"/>
    <w:rsid w:val="00B629EC"/>
    <w:rsid w:val="00B701CC"/>
    <w:rsid w:val="00B73AB1"/>
    <w:rsid w:val="00B74751"/>
    <w:rsid w:val="00B76644"/>
    <w:rsid w:val="00B7706D"/>
    <w:rsid w:val="00B77EB0"/>
    <w:rsid w:val="00B81357"/>
    <w:rsid w:val="00B81EB4"/>
    <w:rsid w:val="00B8448E"/>
    <w:rsid w:val="00B84E20"/>
    <w:rsid w:val="00B855F7"/>
    <w:rsid w:val="00B9058C"/>
    <w:rsid w:val="00B93393"/>
    <w:rsid w:val="00BA03A1"/>
    <w:rsid w:val="00BA049F"/>
    <w:rsid w:val="00BA0702"/>
    <w:rsid w:val="00BA1225"/>
    <w:rsid w:val="00BA458A"/>
    <w:rsid w:val="00BA5818"/>
    <w:rsid w:val="00BA6652"/>
    <w:rsid w:val="00BA767C"/>
    <w:rsid w:val="00BB1055"/>
    <w:rsid w:val="00BB1188"/>
    <w:rsid w:val="00BB1C13"/>
    <w:rsid w:val="00BB265E"/>
    <w:rsid w:val="00BB4C8A"/>
    <w:rsid w:val="00BB5843"/>
    <w:rsid w:val="00BB691D"/>
    <w:rsid w:val="00BB6BF3"/>
    <w:rsid w:val="00BC08C6"/>
    <w:rsid w:val="00BC11F4"/>
    <w:rsid w:val="00BC21CD"/>
    <w:rsid w:val="00BC283B"/>
    <w:rsid w:val="00BC3593"/>
    <w:rsid w:val="00BC367B"/>
    <w:rsid w:val="00BD59A5"/>
    <w:rsid w:val="00BD77A2"/>
    <w:rsid w:val="00BD77BE"/>
    <w:rsid w:val="00BE16A4"/>
    <w:rsid w:val="00BE172D"/>
    <w:rsid w:val="00BE3694"/>
    <w:rsid w:val="00BE5D42"/>
    <w:rsid w:val="00BF0144"/>
    <w:rsid w:val="00BF0398"/>
    <w:rsid w:val="00BF17F3"/>
    <w:rsid w:val="00BF2DDB"/>
    <w:rsid w:val="00BF323C"/>
    <w:rsid w:val="00BF33F4"/>
    <w:rsid w:val="00BF467A"/>
    <w:rsid w:val="00BF48C7"/>
    <w:rsid w:val="00BF5924"/>
    <w:rsid w:val="00C005E9"/>
    <w:rsid w:val="00C023A7"/>
    <w:rsid w:val="00C03C8F"/>
    <w:rsid w:val="00C044DE"/>
    <w:rsid w:val="00C10030"/>
    <w:rsid w:val="00C10154"/>
    <w:rsid w:val="00C117C2"/>
    <w:rsid w:val="00C117D6"/>
    <w:rsid w:val="00C13597"/>
    <w:rsid w:val="00C15037"/>
    <w:rsid w:val="00C16F8A"/>
    <w:rsid w:val="00C20745"/>
    <w:rsid w:val="00C20EB4"/>
    <w:rsid w:val="00C2166C"/>
    <w:rsid w:val="00C23F10"/>
    <w:rsid w:val="00C2455C"/>
    <w:rsid w:val="00C25FD9"/>
    <w:rsid w:val="00C2686D"/>
    <w:rsid w:val="00C26B2B"/>
    <w:rsid w:val="00C279F1"/>
    <w:rsid w:val="00C27AA8"/>
    <w:rsid w:val="00C30474"/>
    <w:rsid w:val="00C30CE6"/>
    <w:rsid w:val="00C30D12"/>
    <w:rsid w:val="00C31A89"/>
    <w:rsid w:val="00C322B4"/>
    <w:rsid w:val="00C328DE"/>
    <w:rsid w:val="00C37768"/>
    <w:rsid w:val="00C4208F"/>
    <w:rsid w:val="00C4409E"/>
    <w:rsid w:val="00C4515D"/>
    <w:rsid w:val="00C45612"/>
    <w:rsid w:val="00C45B46"/>
    <w:rsid w:val="00C469FC"/>
    <w:rsid w:val="00C50816"/>
    <w:rsid w:val="00C55824"/>
    <w:rsid w:val="00C55A9B"/>
    <w:rsid w:val="00C56720"/>
    <w:rsid w:val="00C60398"/>
    <w:rsid w:val="00C613AD"/>
    <w:rsid w:val="00C65403"/>
    <w:rsid w:val="00C7007D"/>
    <w:rsid w:val="00C72FF3"/>
    <w:rsid w:val="00C741A8"/>
    <w:rsid w:val="00C7457C"/>
    <w:rsid w:val="00C75317"/>
    <w:rsid w:val="00C76B4B"/>
    <w:rsid w:val="00C77314"/>
    <w:rsid w:val="00C7753C"/>
    <w:rsid w:val="00C77BF0"/>
    <w:rsid w:val="00C8152F"/>
    <w:rsid w:val="00C843FF"/>
    <w:rsid w:val="00C85256"/>
    <w:rsid w:val="00C87114"/>
    <w:rsid w:val="00C93187"/>
    <w:rsid w:val="00C93239"/>
    <w:rsid w:val="00C93564"/>
    <w:rsid w:val="00C94042"/>
    <w:rsid w:val="00C95AC6"/>
    <w:rsid w:val="00C965DD"/>
    <w:rsid w:val="00C970C1"/>
    <w:rsid w:val="00C97315"/>
    <w:rsid w:val="00CA427F"/>
    <w:rsid w:val="00CA49D4"/>
    <w:rsid w:val="00CA7020"/>
    <w:rsid w:val="00CB12D6"/>
    <w:rsid w:val="00CB23D9"/>
    <w:rsid w:val="00CB4D63"/>
    <w:rsid w:val="00CB6A1F"/>
    <w:rsid w:val="00CC15EC"/>
    <w:rsid w:val="00CC2E6A"/>
    <w:rsid w:val="00CC397A"/>
    <w:rsid w:val="00CC49EB"/>
    <w:rsid w:val="00CC544D"/>
    <w:rsid w:val="00CC6464"/>
    <w:rsid w:val="00CC7217"/>
    <w:rsid w:val="00CD3986"/>
    <w:rsid w:val="00CD431A"/>
    <w:rsid w:val="00CD46E3"/>
    <w:rsid w:val="00CD4949"/>
    <w:rsid w:val="00CD765E"/>
    <w:rsid w:val="00CE2198"/>
    <w:rsid w:val="00CF0155"/>
    <w:rsid w:val="00CF03E3"/>
    <w:rsid w:val="00CF11C9"/>
    <w:rsid w:val="00CF1B9B"/>
    <w:rsid w:val="00CF5899"/>
    <w:rsid w:val="00CF6AC1"/>
    <w:rsid w:val="00CF6C72"/>
    <w:rsid w:val="00CF7060"/>
    <w:rsid w:val="00CF71CF"/>
    <w:rsid w:val="00CF781D"/>
    <w:rsid w:val="00CF7AED"/>
    <w:rsid w:val="00D0108C"/>
    <w:rsid w:val="00D042AB"/>
    <w:rsid w:val="00D04B77"/>
    <w:rsid w:val="00D06845"/>
    <w:rsid w:val="00D06F46"/>
    <w:rsid w:val="00D10893"/>
    <w:rsid w:val="00D10D94"/>
    <w:rsid w:val="00D11B4E"/>
    <w:rsid w:val="00D12689"/>
    <w:rsid w:val="00D20041"/>
    <w:rsid w:val="00D21C39"/>
    <w:rsid w:val="00D2273B"/>
    <w:rsid w:val="00D228B5"/>
    <w:rsid w:val="00D23457"/>
    <w:rsid w:val="00D25B96"/>
    <w:rsid w:val="00D339E8"/>
    <w:rsid w:val="00D36729"/>
    <w:rsid w:val="00D4186C"/>
    <w:rsid w:val="00D45671"/>
    <w:rsid w:val="00D45AC4"/>
    <w:rsid w:val="00D47AFF"/>
    <w:rsid w:val="00D500B4"/>
    <w:rsid w:val="00D5187B"/>
    <w:rsid w:val="00D5271E"/>
    <w:rsid w:val="00D531C8"/>
    <w:rsid w:val="00D53689"/>
    <w:rsid w:val="00D538EC"/>
    <w:rsid w:val="00D56944"/>
    <w:rsid w:val="00D56FAF"/>
    <w:rsid w:val="00D574D9"/>
    <w:rsid w:val="00D61963"/>
    <w:rsid w:val="00D630EE"/>
    <w:rsid w:val="00D6345A"/>
    <w:rsid w:val="00D63F6E"/>
    <w:rsid w:val="00D65323"/>
    <w:rsid w:val="00D65984"/>
    <w:rsid w:val="00D66079"/>
    <w:rsid w:val="00D6688C"/>
    <w:rsid w:val="00D7042B"/>
    <w:rsid w:val="00D71C08"/>
    <w:rsid w:val="00D8138B"/>
    <w:rsid w:val="00D81CB4"/>
    <w:rsid w:val="00D81D34"/>
    <w:rsid w:val="00D84966"/>
    <w:rsid w:val="00D85317"/>
    <w:rsid w:val="00D87ADD"/>
    <w:rsid w:val="00D9066B"/>
    <w:rsid w:val="00D92666"/>
    <w:rsid w:val="00D96D4C"/>
    <w:rsid w:val="00DA420C"/>
    <w:rsid w:val="00DA5522"/>
    <w:rsid w:val="00DA7664"/>
    <w:rsid w:val="00DB0B6D"/>
    <w:rsid w:val="00DB22DC"/>
    <w:rsid w:val="00DB56E7"/>
    <w:rsid w:val="00DB61CF"/>
    <w:rsid w:val="00DB6C54"/>
    <w:rsid w:val="00DC0906"/>
    <w:rsid w:val="00DC16E0"/>
    <w:rsid w:val="00DC1944"/>
    <w:rsid w:val="00DC36D0"/>
    <w:rsid w:val="00DC3E3B"/>
    <w:rsid w:val="00DC416D"/>
    <w:rsid w:val="00DC4553"/>
    <w:rsid w:val="00DC4815"/>
    <w:rsid w:val="00DD253B"/>
    <w:rsid w:val="00DD27D9"/>
    <w:rsid w:val="00DD5A80"/>
    <w:rsid w:val="00DD7D19"/>
    <w:rsid w:val="00DE13CE"/>
    <w:rsid w:val="00DE52C5"/>
    <w:rsid w:val="00DE59A6"/>
    <w:rsid w:val="00DE721C"/>
    <w:rsid w:val="00DF119F"/>
    <w:rsid w:val="00DF7894"/>
    <w:rsid w:val="00DF7C18"/>
    <w:rsid w:val="00DF7F32"/>
    <w:rsid w:val="00E007F1"/>
    <w:rsid w:val="00E01733"/>
    <w:rsid w:val="00E01B62"/>
    <w:rsid w:val="00E01E92"/>
    <w:rsid w:val="00E02459"/>
    <w:rsid w:val="00E02B8F"/>
    <w:rsid w:val="00E03515"/>
    <w:rsid w:val="00E0493E"/>
    <w:rsid w:val="00E0528F"/>
    <w:rsid w:val="00E0686B"/>
    <w:rsid w:val="00E079E4"/>
    <w:rsid w:val="00E1216B"/>
    <w:rsid w:val="00E128E2"/>
    <w:rsid w:val="00E13DCE"/>
    <w:rsid w:val="00E17A22"/>
    <w:rsid w:val="00E22E67"/>
    <w:rsid w:val="00E24C33"/>
    <w:rsid w:val="00E25992"/>
    <w:rsid w:val="00E26933"/>
    <w:rsid w:val="00E27701"/>
    <w:rsid w:val="00E2784C"/>
    <w:rsid w:val="00E27904"/>
    <w:rsid w:val="00E30141"/>
    <w:rsid w:val="00E340DB"/>
    <w:rsid w:val="00E35EB1"/>
    <w:rsid w:val="00E3717E"/>
    <w:rsid w:val="00E402AF"/>
    <w:rsid w:val="00E408C3"/>
    <w:rsid w:val="00E41431"/>
    <w:rsid w:val="00E43F3E"/>
    <w:rsid w:val="00E43FBB"/>
    <w:rsid w:val="00E47ACD"/>
    <w:rsid w:val="00E53F21"/>
    <w:rsid w:val="00E547F9"/>
    <w:rsid w:val="00E60D5C"/>
    <w:rsid w:val="00E61FAC"/>
    <w:rsid w:val="00E66276"/>
    <w:rsid w:val="00E672CF"/>
    <w:rsid w:val="00E67AE1"/>
    <w:rsid w:val="00E707E8"/>
    <w:rsid w:val="00E71FF6"/>
    <w:rsid w:val="00E75F88"/>
    <w:rsid w:val="00E76E9E"/>
    <w:rsid w:val="00E82718"/>
    <w:rsid w:val="00E82A8B"/>
    <w:rsid w:val="00E839AC"/>
    <w:rsid w:val="00E856FD"/>
    <w:rsid w:val="00E86A8E"/>
    <w:rsid w:val="00E90C77"/>
    <w:rsid w:val="00E90D59"/>
    <w:rsid w:val="00E93949"/>
    <w:rsid w:val="00E93A70"/>
    <w:rsid w:val="00E93C4A"/>
    <w:rsid w:val="00E9447B"/>
    <w:rsid w:val="00E9481D"/>
    <w:rsid w:val="00E957D9"/>
    <w:rsid w:val="00E97262"/>
    <w:rsid w:val="00E9753E"/>
    <w:rsid w:val="00EA16FE"/>
    <w:rsid w:val="00EA4B97"/>
    <w:rsid w:val="00EA52D8"/>
    <w:rsid w:val="00EA7877"/>
    <w:rsid w:val="00EB1C8B"/>
    <w:rsid w:val="00EB37ED"/>
    <w:rsid w:val="00EB44B7"/>
    <w:rsid w:val="00EB666A"/>
    <w:rsid w:val="00EB6B8C"/>
    <w:rsid w:val="00EB7013"/>
    <w:rsid w:val="00EB70CF"/>
    <w:rsid w:val="00EC0778"/>
    <w:rsid w:val="00EC0C14"/>
    <w:rsid w:val="00EC226B"/>
    <w:rsid w:val="00EC53E7"/>
    <w:rsid w:val="00EC73CC"/>
    <w:rsid w:val="00ED0004"/>
    <w:rsid w:val="00ED1F78"/>
    <w:rsid w:val="00ED2149"/>
    <w:rsid w:val="00ED41C6"/>
    <w:rsid w:val="00ED436F"/>
    <w:rsid w:val="00ED5B5A"/>
    <w:rsid w:val="00ED6E5D"/>
    <w:rsid w:val="00EE3E93"/>
    <w:rsid w:val="00EE5399"/>
    <w:rsid w:val="00EE71FC"/>
    <w:rsid w:val="00EE7C9C"/>
    <w:rsid w:val="00EF0C97"/>
    <w:rsid w:val="00EF1EC2"/>
    <w:rsid w:val="00EF61F7"/>
    <w:rsid w:val="00EF6A6C"/>
    <w:rsid w:val="00EF71C3"/>
    <w:rsid w:val="00EF74EB"/>
    <w:rsid w:val="00F008AC"/>
    <w:rsid w:val="00F032D7"/>
    <w:rsid w:val="00F038A8"/>
    <w:rsid w:val="00F042F5"/>
    <w:rsid w:val="00F050F8"/>
    <w:rsid w:val="00F109E8"/>
    <w:rsid w:val="00F11D8F"/>
    <w:rsid w:val="00F14581"/>
    <w:rsid w:val="00F157C0"/>
    <w:rsid w:val="00F1785C"/>
    <w:rsid w:val="00F17EA6"/>
    <w:rsid w:val="00F17EBA"/>
    <w:rsid w:val="00F264CF"/>
    <w:rsid w:val="00F30069"/>
    <w:rsid w:val="00F315DC"/>
    <w:rsid w:val="00F31D59"/>
    <w:rsid w:val="00F33992"/>
    <w:rsid w:val="00F34D87"/>
    <w:rsid w:val="00F36620"/>
    <w:rsid w:val="00F37FFB"/>
    <w:rsid w:val="00F4096A"/>
    <w:rsid w:val="00F42173"/>
    <w:rsid w:val="00F42BCB"/>
    <w:rsid w:val="00F45880"/>
    <w:rsid w:val="00F55537"/>
    <w:rsid w:val="00F60E7D"/>
    <w:rsid w:val="00F645F0"/>
    <w:rsid w:val="00F65E3D"/>
    <w:rsid w:val="00F76870"/>
    <w:rsid w:val="00F778A6"/>
    <w:rsid w:val="00F77A75"/>
    <w:rsid w:val="00F82139"/>
    <w:rsid w:val="00F83208"/>
    <w:rsid w:val="00F83BDE"/>
    <w:rsid w:val="00F852E1"/>
    <w:rsid w:val="00F85E95"/>
    <w:rsid w:val="00F862F6"/>
    <w:rsid w:val="00F90503"/>
    <w:rsid w:val="00F937B8"/>
    <w:rsid w:val="00F95C2F"/>
    <w:rsid w:val="00F9632B"/>
    <w:rsid w:val="00F969B1"/>
    <w:rsid w:val="00F9731B"/>
    <w:rsid w:val="00F97A4D"/>
    <w:rsid w:val="00FA035A"/>
    <w:rsid w:val="00FA09E8"/>
    <w:rsid w:val="00FA27BA"/>
    <w:rsid w:val="00FA2BC0"/>
    <w:rsid w:val="00FA4493"/>
    <w:rsid w:val="00FA465A"/>
    <w:rsid w:val="00FB0F97"/>
    <w:rsid w:val="00FB1818"/>
    <w:rsid w:val="00FB29DA"/>
    <w:rsid w:val="00FB36A8"/>
    <w:rsid w:val="00FB7D13"/>
    <w:rsid w:val="00FC0DAC"/>
    <w:rsid w:val="00FC151B"/>
    <w:rsid w:val="00FC2488"/>
    <w:rsid w:val="00FC2A65"/>
    <w:rsid w:val="00FC2B83"/>
    <w:rsid w:val="00FC2F97"/>
    <w:rsid w:val="00FD03D9"/>
    <w:rsid w:val="00FD280A"/>
    <w:rsid w:val="00FD2BEA"/>
    <w:rsid w:val="00FD7368"/>
    <w:rsid w:val="00FE2B7F"/>
    <w:rsid w:val="00FE3D8B"/>
    <w:rsid w:val="00FE42ED"/>
    <w:rsid w:val="00FE4B5E"/>
    <w:rsid w:val="00FE5B4A"/>
    <w:rsid w:val="00FE74FE"/>
    <w:rsid w:val="00FF0710"/>
    <w:rsid w:val="00FF0929"/>
    <w:rsid w:val="00FF0EF7"/>
    <w:rsid w:val="00FF1D58"/>
    <w:rsid w:val="00FF6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239"/>
    <w:rPr>
      <w:sz w:val="24"/>
      <w:szCs w:val="24"/>
    </w:rPr>
  </w:style>
  <w:style w:type="paragraph" w:styleId="Heading1">
    <w:name w:val="heading 1"/>
    <w:basedOn w:val="Normal"/>
    <w:next w:val="Normal"/>
    <w:link w:val="Heading1Char"/>
    <w:qFormat/>
    <w:rsid w:val="00561A10"/>
    <w:pPr>
      <w:keepNext/>
      <w:outlineLvl w:val="0"/>
    </w:pPr>
    <w:rPr>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link w:val="FooterChar"/>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character" w:customStyle="1" w:styleId="Heading1Char">
    <w:name w:val="Heading 1 Char"/>
    <w:link w:val="Heading1"/>
    <w:rsid w:val="00561A10"/>
    <w:rPr>
      <w:szCs w:val="24"/>
      <w:u w:val="single"/>
      <w:lang w:val="lv-LV"/>
    </w:rPr>
  </w:style>
  <w:style w:type="paragraph" w:styleId="BodyText">
    <w:name w:val="Body Text"/>
    <w:basedOn w:val="Normal"/>
    <w:link w:val="BodyTextChar"/>
    <w:rsid w:val="00763A8E"/>
    <w:rPr>
      <w:b/>
      <w:bCs/>
      <w:lang w:eastAsia="en-US"/>
    </w:rPr>
  </w:style>
  <w:style w:type="character" w:customStyle="1" w:styleId="BodyTextChar">
    <w:name w:val="Body Text Char"/>
    <w:link w:val="BodyText"/>
    <w:rsid w:val="00763A8E"/>
    <w:rPr>
      <w:b/>
      <w:bCs/>
      <w:sz w:val="24"/>
      <w:szCs w:val="24"/>
      <w:lang w:eastAsia="en-US"/>
    </w:rPr>
  </w:style>
  <w:style w:type="character" w:customStyle="1" w:styleId="FooterChar">
    <w:name w:val="Footer Char"/>
    <w:link w:val="Footer"/>
    <w:rsid w:val="00763A8E"/>
    <w:rPr>
      <w:sz w:val="24"/>
      <w:szCs w:val="24"/>
    </w:rPr>
  </w:style>
  <w:style w:type="paragraph" w:customStyle="1" w:styleId="naiskr">
    <w:name w:val="naiskr"/>
    <w:basedOn w:val="Normal"/>
    <w:rsid w:val="00353A9E"/>
    <w:pPr>
      <w:spacing w:before="100" w:beforeAutospacing="1" w:after="100" w:afterAutospacing="1"/>
    </w:pPr>
  </w:style>
  <w:style w:type="paragraph" w:styleId="BodyTextIndent3">
    <w:name w:val="Body Text Indent 3"/>
    <w:basedOn w:val="Normal"/>
    <w:link w:val="BodyTextIndent3Char"/>
    <w:rsid w:val="007F4F39"/>
    <w:pPr>
      <w:spacing w:after="120"/>
      <w:ind w:left="283"/>
    </w:pPr>
    <w:rPr>
      <w:sz w:val="16"/>
      <w:szCs w:val="16"/>
    </w:rPr>
  </w:style>
  <w:style w:type="character" w:customStyle="1" w:styleId="BodyTextIndent3Char">
    <w:name w:val="Body Text Indent 3 Char"/>
    <w:link w:val="BodyTextIndent3"/>
    <w:rsid w:val="007F4F39"/>
    <w:rPr>
      <w:sz w:val="16"/>
      <w:szCs w:val="16"/>
    </w:rPr>
  </w:style>
  <w:style w:type="table" w:styleId="TableGrid">
    <w:name w:val="Table Grid"/>
    <w:basedOn w:val="TableNormal"/>
    <w:rsid w:val="005E7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01538"/>
    <w:pPr>
      <w:ind w:left="720"/>
      <w:contextualSpacing/>
    </w:pPr>
  </w:style>
  <w:style w:type="paragraph" w:styleId="CommentText">
    <w:name w:val="annotation text"/>
    <w:basedOn w:val="Normal"/>
    <w:link w:val="CommentTextChar"/>
    <w:uiPriority w:val="99"/>
    <w:rsid w:val="00AB64D2"/>
    <w:rPr>
      <w:iCs/>
      <w:sz w:val="20"/>
      <w:szCs w:val="20"/>
      <w:lang w:val="en-GB" w:eastAsia="en-US"/>
    </w:rPr>
  </w:style>
  <w:style w:type="character" w:customStyle="1" w:styleId="CommentTextChar">
    <w:name w:val="Comment Text Char"/>
    <w:basedOn w:val="DefaultParagraphFont"/>
    <w:link w:val="CommentText"/>
    <w:uiPriority w:val="99"/>
    <w:rsid w:val="00AB64D2"/>
    <w:rPr>
      <w:i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239"/>
    <w:rPr>
      <w:sz w:val="24"/>
      <w:szCs w:val="24"/>
    </w:rPr>
  </w:style>
  <w:style w:type="paragraph" w:styleId="Heading1">
    <w:name w:val="heading 1"/>
    <w:basedOn w:val="Normal"/>
    <w:next w:val="Normal"/>
    <w:link w:val="Heading1Char"/>
    <w:qFormat/>
    <w:rsid w:val="00561A10"/>
    <w:pPr>
      <w:keepNext/>
      <w:outlineLvl w:val="0"/>
    </w:pPr>
    <w:rPr>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link w:val="FooterChar"/>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character" w:customStyle="1" w:styleId="Heading1Char">
    <w:name w:val="Heading 1 Char"/>
    <w:link w:val="Heading1"/>
    <w:rsid w:val="00561A10"/>
    <w:rPr>
      <w:szCs w:val="24"/>
      <w:u w:val="single"/>
      <w:lang w:val="lv-LV"/>
    </w:rPr>
  </w:style>
  <w:style w:type="paragraph" w:styleId="BodyText">
    <w:name w:val="Body Text"/>
    <w:basedOn w:val="Normal"/>
    <w:link w:val="BodyTextChar"/>
    <w:rsid w:val="00763A8E"/>
    <w:rPr>
      <w:b/>
      <w:bCs/>
      <w:lang w:eastAsia="en-US"/>
    </w:rPr>
  </w:style>
  <w:style w:type="character" w:customStyle="1" w:styleId="BodyTextChar">
    <w:name w:val="Body Text Char"/>
    <w:link w:val="BodyText"/>
    <w:rsid w:val="00763A8E"/>
    <w:rPr>
      <w:b/>
      <w:bCs/>
      <w:sz w:val="24"/>
      <w:szCs w:val="24"/>
      <w:lang w:eastAsia="en-US"/>
    </w:rPr>
  </w:style>
  <w:style w:type="character" w:customStyle="1" w:styleId="FooterChar">
    <w:name w:val="Footer Char"/>
    <w:link w:val="Footer"/>
    <w:rsid w:val="00763A8E"/>
    <w:rPr>
      <w:sz w:val="24"/>
      <w:szCs w:val="24"/>
    </w:rPr>
  </w:style>
  <w:style w:type="paragraph" w:customStyle="1" w:styleId="naiskr">
    <w:name w:val="naiskr"/>
    <w:basedOn w:val="Normal"/>
    <w:rsid w:val="00353A9E"/>
    <w:pPr>
      <w:spacing w:before="100" w:beforeAutospacing="1" w:after="100" w:afterAutospacing="1"/>
    </w:pPr>
  </w:style>
  <w:style w:type="paragraph" w:styleId="BodyTextIndent3">
    <w:name w:val="Body Text Indent 3"/>
    <w:basedOn w:val="Normal"/>
    <w:link w:val="BodyTextIndent3Char"/>
    <w:rsid w:val="007F4F39"/>
    <w:pPr>
      <w:spacing w:after="120"/>
      <w:ind w:left="283"/>
    </w:pPr>
    <w:rPr>
      <w:sz w:val="16"/>
      <w:szCs w:val="16"/>
    </w:rPr>
  </w:style>
  <w:style w:type="character" w:customStyle="1" w:styleId="BodyTextIndent3Char">
    <w:name w:val="Body Text Indent 3 Char"/>
    <w:link w:val="BodyTextIndent3"/>
    <w:rsid w:val="007F4F39"/>
    <w:rPr>
      <w:sz w:val="16"/>
      <w:szCs w:val="16"/>
    </w:rPr>
  </w:style>
  <w:style w:type="table" w:styleId="TableGrid">
    <w:name w:val="Table Grid"/>
    <w:basedOn w:val="TableNormal"/>
    <w:rsid w:val="005E7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01538"/>
    <w:pPr>
      <w:ind w:left="720"/>
      <w:contextualSpacing/>
    </w:pPr>
  </w:style>
  <w:style w:type="paragraph" w:styleId="CommentText">
    <w:name w:val="annotation text"/>
    <w:basedOn w:val="Normal"/>
    <w:link w:val="CommentTextChar"/>
    <w:uiPriority w:val="99"/>
    <w:rsid w:val="00AB64D2"/>
    <w:rPr>
      <w:iCs/>
      <w:sz w:val="20"/>
      <w:szCs w:val="20"/>
      <w:lang w:val="en-GB" w:eastAsia="en-US"/>
    </w:rPr>
  </w:style>
  <w:style w:type="character" w:customStyle="1" w:styleId="CommentTextChar">
    <w:name w:val="Comment Text Char"/>
    <w:basedOn w:val="DefaultParagraphFont"/>
    <w:link w:val="CommentText"/>
    <w:uiPriority w:val="99"/>
    <w:rsid w:val="00AB64D2"/>
    <w:rPr>
      <w:i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374">
      <w:bodyDiv w:val="1"/>
      <w:marLeft w:val="0"/>
      <w:marRight w:val="0"/>
      <w:marTop w:val="0"/>
      <w:marBottom w:val="0"/>
      <w:divBdr>
        <w:top w:val="none" w:sz="0" w:space="0" w:color="auto"/>
        <w:left w:val="none" w:sz="0" w:space="0" w:color="auto"/>
        <w:bottom w:val="none" w:sz="0" w:space="0" w:color="auto"/>
        <w:right w:val="none" w:sz="0" w:space="0" w:color="auto"/>
      </w:divBdr>
    </w:div>
    <w:div w:id="46613783">
      <w:bodyDiv w:val="1"/>
      <w:marLeft w:val="0"/>
      <w:marRight w:val="0"/>
      <w:marTop w:val="0"/>
      <w:marBottom w:val="0"/>
      <w:divBdr>
        <w:top w:val="none" w:sz="0" w:space="0" w:color="auto"/>
        <w:left w:val="none" w:sz="0" w:space="0" w:color="auto"/>
        <w:bottom w:val="none" w:sz="0" w:space="0" w:color="auto"/>
        <w:right w:val="none" w:sz="0" w:space="0" w:color="auto"/>
      </w:divBdr>
    </w:div>
    <w:div w:id="69350627">
      <w:bodyDiv w:val="1"/>
      <w:marLeft w:val="0"/>
      <w:marRight w:val="0"/>
      <w:marTop w:val="0"/>
      <w:marBottom w:val="0"/>
      <w:divBdr>
        <w:top w:val="none" w:sz="0" w:space="0" w:color="auto"/>
        <w:left w:val="none" w:sz="0" w:space="0" w:color="auto"/>
        <w:bottom w:val="none" w:sz="0" w:space="0" w:color="auto"/>
        <w:right w:val="none" w:sz="0" w:space="0" w:color="auto"/>
      </w:divBdr>
    </w:div>
    <w:div w:id="190807734">
      <w:bodyDiv w:val="1"/>
      <w:marLeft w:val="0"/>
      <w:marRight w:val="0"/>
      <w:marTop w:val="0"/>
      <w:marBottom w:val="0"/>
      <w:divBdr>
        <w:top w:val="none" w:sz="0" w:space="0" w:color="auto"/>
        <w:left w:val="none" w:sz="0" w:space="0" w:color="auto"/>
        <w:bottom w:val="none" w:sz="0" w:space="0" w:color="auto"/>
        <w:right w:val="none" w:sz="0" w:space="0" w:color="auto"/>
      </w:divBdr>
    </w:div>
    <w:div w:id="261308022">
      <w:bodyDiv w:val="1"/>
      <w:marLeft w:val="0"/>
      <w:marRight w:val="0"/>
      <w:marTop w:val="0"/>
      <w:marBottom w:val="0"/>
      <w:divBdr>
        <w:top w:val="none" w:sz="0" w:space="0" w:color="auto"/>
        <w:left w:val="none" w:sz="0" w:space="0" w:color="auto"/>
        <w:bottom w:val="none" w:sz="0" w:space="0" w:color="auto"/>
        <w:right w:val="none" w:sz="0" w:space="0" w:color="auto"/>
      </w:divBdr>
    </w:div>
    <w:div w:id="389887618">
      <w:bodyDiv w:val="1"/>
      <w:marLeft w:val="0"/>
      <w:marRight w:val="0"/>
      <w:marTop w:val="0"/>
      <w:marBottom w:val="0"/>
      <w:divBdr>
        <w:top w:val="none" w:sz="0" w:space="0" w:color="auto"/>
        <w:left w:val="none" w:sz="0" w:space="0" w:color="auto"/>
        <w:bottom w:val="none" w:sz="0" w:space="0" w:color="auto"/>
        <w:right w:val="none" w:sz="0" w:space="0" w:color="auto"/>
      </w:divBdr>
    </w:div>
    <w:div w:id="595408290">
      <w:bodyDiv w:val="1"/>
      <w:marLeft w:val="0"/>
      <w:marRight w:val="0"/>
      <w:marTop w:val="0"/>
      <w:marBottom w:val="0"/>
      <w:divBdr>
        <w:top w:val="none" w:sz="0" w:space="0" w:color="auto"/>
        <w:left w:val="none" w:sz="0" w:space="0" w:color="auto"/>
        <w:bottom w:val="none" w:sz="0" w:space="0" w:color="auto"/>
        <w:right w:val="none" w:sz="0" w:space="0" w:color="auto"/>
      </w:divBdr>
    </w:div>
    <w:div w:id="652608052">
      <w:bodyDiv w:val="1"/>
      <w:marLeft w:val="0"/>
      <w:marRight w:val="0"/>
      <w:marTop w:val="0"/>
      <w:marBottom w:val="0"/>
      <w:divBdr>
        <w:top w:val="none" w:sz="0" w:space="0" w:color="auto"/>
        <w:left w:val="none" w:sz="0" w:space="0" w:color="auto"/>
        <w:bottom w:val="none" w:sz="0" w:space="0" w:color="auto"/>
        <w:right w:val="none" w:sz="0" w:space="0" w:color="auto"/>
      </w:divBdr>
    </w:div>
    <w:div w:id="774786157">
      <w:bodyDiv w:val="1"/>
      <w:marLeft w:val="0"/>
      <w:marRight w:val="0"/>
      <w:marTop w:val="0"/>
      <w:marBottom w:val="0"/>
      <w:divBdr>
        <w:top w:val="none" w:sz="0" w:space="0" w:color="auto"/>
        <w:left w:val="none" w:sz="0" w:space="0" w:color="auto"/>
        <w:bottom w:val="none" w:sz="0" w:space="0" w:color="auto"/>
        <w:right w:val="none" w:sz="0" w:space="0" w:color="auto"/>
      </w:divBdr>
    </w:div>
    <w:div w:id="807816701">
      <w:bodyDiv w:val="1"/>
      <w:marLeft w:val="0"/>
      <w:marRight w:val="0"/>
      <w:marTop w:val="0"/>
      <w:marBottom w:val="0"/>
      <w:divBdr>
        <w:top w:val="none" w:sz="0" w:space="0" w:color="auto"/>
        <w:left w:val="none" w:sz="0" w:space="0" w:color="auto"/>
        <w:bottom w:val="none" w:sz="0" w:space="0" w:color="auto"/>
        <w:right w:val="none" w:sz="0" w:space="0" w:color="auto"/>
      </w:divBdr>
    </w:div>
    <w:div w:id="892545345">
      <w:bodyDiv w:val="1"/>
      <w:marLeft w:val="0"/>
      <w:marRight w:val="0"/>
      <w:marTop w:val="0"/>
      <w:marBottom w:val="0"/>
      <w:divBdr>
        <w:top w:val="none" w:sz="0" w:space="0" w:color="auto"/>
        <w:left w:val="none" w:sz="0" w:space="0" w:color="auto"/>
        <w:bottom w:val="none" w:sz="0" w:space="0" w:color="auto"/>
        <w:right w:val="none" w:sz="0" w:space="0" w:color="auto"/>
      </w:divBdr>
    </w:div>
    <w:div w:id="911816010">
      <w:bodyDiv w:val="1"/>
      <w:marLeft w:val="0"/>
      <w:marRight w:val="0"/>
      <w:marTop w:val="0"/>
      <w:marBottom w:val="0"/>
      <w:divBdr>
        <w:top w:val="none" w:sz="0" w:space="0" w:color="auto"/>
        <w:left w:val="none" w:sz="0" w:space="0" w:color="auto"/>
        <w:bottom w:val="none" w:sz="0" w:space="0" w:color="auto"/>
        <w:right w:val="none" w:sz="0" w:space="0" w:color="auto"/>
      </w:divBdr>
    </w:div>
    <w:div w:id="1146774308">
      <w:bodyDiv w:val="1"/>
      <w:marLeft w:val="0"/>
      <w:marRight w:val="0"/>
      <w:marTop w:val="0"/>
      <w:marBottom w:val="0"/>
      <w:divBdr>
        <w:top w:val="none" w:sz="0" w:space="0" w:color="auto"/>
        <w:left w:val="none" w:sz="0" w:space="0" w:color="auto"/>
        <w:bottom w:val="none" w:sz="0" w:space="0" w:color="auto"/>
        <w:right w:val="none" w:sz="0" w:space="0" w:color="auto"/>
      </w:divBdr>
    </w:div>
    <w:div w:id="1326474654">
      <w:bodyDiv w:val="1"/>
      <w:marLeft w:val="0"/>
      <w:marRight w:val="0"/>
      <w:marTop w:val="0"/>
      <w:marBottom w:val="0"/>
      <w:divBdr>
        <w:top w:val="none" w:sz="0" w:space="0" w:color="auto"/>
        <w:left w:val="none" w:sz="0" w:space="0" w:color="auto"/>
        <w:bottom w:val="none" w:sz="0" w:space="0" w:color="auto"/>
        <w:right w:val="none" w:sz="0" w:space="0" w:color="auto"/>
      </w:divBdr>
    </w:div>
    <w:div w:id="1385518950">
      <w:bodyDiv w:val="1"/>
      <w:marLeft w:val="0"/>
      <w:marRight w:val="0"/>
      <w:marTop w:val="0"/>
      <w:marBottom w:val="0"/>
      <w:divBdr>
        <w:top w:val="none" w:sz="0" w:space="0" w:color="auto"/>
        <w:left w:val="none" w:sz="0" w:space="0" w:color="auto"/>
        <w:bottom w:val="none" w:sz="0" w:space="0" w:color="auto"/>
        <w:right w:val="none" w:sz="0" w:space="0" w:color="auto"/>
      </w:divBdr>
    </w:div>
    <w:div w:id="1443842051">
      <w:bodyDiv w:val="1"/>
      <w:marLeft w:val="0"/>
      <w:marRight w:val="0"/>
      <w:marTop w:val="0"/>
      <w:marBottom w:val="0"/>
      <w:divBdr>
        <w:top w:val="none" w:sz="0" w:space="0" w:color="auto"/>
        <w:left w:val="none" w:sz="0" w:space="0" w:color="auto"/>
        <w:bottom w:val="none" w:sz="0" w:space="0" w:color="auto"/>
        <w:right w:val="none" w:sz="0" w:space="0" w:color="auto"/>
      </w:divBdr>
    </w:div>
    <w:div w:id="1702053433">
      <w:bodyDiv w:val="1"/>
      <w:marLeft w:val="0"/>
      <w:marRight w:val="0"/>
      <w:marTop w:val="0"/>
      <w:marBottom w:val="0"/>
      <w:divBdr>
        <w:top w:val="none" w:sz="0" w:space="0" w:color="auto"/>
        <w:left w:val="none" w:sz="0" w:space="0" w:color="auto"/>
        <w:bottom w:val="none" w:sz="0" w:space="0" w:color="auto"/>
        <w:right w:val="none" w:sz="0" w:space="0" w:color="auto"/>
      </w:divBdr>
    </w:div>
    <w:div w:id="1922056028">
      <w:bodyDiv w:val="1"/>
      <w:marLeft w:val="0"/>
      <w:marRight w:val="0"/>
      <w:marTop w:val="0"/>
      <w:marBottom w:val="0"/>
      <w:divBdr>
        <w:top w:val="none" w:sz="0" w:space="0" w:color="auto"/>
        <w:left w:val="none" w:sz="0" w:space="0" w:color="auto"/>
        <w:bottom w:val="none" w:sz="0" w:space="0" w:color="auto"/>
        <w:right w:val="none" w:sz="0" w:space="0" w:color="auto"/>
      </w:divBdr>
    </w:div>
    <w:div w:id="2038702383">
      <w:bodyDiv w:val="1"/>
      <w:marLeft w:val="45"/>
      <w:marRight w:val="45"/>
      <w:marTop w:val="90"/>
      <w:marBottom w:val="90"/>
      <w:divBdr>
        <w:top w:val="none" w:sz="0" w:space="0" w:color="auto"/>
        <w:left w:val="none" w:sz="0" w:space="0" w:color="auto"/>
        <w:bottom w:val="none" w:sz="0" w:space="0" w:color="auto"/>
        <w:right w:val="none" w:sz="0" w:space="0" w:color="auto"/>
      </w:divBdr>
      <w:divsChild>
        <w:div w:id="547572571">
          <w:marLeft w:val="0"/>
          <w:marRight w:val="0"/>
          <w:marTop w:val="0"/>
          <w:marBottom w:val="567"/>
          <w:divBdr>
            <w:top w:val="none" w:sz="0" w:space="0" w:color="auto"/>
            <w:left w:val="none" w:sz="0" w:space="0" w:color="auto"/>
            <w:bottom w:val="none" w:sz="0" w:space="0" w:color="auto"/>
            <w:right w:val="none" w:sz="0" w:space="0" w:color="auto"/>
          </w:divBdr>
        </w:div>
      </w:divsChild>
    </w:div>
    <w:div w:id="21467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a.Orehova@fm.gov.lv" TargetMode="Externa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ikumi.lv/doc.php?id=17100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ED76-B23B-48AF-A457-61868716B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F56B7DA-6407-4D9D-837B-9835999FFDA8}">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675B87B4-5329-41D0-B40D-2B8A4DFD606D}">
  <ds:schemaRefs>
    <ds:schemaRef ds:uri="http://schemas.microsoft.com/sharepoint/v3/contenttype/forms"/>
  </ds:schemaRefs>
</ds:datastoreItem>
</file>

<file path=customXml/itemProps4.xml><?xml version="1.0" encoding="utf-8"?>
<ds:datastoreItem xmlns:ds="http://schemas.openxmlformats.org/officeDocument/2006/customXml" ds:itemID="{099FF4C5-9DFE-4A05-810E-7A9003EF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16563</Words>
  <Characters>9442</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Likumprojekts "Grozījumi likumā "Par iedzīvotāju ienākuma nodokli""</vt:lpstr>
    </vt:vector>
  </TitlesOfParts>
  <Company>FM</Company>
  <LinksUpToDate>false</LinksUpToDate>
  <CharactersWithSpaces>25954</CharactersWithSpaces>
  <SharedDoc>false</SharedDoc>
  <HLinks>
    <vt:vector size="12" baseType="variant">
      <vt:variant>
        <vt:i4>1703968</vt:i4>
      </vt:variant>
      <vt:variant>
        <vt:i4>6</vt:i4>
      </vt:variant>
      <vt:variant>
        <vt:i4>0</vt:i4>
      </vt:variant>
      <vt:variant>
        <vt:i4>5</vt:i4>
      </vt:variant>
      <vt:variant>
        <vt:lpwstr>mailto:Inese.Veinberga@fm.gov.lv</vt:lpwstr>
      </vt:variant>
      <vt:variant>
        <vt:lpwstr/>
      </vt:variant>
      <vt:variant>
        <vt:i4>7602212</vt:i4>
      </vt:variant>
      <vt:variant>
        <vt:i4>0</vt:i4>
      </vt:variant>
      <vt:variant>
        <vt:i4>0</vt:i4>
      </vt:variant>
      <vt:variant>
        <vt:i4>5</vt:i4>
      </vt:variant>
      <vt:variant>
        <vt:lpwstr>http://www.likumi.lv/doc.php?id=171009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iedzīvotāju ienākuma nodokli""</dc:title>
  <dc:subject>Anotācija</dc:subject>
  <dc:creator>A.Orehova</dc:creator>
  <cp:keywords/>
  <dc:description>T.67095484_x000d_
Anda.Orehova@fm.gov.lv_x000d_
</dc:description>
  <cp:lastModifiedBy>Windows User</cp:lastModifiedBy>
  <cp:revision>13</cp:revision>
  <cp:lastPrinted>2012-08-14T13:14:00Z</cp:lastPrinted>
  <dcterms:created xsi:type="dcterms:W3CDTF">2012-08-14T10:32:00Z</dcterms:created>
  <dcterms:modified xsi:type="dcterms:W3CDTF">2012-08-27T07:29:00Z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ies>
</file>