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C8" w:rsidRPr="00010716" w:rsidRDefault="00A13CC8" w:rsidP="003E67CA">
      <w:pPr>
        <w:pStyle w:val="BodyText3"/>
        <w:jc w:val="center"/>
        <w:rPr>
          <w:rFonts w:eastAsia="Calibri"/>
          <w:i w:val="0"/>
          <w:sz w:val="26"/>
          <w:szCs w:val="26"/>
          <w:lang w:eastAsia="en-US"/>
        </w:rPr>
      </w:pPr>
      <w:bookmarkStart w:id="0" w:name="OLE_LINK1"/>
      <w:bookmarkStart w:id="1" w:name="OLE_LINK2"/>
      <w:r w:rsidRPr="00010716">
        <w:rPr>
          <w:bCs/>
          <w:i w:val="0"/>
          <w:sz w:val="26"/>
          <w:szCs w:val="26"/>
        </w:rPr>
        <w:t>Likumprojekta</w:t>
      </w:r>
      <w:r w:rsidR="002B5BA9" w:rsidRPr="00010716">
        <w:rPr>
          <w:bCs/>
          <w:i w:val="0"/>
          <w:sz w:val="26"/>
          <w:szCs w:val="26"/>
        </w:rPr>
        <w:t xml:space="preserve"> </w:t>
      </w:r>
      <w:r w:rsidRPr="00010716">
        <w:rPr>
          <w:bCs/>
          <w:i w:val="0"/>
          <w:sz w:val="26"/>
          <w:szCs w:val="26"/>
        </w:rPr>
        <w:t xml:space="preserve">„Grozījumi likumā </w:t>
      </w:r>
      <w:r w:rsidR="00C030E6" w:rsidRPr="00010716">
        <w:rPr>
          <w:bCs/>
          <w:i w:val="0"/>
          <w:sz w:val="26"/>
          <w:szCs w:val="26"/>
        </w:rPr>
        <w:t>„</w:t>
      </w:r>
      <w:r w:rsidRPr="00010716">
        <w:rPr>
          <w:rFonts w:eastAsia="Calibri"/>
          <w:i w:val="0"/>
          <w:sz w:val="26"/>
          <w:szCs w:val="26"/>
          <w:lang w:eastAsia="en-US"/>
        </w:rPr>
        <w:t xml:space="preserve">Par valsts un pašvaldību </w:t>
      </w:r>
    </w:p>
    <w:p w:rsidR="003E67CA" w:rsidRPr="00010716" w:rsidRDefault="00A13CC8" w:rsidP="003E67CA">
      <w:pPr>
        <w:pStyle w:val="BodyText3"/>
        <w:jc w:val="center"/>
        <w:rPr>
          <w:bCs/>
          <w:i w:val="0"/>
          <w:sz w:val="26"/>
          <w:szCs w:val="26"/>
        </w:rPr>
      </w:pPr>
      <w:r w:rsidRPr="00010716">
        <w:rPr>
          <w:rFonts w:eastAsia="Calibri"/>
          <w:i w:val="0"/>
          <w:sz w:val="26"/>
          <w:szCs w:val="26"/>
          <w:lang w:eastAsia="en-US"/>
        </w:rPr>
        <w:t>kapitāla daļām un kapitālsabiedrībām</w:t>
      </w:r>
      <w:r w:rsidR="00C030E6" w:rsidRPr="00010716">
        <w:rPr>
          <w:i w:val="0"/>
          <w:sz w:val="26"/>
          <w:szCs w:val="26"/>
        </w:rPr>
        <w:t>”</w:t>
      </w:r>
      <w:r w:rsidR="002B5BA9" w:rsidRPr="00010716">
        <w:rPr>
          <w:i w:val="0"/>
          <w:sz w:val="26"/>
          <w:szCs w:val="26"/>
        </w:rPr>
        <w:t xml:space="preserve">” </w:t>
      </w:r>
      <w:bookmarkEnd w:id="0"/>
      <w:bookmarkEnd w:id="1"/>
      <w:r w:rsidR="003E67CA" w:rsidRPr="00010716">
        <w:rPr>
          <w:bCs/>
          <w:i w:val="0"/>
          <w:sz w:val="26"/>
          <w:szCs w:val="26"/>
        </w:rPr>
        <w:t>sākotnējās</w:t>
      </w:r>
    </w:p>
    <w:p w:rsidR="0070526D" w:rsidRPr="00010716" w:rsidRDefault="003E67CA" w:rsidP="003E67CA">
      <w:pPr>
        <w:pStyle w:val="BodyText3"/>
        <w:jc w:val="center"/>
        <w:rPr>
          <w:bCs/>
          <w:i w:val="0"/>
          <w:sz w:val="26"/>
          <w:szCs w:val="26"/>
        </w:rPr>
      </w:pPr>
      <w:r w:rsidRPr="00010716">
        <w:rPr>
          <w:bCs/>
          <w:i w:val="0"/>
          <w:sz w:val="26"/>
          <w:szCs w:val="26"/>
        </w:rPr>
        <w:t>ietekmes novērtējuma ziņojums (anotācija)</w:t>
      </w:r>
    </w:p>
    <w:p w:rsidR="0024678C" w:rsidRPr="00010716" w:rsidRDefault="0024678C" w:rsidP="0024678C">
      <w:pPr>
        <w:pStyle w:val="BodyText3"/>
        <w:jc w:val="center"/>
        <w:rPr>
          <w:i w:val="0"/>
          <w:sz w:val="26"/>
          <w:szCs w:val="26"/>
        </w:rPr>
      </w:pPr>
    </w:p>
    <w:p w:rsidR="000D4F52" w:rsidRPr="007B35D6" w:rsidRDefault="000D4F52" w:rsidP="0024678C">
      <w:pPr>
        <w:pStyle w:val="BodyText3"/>
        <w:jc w:val="center"/>
        <w:rPr>
          <w:i w:val="0"/>
          <w:szCs w:val="24"/>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2464"/>
        <w:gridCol w:w="6109"/>
      </w:tblGrid>
      <w:tr w:rsidR="0070526D" w:rsidRPr="007B35D6" w:rsidTr="00AF1F9B">
        <w:trPr>
          <w:tblCellSpacing w:w="0" w:type="dxa"/>
        </w:trPr>
        <w:tc>
          <w:tcPr>
            <w:tcW w:w="9228" w:type="dxa"/>
            <w:gridSpan w:val="3"/>
            <w:tcBorders>
              <w:top w:val="outset" w:sz="6" w:space="0" w:color="auto"/>
              <w:left w:val="outset" w:sz="6" w:space="0" w:color="auto"/>
              <w:bottom w:val="outset" w:sz="6" w:space="0" w:color="auto"/>
              <w:right w:val="outset" w:sz="6" w:space="0" w:color="auto"/>
            </w:tcBorders>
            <w:vAlign w:val="center"/>
            <w:hideMark/>
          </w:tcPr>
          <w:p w:rsidR="0070526D" w:rsidRPr="007B35D6" w:rsidRDefault="0070526D" w:rsidP="00062334">
            <w:pPr>
              <w:pStyle w:val="ListParagraph"/>
              <w:numPr>
                <w:ilvl w:val="0"/>
                <w:numId w:val="2"/>
              </w:numPr>
              <w:rPr>
                <w:rFonts w:eastAsia="Times New Roman" w:cs="Times New Roman"/>
                <w:b/>
                <w:bCs/>
                <w:sz w:val="24"/>
                <w:szCs w:val="24"/>
                <w:lang w:eastAsia="lv-LV"/>
              </w:rPr>
            </w:pPr>
            <w:r w:rsidRPr="007B35D6">
              <w:rPr>
                <w:rFonts w:eastAsia="Times New Roman" w:cs="Times New Roman"/>
                <w:b/>
                <w:bCs/>
                <w:sz w:val="24"/>
                <w:szCs w:val="24"/>
                <w:lang w:eastAsia="lv-LV"/>
              </w:rPr>
              <w:t>Tiesību akta projekta izstrādes nepieciešamība</w:t>
            </w:r>
          </w:p>
          <w:p w:rsidR="00062334" w:rsidRPr="007B35D6" w:rsidRDefault="00062334" w:rsidP="00C030E6">
            <w:pPr>
              <w:pStyle w:val="ListParagraph"/>
              <w:ind w:left="840"/>
              <w:rPr>
                <w:rFonts w:eastAsia="Times New Roman" w:cs="Times New Roman"/>
                <w:sz w:val="24"/>
                <w:szCs w:val="24"/>
                <w:lang w:eastAsia="lv-LV"/>
              </w:rPr>
            </w:pPr>
          </w:p>
        </w:tc>
      </w:tr>
      <w:tr w:rsidR="0070526D" w:rsidRPr="007B35D6" w:rsidTr="00AF1F9B">
        <w:trPr>
          <w:trHeight w:val="630"/>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24678C">
            <w:pPr>
              <w:rPr>
                <w:rFonts w:eastAsia="Times New Roman" w:cs="Times New Roman"/>
                <w:sz w:val="24"/>
                <w:szCs w:val="24"/>
                <w:lang w:eastAsia="lv-LV"/>
              </w:rPr>
            </w:pPr>
            <w:r w:rsidRPr="007B35D6">
              <w:rPr>
                <w:rFonts w:eastAsia="Times New Roman" w:cs="Times New Roman"/>
                <w:sz w:val="24"/>
                <w:szCs w:val="24"/>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24678C">
            <w:pPr>
              <w:rPr>
                <w:rFonts w:eastAsia="Times New Roman" w:cs="Times New Roman"/>
                <w:sz w:val="24"/>
                <w:szCs w:val="24"/>
                <w:lang w:eastAsia="lv-LV"/>
              </w:rPr>
            </w:pPr>
            <w:r w:rsidRPr="007B35D6">
              <w:rPr>
                <w:rFonts w:eastAsia="Times New Roman" w:cs="Times New Roman"/>
                <w:sz w:val="24"/>
                <w:szCs w:val="24"/>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7B35D6" w:rsidRDefault="0070526D" w:rsidP="00457193">
            <w:pPr>
              <w:jc w:val="both"/>
              <w:rPr>
                <w:rFonts w:eastAsia="Times New Roman" w:cs="Times New Roman"/>
                <w:sz w:val="24"/>
                <w:szCs w:val="24"/>
                <w:lang w:eastAsia="lv-LV"/>
              </w:rPr>
            </w:pPr>
            <w:r w:rsidRPr="007B35D6">
              <w:rPr>
                <w:rFonts w:eastAsia="Times New Roman" w:cs="Times New Roman"/>
                <w:sz w:val="24"/>
                <w:szCs w:val="24"/>
                <w:lang w:eastAsia="lv-LV"/>
              </w:rPr>
              <w:t> </w:t>
            </w:r>
            <w:r w:rsidR="00A748EE" w:rsidRPr="007B35D6">
              <w:rPr>
                <w:rFonts w:eastAsia="Times New Roman" w:cs="Times New Roman"/>
                <w:sz w:val="24"/>
                <w:szCs w:val="24"/>
                <w:lang w:eastAsia="lv-LV"/>
              </w:rPr>
              <w:t xml:space="preserve">Ministru kabineta 2011.gada </w:t>
            </w:r>
            <w:r w:rsidR="00457193" w:rsidRPr="007B35D6">
              <w:rPr>
                <w:rFonts w:eastAsia="Times New Roman" w:cs="Times New Roman"/>
                <w:sz w:val="24"/>
                <w:szCs w:val="24"/>
                <w:lang w:eastAsia="lv-LV"/>
              </w:rPr>
              <w:t>1.novembra sēdes protokols Nr.62 64.§. 19.punkts</w:t>
            </w:r>
            <w:r w:rsidR="009B0163">
              <w:rPr>
                <w:rFonts w:eastAsia="Times New Roman" w:cs="Times New Roman"/>
                <w:sz w:val="24"/>
                <w:szCs w:val="24"/>
                <w:lang w:eastAsia="lv-LV"/>
              </w:rPr>
              <w:t xml:space="preserve"> un</w:t>
            </w:r>
            <w:r w:rsidR="00457193" w:rsidRPr="007B35D6">
              <w:rPr>
                <w:rFonts w:eastAsia="Times New Roman" w:cs="Times New Roman"/>
                <w:sz w:val="24"/>
                <w:szCs w:val="24"/>
                <w:lang w:eastAsia="lv-LV"/>
              </w:rPr>
              <w:t xml:space="preserve"> 2011.gada </w:t>
            </w:r>
            <w:r w:rsidR="00A748EE" w:rsidRPr="007B35D6">
              <w:rPr>
                <w:rFonts w:eastAsia="Times New Roman" w:cs="Times New Roman"/>
                <w:sz w:val="24"/>
                <w:szCs w:val="24"/>
                <w:lang w:eastAsia="lv-LV"/>
              </w:rPr>
              <w:t>27.decembra sēdes protokols Nr</w:t>
            </w:r>
            <w:r w:rsidR="00123601" w:rsidRPr="007B35D6">
              <w:rPr>
                <w:rFonts w:eastAsia="Times New Roman" w:cs="Times New Roman"/>
                <w:sz w:val="24"/>
                <w:szCs w:val="24"/>
                <w:lang w:eastAsia="lv-LV"/>
              </w:rPr>
              <w:t xml:space="preserve">.76 </w:t>
            </w:r>
            <w:r w:rsidR="00B15225" w:rsidRPr="007B35D6">
              <w:rPr>
                <w:rFonts w:eastAsia="Times New Roman" w:cs="Times New Roman"/>
                <w:sz w:val="24"/>
                <w:szCs w:val="24"/>
                <w:lang w:eastAsia="lv-LV"/>
              </w:rPr>
              <w:t xml:space="preserve"> </w:t>
            </w:r>
            <w:r w:rsidR="00123601" w:rsidRPr="007B35D6">
              <w:rPr>
                <w:rFonts w:eastAsia="Times New Roman" w:cs="Times New Roman"/>
                <w:sz w:val="24"/>
                <w:szCs w:val="24"/>
                <w:lang w:eastAsia="lv-LV"/>
              </w:rPr>
              <w:t>3</w:t>
            </w:r>
            <w:r w:rsidR="00A13CC8" w:rsidRPr="007B35D6">
              <w:rPr>
                <w:rFonts w:eastAsia="Times New Roman" w:cs="Times New Roman"/>
                <w:sz w:val="24"/>
                <w:szCs w:val="24"/>
                <w:lang w:eastAsia="lv-LV"/>
              </w:rPr>
              <w:t>8</w:t>
            </w:r>
            <w:r w:rsidR="00AB6C99">
              <w:rPr>
                <w:rFonts w:eastAsia="Times New Roman" w:cs="Times New Roman"/>
                <w:sz w:val="24"/>
                <w:szCs w:val="24"/>
                <w:lang w:eastAsia="lv-LV"/>
              </w:rPr>
              <w:t>.§</w:t>
            </w:r>
            <w:r w:rsidR="008C3D67" w:rsidRPr="007B35D6">
              <w:rPr>
                <w:rFonts w:eastAsia="Times New Roman" w:cs="Times New Roman"/>
                <w:sz w:val="24"/>
                <w:szCs w:val="24"/>
                <w:lang w:eastAsia="lv-LV"/>
              </w:rPr>
              <w:t>.</w:t>
            </w:r>
            <w:r w:rsidR="004763B3" w:rsidRPr="007B35D6">
              <w:rPr>
                <w:rFonts w:eastAsia="Times New Roman" w:cs="Times New Roman"/>
                <w:sz w:val="24"/>
                <w:szCs w:val="24"/>
                <w:lang w:eastAsia="lv-LV"/>
              </w:rPr>
              <w:t xml:space="preserve"> </w:t>
            </w:r>
          </w:p>
          <w:p w:rsidR="00185FBA" w:rsidRDefault="00185FBA" w:rsidP="00185FBA">
            <w:pPr>
              <w:jc w:val="both"/>
              <w:rPr>
                <w:rFonts w:eastAsia="Times New Roman" w:cs="Times New Roman"/>
                <w:sz w:val="24"/>
                <w:szCs w:val="24"/>
                <w:lang w:eastAsia="lv-LV"/>
              </w:rPr>
            </w:pPr>
            <w:r w:rsidRPr="007B35D6">
              <w:rPr>
                <w:rFonts w:eastAsia="Times New Roman" w:cs="Times New Roman"/>
                <w:sz w:val="24"/>
                <w:szCs w:val="24"/>
                <w:lang w:eastAsia="lv-LV"/>
              </w:rPr>
              <w:t>Ņemot vērā, ka likumprojekts saistīts ar valsts budžeta ieņēmumiem vidējā termiņā, tad likumprojekts skatāms vienotā paketē ar likumprojektu „Par valsts budžetu 2013.gadam”.</w:t>
            </w:r>
          </w:p>
          <w:p w:rsidR="00C332BD" w:rsidRPr="007B35D6" w:rsidRDefault="00C332BD" w:rsidP="00185FBA">
            <w:pPr>
              <w:jc w:val="both"/>
              <w:rPr>
                <w:rFonts w:eastAsia="Times New Roman" w:cs="Times New Roman"/>
                <w:sz w:val="24"/>
                <w:szCs w:val="24"/>
                <w:lang w:eastAsia="lv-LV"/>
              </w:rPr>
            </w:pPr>
          </w:p>
        </w:tc>
      </w:tr>
      <w:tr w:rsidR="0070526D" w:rsidRPr="007B35D6" w:rsidTr="00AF1F9B">
        <w:trPr>
          <w:trHeight w:val="472"/>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30223A">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hideMark/>
          </w:tcPr>
          <w:p w:rsidR="00A1503F" w:rsidRPr="007B35D6" w:rsidRDefault="003E67CA" w:rsidP="00A1503F">
            <w:pPr>
              <w:jc w:val="both"/>
              <w:rPr>
                <w:rFonts w:eastAsia="Times New Roman" w:cs="Times New Roman"/>
                <w:sz w:val="24"/>
                <w:szCs w:val="24"/>
                <w:lang w:eastAsia="lv-LV"/>
              </w:rPr>
            </w:pPr>
            <w:r w:rsidRPr="007B35D6">
              <w:rPr>
                <w:rFonts w:eastAsia="Times New Roman" w:cs="Times New Roman"/>
                <w:sz w:val="24"/>
                <w:szCs w:val="24"/>
                <w:lang w:eastAsia="lv-LV"/>
              </w:rPr>
              <w:t xml:space="preserve">Šobrīd </w:t>
            </w:r>
            <w:r w:rsidR="00A13CC8" w:rsidRPr="007B35D6">
              <w:rPr>
                <w:rFonts w:eastAsia="Times New Roman" w:cs="Times New Roman"/>
                <w:sz w:val="24"/>
                <w:szCs w:val="24"/>
                <w:lang w:eastAsia="lv-LV"/>
              </w:rPr>
              <w:t xml:space="preserve">likumā „Par valsts un pašvaldību kapitāla daļām un kapitālsabiedrībām” </w:t>
            </w:r>
            <w:r w:rsidR="006678D7" w:rsidRPr="007B35D6">
              <w:rPr>
                <w:rFonts w:eastAsia="Times New Roman" w:cs="Times New Roman"/>
                <w:sz w:val="24"/>
                <w:szCs w:val="24"/>
                <w:lang w:eastAsia="lv-LV"/>
              </w:rPr>
              <w:t>kapitālsabiedrību</w:t>
            </w:r>
            <w:r w:rsidRPr="007B35D6">
              <w:rPr>
                <w:rFonts w:eastAsia="Times New Roman" w:cs="Times New Roman"/>
                <w:sz w:val="24"/>
                <w:szCs w:val="24"/>
                <w:lang w:eastAsia="lv-LV"/>
              </w:rPr>
              <w:t xml:space="preserve"> </w:t>
            </w:r>
            <w:r w:rsidR="006678D7" w:rsidRPr="007B35D6">
              <w:rPr>
                <w:rFonts w:eastAsia="Times New Roman" w:cs="Times New Roman"/>
                <w:sz w:val="24"/>
                <w:szCs w:val="24"/>
                <w:lang w:eastAsia="lv-LV"/>
              </w:rPr>
              <w:t xml:space="preserve">valdes locekļu </w:t>
            </w:r>
            <w:r w:rsidR="00A658FF" w:rsidRPr="007B35D6">
              <w:rPr>
                <w:rFonts w:eastAsia="Times New Roman" w:cs="Times New Roman"/>
                <w:sz w:val="24"/>
                <w:szCs w:val="24"/>
                <w:lang w:eastAsia="lv-LV"/>
              </w:rPr>
              <w:t xml:space="preserve">mēnešalgas </w:t>
            </w:r>
            <w:r w:rsidR="00ED59B5" w:rsidRPr="007B35D6">
              <w:rPr>
                <w:rFonts w:eastAsia="Times New Roman" w:cs="Times New Roman"/>
                <w:sz w:val="24"/>
                <w:szCs w:val="24"/>
                <w:lang w:eastAsia="lv-LV"/>
              </w:rPr>
              <w:t>noteikšan</w:t>
            </w:r>
            <w:r w:rsidR="00A13CC8" w:rsidRPr="007B35D6">
              <w:rPr>
                <w:rFonts w:eastAsia="Times New Roman" w:cs="Times New Roman"/>
                <w:sz w:val="24"/>
                <w:szCs w:val="24"/>
                <w:lang w:eastAsia="lv-LV"/>
              </w:rPr>
              <w:t>ā</w:t>
            </w:r>
            <w:r w:rsidR="00ED59B5" w:rsidRPr="007B35D6">
              <w:rPr>
                <w:rFonts w:eastAsia="Times New Roman" w:cs="Times New Roman"/>
                <w:sz w:val="24"/>
                <w:szCs w:val="24"/>
                <w:lang w:eastAsia="lv-LV"/>
              </w:rPr>
              <w:t xml:space="preserve"> </w:t>
            </w:r>
            <w:r w:rsidR="00A13CC8" w:rsidRPr="007B35D6">
              <w:rPr>
                <w:rFonts w:eastAsia="Times New Roman" w:cs="Times New Roman"/>
                <w:sz w:val="24"/>
                <w:szCs w:val="24"/>
                <w:lang w:eastAsia="lv-LV"/>
              </w:rPr>
              <w:t>izmanto Centrālās statistikas pārvaldes oficiālajā statistikas paziņojumā publicēto valstī strādājošo iepriekšējā gada mēneša vidējās darba samaksas apmēru, kas noapaļots pilnos latos, un kam atbilstoši sabiedrības lielumu raksturojošiem kritērijiem piemēro koeficientu, kas nav lielāks par 6</w:t>
            </w:r>
            <w:r w:rsidR="00A658FF" w:rsidRPr="007B35D6">
              <w:rPr>
                <w:rFonts w:eastAsia="Times New Roman" w:cs="Times New Roman"/>
                <w:sz w:val="24"/>
                <w:szCs w:val="24"/>
                <w:lang w:eastAsia="lv-LV"/>
              </w:rPr>
              <w:t xml:space="preserve"> (2012.gadā īpaši lielās kapitālsabiedrībās maksimālā mēnešalga ir 2784 Ls)</w:t>
            </w:r>
            <w:r w:rsidR="00A13CC8" w:rsidRPr="007B35D6">
              <w:rPr>
                <w:rFonts w:eastAsia="Times New Roman" w:cs="Times New Roman"/>
                <w:sz w:val="24"/>
                <w:szCs w:val="24"/>
                <w:lang w:eastAsia="lv-LV"/>
              </w:rPr>
              <w:t>. Līdz ar to v</w:t>
            </w:r>
            <w:r w:rsidR="00ED59B5" w:rsidRPr="007B35D6">
              <w:rPr>
                <w:rFonts w:eastAsia="Times New Roman" w:cs="Times New Roman"/>
                <w:sz w:val="24"/>
                <w:szCs w:val="24"/>
                <w:lang w:eastAsia="lv-LV"/>
              </w:rPr>
              <w:t xml:space="preserve">alsts un pašvaldību kapitālsabiedrību valdes locekļu atlīdzība ekonomiskās krīzes apstākļos ir kļuvusi nekonkurētspējīga, </w:t>
            </w:r>
            <w:r w:rsidR="00A13CC8" w:rsidRPr="007B35D6">
              <w:rPr>
                <w:rFonts w:eastAsia="Times New Roman" w:cs="Times New Roman"/>
                <w:sz w:val="24"/>
                <w:szCs w:val="24"/>
                <w:lang w:eastAsia="lv-LV"/>
              </w:rPr>
              <w:t>un</w:t>
            </w:r>
            <w:r w:rsidR="00ED59B5" w:rsidRPr="007B35D6">
              <w:rPr>
                <w:rFonts w:eastAsia="Times New Roman" w:cs="Times New Roman"/>
                <w:sz w:val="24"/>
                <w:szCs w:val="24"/>
                <w:lang w:eastAsia="lv-LV"/>
              </w:rPr>
              <w:t xml:space="preserve"> pastāv risks zaudēt valdes locekļus ar </w:t>
            </w:r>
            <w:r w:rsidR="00A1503F" w:rsidRPr="007B35D6">
              <w:rPr>
                <w:rFonts w:eastAsia="Times New Roman" w:cs="Times New Roman"/>
                <w:sz w:val="24"/>
                <w:szCs w:val="24"/>
                <w:lang w:eastAsia="lv-LV"/>
              </w:rPr>
              <w:t>augst</w:t>
            </w:r>
            <w:r w:rsidR="00ED59B5" w:rsidRPr="007B35D6">
              <w:rPr>
                <w:rFonts w:eastAsia="Times New Roman" w:cs="Times New Roman"/>
                <w:sz w:val="24"/>
                <w:szCs w:val="24"/>
                <w:lang w:eastAsia="lv-LV"/>
              </w:rPr>
              <w:t>u</w:t>
            </w:r>
            <w:r w:rsidR="00A1503F" w:rsidRPr="007B35D6">
              <w:rPr>
                <w:rFonts w:eastAsia="Times New Roman" w:cs="Times New Roman"/>
                <w:sz w:val="24"/>
                <w:szCs w:val="24"/>
                <w:lang w:eastAsia="lv-LV"/>
              </w:rPr>
              <w:t xml:space="preserve"> kompetences</w:t>
            </w:r>
            <w:r w:rsidR="00ED59B5" w:rsidRPr="007B35D6">
              <w:rPr>
                <w:rFonts w:eastAsia="Times New Roman" w:cs="Times New Roman"/>
                <w:sz w:val="24"/>
                <w:szCs w:val="24"/>
                <w:lang w:eastAsia="lv-LV"/>
              </w:rPr>
              <w:t xml:space="preserve"> līmeni,</w:t>
            </w:r>
            <w:r w:rsidR="00A1503F" w:rsidRPr="007B35D6">
              <w:rPr>
                <w:rFonts w:eastAsia="Times New Roman" w:cs="Times New Roman"/>
                <w:sz w:val="24"/>
                <w:szCs w:val="24"/>
                <w:lang w:eastAsia="lv-LV"/>
              </w:rPr>
              <w:t xml:space="preserve"> atbilstoš</w:t>
            </w:r>
            <w:r w:rsidR="00ED59B5" w:rsidRPr="007B35D6">
              <w:rPr>
                <w:rFonts w:eastAsia="Times New Roman" w:cs="Times New Roman"/>
                <w:sz w:val="24"/>
                <w:szCs w:val="24"/>
                <w:lang w:eastAsia="lv-LV"/>
              </w:rPr>
              <w:t>u</w:t>
            </w:r>
            <w:r w:rsidR="00A1503F" w:rsidRPr="007B35D6">
              <w:rPr>
                <w:rFonts w:eastAsia="Times New Roman" w:cs="Times New Roman"/>
                <w:sz w:val="24"/>
                <w:szCs w:val="24"/>
                <w:lang w:eastAsia="lv-LV"/>
              </w:rPr>
              <w:t xml:space="preserve"> darba pieredz</w:t>
            </w:r>
            <w:r w:rsidR="00ED59B5" w:rsidRPr="007B35D6">
              <w:rPr>
                <w:rFonts w:eastAsia="Times New Roman" w:cs="Times New Roman"/>
                <w:sz w:val="24"/>
                <w:szCs w:val="24"/>
                <w:lang w:eastAsia="lv-LV"/>
              </w:rPr>
              <w:t>i un speciālām zināšanām un izglītību</w:t>
            </w:r>
            <w:r w:rsidR="00A1503F" w:rsidRPr="007B35D6">
              <w:rPr>
                <w:rFonts w:eastAsia="Times New Roman" w:cs="Times New Roman"/>
                <w:sz w:val="24"/>
                <w:szCs w:val="24"/>
                <w:lang w:eastAsia="lv-LV"/>
              </w:rPr>
              <w:t xml:space="preserve">.  </w:t>
            </w:r>
          </w:p>
          <w:p w:rsidR="0044424A" w:rsidRPr="007B35D6" w:rsidRDefault="00173D25" w:rsidP="00A1503F">
            <w:pPr>
              <w:jc w:val="both"/>
              <w:rPr>
                <w:rFonts w:eastAsia="Times New Roman" w:cs="Times New Roman"/>
                <w:sz w:val="24"/>
                <w:szCs w:val="24"/>
                <w:lang w:eastAsia="lv-LV"/>
              </w:rPr>
            </w:pPr>
            <w:r w:rsidRPr="007B35D6">
              <w:rPr>
                <w:rFonts w:eastAsia="Times New Roman" w:cs="Times New Roman"/>
                <w:sz w:val="24"/>
                <w:szCs w:val="24"/>
                <w:lang w:eastAsia="lv-LV"/>
              </w:rPr>
              <w:t xml:space="preserve">Jāņem vērā arī, ka valdes locekļu atlīdzība 2009.gadā tika samazināta par 52%.       </w:t>
            </w:r>
          </w:p>
          <w:p w:rsidR="006A486D" w:rsidRDefault="00A13CC8" w:rsidP="006A486D">
            <w:pPr>
              <w:jc w:val="both"/>
              <w:rPr>
                <w:rFonts w:eastAsia="Times New Roman" w:cs="Times New Roman"/>
                <w:sz w:val="24"/>
                <w:szCs w:val="24"/>
                <w:lang w:eastAsia="lv-LV"/>
              </w:rPr>
            </w:pPr>
            <w:r w:rsidRPr="007B35D6">
              <w:rPr>
                <w:rFonts w:eastAsia="Times New Roman" w:cs="Times New Roman"/>
                <w:sz w:val="24"/>
                <w:szCs w:val="24"/>
                <w:lang w:eastAsia="lv-LV"/>
              </w:rPr>
              <w:t>Tādējādi, lai motivētu valdes locekļus turpināt darbu kapitālsabiedrībā ir</w:t>
            </w:r>
            <w:r w:rsidR="00A1503F" w:rsidRPr="007B35D6">
              <w:rPr>
                <w:rFonts w:eastAsia="Times New Roman" w:cs="Times New Roman"/>
                <w:sz w:val="24"/>
                <w:szCs w:val="24"/>
                <w:lang w:eastAsia="lv-LV"/>
              </w:rPr>
              <w:t xml:space="preserve"> nepieciešams pārskatīt </w:t>
            </w:r>
            <w:r w:rsidRPr="007B35D6">
              <w:rPr>
                <w:rFonts w:eastAsia="Times New Roman" w:cs="Times New Roman"/>
                <w:sz w:val="24"/>
                <w:szCs w:val="24"/>
                <w:lang w:eastAsia="lv-LV"/>
              </w:rPr>
              <w:t xml:space="preserve">likumā noteiktos </w:t>
            </w:r>
            <w:r w:rsidR="00A1503F" w:rsidRPr="007B35D6">
              <w:rPr>
                <w:rFonts w:eastAsia="Times New Roman" w:cs="Times New Roman"/>
                <w:sz w:val="24"/>
                <w:szCs w:val="24"/>
                <w:lang w:eastAsia="lv-LV"/>
              </w:rPr>
              <w:t>atalgojuma</w:t>
            </w:r>
            <w:r w:rsidRPr="007B35D6">
              <w:rPr>
                <w:rFonts w:eastAsia="Times New Roman" w:cs="Times New Roman"/>
                <w:sz w:val="24"/>
                <w:szCs w:val="24"/>
                <w:lang w:eastAsia="lv-LV"/>
              </w:rPr>
              <w:t xml:space="preserve"> apmēra</w:t>
            </w:r>
            <w:r w:rsidR="00A1503F" w:rsidRPr="007B35D6">
              <w:rPr>
                <w:rFonts w:eastAsia="Times New Roman" w:cs="Times New Roman"/>
                <w:sz w:val="24"/>
                <w:szCs w:val="24"/>
                <w:lang w:eastAsia="lv-LV"/>
              </w:rPr>
              <w:t xml:space="preserve"> ierobežojumus</w:t>
            </w:r>
            <w:r w:rsidRPr="007B35D6">
              <w:rPr>
                <w:rFonts w:eastAsia="Times New Roman" w:cs="Times New Roman"/>
                <w:sz w:val="24"/>
                <w:szCs w:val="24"/>
                <w:lang w:eastAsia="lv-LV"/>
              </w:rPr>
              <w:t>,</w:t>
            </w:r>
            <w:r w:rsidR="00A1503F" w:rsidRPr="007B35D6">
              <w:rPr>
                <w:rFonts w:eastAsia="Times New Roman" w:cs="Times New Roman"/>
                <w:sz w:val="24"/>
                <w:szCs w:val="24"/>
                <w:lang w:eastAsia="lv-LV"/>
              </w:rPr>
              <w:t xml:space="preserve"> </w:t>
            </w:r>
            <w:r w:rsidRPr="007B35D6">
              <w:rPr>
                <w:rFonts w:eastAsia="Times New Roman" w:cs="Times New Roman"/>
                <w:sz w:val="24"/>
                <w:szCs w:val="24"/>
                <w:lang w:eastAsia="lv-LV"/>
              </w:rPr>
              <w:t>paaugstinot likumā noteiktos koeficientus</w:t>
            </w:r>
            <w:r w:rsidR="00ED59B5" w:rsidRPr="007B35D6">
              <w:rPr>
                <w:rFonts w:eastAsia="Times New Roman" w:cs="Times New Roman"/>
                <w:sz w:val="24"/>
                <w:szCs w:val="24"/>
                <w:lang w:eastAsia="lv-LV"/>
              </w:rPr>
              <w:t>.</w:t>
            </w:r>
          </w:p>
          <w:p w:rsidR="00C332BD" w:rsidRPr="007B35D6" w:rsidRDefault="00C332BD" w:rsidP="006A486D">
            <w:pPr>
              <w:jc w:val="both"/>
              <w:rPr>
                <w:rFonts w:eastAsia="Times New Roman" w:cs="Times New Roman"/>
                <w:sz w:val="24"/>
                <w:szCs w:val="24"/>
                <w:lang w:eastAsia="lv-LV"/>
              </w:rPr>
            </w:pPr>
          </w:p>
        </w:tc>
      </w:tr>
      <w:tr w:rsidR="0070526D" w:rsidRPr="007B35D6" w:rsidTr="00AF1F9B">
        <w:trPr>
          <w:trHeight w:val="735"/>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7B35D6" w:rsidRDefault="00920F14" w:rsidP="0070526D">
            <w:pPr>
              <w:spacing w:before="100" w:beforeAutospacing="1" w:after="100" w:afterAutospacing="1"/>
              <w:rPr>
                <w:rFonts w:eastAsia="Times New Roman" w:cs="Times New Roman"/>
                <w:sz w:val="24"/>
                <w:szCs w:val="24"/>
                <w:lang w:eastAsia="lv-LV"/>
              </w:rPr>
            </w:pPr>
            <w:r w:rsidRPr="007B35D6">
              <w:rPr>
                <w:rFonts w:cs="Times New Roman"/>
                <w:sz w:val="24"/>
                <w:szCs w:val="24"/>
                <w:lang w:eastAsia="ar-SA"/>
              </w:rPr>
              <w:t>Projekts šo jomu neskar.</w:t>
            </w:r>
          </w:p>
        </w:tc>
      </w:tr>
      <w:tr w:rsidR="0070526D" w:rsidRPr="007B35D6" w:rsidTr="00AF1F9B">
        <w:trPr>
          <w:trHeight w:val="384"/>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hideMark/>
          </w:tcPr>
          <w:p w:rsidR="007A4568" w:rsidRPr="007B35D6" w:rsidRDefault="0070526D" w:rsidP="00E62BCA">
            <w:pPr>
              <w:pStyle w:val="naisf"/>
              <w:spacing w:before="0" w:beforeAutospacing="0" w:after="0" w:afterAutospacing="0"/>
              <w:jc w:val="both"/>
            </w:pPr>
            <w:r w:rsidRPr="007B35D6">
              <w:t> </w:t>
            </w:r>
            <w:r w:rsidR="00786E73" w:rsidRPr="007B35D6">
              <w:t xml:space="preserve">Likumprojekts paredz pārskatīt un paaugstināt </w:t>
            </w:r>
            <w:r w:rsidR="00ED59B5" w:rsidRPr="007B35D6">
              <w:t>valsts un pašvaldību kapitālsabiedrību</w:t>
            </w:r>
            <w:r w:rsidR="004976BC" w:rsidRPr="007B35D6">
              <w:t xml:space="preserve">, kā arī valsts un pašvaldību kapitālsabiedrību, kuras darbojas kā kredītiestāde vai ieguldījumu pārvaldes sabiedrība, </w:t>
            </w:r>
            <w:r w:rsidR="00635F52" w:rsidRPr="007B35D6">
              <w:t>valdes</w:t>
            </w:r>
            <w:r w:rsidR="00ED59B5" w:rsidRPr="007B35D6">
              <w:t xml:space="preserve"> locekļu</w:t>
            </w:r>
            <w:r w:rsidR="00635F52" w:rsidRPr="007B35D6">
              <w:t xml:space="preserve"> </w:t>
            </w:r>
            <w:r w:rsidR="00ED59B5" w:rsidRPr="007B35D6">
              <w:t xml:space="preserve">atlīdzības </w:t>
            </w:r>
            <w:r w:rsidR="00F3719A" w:rsidRPr="007B35D6">
              <w:t>noteikšana</w:t>
            </w:r>
            <w:r w:rsidR="00F43C99" w:rsidRPr="007B35D6">
              <w:t>i piemērojamo</w:t>
            </w:r>
            <w:r w:rsidR="00F150D2" w:rsidRPr="007B35D6">
              <w:t xml:space="preserve"> maksimālo</w:t>
            </w:r>
            <w:r w:rsidR="00E62BCA" w:rsidRPr="007B35D6">
              <w:t xml:space="preserve"> koeficientu</w:t>
            </w:r>
            <w:r w:rsidR="00CE37D8" w:rsidRPr="007B35D6">
              <w:t>, paaugstinot no 6 uz 10, tādējādi</w:t>
            </w:r>
            <w:r w:rsidR="00F43C99" w:rsidRPr="007B35D6">
              <w:t xml:space="preserve"> </w:t>
            </w:r>
            <w:r w:rsidR="00CE37D8" w:rsidRPr="007B35D6">
              <w:t>motivējot valdes locekļus turpināt darbu kapitālsabiedrībā.</w:t>
            </w:r>
            <w:r w:rsidR="00185FBA" w:rsidRPr="007B35D6">
              <w:t xml:space="preserve"> Finanšu ministrijas prognozētā strādājošo 2012.gada mēneša vidējā darba samaksa </w:t>
            </w:r>
            <w:r w:rsidR="00DF3EB3" w:rsidRPr="007B35D6">
              <w:t>valstī ir</w:t>
            </w:r>
            <w:r w:rsidR="00185FBA" w:rsidRPr="007B35D6">
              <w:t xml:space="preserve"> 478 lati. Līdz ar to 2013.gadā īpaši lielās kapitālsabiedrībās maksimālā mēnešalga varētu sasniegt 4780 latus.</w:t>
            </w:r>
          </w:p>
          <w:p w:rsidR="00C5511E" w:rsidRDefault="00527BD0" w:rsidP="00982FBC">
            <w:pPr>
              <w:jc w:val="both"/>
              <w:rPr>
                <w:rFonts w:eastAsia="Times New Roman" w:cs="Times New Roman"/>
                <w:sz w:val="24"/>
                <w:szCs w:val="24"/>
                <w:lang w:eastAsia="lv-LV"/>
              </w:rPr>
            </w:pPr>
            <w:r w:rsidRPr="007B35D6">
              <w:rPr>
                <w:rFonts w:eastAsia="Times New Roman" w:cs="Times New Roman"/>
                <w:sz w:val="24"/>
                <w:szCs w:val="24"/>
                <w:lang w:eastAsia="lv-LV"/>
              </w:rPr>
              <w:t xml:space="preserve">Likumprojekts paredz arī, ka kapitālsabiedrībā, kurā valsts un pašvaldības kapitālsabiedrība ir ieguvusi visas kapitāla daļas </w:t>
            </w:r>
            <w:r w:rsidRPr="007B35D6">
              <w:rPr>
                <w:rFonts w:eastAsia="Times New Roman" w:cs="Times New Roman"/>
                <w:sz w:val="24"/>
                <w:szCs w:val="24"/>
                <w:lang w:eastAsia="lv-LV"/>
              </w:rPr>
              <w:lastRenderedPageBreak/>
              <w:t>vai balsstiesīgās akcijas, valdes</w:t>
            </w:r>
            <w:r w:rsidR="00E100DC" w:rsidRPr="007B35D6">
              <w:rPr>
                <w:rFonts w:eastAsia="Times New Roman" w:cs="Times New Roman"/>
                <w:sz w:val="24"/>
                <w:szCs w:val="24"/>
                <w:lang w:eastAsia="lv-LV"/>
              </w:rPr>
              <w:t xml:space="preserve"> locekļu atlīdzības noteikšanā</w:t>
            </w:r>
            <w:r w:rsidRPr="007B35D6">
              <w:rPr>
                <w:rFonts w:eastAsia="Times New Roman" w:cs="Times New Roman"/>
                <w:sz w:val="24"/>
                <w:szCs w:val="24"/>
                <w:lang w:eastAsia="lv-LV"/>
              </w:rPr>
              <w:t xml:space="preserve"> Centrālās statistikas pārvaldes noteiktais valstī strādājošo iepriekšējā gada mēneša vidējās darba samaksas apmēr</w:t>
            </w:r>
            <w:r w:rsidR="00E100DC" w:rsidRPr="007B35D6">
              <w:rPr>
                <w:rFonts w:eastAsia="Times New Roman" w:cs="Times New Roman"/>
                <w:sz w:val="24"/>
                <w:szCs w:val="24"/>
                <w:lang w:eastAsia="lv-LV"/>
              </w:rPr>
              <w:t>am piemēro</w:t>
            </w:r>
            <w:r w:rsidR="00E100DC" w:rsidRPr="007B35D6">
              <w:rPr>
                <w:rFonts w:cs="Times New Roman"/>
                <w:sz w:val="24"/>
                <w:szCs w:val="24"/>
              </w:rPr>
              <w:t xml:space="preserve"> </w:t>
            </w:r>
            <w:r w:rsidR="00E100DC" w:rsidRPr="007B35D6">
              <w:rPr>
                <w:rFonts w:eastAsia="Times New Roman" w:cs="Times New Roman"/>
                <w:sz w:val="24"/>
                <w:szCs w:val="24"/>
                <w:lang w:eastAsia="lv-LV"/>
              </w:rPr>
              <w:t>koeficientu, kurš nedrīkst būt lielāks par 10</w:t>
            </w:r>
            <w:r w:rsidRPr="007B35D6">
              <w:rPr>
                <w:rFonts w:eastAsia="Times New Roman" w:cs="Times New Roman"/>
                <w:sz w:val="24"/>
                <w:szCs w:val="24"/>
                <w:lang w:eastAsia="lv-LV"/>
              </w:rPr>
              <w:t>.</w:t>
            </w:r>
          </w:p>
          <w:p w:rsidR="00C332BD" w:rsidRPr="007B35D6" w:rsidRDefault="00C332BD" w:rsidP="00982FBC">
            <w:pPr>
              <w:jc w:val="both"/>
              <w:rPr>
                <w:rFonts w:eastAsia="Times New Roman" w:cs="Times New Roman"/>
                <w:sz w:val="24"/>
                <w:szCs w:val="24"/>
                <w:lang w:eastAsia="lv-LV"/>
              </w:rPr>
            </w:pPr>
          </w:p>
        </w:tc>
      </w:tr>
      <w:tr w:rsidR="0070526D" w:rsidRPr="007B35D6" w:rsidTr="00AF1F9B">
        <w:trPr>
          <w:trHeight w:val="476"/>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7B35D6" w:rsidRDefault="0070526D" w:rsidP="003E67CA">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r w:rsidR="0070526D" w:rsidRPr="007B35D6" w:rsidTr="00AF1F9B">
        <w:trPr>
          <w:trHeight w:val="694"/>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CB589D">
            <w:pPr>
              <w:rPr>
                <w:rFonts w:eastAsia="Times New Roman" w:cs="Times New Roman"/>
                <w:sz w:val="24"/>
                <w:szCs w:val="24"/>
                <w:lang w:eastAsia="lv-LV"/>
              </w:rPr>
            </w:pPr>
            <w:r w:rsidRPr="007B35D6">
              <w:rPr>
                <w:rFonts w:eastAsia="Times New Roman" w:cs="Times New Roman"/>
                <w:sz w:val="24"/>
                <w:szCs w:val="24"/>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Default="00A13CC8" w:rsidP="006758DD">
            <w:pPr>
              <w:jc w:val="both"/>
              <w:rPr>
                <w:rFonts w:eastAsia="Times New Roman" w:cs="Times New Roman"/>
                <w:sz w:val="24"/>
                <w:szCs w:val="24"/>
                <w:lang w:eastAsia="lv-LV"/>
              </w:rPr>
            </w:pPr>
            <w:r w:rsidRPr="007B35D6">
              <w:rPr>
                <w:rFonts w:eastAsia="Times New Roman" w:cs="Times New Roman"/>
                <w:sz w:val="24"/>
                <w:szCs w:val="24"/>
                <w:lang w:eastAsia="lv-LV"/>
              </w:rPr>
              <w:t>Likum</w:t>
            </w:r>
            <w:r w:rsidR="003D026D" w:rsidRPr="007B35D6">
              <w:rPr>
                <w:rFonts w:eastAsia="Times New Roman" w:cs="Times New Roman"/>
                <w:sz w:val="24"/>
                <w:szCs w:val="24"/>
                <w:lang w:eastAsia="lv-LV"/>
              </w:rPr>
              <w:t xml:space="preserve">projekts attiecas uz </w:t>
            </w:r>
            <w:r w:rsidR="00196ABD">
              <w:rPr>
                <w:rFonts w:eastAsia="Times New Roman" w:cs="Times New Roman"/>
                <w:sz w:val="24"/>
                <w:szCs w:val="24"/>
                <w:lang w:eastAsia="lv-LV"/>
              </w:rPr>
              <w:t>v</w:t>
            </w:r>
            <w:r w:rsidR="00196ABD" w:rsidRPr="00196ABD">
              <w:rPr>
                <w:rFonts w:eastAsia="Times New Roman" w:cs="Times New Roman"/>
                <w:sz w:val="24"/>
                <w:szCs w:val="24"/>
                <w:lang w:eastAsia="lv-LV"/>
              </w:rPr>
              <w:t>alsts un pašvaldību kapitālsabiedrīb</w:t>
            </w:r>
            <w:r w:rsidR="006758DD">
              <w:rPr>
                <w:rFonts w:eastAsia="Times New Roman" w:cs="Times New Roman"/>
                <w:sz w:val="24"/>
                <w:szCs w:val="24"/>
                <w:lang w:eastAsia="lv-LV"/>
              </w:rPr>
              <w:t>u</w:t>
            </w:r>
            <w:r w:rsidR="00196ABD" w:rsidRPr="00196ABD">
              <w:rPr>
                <w:rFonts w:eastAsia="Times New Roman" w:cs="Times New Roman"/>
                <w:sz w:val="24"/>
                <w:szCs w:val="24"/>
                <w:lang w:eastAsia="lv-LV"/>
              </w:rPr>
              <w:t xml:space="preserve"> un  kapitālsabiedrīb</w:t>
            </w:r>
            <w:r w:rsidR="006758DD">
              <w:rPr>
                <w:rFonts w:eastAsia="Times New Roman" w:cs="Times New Roman"/>
                <w:sz w:val="24"/>
                <w:szCs w:val="24"/>
                <w:lang w:eastAsia="lv-LV"/>
              </w:rPr>
              <w:t>u</w:t>
            </w:r>
            <w:r w:rsidR="00196ABD" w:rsidRPr="00196ABD">
              <w:rPr>
                <w:rFonts w:eastAsia="Times New Roman" w:cs="Times New Roman"/>
                <w:sz w:val="24"/>
                <w:szCs w:val="24"/>
                <w:lang w:eastAsia="lv-LV"/>
              </w:rPr>
              <w:t>, kurā valsts un pašvaldības kapitālsabiedrība ir ieguvusi visas kapitāla daļas vai balsstiesīgās akcijas valdes locekļi</w:t>
            </w:r>
            <w:r w:rsidR="00196ABD">
              <w:rPr>
                <w:rFonts w:eastAsia="Times New Roman" w:cs="Times New Roman"/>
                <w:sz w:val="24"/>
                <w:szCs w:val="24"/>
                <w:lang w:eastAsia="lv-LV"/>
              </w:rPr>
              <w:t>em</w:t>
            </w:r>
            <w:r w:rsidR="00196ABD" w:rsidRPr="00196ABD">
              <w:rPr>
                <w:rFonts w:eastAsia="Times New Roman" w:cs="Times New Roman"/>
                <w:sz w:val="24"/>
                <w:szCs w:val="24"/>
                <w:lang w:eastAsia="lv-LV"/>
              </w:rPr>
              <w:t xml:space="preserve">, </w:t>
            </w:r>
            <w:r w:rsidR="005A6935" w:rsidRPr="007B35D6">
              <w:rPr>
                <w:rFonts w:eastAsia="Times New Roman" w:cs="Times New Roman"/>
                <w:sz w:val="24"/>
                <w:szCs w:val="24"/>
                <w:lang w:eastAsia="lv-LV"/>
              </w:rPr>
              <w:t>tādēļ sabiedrības līdz</w:t>
            </w:r>
            <w:r w:rsidR="003D026D" w:rsidRPr="007B35D6">
              <w:rPr>
                <w:rFonts w:eastAsia="Times New Roman" w:cs="Times New Roman"/>
                <w:sz w:val="24"/>
                <w:szCs w:val="24"/>
                <w:lang w:eastAsia="lv-LV"/>
              </w:rPr>
              <w:t>dalība projekta izstrādē nebija nepieciešama.</w:t>
            </w:r>
          </w:p>
          <w:p w:rsidR="00C332BD" w:rsidRPr="007B35D6" w:rsidRDefault="00C332BD" w:rsidP="006758DD">
            <w:pPr>
              <w:jc w:val="both"/>
              <w:rPr>
                <w:rFonts w:eastAsia="Times New Roman" w:cs="Times New Roman"/>
                <w:sz w:val="24"/>
                <w:szCs w:val="24"/>
                <w:lang w:eastAsia="lv-LV"/>
              </w:rPr>
            </w:pPr>
          </w:p>
        </w:tc>
      </w:tr>
      <w:tr w:rsidR="0070526D" w:rsidRPr="007B35D6" w:rsidTr="00AF1F9B">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B35D6" w:rsidRPr="007B35D6" w:rsidRDefault="0070526D" w:rsidP="007B35D6">
            <w:pPr>
              <w:jc w:val="both"/>
              <w:rPr>
                <w:rFonts w:eastAsia="Times New Roman" w:cs="Times New Roman"/>
                <w:sz w:val="24"/>
                <w:szCs w:val="24"/>
                <w:lang w:eastAsia="lv-LV"/>
              </w:rPr>
            </w:pPr>
            <w:r w:rsidRPr="007B35D6">
              <w:rPr>
                <w:rFonts w:eastAsia="Times New Roman" w:cs="Times New Roman"/>
                <w:sz w:val="24"/>
                <w:szCs w:val="24"/>
                <w:lang w:eastAsia="lv-LV"/>
              </w:rPr>
              <w:t> </w:t>
            </w:r>
            <w:r w:rsidR="00D44E97">
              <w:rPr>
                <w:rFonts w:eastAsia="Times New Roman" w:cs="Times New Roman"/>
                <w:sz w:val="24"/>
                <w:szCs w:val="24"/>
                <w:lang w:eastAsia="lv-LV"/>
              </w:rPr>
              <w:t>Nav.</w:t>
            </w:r>
          </w:p>
          <w:p w:rsidR="00B472EE" w:rsidRPr="007B35D6" w:rsidRDefault="00E62BCA" w:rsidP="00B93D08">
            <w:pPr>
              <w:jc w:val="both"/>
              <w:rPr>
                <w:rFonts w:cs="Times New Roman"/>
                <w:sz w:val="24"/>
                <w:szCs w:val="24"/>
              </w:rPr>
            </w:pPr>
            <w:r w:rsidRPr="007B35D6">
              <w:rPr>
                <w:rFonts w:eastAsia="Times New Roman" w:cs="Times New Roman"/>
                <w:sz w:val="24"/>
                <w:szCs w:val="24"/>
                <w:lang w:eastAsia="lv-LV"/>
              </w:rPr>
              <w:t xml:space="preserve"> </w:t>
            </w:r>
          </w:p>
        </w:tc>
      </w:tr>
    </w:tbl>
    <w:p w:rsidR="00E03281" w:rsidRPr="007B35D6" w:rsidRDefault="00E03281">
      <w:pPr>
        <w:rPr>
          <w:rFonts w:cs="Times New Roman"/>
          <w:sz w:val="24"/>
          <w:szCs w:val="24"/>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2755"/>
        <w:gridCol w:w="5825"/>
      </w:tblGrid>
      <w:tr w:rsidR="0070526D" w:rsidRPr="007B35D6" w:rsidTr="00AF1F9B">
        <w:trPr>
          <w:tblCellSpacing w:w="0" w:type="dxa"/>
        </w:trPr>
        <w:tc>
          <w:tcPr>
            <w:tcW w:w="9228" w:type="dxa"/>
            <w:gridSpan w:val="3"/>
            <w:tcBorders>
              <w:top w:val="outset" w:sz="6" w:space="0" w:color="auto"/>
              <w:left w:val="outset" w:sz="6" w:space="0" w:color="auto"/>
              <w:bottom w:val="outset" w:sz="6" w:space="0" w:color="auto"/>
              <w:right w:val="outset" w:sz="6" w:space="0" w:color="auto"/>
            </w:tcBorders>
            <w:vAlign w:val="center"/>
            <w:hideMark/>
          </w:tcPr>
          <w:p w:rsidR="000D4F52" w:rsidRPr="007B35D6" w:rsidRDefault="0070526D" w:rsidP="007B35D6">
            <w:pPr>
              <w:spacing w:before="100" w:beforeAutospacing="1" w:after="100" w:afterAutospacing="1"/>
              <w:jc w:val="center"/>
              <w:rPr>
                <w:rFonts w:eastAsia="Times New Roman" w:cs="Times New Roman"/>
                <w:b/>
                <w:sz w:val="24"/>
                <w:szCs w:val="24"/>
                <w:lang w:eastAsia="lv-LV"/>
              </w:rPr>
            </w:pPr>
            <w:r w:rsidRPr="007B35D6">
              <w:rPr>
                <w:rFonts w:eastAsia="Times New Roman" w:cs="Times New Roman"/>
                <w:b/>
                <w:sz w:val="24"/>
                <w:szCs w:val="24"/>
                <w:lang w:eastAsia="lv-LV"/>
              </w:rPr>
              <w:t>II. Tiesību akta projekta ietekme uz sabiedrību</w:t>
            </w:r>
          </w:p>
        </w:tc>
      </w:tr>
      <w:tr w:rsidR="0070526D" w:rsidRPr="007B35D6" w:rsidTr="00AF1F9B">
        <w:trPr>
          <w:trHeight w:val="467"/>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xml:space="preserve"> Sabiedrības </w:t>
            </w:r>
            <w:proofErr w:type="spellStart"/>
            <w:r w:rsidRPr="007B35D6">
              <w:rPr>
                <w:rFonts w:eastAsia="Times New Roman" w:cs="Times New Roman"/>
                <w:sz w:val="24"/>
                <w:szCs w:val="24"/>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6758DD">
            <w:pPr>
              <w:spacing w:before="100" w:beforeAutospacing="1" w:after="100" w:afterAutospacing="1"/>
              <w:jc w:val="both"/>
              <w:rPr>
                <w:rFonts w:eastAsia="Times New Roman" w:cs="Times New Roman"/>
                <w:sz w:val="24"/>
                <w:szCs w:val="24"/>
                <w:lang w:eastAsia="lv-LV"/>
              </w:rPr>
            </w:pPr>
            <w:r w:rsidRPr="007B35D6">
              <w:rPr>
                <w:rFonts w:eastAsia="Times New Roman" w:cs="Times New Roman"/>
                <w:sz w:val="24"/>
                <w:szCs w:val="24"/>
                <w:lang w:eastAsia="lv-LV"/>
              </w:rPr>
              <w:t> </w:t>
            </w:r>
            <w:r w:rsidR="00F3719A" w:rsidRPr="007B35D6">
              <w:rPr>
                <w:rFonts w:eastAsia="Times New Roman" w:cs="Times New Roman"/>
                <w:sz w:val="24"/>
                <w:szCs w:val="24"/>
                <w:lang w:eastAsia="lv-LV"/>
              </w:rPr>
              <w:t>Valsts un pašvaldību kapitālsabiedrīb</w:t>
            </w:r>
            <w:r w:rsidR="006758DD">
              <w:rPr>
                <w:rFonts w:eastAsia="Times New Roman" w:cs="Times New Roman"/>
                <w:sz w:val="24"/>
                <w:szCs w:val="24"/>
                <w:lang w:eastAsia="lv-LV"/>
              </w:rPr>
              <w:t>u</w:t>
            </w:r>
            <w:r w:rsidR="00FB5A42" w:rsidRPr="007B35D6">
              <w:rPr>
                <w:rFonts w:eastAsia="Times New Roman" w:cs="Times New Roman"/>
                <w:sz w:val="24"/>
                <w:szCs w:val="24"/>
                <w:lang w:eastAsia="lv-LV"/>
              </w:rPr>
              <w:t xml:space="preserve">, </w:t>
            </w:r>
            <w:r w:rsidR="004B1316">
              <w:rPr>
                <w:rFonts w:eastAsia="Times New Roman" w:cs="Times New Roman"/>
                <w:sz w:val="24"/>
                <w:szCs w:val="24"/>
                <w:lang w:eastAsia="lv-LV"/>
              </w:rPr>
              <w:t>un</w:t>
            </w:r>
            <w:r w:rsidR="00FB5A42" w:rsidRPr="007B35D6">
              <w:rPr>
                <w:rFonts w:eastAsia="Times New Roman" w:cs="Times New Roman"/>
                <w:sz w:val="24"/>
                <w:szCs w:val="24"/>
                <w:lang w:eastAsia="lv-LV"/>
              </w:rPr>
              <w:t xml:space="preserve"> </w:t>
            </w:r>
            <w:r w:rsidR="00FB5A42" w:rsidRPr="007B35D6">
              <w:rPr>
                <w:rFonts w:cs="Times New Roman"/>
                <w:sz w:val="24"/>
                <w:szCs w:val="24"/>
              </w:rPr>
              <w:t xml:space="preserve"> </w:t>
            </w:r>
            <w:r w:rsidR="00FB5A42" w:rsidRPr="007B35D6">
              <w:rPr>
                <w:rFonts w:eastAsia="Times New Roman" w:cs="Times New Roman"/>
                <w:sz w:val="24"/>
                <w:szCs w:val="24"/>
                <w:lang w:eastAsia="lv-LV"/>
              </w:rPr>
              <w:t>kapitālsabiedrīb</w:t>
            </w:r>
            <w:r w:rsidR="006758DD">
              <w:rPr>
                <w:rFonts w:eastAsia="Times New Roman" w:cs="Times New Roman"/>
                <w:sz w:val="24"/>
                <w:szCs w:val="24"/>
                <w:lang w:eastAsia="lv-LV"/>
              </w:rPr>
              <w:t>u</w:t>
            </w:r>
            <w:r w:rsidR="00FB5A42" w:rsidRPr="007B35D6">
              <w:rPr>
                <w:rFonts w:eastAsia="Times New Roman" w:cs="Times New Roman"/>
                <w:sz w:val="24"/>
                <w:szCs w:val="24"/>
                <w:lang w:eastAsia="lv-LV"/>
              </w:rPr>
              <w:t>, kurā valsts un pašvaldības kapitālsabiedrība ir ieguvusi visas kapitāla daļas vai balsstiesīgās akcijas</w:t>
            </w:r>
            <w:r w:rsidR="00B5137A">
              <w:rPr>
                <w:rFonts w:eastAsia="Times New Roman" w:cs="Times New Roman"/>
                <w:sz w:val="24"/>
                <w:szCs w:val="24"/>
                <w:lang w:eastAsia="lv-LV"/>
              </w:rPr>
              <w:t xml:space="preserve"> valdes locekļi</w:t>
            </w:r>
            <w:r w:rsidR="00044385" w:rsidRPr="007B35D6">
              <w:rPr>
                <w:rFonts w:eastAsia="Times New Roman" w:cs="Times New Roman"/>
                <w:sz w:val="24"/>
                <w:szCs w:val="24"/>
                <w:lang w:eastAsia="lv-LV"/>
              </w:rPr>
              <w:t>.</w:t>
            </w:r>
            <w:r w:rsidR="00044385" w:rsidRPr="007B35D6">
              <w:rPr>
                <w:rFonts w:cs="Times New Roman"/>
                <w:sz w:val="24"/>
                <w:szCs w:val="24"/>
              </w:rPr>
              <w:t xml:space="preserve"> </w:t>
            </w:r>
          </w:p>
        </w:tc>
      </w:tr>
      <w:tr w:rsidR="0070526D" w:rsidRPr="007B35D6" w:rsidTr="00AF1F9B">
        <w:trPr>
          <w:trHeight w:val="523"/>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xml:space="preserve"> Citas sabiedrības grupas (bez </w:t>
            </w:r>
            <w:proofErr w:type="spellStart"/>
            <w:r w:rsidRPr="007B35D6">
              <w:rPr>
                <w:rFonts w:eastAsia="Times New Roman" w:cs="Times New Roman"/>
                <w:sz w:val="24"/>
                <w:szCs w:val="24"/>
                <w:lang w:eastAsia="lv-LV"/>
              </w:rPr>
              <w:t>mērķgrupas</w:t>
            </w:r>
            <w:proofErr w:type="spellEnd"/>
            <w:r w:rsidRPr="007B35D6">
              <w:rPr>
                <w:rFonts w:eastAsia="Times New Roman" w:cs="Times New Roman"/>
                <w:sz w:val="24"/>
                <w:szCs w:val="24"/>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E6B54">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r w:rsidR="0070526D" w:rsidRPr="007B35D6" w:rsidTr="00AF1F9B">
        <w:trPr>
          <w:trHeight w:val="517"/>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0C2E2C" w:rsidP="00E62BCA">
            <w:pPr>
              <w:spacing w:before="100" w:beforeAutospacing="1" w:after="100" w:afterAutospacing="1"/>
              <w:jc w:val="both"/>
              <w:rPr>
                <w:rFonts w:eastAsia="Times New Roman" w:cs="Times New Roman"/>
                <w:sz w:val="24"/>
                <w:szCs w:val="24"/>
                <w:lang w:eastAsia="lv-LV"/>
              </w:rPr>
            </w:pPr>
            <w:r w:rsidRPr="007B35D6">
              <w:rPr>
                <w:rFonts w:cs="Times New Roman"/>
                <w:sz w:val="24"/>
                <w:szCs w:val="24"/>
                <w:lang w:eastAsia="ar-SA"/>
              </w:rPr>
              <w:t xml:space="preserve">Likumprojektā iekļauto normu piemērošanas rezultātā valdes locekļu atlīdzība palielināsies. </w:t>
            </w:r>
          </w:p>
        </w:tc>
      </w:tr>
      <w:tr w:rsidR="0070526D" w:rsidRPr="007B35D6" w:rsidTr="00AF1F9B">
        <w:trPr>
          <w:trHeight w:val="517"/>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D90AC4">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r w:rsidR="0070526D" w:rsidRPr="007B35D6" w:rsidTr="00AF1F9B">
        <w:trPr>
          <w:trHeight w:val="531"/>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D90AC4">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r w:rsidR="0070526D" w:rsidRPr="007B35D6" w:rsidTr="00AF1F9B">
        <w:trPr>
          <w:trHeight w:val="357"/>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70526D">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6D3764">
            <w:pPr>
              <w:spacing w:before="100" w:beforeAutospacing="1" w:after="100" w:afterAutospacing="1"/>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r w:rsidR="0070526D" w:rsidRPr="007B35D6" w:rsidTr="00AF1F9B">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0526D" w:rsidRPr="007B35D6" w:rsidRDefault="0070526D" w:rsidP="00115E82">
            <w:pPr>
              <w:rPr>
                <w:rFonts w:eastAsia="Times New Roman" w:cs="Times New Roman"/>
                <w:sz w:val="24"/>
                <w:szCs w:val="24"/>
                <w:lang w:eastAsia="lv-LV"/>
              </w:rPr>
            </w:pPr>
            <w:r w:rsidRPr="007B35D6">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115E82">
            <w:pPr>
              <w:rPr>
                <w:rFonts w:eastAsia="Times New Roman" w:cs="Times New Roman"/>
                <w:sz w:val="24"/>
                <w:szCs w:val="24"/>
                <w:lang w:eastAsia="lv-LV"/>
              </w:rPr>
            </w:pPr>
            <w:r w:rsidRPr="007B35D6">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7B35D6" w:rsidRDefault="0070526D" w:rsidP="00115E82">
            <w:pPr>
              <w:rPr>
                <w:rFonts w:eastAsia="Times New Roman" w:cs="Times New Roman"/>
                <w:sz w:val="24"/>
                <w:szCs w:val="24"/>
                <w:lang w:eastAsia="lv-LV"/>
              </w:rPr>
            </w:pPr>
            <w:r w:rsidRPr="007B35D6">
              <w:rPr>
                <w:rFonts w:eastAsia="Times New Roman" w:cs="Times New Roman"/>
                <w:sz w:val="24"/>
                <w:szCs w:val="24"/>
                <w:lang w:eastAsia="lv-LV"/>
              </w:rPr>
              <w:t> </w:t>
            </w:r>
            <w:r w:rsidR="00920F14" w:rsidRPr="007B35D6">
              <w:rPr>
                <w:rFonts w:cs="Times New Roman"/>
                <w:sz w:val="24"/>
                <w:szCs w:val="24"/>
                <w:lang w:eastAsia="ar-SA"/>
              </w:rPr>
              <w:t>Projekts šo jomu neskar.</w:t>
            </w:r>
          </w:p>
        </w:tc>
      </w:tr>
    </w:tbl>
    <w:p w:rsidR="007B35D6" w:rsidRPr="007B35D6" w:rsidRDefault="007B35D6">
      <w:pPr>
        <w:rPr>
          <w:rFonts w:cs="Times New Roman"/>
          <w:sz w:val="24"/>
          <w:szCs w:val="24"/>
        </w:rPr>
      </w:pPr>
    </w:p>
    <w:tbl>
      <w:tblPr>
        <w:tblW w:w="9381" w:type="dxa"/>
        <w:jc w:val="center"/>
        <w:tblInd w:w="-201" w:type="dxa"/>
        <w:tblLayout w:type="fixed"/>
        <w:tblLook w:val="01E0" w:firstRow="1" w:lastRow="1" w:firstColumn="1" w:lastColumn="1" w:noHBand="0" w:noVBand="0"/>
      </w:tblPr>
      <w:tblGrid>
        <w:gridCol w:w="167"/>
        <w:gridCol w:w="1309"/>
        <w:gridCol w:w="601"/>
        <w:gridCol w:w="1371"/>
        <w:gridCol w:w="1470"/>
        <w:gridCol w:w="1672"/>
        <w:gridCol w:w="1672"/>
        <w:gridCol w:w="965"/>
        <w:gridCol w:w="154"/>
      </w:tblGrid>
      <w:tr w:rsidR="007B35D6" w:rsidRPr="00E03281" w:rsidTr="00DC76FF">
        <w:trPr>
          <w:gridAfter w:val="1"/>
          <w:wAfter w:w="154" w:type="dxa"/>
          <w:trHeight w:val="652"/>
          <w:jc w:val="center"/>
        </w:trPr>
        <w:tc>
          <w:tcPr>
            <w:tcW w:w="9227" w:type="dxa"/>
            <w:gridSpan w:val="8"/>
            <w:tcBorders>
              <w:top w:val="single" w:sz="4" w:space="0" w:color="auto"/>
              <w:left w:val="single" w:sz="4" w:space="0" w:color="auto"/>
              <w:bottom w:val="single" w:sz="4" w:space="0" w:color="auto"/>
              <w:right w:val="single" w:sz="4" w:space="0" w:color="auto"/>
            </w:tcBorders>
          </w:tcPr>
          <w:p w:rsidR="007B35D6" w:rsidRPr="00E03281" w:rsidRDefault="007B35D6" w:rsidP="00DC76FF">
            <w:pPr>
              <w:jc w:val="center"/>
              <w:rPr>
                <w:rFonts w:eastAsia="Times New Roman" w:cs="Times New Roman"/>
                <w:b/>
                <w:bCs/>
                <w:i/>
                <w:sz w:val="24"/>
                <w:szCs w:val="24"/>
                <w:lang w:eastAsia="lv-LV"/>
              </w:rPr>
            </w:pPr>
            <w:r w:rsidRPr="00E03281">
              <w:rPr>
                <w:rFonts w:eastAsia="Times New Roman" w:cs="Times New Roman"/>
                <w:b/>
                <w:bCs/>
                <w:sz w:val="24"/>
                <w:szCs w:val="24"/>
                <w:lang w:eastAsia="lv-LV"/>
              </w:rPr>
              <w:br w:type="page"/>
              <w:t>III. Tiesību akta projekta ietekme uz valsts budžetu un pašvaldību budžetiem</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val="restart"/>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b/>
                <w:bCs/>
                <w:sz w:val="24"/>
                <w:szCs w:val="24"/>
              </w:rPr>
            </w:pPr>
            <w:r w:rsidRPr="007B35D6">
              <w:rPr>
                <w:rFonts w:ascii="Times New Roman" w:hAnsi="Times New Roman"/>
                <w:b/>
                <w:bCs/>
                <w:sz w:val="24"/>
                <w:szCs w:val="24"/>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b/>
                <w:bCs/>
                <w:sz w:val="24"/>
                <w:szCs w:val="24"/>
              </w:rPr>
            </w:pPr>
            <w:r w:rsidRPr="007B35D6">
              <w:rPr>
                <w:rFonts w:ascii="Times New Roman" w:hAnsi="Times New Roman"/>
                <w:b/>
                <w:bCs/>
                <w:sz w:val="24"/>
                <w:szCs w:val="24"/>
              </w:rPr>
              <w:t>2012. gads</w:t>
            </w:r>
          </w:p>
        </w:tc>
        <w:tc>
          <w:tcPr>
            <w:tcW w:w="4463" w:type="dxa"/>
            <w:gridSpan w:val="4"/>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Turpmākie trīs gadi (</w:t>
            </w:r>
            <w:proofErr w:type="spellStart"/>
            <w:r w:rsidRPr="007B35D6">
              <w:rPr>
                <w:rFonts w:ascii="Times New Roman" w:hAnsi="Times New Roman"/>
                <w:sz w:val="24"/>
                <w:szCs w:val="24"/>
              </w:rPr>
              <w:t>tūkst</w:t>
            </w:r>
            <w:proofErr w:type="spellEnd"/>
            <w:smartTag w:uri="schemas-tilde-lv/tildestengine" w:element="currency2">
              <w:smartTagPr>
                <w:attr w:name="currency_id" w:val="48"/>
                <w:attr w:name="currency_key" w:val="LVL"/>
                <w:attr w:name="currency_value" w:val="."/>
                <w:attr w:name="currency_text" w:val="latu"/>
              </w:smartTagPr>
              <w:r w:rsidRPr="007B35D6">
                <w:rPr>
                  <w:rFonts w:ascii="Times New Roman" w:hAnsi="Times New Roman"/>
                  <w:sz w:val="24"/>
                  <w:szCs w:val="24"/>
                </w:rPr>
                <w:t>. latu</w:t>
              </w:r>
            </w:smartTag>
            <w:r w:rsidRPr="007B35D6">
              <w:rPr>
                <w:rFonts w:ascii="Times New Roman" w:hAnsi="Times New Roman"/>
                <w:sz w:val="24"/>
                <w:szCs w:val="24"/>
              </w:rPr>
              <w:t>)</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b/>
                <w:bCs/>
                <w:sz w:val="24"/>
                <w:szCs w:val="24"/>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b/>
                <w:bCs/>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b/>
                <w:bCs/>
                <w:sz w:val="24"/>
                <w:szCs w:val="24"/>
              </w:rPr>
            </w:pPr>
            <w:r w:rsidRPr="007B35D6">
              <w:rPr>
                <w:rFonts w:ascii="Times New Roman" w:hAnsi="Times New Roman"/>
                <w:b/>
                <w:bCs/>
                <w:sz w:val="24"/>
                <w:szCs w:val="24"/>
              </w:rPr>
              <w:t>2013</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b/>
                <w:bCs/>
                <w:sz w:val="24"/>
                <w:szCs w:val="24"/>
              </w:rPr>
            </w:pPr>
            <w:r w:rsidRPr="007B35D6">
              <w:rPr>
                <w:rFonts w:ascii="Times New Roman" w:hAnsi="Times New Roman"/>
                <w:b/>
                <w:bCs/>
                <w:sz w:val="24"/>
                <w:szCs w:val="24"/>
              </w:rPr>
              <w:t>2014</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b/>
                <w:bCs/>
                <w:sz w:val="24"/>
                <w:szCs w:val="24"/>
              </w:rPr>
            </w:pPr>
            <w:r w:rsidRPr="007B35D6">
              <w:rPr>
                <w:rFonts w:ascii="Times New Roman" w:hAnsi="Times New Roman"/>
                <w:b/>
                <w:bCs/>
                <w:sz w:val="24"/>
                <w:szCs w:val="24"/>
              </w:rPr>
              <w:t>2015</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b/>
                <w:bCs/>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Izmaiņas, salīdzinot ar kārtējo (2012) gadu</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Izmaiņas, salīdzinot ar kārtējo (2012) gadu</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Izmaiņas, salīdzinot ar kārtējo (2012) gadu</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1</w:t>
            </w:r>
          </w:p>
        </w:tc>
        <w:tc>
          <w:tcPr>
            <w:tcW w:w="1371"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3</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4</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5</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6</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 xml:space="preserve">1. Budžeta </w:t>
            </w:r>
            <w:r w:rsidRPr="007B35D6">
              <w:rPr>
                <w:rFonts w:ascii="Times New Roman" w:hAnsi="Times New Roman"/>
                <w:sz w:val="24"/>
                <w:szCs w:val="24"/>
              </w:rPr>
              <w:lastRenderedPageBreak/>
              <w:t>ieņēmumi:</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lastRenderedPageBreak/>
              <w:t>0</w:t>
            </w: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lastRenderedPageBreak/>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1.3. pašvaldību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2. Budžeta izdevumi:</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highlight w:val="green"/>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highlight w:val="green"/>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val="restart"/>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X</w:t>
            </w: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sz w:val="24"/>
                <w:szCs w:val="24"/>
              </w:rPr>
            </w:pPr>
            <w:r w:rsidRPr="007B35D6">
              <w:rPr>
                <w:rFonts w:cs="Times New Roman"/>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sz w:val="24"/>
                <w:szCs w:val="24"/>
              </w:rPr>
            </w:pPr>
            <w:r w:rsidRPr="007B35D6">
              <w:rPr>
                <w:rFonts w:cs="Times New Roman"/>
                <w:sz w:val="24"/>
                <w:szCs w:val="24"/>
              </w:rPr>
              <w:t>0</w:t>
            </w: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sz w:val="24"/>
                <w:szCs w:val="24"/>
              </w:rPr>
            </w:pPr>
            <w:r w:rsidRPr="007B35D6">
              <w:rPr>
                <w:rFonts w:cs="Times New Roman"/>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jc w:val="center"/>
              <w:rPr>
                <w:rFonts w:cs="Times New Roman"/>
                <w:sz w:val="24"/>
                <w:szCs w:val="24"/>
              </w:rPr>
            </w:pPr>
            <w:r w:rsidRPr="007B35D6">
              <w:rPr>
                <w:rFonts w:cs="Times New Roman"/>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jc w:val="center"/>
              <w:rPr>
                <w:rFonts w:ascii="Times New Roman" w:hAnsi="Times New Roman"/>
                <w:sz w:val="24"/>
                <w:szCs w:val="24"/>
              </w:rPr>
            </w:pPr>
            <w:r w:rsidRPr="007B35D6">
              <w:rPr>
                <w:rFonts w:ascii="Times New Roman" w:hAnsi="Times New Roman"/>
                <w:sz w:val="24"/>
                <w:szCs w:val="24"/>
              </w:rPr>
              <w:t>X</w:t>
            </w: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672" w:type="dxa"/>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jc w:val="center"/>
              <w:rPr>
                <w:rFonts w:cs="Times New Roman"/>
                <w:i/>
                <w:sz w:val="24"/>
                <w:szCs w:val="24"/>
              </w:rPr>
            </w:pPr>
            <w:r w:rsidRPr="007B35D6">
              <w:rPr>
                <w:rFonts w:cs="Times New Roman"/>
                <w:i/>
                <w:sz w:val="24"/>
                <w:szCs w:val="24"/>
              </w:rPr>
              <w:t>0</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rPr>
                <w:rFonts w:cs="Times New Roman"/>
                <w:i/>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blCellSpacing w:w="15" w:type="dxa"/>
        </w:trPr>
        <w:tc>
          <w:tcPr>
            <w:tcW w:w="1910"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ind w:right="-109"/>
              <w:rPr>
                <w:rFonts w:ascii="Times New Roman" w:hAnsi="Times New Roman"/>
                <w:sz w:val="24"/>
                <w:szCs w:val="24"/>
              </w:rPr>
            </w:pPr>
            <w:r w:rsidRPr="007B35D6">
              <w:rPr>
                <w:rFonts w:ascii="Times New Roman" w:hAnsi="Times New Roman"/>
                <w:sz w:val="24"/>
                <w:szCs w:val="24"/>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7B35D6" w:rsidRPr="007B35D6" w:rsidRDefault="007B35D6" w:rsidP="00DC76FF">
            <w:pPr>
              <w:ind w:right="-109"/>
              <w:rPr>
                <w:rFonts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ind w:right="-109"/>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ind w:right="-109"/>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ind w:right="-109"/>
              <w:rPr>
                <w:rFonts w:cs="Times New Roman"/>
                <w:sz w:val="24"/>
                <w:szCs w:val="24"/>
              </w:rPr>
            </w:pPr>
          </w:p>
        </w:tc>
        <w:tc>
          <w:tcPr>
            <w:tcW w:w="1119" w:type="dxa"/>
            <w:gridSpan w:val="2"/>
            <w:tcBorders>
              <w:top w:val="single" w:sz="4" w:space="0" w:color="auto"/>
              <w:left w:val="single" w:sz="4" w:space="0" w:color="auto"/>
              <w:bottom w:val="single" w:sz="4" w:space="0" w:color="auto"/>
              <w:right w:val="single" w:sz="4" w:space="0" w:color="auto"/>
            </w:tcBorders>
          </w:tcPr>
          <w:p w:rsidR="007B35D6" w:rsidRPr="007B35D6" w:rsidRDefault="007B35D6" w:rsidP="00DC76FF">
            <w:pPr>
              <w:ind w:right="-109"/>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rHeight w:val="142"/>
          <w:tblCellSpacing w:w="15" w:type="dxa"/>
        </w:trPr>
        <w:tc>
          <w:tcPr>
            <w:tcW w:w="9214" w:type="dxa"/>
            <w:gridSpan w:val="8"/>
            <w:tcBorders>
              <w:top w:val="single" w:sz="4" w:space="0" w:color="auto"/>
              <w:left w:val="single" w:sz="4" w:space="0" w:color="auto"/>
              <w:bottom w:val="single" w:sz="4" w:space="0" w:color="auto"/>
              <w:right w:val="single" w:sz="4" w:space="0" w:color="auto"/>
            </w:tcBorders>
          </w:tcPr>
          <w:p w:rsidR="007B35D6" w:rsidRPr="007B35D6" w:rsidRDefault="007B35D6" w:rsidP="00DC76FF">
            <w:pPr>
              <w:ind w:right="-109"/>
              <w:rPr>
                <w:rFonts w:cs="Times New Roman"/>
                <w:sz w:val="24"/>
                <w:szCs w:val="24"/>
              </w:rPr>
            </w:pPr>
            <w:r w:rsidRPr="007B35D6">
              <w:rPr>
                <w:rFonts w:cs="Times New Roman"/>
                <w:sz w:val="24"/>
                <w:szCs w:val="24"/>
              </w:rPr>
              <w:lastRenderedPageBreak/>
              <w:t>6. Detalizēts ieņēmumu un izdevumu aprēķins (ja nepieciešams, detalizētu ieņēmumu un izdevumu aprēķinu var pievienot anotācijas pielikumā):</w:t>
            </w: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rHeight w:val="142"/>
          <w:tblCellSpacing w:w="15" w:type="dxa"/>
        </w:trPr>
        <w:tc>
          <w:tcPr>
            <w:tcW w:w="1309"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6.1. detalizēts ieņēmumu aprēķins</w:t>
            </w:r>
          </w:p>
        </w:tc>
        <w:tc>
          <w:tcPr>
            <w:tcW w:w="79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35D6" w:rsidRPr="007B35D6" w:rsidRDefault="007B35D6" w:rsidP="00DC76FF">
            <w:pPr>
              <w:rPr>
                <w:rFonts w:cs="Times New Roman"/>
                <w:sz w:val="24"/>
                <w:szCs w:val="24"/>
              </w:rPr>
            </w:pPr>
          </w:p>
          <w:p w:rsidR="007B35D6" w:rsidRPr="007B35D6" w:rsidRDefault="007B35D6" w:rsidP="00DC76FF">
            <w:pPr>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rHeight w:val="1093"/>
          <w:tblCellSpacing w:w="15" w:type="dxa"/>
        </w:trPr>
        <w:tc>
          <w:tcPr>
            <w:tcW w:w="1309"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6.2. detalizēts izdevumu aprēķins</w:t>
            </w:r>
          </w:p>
        </w:tc>
        <w:tc>
          <w:tcPr>
            <w:tcW w:w="7905" w:type="dxa"/>
            <w:gridSpan w:val="7"/>
            <w:tcBorders>
              <w:top w:val="single" w:sz="4" w:space="0" w:color="auto"/>
              <w:left w:val="single" w:sz="4" w:space="0" w:color="auto"/>
              <w:bottom w:val="single" w:sz="4" w:space="0" w:color="auto"/>
              <w:right w:val="single" w:sz="4" w:space="0" w:color="auto"/>
            </w:tcBorders>
            <w:shd w:val="clear" w:color="auto" w:fill="auto"/>
          </w:tcPr>
          <w:p w:rsidR="007B35D6" w:rsidRPr="007B35D6" w:rsidRDefault="007B35D6" w:rsidP="00DC76FF">
            <w:pPr>
              <w:rPr>
                <w:rFonts w:cs="Times New Roman"/>
                <w:sz w:val="24"/>
                <w:szCs w:val="24"/>
              </w:rPr>
            </w:pPr>
          </w:p>
        </w:tc>
      </w:tr>
      <w:tr w:rsidR="007B35D6" w:rsidRPr="007B35D6" w:rsidTr="00DC76FF">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67" w:type="dxa"/>
          <w:trHeight w:val="547"/>
          <w:tblCellSpacing w:w="15" w:type="dxa"/>
        </w:trPr>
        <w:tc>
          <w:tcPr>
            <w:tcW w:w="1309" w:type="dxa"/>
            <w:tcBorders>
              <w:top w:val="single" w:sz="4" w:space="0" w:color="auto"/>
              <w:left w:val="single" w:sz="4" w:space="0" w:color="auto"/>
              <w:bottom w:val="single" w:sz="4" w:space="0" w:color="auto"/>
              <w:right w:val="single" w:sz="4" w:space="0" w:color="auto"/>
            </w:tcBorders>
          </w:tcPr>
          <w:p w:rsidR="007B35D6" w:rsidRPr="007B35D6" w:rsidRDefault="007B35D6" w:rsidP="00DC76FF">
            <w:pPr>
              <w:pStyle w:val="NormalWeb"/>
              <w:rPr>
                <w:rFonts w:ascii="Times New Roman" w:hAnsi="Times New Roman"/>
                <w:sz w:val="24"/>
                <w:szCs w:val="24"/>
              </w:rPr>
            </w:pPr>
            <w:r w:rsidRPr="007B35D6">
              <w:rPr>
                <w:rFonts w:ascii="Times New Roman" w:hAnsi="Times New Roman"/>
                <w:sz w:val="24"/>
                <w:szCs w:val="24"/>
              </w:rPr>
              <w:t>7. Cita informācija</w:t>
            </w:r>
          </w:p>
        </w:tc>
        <w:tc>
          <w:tcPr>
            <w:tcW w:w="7905" w:type="dxa"/>
            <w:gridSpan w:val="7"/>
            <w:tcBorders>
              <w:top w:val="single" w:sz="4" w:space="0" w:color="auto"/>
              <w:left w:val="single" w:sz="4" w:space="0" w:color="auto"/>
              <w:bottom w:val="single" w:sz="4" w:space="0" w:color="auto"/>
              <w:right w:val="single" w:sz="4" w:space="0" w:color="auto"/>
            </w:tcBorders>
          </w:tcPr>
          <w:p w:rsidR="007B35D6" w:rsidRPr="007B35D6" w:rsidRDefault="007B35D6" w:rsidP="00144481">
            <w:pPr>
              <w:ind w:firstLine="191"/>
              <w:jc w:val="both"/>
              <w:rPr>
                <w:rFonts w:cs="Times New Roman"/>
                <w:sz w:val="24"/>
                <w:szCs w:val="24"/>
              </w:rPr>
            </w:pPr>
            <w:r w:rsidRPr="007B35D6">
              <w:rPr>
                <w:rFonts w:eastAsia="Times New Roman" w:cs="Times New Roman"/>
                <w:sz w:val="24"/>
                <w:szCs w:val="24"/>
                <w:lang w:eastAsia="lv-LV"/>
              </w:rPr>
              <w:t xml:space="preserve"> </w:t>
            </w:r>
            <w:r w:rsidR="00C36BDF">
              <w:rPr>
                <w:rFonts w:eastAsia="Times New Roman" w:cs="Times New Roman"/>
                <w:sz w:val="24"/>
                <w:szCs w:val="24"/>
                <w:lang w:eastAsia="lv-LV"/>
              </w:rPr>
              <w:t xml:space="preserve">     V</w:t>
            </w:r>
            <w:r w:rsidR="00C36BDF" w:rsidRPr="007B35D6">
              <w:rPr>
                <w:rFonts w:cs="Times New Roman"/>
                <w:sz w:val="24"/>
                <w:szCs w:val="24"/>
              </w:rPr>
              <w:t xml:space="preserve">alsts </w:t>
            </w:r>
            <w:r w:rsidR="00144481">
              <w:rPr>
                <w:rFonts w:cs="Times New Roman"/>
                <w:sz w:val="24"/>
                <w:szCs w:val="24"/>
              </w:rPr>
              <w:t>un</w:t>
            </w:r>
            <w:r w:rsidR="00C36BDF" w:rsidRPr="007B35D6">
              <w:rPr>
                <w:rFonts w:cs="Times New Roman"/>
                <w:sz w:val="24"/>
                <w:szCs w:val="24"/>
              </w:rPr>
              <w:t xml:space="preserve"> pašvaldību kapitālsabiedrību</w:t>
            </w:r>
            <w:r w:rsidR="00C36BDF">
              <w:rPr>
                <w:rFonts w:cs="Times New Roman"/>
                <w:sz w:val="24"/>
                <w:szCs w:val="24"/>
              </w:rPr>
              <w:t xml:space="preserve"> valdes locekļu mēnešalgu paaugstināšanas rezultātā pieaugs ieņēmumi valsts budžetā no tiešajiem nodokļiem. </w:t>
            </w:r>
            <w:r w:rsidR="00C36BDF">
              <w:rPr>
                <w:rFonts w:eastAsia="Times New Roman" w:cs="Times New Roman"/>
                <w:sz w:val="24"/>
                <w:szCs w:val="24"/>
                <w:lang w:eastAsia="lv-LV"/>
              </w:rPr>
              <w:t xml:space="preserve">Prognozētais ieņēmumu no tiešajiem nodokļiem pieaugums 2013.gadā varētu būt 950 </w:t>
            </w:r>
            <w:proofErr w:type="spellStart"/>
            <w:r w:rsidR="00C36BDF">
              <w:rPr>
                <w:rFonts w:eastAsia="Times New Roman" w:cs="Times New Roman"/>
                <w:sz w:val="24"/>
                <w:szCs w:val="24"/>
                <w:lang w:eastAsia="lv-LV"/>
              </w:rPr>
              <w:t>tūkst</w:t>
            </w:r>
            <w:proofErr w:type="spellEnd"/>
            <w:r w:rsidR="00C36BDF">
              <w:rPr>
                <w:rFonts w:eastAsia="Times New Roman" w:cs="Times New Roman"/>
                <w:sz w:val="24"/>
                <w:szCs w:val="24"/>
                <w:lang w:eastAsia="lv-LV"/>
              </w:rPr>
              <w:t xml:space="preserve">. latu, </w:t>
            </w:r>
            <w:proofErr w:type="spellStart"/>
            <w:r w:rsidR="00C36BDF">
              <w:rPr>
                <w:rFonts w:eastAsia="Times New Roman" w:cs="Times New Roman"/>
                <w:sz w:val="24"/>
                <w:szCs w:val="24"/>
                <w:lang w:eastAsia="lv-LV"/>
              </w:rPr>
              <w:t>t.sk</w:t>
            </w:r>
            <w:proofErr w:type="spellEnd"/>
            <w:r w:rsidR="00C36BDF">
              <w:rPr>
                <w:rFonts w:eastAsia="Times New Roman" w:cs="Times New Roman"/>
                <w:sz w:val="24"/>
                <w:szCs w:val="24"/>
                <w:lang w:eastAsia="lv-LV"/>
              </w:rPr>
              <w:t xml:space="preserve">. iedzīvotāju ienākuma nodokļa </w:t>
            </w:r>
            <w:r w:rsidR="00144481">
              <w:rPr>
                <w:rFonts w:eastAsia="Times New Roman" w:cs="Times New Roman"/>
                <w:sz w:val="24"/>
                <w:szCs w:val="24"/>
                <w:lang w:eastAsia="lv-LV"/>
              </w:rPr>
              <w:t xml:space="preserve">ieņēmumu </w:t>
            </w:r>
            <w:r w:rsidR="00C36BDF">
              <w:rPr>
                <w:rFonts w:eastAsia="Times New Roman" w:cs="Times New Roman"/>
                <w:sz w:val="24"/>
                <w:szCs w:val="24"/>
                <w:lang w:eastAsia="lv-LV"/>
              </w:rPr>
              <w:t xml:space="preserve">pieaugums 360 tūkst latu, un valsts obligāto sociālās apdrošināšanas iemaksu pieaugums 590 </w:t>
            </w:r>
            <w:proofErr w:type="spellStart"/>
            <w:r w:rsidR="00C36BDF">
              <w:rPr>
                <w:rFonts w:eastAsia="Times New Roman" w:cs="Times New Roman"/>
                <w:sz w:val="24"/>
                <w:szCs w:val="24"/>
                <w:lang w:eastAsia="lv-LV"/>
              </w:rPr>
              <w:t>tūkst</w:t>
            </w:r>
            <w:proofErr w:type="spellEnd"/>
            <w:r w:rsidR="00C36BDF">
              <w:rPr>
                <w:rFonts w:eastAsia="Times New Roman" w:cs="Times New Roman"/>
                <w:sz w:val="24"/>
                <w:szCs w:val="24"/>
                <w:lang w:eastAsia="lv-LV"/>
              </w:rPr>
              <w:t>. latu.</w:t>
            </w:r>
          </w:p>
        </w:tc>
      </w:tr>
    </w:tbl>
    <w:p w:rsidR="007B35D6" w:rsidRPr="007B35D6" w:rsidRDefault="007B35D6">
      <w:pPr>
        <w:rPr>
          <w:rFonts w:cs="Times New Roman"/>
          <w:sz w:val="24"/>
          <w:szCs w:val="24"/>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2181"/>
        <w:gridCol w:w="50"/>
        <w:gridCol w:w="6328"/>
      </w:tblGrid>
      <w:tr w:rsidR="00C50770" w:rsidRPr="007B35D6" w:rsidTr="00AF1F9B">
        <w:trPr>
          <w:tblCellSpacing w:w="0" w:type="dxa"/>
        </w:trPr>
        <w:tc>
          <w:tcPr>
            <w:tcW w:w="655" w:type="dxa"/>
            <w:tcBorders>
              <w:top w:val="outset" w:sz="6" w:space="0" w:color="auto"/>
              <w:left w:val="outset" w:sz="6" w:space="0" w:color="auto"/>
              <w:bottom w:val="outset" w:sz="6" w:space="0" w:color="auto"/>
              <w:right w:val="outset" w:sz="6" w:space="0" w:color="auto"/>
            </w:tcBorders>
          </w:tcPr>
          <w:p w:rsidR="00C50770" w:rsidRPr="007B35D6" w:rsidRDefault="0070526D" w:rsidP="005077D8">
            <w:pPr>
              <w:spacing w:before="100" w:beforeAutospacing="1" w:after="100" w:afterAutospacing="1"/>
              <w:rPr>
                <w:rFonts w:cs="Times New Roman"/>
                <w:b/>
                <w:sz w:val="24"/>
                <w:szCs w:val="24"/>
              </w:rPr>
            </w:pPr>
            <w:r w:rsidRPr="007B35D6">
              <w:rPr>
                <w:rFonts w:eastAsia="Times New Roman" w:cs="Times New Roman"/>
                <w:sz w:val="24"/>
                <w:szCs w:val="24"/>
                <w:lang w:eastAsia="lv-LV"/>
              </w:rPr>
              <w:t> </w:t>
            </w:r>
          </w:p>
        </w:tc>
        <w:tc>
          <w:tcPr>
            <w:tcW w:w="8559" w:type="dxa"/>
            <w:gridSpan w:val="3"/>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b/>
                <w:sz w:val="24"/>
                <w:szCs w:val="24"/>
              </w:rPr>
            </w:pPr>
            <w:r w:rsidRPr="007B35D6">
              <w:rPr>
                <w:rFonts w:cs="Times New Roman"/>
                <w:b/>
                <w:sz w:val="24"/>
                <w:szCs w:val="24"/>
              </w:rPr>
              <w:t> IV. Tiesību akta projekta ietekme uz spēkā esošo tiesību normu sistēmu</w:t>
            </w:r>
          </w:p>
          <w:p w:rsidR="000D4F52" w:rsidRPr="007B35D6" w:rsidRDefault="000D4F52" w:rsidP="005077D8">
            <w:pPr>
              <w:spacing w:before="100" w:beforeAutospacing="1" w:after="100" w:afterAutospacing="1"/>
              <w:rPr>
                <w:rFonts w:cs="Times New Roman"/>
                <w:b/>
                <w:sz w:val="24"/>
                <w:szCs w:val="24"/>
              </w:rPr>
            </w:pPr>
          </w:p>
        </w:tc>
      </w:tr>
      <w:tr w:rsidR="00C50770" w:rsidRPr="007B35D6" w:rsidTr="00AF1F9B">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sz w:val="24"/>
                <w:szCs w:val="24"/>
              </w:rPr>
            </w:pPr>
            <w:r w:rsidRPr="007B35D6">
              <w:rPr>
                <w:rFonts w:cs="Times New Roman"/>
                <w:sz w:val="24"/>
                <w:szCs w:val="24"/>
              </w:rPr>
              <w:t> 1.</w:t>
            </w:r>
          </w:p>
        </w:tc>
        <w:tc>
          <w:tcPr>
            <w:tcW w:w="2181" w:type="dxa"/>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sz w:val="24"/>
                <w:szCs w:val="24"/>
              </w:rPr>
            </w:pPr>
            <w:r w:rsidRPr="007B35D6">
              <w:rPr>
                <w:rFonts w:cs="Times New Roman"/>
                <w:sz w:val="24"/>
                <w:szCs w:val="24"/>
              </w:rPr>
              <w:t> Nepieciešamie saistītie tiesību aktu projekti</w:t>
            </w:r>
          </w:p>
        </w:tc>
        <w:tc>
          <w:tcPr>
            <w:tcW w:w="50" w:type="dxa"/>
            <w:tcBorders>
              <w:top w:val="outset" w:sz="6" w:space="0" w:color="auto"/>
              <w:left w:val="outset" w:sz="6" w:space="0" w:color="auto"/>
              <w:bottom w:val="outset" w:sz="6" w:space="0" w:color="auto"/>
              <w:right w:val="outset" w:sz="6" w:space="0" w:color="auto"/>
            </w:tcBorders>
          </w:tcPr>
          <w:p w:rsidR="00C50770" w:rsidRPr="007B35D6" w:rsidRDefault="00C50770" w:rsidP="005077D8">
            <w:pPr>
              <w:ind w:left="45"/>
              <w:jc w:val="both"/>
              <w:rPr>
                <w:rFonts w:cs="Times New Roman"/>
                <w:sz w:val="24"/>
                <w:szCs w:val="24"/>
              </w:rPr>
            </w:pPr>
          </w:p>
        </w:tc>
        <w:tc>
          <w:tcPr>
            <w:tcW w:w="6328" w:type="dxa"/>
            <w:tcBorders>
              <w:top w:val="outset" w:sz="6" w:space="0" w:color="auto"/>
              <w:left w:val="outset" w:sz="6" w:space="0" w:color="auto"/>
              <w:bottom w:val="outset" w:sz="6" w:space="0" w:color="auto"/>
              <w:right w:val="outset" w:sz="6" w:space="0" w:color="auto"/>
            </w:tcBorders>
            <w:hideMark/>
          </w:tcPr>
          <w:p w:rsidR="00C50770" w:rsidRPr="007B35D6" w:rsidRDefault="009610B2" w:rsidP="00C50770">
            <w:pPr>
              <w:jc w:val="both"/>
              <w:rPr>
                <w:rFonts w:cs="Times New Roman"/>
                <w:sz w:val="24"/>
                <w:szCs w:val="24"/>
              </w:rPr>
            </w:pPr>
            <w:r w:rsidRPr="007B35D6">
              <w:rPr>
                <w:rFonts w:cs="Times New Roman"/>
                <w:sz w:val="24"/>
                <w:szCs w:val="24"/>
              </w:rPr>
              <w:t>Jāp</w:t>
            </w:r>
            <w:r w:rsidR="00B93D08" w:rsidRPr="007B35D6">
              <w:rPr>
                <w:rFonts w:cs="Times New Roman"/>
                <w:sz w:val="24"/>
                <w:szCs w:val="24"/>
              </w:rPr>
              <w:t>recizē</w:t>
            </w:r>
            <w:r w:rsidR="00C50770" w:rsidRPr="007B35D6">
              <w:rPr>
                <w:rFonts w:cs="Times New Roman"/>
                <w:sz w:val="24"/>
                <w:szCs w:val="24"/>
              </w:rPr>
              <w:t xml:space="preserve"> Ministru kabineta 2010.gada 30.marta noteikum</w:t>
            </w:r>
            <w:r w:rsidRPr="007B35D6">
              <w:rPr>
                <w:rFonts w:cs="Times New Roman"/>
                <w:sz w:val="24"/>
                <w:szCs w:val="24"/>
              </w:rPr>
              <w:t>i</w:t>
            </w:r>
            <w:r w:rsidR="00C50770" w:rsidRPr="007B35D6">
              <w:rPr>
                <w:rFonts w:cs="Times New Roman"/>
                <w:sz w:val="24"/>
                <w:szCs w:val="24"/>
              </w:rPr>
              <w:t xml:space="preserve"> Nr.311 „Noteikumi par valsts vai pašvaldību kapitālsabiedrību valdes locekļu skaitu, padomes un valdes locekļa, pašvaldības kapitāla daļu turētāja pārstāvja un atbildīgā darbinieka atlīdzību”, </w:t>
            </w:r>
            <w:r w:rsidRPr="007B35D6">
              <w:rPr>
                <w:rFonts w:cs="Times New Roman"/>
                <w:sz w:val="24"/>
                <w:szCs w:val="24"/>
              </w:rPr>
              <w:t>piemērojot</w:t>
            </w:r>
            <w:r w:rsidR="00C50770" w:rsidRPr="007B35D6">
              <w:rPr>
                <w:rFonts w:cs="Times New Roman"/>
                <w:sz w:val="24"/>
                <w:szCs w:val="24"/>
              </w:rPr>
              <w:t xml:space="preserve"> tajā esošo regulējumu </w:t>
            </w:r>
            <w:r w:rsidRPr="007B35D6">
              <w:rPr>
                <w:rFonts w:cs="Times New Roman"/>
                <w:sz w:val="24"/>
                <w:szCs w:val="24"/>
              </w:rPr>
              <w:t>grozījumiem</w:t>
            </w:r>
            <w:r w:rsidR="00C50770" w:rsidRPr="007B35D6">
              <w:rPr>
                <w:rFonts w:cs="Times New Roman"/>
                <w:sz w:val="24"/>
                <w:szCs w:val="24"/>
              </w:rPr>
              <w:t xml:space="preserve"> likum</w:t>
            </w:r>
            <w:r w:rsidRPr="007B35D6">
              <w:rPr>
                <w:rFonts w:cs="Times New Roman"/>
                <w:sz w:val="24"/>
                <w:szCs w:val="24"/>
              </w:rPr>
              <w:t>ā</w:t>
            </w:r>
            <w:r w:rsidR="00C50770" w:rsidRPr="007B35D6">
              <w:rPr>
                <w:rFonts w:cs="Times New Roman"/>
                <w:sz w:val="24"/>
                <w:szCs w:val="24"/>
              </w:rPr>
              <w:t>.</w:t>
            </w:r>
          </w:p>
          <w:p w:rsidR="00C50770" w:rsidRPr="007B35D6" w:rsidRDefault="00C50770" w:rsidP="00E62BCA">
            <w:pPr>
              <w:jc w:val="both"/>
              <w:rPr>
                <w:rFonts w:cs="Times New Roman"/>
                <w:sz w:val="24"/>
                <w:szCs w:val="24"/>
              </w:rPr>
            </w:pPr>
            <w:r w:rsidRPr="007B35D6">
              <w:rPr>
                <w:rFonts w:cs="Times New Roman"/>
                <w:bCs/>
                <w:sz w:val="24"/>
                <w:szCs w:val="24"/>
              </w:rPr>
              <w:t>Atbildīgā ministrija - Finanšu ministrija.</w:t>
            </w:r>
          </w:p>
        </w:tc>
      </w:tr>
      <w:tr w:rsidR="00C50770" w:rsidRPr="007B35D6" w:rsidTr="00AF1F9B">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sz w:val="24"/>
                <w:szCs w:val="24"/>
              </w:rPr>
            </w:pPr>
            <w:r w:rsidRPr="007B35D6">
              <w:rPr>
                <w:rFonts w:cs="Times New Roman"/>
                <w:sz w:val="24"/>
                <w:szCs w:val="24"/>
              </w:rPr>
              <w:t> 2.</w:t>
            </w:r>
          </w:p>
        </w:tc>
        <w:tc>
          <w:tcPr>
            <w:tcW w:w="2181" w:type="dxa"/>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sz w:val="24"/>
                <w:szCs w:val="24"/>
              </w:rPr>
            </w:pPr>
            <w:r w:rsidRPr="007B35D6">
              <w:rPr>
                <w:rFonts w:cs="Times New Roman"/>
                <w:sz w:val="24"/>
                <w:szCs w:val="24"/>
              </w:rPr>
              <w:t> Cita informācija</w:t>
            </w:r>
          </w:p>
        </w:tc>
        <w:tc>
          <w:tcPr>
            <w:tcW w:w="50" w:type="dxa"/>
            <w:tcBorders>
              <w:top w:val="outset" w:sz="6" w:space="0" w:color="auto"/>
              <w:left w:val="outset" w:sz="6" w:space="0" w:color="auto"/>
              <w:bottom w:val="outset" w:sz="6" w:space="0" w:color="auto"/>
              <w:right w:val="outset" w:sz="6" w:space="0" w:color="auto"/>
            </w:tcBorders>
          </w:tcPr>
          <w:p w:rsidR="00C50770" w:rsidRPr="007B35D6" w:rsidRDefault="00C50770" w:rsidP="005077D8">
            <w:pPr>
              <w:spacing w:before="100" w:beforeAutospacing="1" w:after="100" w:afterAutospacing="1"/>
              <w:rPr>
                <w:rFonts w:cs="Times New Roman"/>
                <w:sz w:val="24"/>
                <w:szCs w:val="24"/>
              </w:rPr>
            </w:pPr>
          </w:p>
        </w:tc>
        <w:tc>
          <w:tcPr>
            <w:tcW w:w="6328" w:type="dxa"/>
            <w:tcBorders>
              <w:top w:val="outset" w:sz="6" w:space="0" w:color="auto"/>
              <w:left w:val="outset" w:sz="6" w:space="0" w:color="auto"/>
              <w:bottom w:val="outset" w:sz="6" w:space="0" w:color="auto"/>
              <w:right w:val="outset" w:sz="6" w:space="0" w:color="auto"/>
            </w:tcBorders>
            <w:hideMark/>
          </w:tcPr>
          <w:p w:rsidR="00C50770" w:rsidRPr="007B35D6" w:rsidRDefault="00C50770" w:rsidP="005077D8">
            <w:pPr>
              <w:spacing w:before="100" w:beforeAutospacing="1" w:after="100" w:afterAutospacing="1"/>
              <w:rPr>
                <w:rFonts w:cs="Times New Roman"/>
                <w:sz w:val="24"/>
                <w:szCs w:val="24"/>
              </w:rPr>
            </w:pPr>
            <w:r w:rsidRPr="007B35D6">
              <w:rPr>
                <w:rFonts w:cs="Times New Roman"/>
                <w:sz w:val="24"/>
                <w:szCs w:val="24"/>
              </w:rPr>
              <w:t> Nav</w:t>
            </w:r>
          </w:p>
        </w:tc>
      </w:tr>
    </w:tbl>
    <w:p w:rsidR="000C2E2C" w:rsidRPr="007B35D6" w:rsidRDefault="000C2E2C" w:rsidP="00115E82">
      <w:pPr>
        <w:rPr>
          <w:rFonts w:eastAsia="Times New Roman" w:cs="Times New Roman"/>
          <w:i/>
          <w:iCs/>
          <w:sz w:val="24"/>
          <w:szCs w:val="24"/>
          <w:lang w:eastAsia="lv-LV"/>
        </w:rPr>
      </w:pP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14"/>
      </w:tblGrid>
      <w:tr w:rsidR="00AF1F9B" w:rsidRPr="00AF1F9B" w:rsidTr="00AF1F9B">
        <w:trPr>
          <w:trHeight w:val="406"/>
        </w:trPr>
        <w:tc>
          <w:tcPr>
            <w:tcW w:w="9214" w:type="dxa"/>
            <w:tcBorders>
              <w:top w:val="outset" w:sz="6" w:space="0" w:color="auto"/>
              <w:left w:val="outset" w:sz="6" w:space="0" w:color="auto"/>
              <w:bottom w:val="outset" w:sz="6" w:space="0" w:color="auto"/>
              <w:right w:val="outset" w:sz="6" w:space="0" w:color="auto"/>
            </w:tcBorders>
            <w:vAlign w:val="center"/>
          </w:tcPr>
          <w:p w:rsidR="00AF1F9B" w:rsidRPr="00AF1F9B" w:rsidRDefault="00AF1F9B" w:rsidP="00AF1F9B">
            <w:pPr>
              <w:jc w:val="center"/>
              <w:rPr>
                <w:rFonts w:eastAsia="Times New Roman" w:cs="Times New Roman"/>
                <w:b/>
                <w:sz w:val="24"/>
                <w:szCs w:val="24"/>
                <w:lang w:eastAsia="lv-LV"/>
              </w:rPr>
            </w:pPr>
            <w:r w:rsidRPr="00AF1F9B">
              <w:rPr>
                <w:rFonts w:eastAsia="Times New Roman" w:cs="Times New Roman"/>
                <w:b/>
                <w:sz w:val="24"/>
                <w:szCs w:val="24"/>
                <w:lang w:eastAsia="lv-LV"/>
              </w:rPr>
              <w:t>V. Tiesību akta projekta atbilstība Latvijas Republikas starptautiskajām saistībām</w:t>
            </w:r>
          </w:p>
        </w:tc>
      </w:tr>
      <w:tr w:rsidR="00AF1F9B" w:rsidRPr="00AF1F9B" w:rsidTr="00AF1F9B">
        <w:tc>
          <w:tcPr>
            <w:tcW w:w="9214" w:type="dxa"/>
            <w:tcBorders>
              <w:top w:val="outset" w:sz="6" w:space="0" w:color="auto"/>
              <w:left w:val="outset" w:sz="6" w:space="0" w:color="auto"/>
              <w:bottom w:val="outset" w:sz="6" w:space="0" w:color="auto"/>
              <w:right w:val="outset" w:sz="6" w:space="0" w:color="auto"/>
            </w:tcBorders>
          </w:tcPr>
          <w:p w:rsidR="00AF1F9B" w:rsidRPr="00AF1F9B" w:rsidRDefault="00AF1F9B" w:rsidP="00AF1F9B">
            <w:pPr>
              <w:ind w:left="57"/>
              <w:jc w:val="center"/>
              <w:rPr>
                <w:rFonts w:eastAsia="Times New Roman" w:cs="Times New Roman"/>
                <w:i/>
                <w:sz w:val="24"/>
                <w:szCs w:val="24"/>
                <w:lang w:eastAsia="lv-LV"/>
              </w:rPr>
            </w:pPr>
            <w:r w:rsidRPr="00AF1F9B">
              <w:rPr>
                <w:rFonts w:eastAsia="Times New Roman" w:cs="Times New Roman"/>
                <w:i/>
                <w:sz w:val="24"/>
                <w:szCs w:val="24"/>
                <w:lang w:eastAsia="lv-LV"/>
              </w:rPr>
              <w:t>Projekts šo jomu neskar.</w:t>
            </w:r>
          </w:p>
        </w:tc>
      </w:tr>
    </w:tbl>
    <w:p w:rsidR="00AF1F9B" w:rsidRPr="00AF1F9B" w:rsidRDefault="00AF1F9B" w:rsidP="00AF1F9B">
      <w:pPr>
        <w:ind w:firstLine="375"/>
        <w:jc w:val="center"/>
        <w:rPr>
          <w:rFonts w:eastAsia="Times New Roman" w:cs="Times New Roman"/>
          <w:b/>
          <w:sz w:val="24"/>
          <w:szCs w:val="24"/>
          <w:lang w:eastAsia="lv-LV"/>
        </w:rPr>
      </w:pPr>
    </w:p>
    <w:tbl>
      <w:tblPr>
        <w:tblW w:w="9337"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
        <w:gridCol w:w="9082"/>
        <w:gridCol w:w="132"/>
      </w:tblGrid>
      <w:tr w:rsidR="00AF1F9B" w:rsidRPr="00AF1F9B" w:rsidTr="00AF1F9B">
        <w:trPr>
          <w:gridAfter w:val="1"/>
          <w:wAfter w:w="132" w:type="dxa"/>
          <w:jc w:val="center"/>
        </w:trPr>
        <w:tc>
          <w:tcPr>
            <w:tcW w:w="9205" w:type="dxa"/>
            <w:gridSpan w:val="2"/>
          </w:tcPr>
          <w:p w:rsidR="00AF1F9B" w:rsidRPr="00AF1F9B" w:rsidRDefault="00AF1F9B" w:rsidP="00AF1F9B">
            <w:pPr>
              <w:ind w:left="57" w:right="57"/>
              <w:jc w:val="center"/>
              <w:rPr>
                <w:rFonts w:eastAsia="Times New Roman" w:cs="Times New Roman"/>
                <w:b/>
                <w:bCs/>
                <w:sz w:val="24"/>
                <w:szCs w:val="24"/>
                <w:lang w:eastAsia="lv-LV"/>
              </w:rPr>
            </w:pPr>
            <w:r w:rsidRPr="00AF1F9B">
              <w:rPr>
                <w:rFonts w:eastAsia="Times New Roman" w:cs="Times New Roman"/>
                <w:b/>
                <w:bCs/>
                <w:sz w:val="24"/>
                <w:szCs w:val="24"/>
                <w:lang w:eastAsia="lv-LV"/>
              </w:rPr>
              <w:t>VI. Sabiedrības līdzdalība un šīs līdzdalības rezultāti</w:t>
            </w:r>
          </w:p>
        </w:tc>
      </w:tr>
      <w:tr w:rsidR="00AF1F9B" w:rsidRPr="007B35D6" w:rsidTr="00AF1F9B">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123" w:type="dxa"/>
        </w:trPr>
        <w:tc>
          <w:tcPr>
            <w:tcW w:w="9214" w:type="dxa"/>
            <w:gridSpan w:val="2"/>
            <w:tcBorders>
              <w:top w:val="outset" w:sz="6" w:space="0" w:color="auto"/>
              <w:left w:val="outset" w:sz="6" w:space="0" w:color="auto"/>
              <w:bottom w:val="outset" w:sz="6" w:space="0" w:color="auto"/>
              <w:right w:val="outset" w:sz="6" w:space="0" w:color="auto"/>
            </w:tcBorders>
          </w:tcPr>
          <w:p w:rsidR="00AF1F9B" w:rsidRPr="007B35D6" w:rsidRDefault="00AF1F9B" w:rsidP="00DC76FF">
            <w:pPr>
              <w:ind w:left="57"/>
              <w:jc w:val="center"/>
              <w:rPr>
                <w:rFonts w:cs="Times New Roman"/>
                <w:i/>
                <w:sz w:val="24"/>
                <w:szCs w:val="24"/>
              </w:rPr>
            </w:pPr>
            <w:r w:rsidRPr="007B35D6">
              <w:rPr>
                <w:rFonts w:cs="Times New Roman"/>
                <w:i/>
                <w:sz w:val="24"/>
                <w:szCs w:val="24"/>
              </w:rPr>
              <w:t>Projekts šo jomu neskar.</w:t>
            </w:r>
          </w:p>
        </w:tc>
      </w:tr>
    </w:tbl>
    <w:p w:rsidR="00AF1F9B" w:rsidRPr="00AF1F9B" w:rsidRDefault="00AF1F9B" w:rsidP="00AF1F9B">
      <w:pPr>
        <w:ind w:firstLine="375"/>
        <w:jc w:val="both"/>
        <w:rPr>
          <w:rFonts w:eastAsia="Times New Roman" w:cs="Times New Roman"/>
          <w:sz w:val="24"/>
          <w:szCs w:val="24"/>
          <w:lang w:eastAsia="lv-LV"/>
        </w:rPr>
      </w:pPr>
    </w:p>
    <w:tbl>
      <w:tblPr>
        <w:tblW w:w="923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4266"/>
        <w:gridCol w:w="4522"/>
      </w:tblGrid>
      <w:tr w:rsidR="00AF1F9B" w:rsidRPr="00AF1F9B" w:rsidTr="00AF1F9B">
        <w:tc>
          <w:tcPr>
            <w:tcW w:w="9238" w:type="dxa"/>
            <w:gridSpan w:val="3"/>
            <w:tcBorders>
              <w:top w:val="single" w:sz="4" w:space="0" w:color="auto"/>
            </w:tcBorders>
          </w:tcPr>
          <w:p w:rsidR="00AF1F9B" w:rsidRPr="00AF1F9B" w:rsidRDefault="00AF1F9B" w:rsidP="00AF1F9B">
            <w:pPr>
              <w:ind w:left="57" w:right="57"/>
              <w:jc w:val="center"/>
              <w:rPr>
                <w:rFonts w:eastAsia="Times New Roman" w:cs="Times New Roman"/>
                <w:b/>
                <w:bCs/>
                <w:sz w:val="24"/>
                <w:szCs w:val="24"/>
                <w:lang w:eastAsia="lv-LV"/>
              </w:rPr>
            </w:pPr>
            <w:r w:rsidRPr="00AF1F9B">
              <w:rPr>
                <w:rFonts w:eastAsia="Times New Roman" w:cs="Times New Roman"/>
                <w:b/>
                <w:bCs/>
                <w:sz w:val="24"/>
                <w:szCs w:val="24"/>
                <w:lang w:eastAsia="lv-LV"/>
              </w:rPr>
              <w:t>VII. Tiesību akta projekta izpildes nodrošināšana un tās ietekme uz institūcijām</w:t>
            </w:r>
          </w:p>
        </w:tc>
      </w:tr>
      <w:tr w:rsidR="00AF1F9B" w:rsidRPr="00AF1F9B" w:rsidTr="00AF1F9B">
        <w:trPr>
          <w:trHeight w:val="427"/>
        </w:trPr>
        <w:tc>
          <w:tcPr>
            <w:tcW w:w="450" w:type="dxa"/>
          </w:tcPr>
          <w:p w:rsidR="00AF1F9B" w:rsidRPr="00AF1F9B" w:rsidRDefault="00AF1F9B" w:rsidP="00AF1F9B">
            <w:pPr>
              <w:ind w:left="57" w:right="57"/>
              <w:rPr>
                <w:rFonts w:eastAsia="Times New Roman" w:cs="Times New Roman"/>
                <w:bCs/>
                <w:sz w:val="24"/>
                <w:szCs w:val="24"/>
                <w:lang w:eastAsia="lv-LV"/>
              </w:rPr>
            </w:pPr>
            <w:r w:rsidRPr="00AF1F9B">
              <w:rPr>
                <w:rFonts w:eastAsia="Times New Roman" w:cs="Times New Roman"/>
                <w:bCs/>
                <w:sz w:val="24"/>
                <w:szCs w:val="24"/>
                <w:lang w:eastAsia="lv-LV"/>
              </w:rPr>
              <w:t>1.</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 xml:space="preserve">Projekta izpildē iesaistītās institūcijas </w:t>
            </w:r>
          </w:p>
        </w:tc>
        <w:tc>
          <w:tcPr>
            <w:tcW w:w="4522" w:type="dxa"/>
          </w:tcPr>
          <w:p w:rsidR="00AF1F9B" w:rsidRPr="00AF1F9B" w:rsidRDefault="00AF1F9B" w:rsidP="00AF1F9B">
            <w:pPr>
              <w:ind w:left="57" w:right="57"/>
              <w:jc w:val="both"/>
              <w:rPr>
                <w:rFonts w:eastAsia="Times New Roman" w:cs="Times New Roman"/>
                <w:bCs/>
                <w:sz w:val="24"/>
                <w:szCs w:val="24"/>
                <w:lang w:eastAsia="lv-LV"/>
              </w:rPr>
            </w:pPr>
            <w:r w:rsidRPr="00AF1F9B">
              <w:rPr>
                <w:rFonts w:eastAsia="Times New Roman" w:cs="Times New Roman"/>
                <w:bCs/>
                <w:sz w:val="24"/>
                <w:szCs w:val="24"/>
                <w:lang w:eastAsia="lv-LV"/>
              </w:rPr>
              <w:t>Projekta izpildi nodrošinās valsts un pašvaldību institūcijas normatīvajos aktos noteiktajā kārtībā.</w:t>
            </w:r>
          </w:p>
        </w:tc>
      </w:tr>
      <w:tr w:rsidR="00AF1F9B" w:rsidRPr="00AF1F9B" w:rsidTr="00AF1F9B">
        <w:trPr>
          <w:trHeight w:val="463"/>
        </w:trPr>
        <w:tc>
          <w:tcPr>
            <w:tcW w:w="450" w:type="dxa"/>
          </w:tcPr>
          <w:p w:rsidR="00AF1F9B" w:rsidRPr="00AF1F9B" w:rsidRDefault="00AF1F9B" w:rsidP="00AF1F9B">
            <w:pPr>
              <w:ind w:left="57" w:right="57"/>
              <w:rPr>
                <w:rFonts w:eastAsia="Times New Roman" w:cs="Times New Roman"/>
                <w:bCs/>
                <w:sz w:val="24"/>
                <w:szCs w:val="24"/>
                <w:lang w:eastAsia="lv-LV"/>
              </w:rPr>
            </w:pPr>
            <w:r w:rsidRPr="00AF1F9B">
              <w:rPr>
                <w:rFonts w:eastAsia="Times New Roman" w:cs="Times New Roman"/>
                <w:bCs/>
                <w:sz w:val="24"/>
                <w:szCs w:val="24"/>
                <w:lang w:eastAsia="lv-LV"/>
              </w:rPr>
              <w:t>2.</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 xml:space="preserve">Projekta izpildes ietekme uz pārvaldes funkcijām </w:t>
            </w:r>
          </w:p>
        </w:tc>
        <w:tc>
          <w:tcPr>
            <w:tcW w:w="4522" w:type="dxa"/>
          </w:tcPr>
          <w:p w:rsidR="00AF1F9B" w:rsidRPr="00AF1F9B" w:rsidRDefault="00AF1F9B" w:rsidP="00AF1F9B">
            <w:pPr>
              <w:ind w:left="57" w:right="57"/>
              <w:jc w:val="both"/>
              <w:rPr>
                <w:rFonts w:eastAsia="Times New Roman" w:cs="Times New Roman"/>
                <w:bCs/>
                <w:i/>
                <w:sz w:val="24"/>
                <w:szCs w:val="24"/>
                <w:lang w:eastAsia="lv-LV"/>
              </w:rPr>
            </w:pPr>
            <w:r w:rsidRPr="00AF1F9B">
              <w:rPr>
                <w:rFonts w:eastAsia="Times New Roman" w:cs="Times New Roman"/>
                <w:bCs/>
                <w:i/>
                <w:sz w:val="24"/>
                <w:szCs w:val="24"/>
                <w:lang w:eastAsia="lv-LV"/>
              </w:rPr>
              <w:t>Projekts šo jomu neskar.</w:t>
            </w:r>
          </w:p>
        </w:tc>
      </w:tr>
      <w:tr w:rsidR="00AF1F9B" w:rsidRPr="00AF1F9B" w:rsidTr="00AF1F9B">
        <w:trPr>
          <w:trHeight w:val="725"/>
        </w:trPr>
        <w:tc>
          <w:tcPr>
            <w:tcW w:w="450" w:type="dxa"/>
          </w:tcPr>
          <w:p w:rsidR="00AF1F9B" w:rsidRPr="00AF1F9B" w:rsidRDefault="00AF1F9B" w:rsidP="00AF1F9B">
            <w:pPr>
              <w:ind w:left="57" w:right="57"/>
              <w:rPr>
                <w:rFonts w:eastAsia="Times New Roman" w:cs="Times New Roman"/>
                <w:bCs/>
                <w:sz w:val="24"/>
                <w:szCs w:val="24"/>
                <w:lang w:eastAsia="lv-LV"/>
              </w:rPr>
            </w:pPr>
            <w:r w:rsidRPr="00AF1F9B">
              <w:rPr>
                <w:rFonts w:eastAsia="Times New Roman" w:cs="Times New Roman"/>
                <w:bCs/>
                <w:sz w:val="24"/>
                <w:szCs w:val="24"/>
                <w:lang w:eastAsia="lv-LV"/>
              </w:rPr>
              <w:t>3.</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Projekta izpildes ietekme uz pārvaldes institucionālo struktūru.</w:t>
            </w:r>
          </w:p>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Jaunu institūciju izveide</w:t>
            </w:r>
          </w:p>
        </w:tc>
        <w:tc>
          <w:tcPr>
            <w:tcW w:w="4522" w:type="dxa"/>
          </w:tcPr>
          <w:p w:rsidR="00AF1F9B" w:rsidRPr="00AF1F9B" w:rsidRDefault="00AF1F9B" w:rsidP="00AF1F9B">
            <w:pPr>
              <w:ind w:left="57" w:right="57"/>
              <w:jc w:val="both"/>
              <w:rPr>
                <w:rFonts w:eastAsia="Times New Roman" w:cs="Times New Roman"/>
                <w:bCs/>
                <w:i/>
                <w:sz w:val="24"/>
                <w:szCs w:val="24"/>
                <w:lang w:eastAsia="lv-LV"/>
              </w:rPr>
            </w:pPr>
            <w:r w:rsidRPr="00AF1F9B">
              <w:rPr>
                <w:rFonts w:eastAsia="Times New Roman" w:cs="Times New Roman"/>
                <w:bCs/>
                <w:i/>
                <w:sz w:val="24"/>
                <w:szCs w:val="24"/>
                <w:lang w:eastAsia="lv-LV"/>
              </w:rPr>
              <w:t>Projekts šo jomu neskar.</w:t>
            </w:r>
          </w:p>
        </w:tc>
      </w:tr>
      <w:tr w:rsidR="00AF1F9B" w:rsidRPr="00AF1F9B" w:rsidTr="00AF1F9B">
        <w:trPr>
          <w:trHeight w:val="780"/>
        </w:trPr>
        <w:tc>
          <w:tcPr>
            <w:tcW w:w="450" w:type="dxa"/>
          </w:tcPr>
          <w:p w:rsidR="00AF1F9B" w:rsidRPr="00AF1F9B" w:rsidRDefault="00AF1F9B" w:rsidP="00AF1F9B">
            <w:pPr>
              <w:ind w:left="57" w:right="57"/>
              <w:rPr>
                <w:rFonts w:eastAsia="Times New Roman" w:cs="Times New Roman"/>
                <w:bCs/>
                <w:sz w:val="24"/>
                <w:szCs w:val="24"/>
                <w:lang w:eastAsia="lv-LV"/>
              </w:rPr>
            </w:pPr>
            <w:r w:rsidRPr="00AF1F9B">
              <w:rPr>
                <w:rFonts w:eastAsia="Times New Roman" w:cs="Times New Roman"/>
                <w:bCs/>
                <w:sz w:val="24"/>
                <w:szCs w:val="24"/>
                <w:lang w:eastAsia="lv-LV"/>
              </w:rPr>
              <w:t>4.</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Projekta izpildes ietekme uz pārvaldes institucionālo struktūru.</w:t>
            </w:r>
          </w:p>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Esošu institūciju likvidācija</w:t>
            </w:r>
          </w:p>
        </w:tc>
        <w:tc>
          <w:tcPr>
            <w:tcW w:w="4522" w:type="dxa"/>
          </w:tcPr>
          <w:p w:rsidR="00AF1F9B" w:rsidRPr="00AF1F9B" w:rsidRDefault="00AF1F9B" w:rsidP="00AF1F9B">
            <w:pPr>
              <w:ind w:left="57" w:right="57"/>
              <w:jc w:val="both"/>
              <w:rPr>
                <w:rFonts w:eastAsia="Times New Roman" w:cs="Times New Roman"/>
                <w:bCs/>
                <w:i/>
                <w:sz w:val="24"/>
                <w:szCs w:val="24"/>
                <w:lang w:eastAsia="lv-LV"/>
              </w:rPr>
            </w:pPr>
            <w:r w:rsidRPr="00AF1F9B">
              <w:rPr>
                <w:rFonts w:eastAsia="Times New Roman" w:cs="Times New Roman"/>
                <w:bCs/>
                <w:i/>
                <w:sz w:val="24"/>
                <w:szCs w:val="24"/>
                <w:lang w:eastAsia="lv-LV"/>
              </w:rPr>
              <w:t>Projekts šo jomu neskar.</w:t>
            </w:r>
          </w:p>
        </w:tc>
      </w:tr>
      <w:tr w:rsidR="00AF1F9B" w:rsidRPr="00AF1F9B" w:rsidTr="00AF1F9B">
        <w:trPr>
          <w:trHeight w:val="703"/>
        </w:trPr>
        <w:tc>
          <w:tcPr>
            <w:tcW w:w="450" w:type="dxa"/>
          </w:tcPr>
          <w:p w:rsidR="00AF1F9B" w:rsidRPr="00AF1F9B" w:rsidRDefault="00AF1F9B" w:rsidP="00AF1F9B">
            <w:pPr>
              <w:ind w:left="57" w:right="57"/>
              <w:rPr>
                <w:rFonts w:eastAsia="Times New Roman" w:cs="Times New Roman"/>
                <w:bCs/>
                <w:sz w:val="24"/>
                <w:szCs w:val="24"/>
                <w:lang w:eastAsia="lv-LV"/>
              </w:rPr>
            </w:pPr>
            <w:r w:rsidRPr="00AF1F9B">
              <w:rPr>
                <w:rFonts w:eastAsia="Times New Roman" w:cs="Times New Roman"/>
                <w:bCs/>
                <w:sz w:val="24"/>
                <w:szCs w:val="24"/>
                <w:lang w:eastAsia="lv-LV"/>
              </w:rPr>
              <w:lastRenderedPageBreak/>
              <w:t>5.</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Projekta izpildes ietekme uz pārvaldes institucionālo struktūru.</w:t>
            </w:r>
          </w:p>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Esošu institūciju reorganizācija</w:t>
            </w:r>
          </w:p>
        </w:tc>
        <w:tc>
          <w:tcPr>
            <w:tcW w:w="4522" w:type="dxa"/>
          </w:tcPr>
          <w:p w:rsidR="00AF1F9B" w:rsidRPr="00AF1F9B" w:rsidRDefault="00AF1F9B" w:rsidP="00AF1F9B">
            <w:pPr>
              <w:ind w:left="57" w:right="57"/>
              <w:jc w:val="both"/>
              <w:rPr>
                <w:rFonts w:eastAsia="Times New Roman" w:cs="Times New Roman"/>
                <w:bCs/>
                <w:i/>
                <w:sz w:val="24"/>
                <w:szCs w:val="24"/>
                <w:lang w:eastAsia="lv-LV"/>
              </w:rPr>
            </w:pPr>
            <w:r w:rsidRPr="00AF1F9B">
              <w:rPr>
                <w:rFonts w:eastAsia="Times New Roman" w:cs="Times New Roman"/>
                <w:bCs/>
                <w:i/>
                <w:sz w:val="24"/>
                <w:szCs w:val="24"/>
                <w:lang w:eastAsia="lv-LV"/>
              </w:rPr>
              <w:t>Projekts šo jomu neskar.</w:t>
            </w:r>
          </w:p>
        </w:tc>
      </w:tr>
      <w:tr w:rsidR="00AF1F9B" w:rsidRPr="00AF1F9B" w:rsidTr="00AF1F9B">
        <w:trPr>
          <w:trHeight w:val="476"/>
        </w:trPr>
        <w:tc>
          <w:tcPr>
            <w:tcW w:w="450"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6.</w:t>
            </w:r>
          </w:p>
        </w:tc>
        <w:tc>
          <w:tcPr>
            <w:tcW w:w="4266"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Cita informācija</w:t>
            </w:r>
          </w:p>
        </w:tc>
        <w:tc>
          <w:tcPr>
            <w:tcW w:w="4522" w:type="dxa"/>
          </w:tcPr>
          <w:p w:rsidR="00AF1F9B" w:rsidRPr="00AF1F9B" w:rsidRDefault="00AF1F9B" w:rsidP="00AF1F9B">
            <w:pPr>
              <w:ind w:left="57" w:right="57"/>
              <w:rPr>
                <w:rFonts w:eastAsia="Times New Roman" w:cs="Times New Roman"/>
                <w:sz w:val="24"/>
                <w:szCs w:val="24"/>
                <w:lang w:eastAsia="lv-LV"/>
              </w:rPr>
            </w:pPr>
            <w:r w:rsidRPr="00AF1F9B">
              <w:rPr>
                <w:rFonts w:eastAsia="Times New Roman" w:cs="Times New Roman"/>
                <w:sz w:val="24"/>
                <w:szCs w:val="24"/>
                <w:lang w:eastAsia="lv-LV"/>
              </w:rPr>
              <w:t>Nav</w:t>
            </w:r>
          </w:p>
        </w:tc>
      </w:tr>
    </w:tbl>
    <w:p w:rsidR="00AF1F9B" w:rsidRPr="00AF1F9B" w:rsidRDefault="00AF1F9B" w:rsidP="00AF1F9B">
      <w:pPr>
        <w:tabs>
          <w:tab w:val="left" w:pos="5760"/>
        </w:tabs>
        <w:ind w:firstLine="720"/>
        <w:jc w:val="both"/>
        <w:rPr>
          <w:rFonts w:eastAsia="Times New Roman" w:cs="Times New Roman"/>
          <w:sz w:val="24"/>
          <w:szCs w:val="24"/>
          <w:lang w:eastAsia="lv-LV"/>
        </w:rPr>
      </w:pPr>
    </w:p>
    <w:p w:rsidR="00523728" w:rsidRPr="007B35D6" w:rsidRDefault="0070526D" w:rsidP="00935378">
      <w:pPr>
        <w:rPr>
          <w:rFonts w:cs="Times New Roman"/>
          <w:sz w:val="24"/>
          <w:szCs w:val="24"/>
        </w:rPr>
      </w:pPr>
      <w:r w:rsidRPr="007B35D6">
        <w:rPr>
          <w:rFonts w:eastAsia="Times New Roman" w:cs="Times New Roman"/>
          <w:i/>
          <w:iCs/>
          <w:sz w:val="24"/>
          <w:szCs w:val="24"/>
          <w:lang w:eastAsia="lv-LV"/>
        </w:rPr>
        <w:t> </w:t>
      </w:r>
    </w:p>
    <w:p w:rsidR="000C2E2C" w:rsidRPr="00010716" w:rsidRDefault="002C7763" w:rsidP="00324680">
      <w:pPr>
        <w:tabs>
          <w:tab w:val="left" w:pos="3840"/>
        </w:tabs>
        <w:rPr>
          <w:rFonts w:cs="Times New Roman"/>
          <w:sz w:val="26"/>
          <w:szCs w:val="26"/>
        </w:rPr>
      </w:pPr>
      <w:r w:rsidRPr="00010716">
        <w:rPr>
          <w:rFonts w:cs="Times New Roman"/>
          <w:sz w:val="26"/>
          <w:szCs w:val="26"/>
        </w:rPr>
        <w:t>Finanšu ministrs</w:t>
      </w:r>
      <w:r w:rsidRPr="00010716">
        <w:rPr>
          <w:rFonts w:cs="Times New Roman"/>
          <w:sz w:val="26"/>
          <w:szCs w:val="26"/>
        </w:rPr>
        <w:tab/>
      </w:r>
      <w:r w:rsidRPr="00010716">
        <w:rPr>
          <w:rFonts w:cs="Times New Roman"/>
          <w:sz w:val="26"/>
          <w:szCs w:val="26"/>
        </w:rPr>
        <w:tab/>
      </w:r>
      <w:r w:rsidRPr="00010716">
        <w:rPr>
          <w:rFonts w:cs="Times New Roman"/>
          <w:sz w:val="26"/>
          <w:szCs w:val="26"/>
        </w:rPr>
        <w:tab/>
      </w:r>
      <w:r w:rsidRPr="00010716">
        <w:rPr>
          <w:rFonts w:cs="Times New Roman"/>
          <w:sz w:val="26"/>
          <w:szCs w:val="26"/>
        </w:rPr>
        <w:tab/>
      </w:r>
      <w:r w:rsidRPr="00010716">
        <w:rPr>
          <w:rFonts w:cs="Times New Roman"/>
          <w:sz w:val="26"/>
          <w:szCs w:val="26"/>
        </w:rPr>
        <w:tab/>
      </w:r>
      <w:r w:rsidRPr="00010716">
        <w:rPr>
          <w:rFonts w:cs="Times New Roman"/>
          <w:sz w:val="26"/>
          <w:szCs w:val="26"/>
        </w:rPr>
        <w:tab/>
        <w:t>A.Vilks</w:t>
      </w:r>
    </w:p>
    <w:p w:rsidR="000C2E2C" w:rsidRPr="007B35D6" w:rsidRDefault="000C2E2C" w:rsidP="00324680">
      <w:pPr>
        <w:tabs>
          <w:tab w:val="left" w:pos="3840"/>
        </w:tabs>
        <w:rPr>
          <w:rFonts w:cs="Times New Roman"/>
          <w:sz w:val="24"/>
          <w:szCs w:val="24"/>
        </w:rPr>
      </w:pPr>
    </w:p>
    <w:p w:rsidR="005D03B8" w:rsidRDefault="005D03B8" w:rsidP="00324680">
      <w:pPr>
        <w:tabs>
          <w:tab w:val="left" w:pos="3840"/>
        </w:tabs>
        <w:rPr>
          <w:rFonts w:cs="Times New Roman"/>
          <w:sz w:val="24"/>
          <w:szCs w:val="24"/>
        </w:rPr>
      </w:pPr>
    </w:p>
    <w:p w:rsidR="00C965DE" w:rsidRDefault="00C965DE" w:rsidP="00324680">
      <w:pPr>
        <w:tabs>
          <w:tab w:val="left" w:pos="3840"/>
        </w:tabs>
        <w:rPr>
          <w:rFonts w:cs="Times New Roman"/>
          <w:sz w:val="24"/>
          <w:szCs w:val="24"/>
        </w:rPr>
      </w:pPr>
    </w:p>
    <w:p w:rsidR="00C965DE" w:rsidRPr="007B35D6" w:rsidRDefault="00C965DE" w:rsidP="00324680">
      <w:pPr>
        <w:tabs>
          <w:tab w:val="left" w:pos="3840"/>
        </w:tabs>
        <w:rPr>
          <w:rFonts w:cs="Times New Roman"/>
          <w:sz w:val="24"/>
          <w:szCs w:val="24"/>
        </w:rPr>
      </w:pPr>
    </w:p>
    <w:p w:rsidR="005D03B8" w:rsidRDefault="005D03B8"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Default="00144481" w:rsidP="00324680">
      <w:pPr>
        <w:tabs>
          <w:tab w:val="left" w:pos="3840"/>
        </w:tabs>
        <w:rPr>
          <w:rFonts w:cs="Times New Roman"/>
          <w:sz w:val="24"/>
          <w:szCs w:val="24"/>
        </w:rPr>
      </w:pPr>
    </w:p>
    <w:p w:rsidR="00144481" w:rsidRPr="007B35D6" w:rsidRDefault="00144481" w:rsidP="00324680">
      <w:pPr>
        <w:tabs>
          <w:tab w:val="left" w:pos="3840"/>
        </w:tabs>
        <w:rPr>
          <w:rFonts w:cs="Times New Roman"/>
          <w:sz w:val="24"/>
          <w:szCs w:val="24"/>
        </w:rPr>
      </w:pPr>
    </w:p>
    <w:p w:rsidR="00324680" w:rsidRPr="00010716" w:rsidRDefault="00523728" w:rsidP="00324680">
      <w:pPr>
        <w:tabs>
          <w:tab w:val="left" w:pos="3840"/>
        </w:tabs>
        <w:rPr>
          <w:rFonts w:cs="Times New Roman"/>
          <w:sz w:val="20"/>
          <w:szCs w:val="20"/>
        </w:rPr>
      </w:pPr>
      <w:r w:rsidRPr="00010716">
        <w:rPr>
          <w:rFonts w:cs="Times New Roman"/>
          <w:sz w:val="20"/>
          <w:szCs w:val="20"/>
        </w:rPr>
        <w:t>I.</w:t>
      </w:r>
      <w:r w:rsidR="007E4167" w:rsidRPr="00010716">
        <w:rPr>
          <w:rFonts w:cs="Times New Roman"/>
          <w:sz w:val="20"/>
          <w:szCs w:val="20"/>
        </w:rPr>
        <w:t>Artemjeva</w:t>
      </w:r>
      <w:bookmarkStart w:id="2" w:name="_GoBack"/>
      <w:bookmarkEnd w:id="2"/>
    </w:p>
    <w:p w:rsidR="00472F2C" w:rsidRDefault="00472F2C" w:rsidP="005C37C2">
      <w:pPr>
        <w:rPr>
          <w:rFonts w:cs="Times New Roman"/>
          <w:sz w:val="20"/>
          <w:szCs w:val="20"/>
        </w:rPr>
      </w:pPr>
      <w:r>
        <w:rPr>
          <w:rFonts w:cs="Times New Roman"/>
          <w:sz w:val="20"/>
          <w:szCs w:val="20"/>
        </w:rPr>
        <w:t>17.09.2012 9:49</w:t>
      </w:r>
    </w:p>
    <w:p w:rsidR="00675BE4" w:rsidRPr="00010716" w:rsidRDefault="00642D94" w:rsidP="005C37C2">
      <w:pPr>
        <w:rPr>
          <w:rFonts w:cs="Times New Roman"/>
          <w:sz w:val="20"/>
          <w:szCs w:val="20"/>
        </w:rPr>
      </w:pPr>
      <w:r w:rsidRPr="00010716">
        <w:rPr>
          <w:rFonts w:cs="Times New Roman"/>
          <w:sz w:val="20"/>
          <w:szCs w:val="20"/>
        </w:rPr>
        <w:fldChar w:fldCharType="begin"/>
      </w:r>
      <w:r w:rsidRPr="00010716">
        <w:rPr>
          <w:rFonts w:cs="Times New Roman"/>
          <w:sz w:val="20"/>
          <w:szCs w:val="20"/>
        </w:rPr>
        <w:instrText xml:space="preserve"> NUMWORDS   \* MERGEFORMAT </w:instrText>
      </w:r>
      <w:r w:rsidRPr="00010716">
        <w:rPr>
          <w:rFonts w:cs="Times New Roman"/>
          <w:sz w:val="20"/>
          <w:szCs w:val="20"/>
        </w:rPr>
        <w:fldChar w:fldCharType="separate"/>
      </w:r>
      <w:r w:rsidR="00170E4C">
        <w:rPr>
          <w:rFonts w:cs="Times New Roman"/>
          <w:noProof/>
          <w:sz w:val="20"/>
          <w:szCs w:val="20"/>
        </w:rPr>
        <w:t>903</w:t>
      </w:r>
      <w:r w:rsidRPr="00010716">
        <w:rPr>
          <w:rFonts w:cs="Times New Roman"/>
          <w:noProof/>
          <w:sz w:val="20"/>
          <w:szCs w:val="20"/>
        </w:rPr>
        <w:fldChar w:fldCharType="end"/>
      </w:r>
    </w:p>
    <w:p w:rsidR="004E4CE1" w:rsidRPr="00010716" w:rsidRDefault="00DF56E7" w:rsidP="005C37C2">
      <w:pPr>
        <w:rPr>
          <w:rFonts w:cs="Times New Roman"/>
          <w:sz w:val="20"/>
          <w:szCs w:val="20"/>
        </w:rPr>
      </w:pPr>
      <w:r w:rsidRPr="00010716">
        <w:rPr>
          <w:rFonts w:cs="Times New Roman"/>
          <w:sz w:val="20"/>
          <w:szCs w:val="20"/>
        </w:rPr>
        <w:t>67095</w:t>
      </w:r>
      <w:r w:rsidR="007E4167" w:rsidRPr="00010716">
        <w:rPr>
          <w:rFonts w:cs="Times New Roman"/>
          <w:sz w:val="20"/>
          <w:szCs w:val="20"/>
        </w:rPr>
        <w:t>599</w:t>
      </w:r>
      <w:r w:rsidRPr="00010716">
        <w:rPr>
          <w:rFonts w:cs="Times New Roman"/>
          <w:sz w:val="20"/>
          <w:szCs w:val="20"/>
        </w:rPr>
        <w:t>; fakss 67095541</w:t>
      </w:r>
    </w:p>
    <w:p w:rsidR="00B253BC" w:rsidRPr="00010716" w:rsidRDefault="0085433D" w:rsidP="005C37C2">
      <w:pPr>
        <w:rPr>
          <w:rFonts w:cs="Times New Roman"/>
          <w:sz w:val="20"/>
          <w:szCs w:val="20"/>
        </w:rPr>
      </w:pPr>
      <w:r w:rsidRPr="00010716">
        <w:rPr>
          <w:rFonts w:cs="Times New Roman"/>
          <w:sz w:val="20"/>
          <w:szCs w:val="20"/>
        </w:rPr>
        <w:t xml:space="preserve"> </w:t>
      </w:r>
      <w:hyperlink r:id="rId8" w:history="1">
        <w:r w:rsidR="00BF16FB" w:rsidRPr="00010716">
          <w:rPr>
            <w:rStyle w:val="Hyperlink"/>
            <w:rFonts w:cs="Times New Roman"/>
            <w:sz w:val="20"/>
            <w:szCs w:val="20"/>
          </w:rPr>
          <w:t>Ineta.Artemjeva@fm.gov.lv</w:t>
        </w:r>
      </w:hyperlink>
      <w:r w:rsidR="00523728" w:rsidRPr="00010716">
        <w:rPr>
          <w:rFonts w:cs="Times New Roman"/>
          <w:sz w:val="20"/>
          <w:szCs w:val="20"/>
        </w:rPr>
        <w:t xml:space="preserve"> </w:t>
      </w:r>
    </w:p>
    <w:sectPr w:rsidR="00B253BC" w:rsidRPr="00010716" w:rsidSect="0085433D">
      <w:headerReference w:type="default" r:id="rId9"/>
      <w:footerReference w:type="default" r:id="rId10"/>
      <w:pgSz w:w="11906" w:h="16838"/>
      <w:pgMar w:top="1418" w:right="1134"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DD" w:rsidRDefault="006758DD" w:rsidP="007740F2">
      <w:r>
        <w:separator/>
      </w:r>
    </w:p>
  </w:endnote>
  <w:endnote w:type="continuationSeparator" w:id="0">
    <w:p w:rsidR="006758DD" w:rsidRDefault="006758D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DD" w:rsidRPr="008B0B98" w:rsidRDefault="006758DD" w:rsidP="00786E73">
    <w:pPr>
      <w:pStyle w:val="Footer"/>
      <w:jc w:val="both"/>
      <w:rPr>
        <w:rFonts w:cs="Times New Roman"/>
        <w:sz w:val="18"/>
        <w:szCs w:val="18"/>
      </w:rPr>
    </w:pPr>
    <w:r w:rsidRPr="00523728">
      <w:rPr>
        <w:sz w:val="18"/>
        <w:szCs w:val="18"/>
      </w:rPr>
      <w:t>FMAnot_</w:t>
    </w:r>
    <w:r>
      <w:rPr>
        <w:sz w:val="18"/>
        <w:szCs w:val="18"/>
      </w:rPr>
      <w:t>040912_kapsab</w:t>
    </w:r>
    <w:r w:rsidRPr="00523728">
      <w:rPr>
        <w:sz w:val="18"/>
        <w:szCs w:val="18"/>
      </w:rPr>
      <w:t xml:space="preserve">; Anotācija </w:t>
    </w:r>
    <w:r>
      <w:rPr>
        <w:sz w:val="18"/>
        <w:szCs w:val="18"/>
      </w:rPr>
      <w:t>l</w:t>
    </w:r>
    <w:r w:rsidRPr="00786E73">
      <w:rPr>
        <w:sz w:val="18"/>
        <w:szCs w:val="18"/>
      </w:rPr>
      <w:t>ikumprojekta</w:t>
    </w:r>
    <w:r>
      <w:rPr>
        <w:sz w:val="18"/>
        <w:szCs w:val="18"/>
      </w:rPr>
      <w:t>m</w:t>
    </w:r>
    <w:r w:rsidRPr="00786E73">
      <w:rPr>
        <w:sz w:val="18"/>
        <w:szCs w:val="18"/>
      </w:rPr>
      <w:t xml:space="preserve"> „Grozījumi likumā „Par valsts un pašvaldību kapitāla daļām un kapitālsabiedrībām””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DD" w:rsidRDefault="006758DD" w:rsidP="007740F2">
      <w:r>
        <w:separator/>
      </w:r>
    </w:p>
  </w:footnote>
  <w:footnote w:type="continuationSeparator" w:id="0">
    <w:p w:rsidR="006758DD" w:rsidRDefault="006758D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829"/>
      <w:docPartObj>
        <w:docPartGallery w:val="Page Numbers (Top of Page)"/>
        <w:docPartUnique/>
      </w:docPartObj>
    </w:sdtPr>
    <w:sdtContent>
      <w:p w:rsidR="006758DD" w:rsidRDefault="006758DD">
        <w:pPr>
          <w:pStyle w:val="Header"/>
          <w:jc w:val="center"/>
        </w:pPr>
        <w:r>
          <w:fldChar w:fldCharType="begin"/>
        </w:r>
        <w:r>
          <w:instrText xml:space="preserve"> PAGE   \* MERGEFORMAT </w:instrText>
        </w:r>
        <w:r>
          <w:fldChar w:fldCharType="separate"/>
        </w:r>
        <w:r w:rsidR="00170E4C">
          <w:rPr>
            <w:noProof/>
          </w:rPr>
          <w:t>5</w:t>
        </w:r>
        <w:r>
          <w:rPr>
            <w:noProof/>
          </w:rPr>
          <w:fldChar w:fldCharType="end"/>
        </w:r>
      </w:p>
    </w:sdtContent>
  </w:sdt>
  <w:p w:rsidR="006758DD" w:rsidRDefault="0067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558"/>
    <w:multiLevelType w:val="hybridMultilevel"/>
    <w:tmpl w:val="CB0C08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0716"/>
    <w:rsid w:val="00017E1C"/>
    <w:rsid w:val="0002176C"/>
    <w:rsid w:val="00026F6C"/>
    <w:rsid w:val="00041BC5"/>
    <w:rsid w:val="00044385"/>
    <w:rsid w:val="000608D1"/>
    <w:rsid w:val="00062334"/>
    <w:rsid w:val="00084720"/>
    <w:rsid w:val="0008532F"/>
    <w:rsid w:val="0009389C"/>
    <w:rsid w:val="000A3048"/>
    <w:rsid w:val="000B4F6B"/>
    <w:rsid w:val="000C2E2C"/>
    <w:rsid w:val="000C4DF9"/>
    <w:rsid w:val="000D4F52"/>
    <w:rsid w:val="000D73B8"/>
    <w:rsid w:val="0010095A"/>
    <w:rsid w:val="00115E82"/>
    <w:rsid w:val="00122717"/>
    <w:rsid w:val="00123601"/>
    <w:rsid w:val="0012536F"/>
    <w:rsid w:val="00136AC7"/>
    <w:rsid w:val="00137287"/>
    <w:rsid w:val="0014131D"/>
    <w:rsid w:val="00142743"/>
    <w:rsid w:val="0014438B"/>
    <w:rsid w:val="00144481"/>
    <w:rsid w:val="00150B46"/>
    <w:rsid w:val="00151E56"/>
    <w:rsid w:val="00152376"/>
    <w:rsid w:val="001544B1"/>
    <w:rsid w:val="0016128B"/>
    <w:rsid w:val="00161D6A"/>
    <w:rsid w:val="001624A3"/>
    <w:rsid w:val="00170E4C"/>
    <w:rsid w:val="00173D25"/>
    <w:rsid w:val="00173F45"/>
    <w:rsid w:val="00182716"/>
    <w:rsid w:val="00185FBA"/>
    <w:rsid w:val="0018679A"/>
    <w:rsid w:val="00192B03"/>
    <w:rsid w:val="00192D42"/>
    <w:rsid w:val="001952CE"/>
    <w:rsid w:val="00196ABD"/>
    <w:rsid w:val="001A4477"/>
    <w:rsid w:val="001A5D75"/>
    <w:rsid w:val="001A7971"/>
    <w:rsid w:val="001B1E3E"/>
    <w:rsid w:val="00200731"/>
    <w:rsid w:val="002176AD"/>
    <w:rsid w:val="00225BC9"/>
    <w:rsid w:val="00227032"/>
    <w:rsid w:val="00227194"/>
    <w:rsid w:val="00230D49"/>
    <w:rsid w:val="0024678C"/>
    <w:rsid w:val="0027277F"/>
    <w:rsid w:val="00272F26"/>
    <w:rsid w:val="002842DF"/>
    <w:rsid w:val="00296D63"/>
    <w:rsid w:val="00297360"/>
    <w:rsid w:val="002A3DAE"/>
    <w:rsid w:val="002A429F"/>
    <w:rsid w:val="002B33E3"/>
    <w:rsid w:val="002B5BA9"/>
    <w:rsid w:val="002C7763"/>
    <w:rsid w:val="0030223A"/>
    <w:rsid w:val="00324680"/>
    <w:rsid w:val="00325216"/>
    <w:rsid w:val="0035017E"/>
    <w:rsid w:val="003539EF"/>
    <w:rsid w:val="003608AD"/>
    <w:rsid w:val="0036096D"/>
    <w:rsid w:val="00363D74"/>
    <w:rsid w:val="003675D3"/>
    <w:rsid w:val="00370FE5"/>
    <w:rsid w:val="00385736"/>
    <w:rsid w:val="003A5238"/>
    <w:rsid w:val="003B7A5B"/>
    <w:rsid w:val="003B7D1C"/>
    <w:rsid w:val="003C0552"/>
    <w:rsid w:val="003D026D"/>
    <w:rsid w:val="003D1191"/>
    <w:rsid w:val="003D47B9"/>
    <w:rsid w:val="003E67CA"/>
    <w:rsid w:val="00406EE7"/>
    <w:rsid w:val="004124FD"/>
    <w:rsid w:val="004125EE"/>
    <w:rsid w:val="00422671"/>
    <w:rsid w:val="0043134C"/>
    <w:rsid w:val="00434867"/>
    <w:rsid w:val="00442DD7"/>
    <w:rsid w:val="0044424A"/>
    <w:rsid w:val="00444C23"/>
    <w:rsid w:val="00457193"/>
    <w:rsid w:val="0046430C"/>
    <w:rsid w:val="004673B9"/>
    <w:rsid w:val="004704D8"/>
    <w:rsid w:val="00472F2C"/>
    <w:rsid w:val="00473566"/>
    <w:rsid w:val="004763B3"/>
    <w:rsid w:val="004807EA"/>
    <w:rsid w:val="00493ABC"/>
    <w:rsid w:val="004976BC"/>
    <w:rsid w:val="004B056A"/>
    <w:rsid w:val="004B1316"/>
    <w:rsid w:val="004B21D5"/>
    <w:rsid w:val="004D08BD"/>
    <w:rsid w:val="004D6407"/>
    <w:rsid w:val="004E4CE1"/>
    <w:rsid w:val="004F4590"/>
    <w:rsid w:val="004F6E25"/>
    <w:rsid w:val="005077D8"/>
    <w:rsid w:val="005119F4"/>
    <w:rsid w:val="00523728"/>
    <w:rsid w:val="00527BD0"/>
    <w:rsid w:val="00547C2A"/>
    <w:rsid w:val="005500B1"/>
    <w:rsid w:val="00557E75"/>
    <w:rsid w:val="0056019C"/>
    <w:rsid w:val="005631DF"/>
    <w:rsid w:val="005657D6"/>
    <w:rsid w:val="005668B0"/>
    <w:rsid w:val="005711E4"/>
    <w:rsid w:val="00585F3A"/>
    <w:rsid w:val="00590281"/>
    <w:rsid w:val="005A6935"/>
    <w:rsid w:val="005B1A85"/>
    <w:rsid w:val="005B301E"/>
    <w:rsid w:val="005B7B1F"/>
    <w:rsid w:val="005C37C2"/>
    <w:rsid w:val="005D03B8"/>
    <w:rsid w:val="005D466E"/>
    <w:rsid w:val="005D7753"/>
    <w:rsid w:val="005F2843"/>
    <w:rsid w:val="005F45AA"/>
    <w:rsid w:val="00605A33"/>
    <w:rsid w:val="00606A4B"/>
    <w:rsid w:val="00635F52"/>
    <w:rsid w:val="00642D94"/>
    <w:rsid w:val="00645013"/>
    <w:rsid w:val="00651F5C"/>
    <w:rsid w:val="00657A4D"/>
    <w:rsid w:val="006678D7"/>
    <w:rsid w:val="00672F87"/>
    <w:rsid w:val="006758DD"/>
    <w:rsid w:val="00675BE4"/>
    <w:rsid w:val="00684105"/>
    <w:rsid w:val="006A486D"/>
    <w:rsid w:val="006B7A79"/>
    <w:rsid w:val="006C0E9A"/>
    <w:rsid w:val="006C16C6"/>
    <w:rsid w:val="006C1B3A"/>
    <w:rsid w:val="006D3764"/>
    <w:rsid w:val="006E0584"/>
    <w:rsid w:val="006E0C4B"/>
    <w:rsid w:val="006F496D"/>
    <w:rsid w:val="007022B9"/>
    <w:rsid w:val="0070526D"/>
    <w:rsid w:val="0071526F"/>
    <w:rsid w:val="0073757A"/>
    <w:rsid w:val="00743399"/>
    <w:rsid w:val="00756C38"/>
    <w:rsid w:val="00760C6B"/>
    <w:rsid w:val="007740F2"/>
    <w:rsid w:val="007745A6"/>
    <w:rsid w:val="00776CCD"/>
    <w:rsid w:val="0078057E"/>
    <w:rsid w:val="00786E73"/>
    <w:rsid w:val="007A4568"/>
    <w:rsid w:val="007B35D6"/>
    <w:rsid w:val="007B5773"/>
    <w:rsid w:val="007C2EB3"/>
    <w:rsid w:val="007C7666"/>
    <w:rsid w:val="007D791F"/>
    <w:rsid w:val="007D7EA4"/>
    <w:rsid w:val="007E4167"/>
    <w:rsid w:val="007E6B54"/>
    <w:rsid w:val="007E7154"/>
    <w:rsid w:val="007F1998"/>
    <w:rsid w:val="007F1CFD"/>
    <w:rsid w:val="00803914"/>
    <w:rsid w:val="00835068"/>
    <w:rsid w:val="00843E5F"/>
    <w:rsid w:val="008442FB"/>
    <w:rsid w:val="0085433D"/>
    <w:rsid w:val="00862EB1"/>
    <w:rsid w:val="0088354B"/>
    <w:rsid w:val="00896087"/>
    <w:rsid w:val="0089697E"/>
    <w:rsid w:val="008A1796"/>
    <w:rsid w:val="008B0B98"/>
    <w:rsid w:val="008B37CB"/>
    <w:rsid w:val="008C14A5"/>
    <w:rsid w:val="008C37E3"/>
    <w:rsid w:val="008C3D67"/>
    <w:rsid w:val="008C4091"/>
    <w:rsid w:val="008C6C7D"/>
    <w:rsid w:val="008D01F8"/>
    <w:rsid w:val="008D33D9"/>
    <w:rsid w:val="008E5620"/>
    <w:rsid w:val="008E6AFB"/>
    <w:rsid w:val="00920F14"/>
    <w:rsid w:val="009267DF"/>
    <w:rsid w:val="00930D7F"/>
    <w:rsid w:val="0093409E"/>
    <w:rsid w:val="00935378"/>
    <w:rsid w:val="009446BA"/>
    <w:rsid w:val="00945B4D"/>
    <w:rsid w:val="00955248"/>
    <w:rsid w:val="009610B2"/>
    <w:rsid w:val="00981D2A"/>
    <w:rsid w:val="00982FBC"/>
    <w:rsid w:val="009B0163"/>
    <w:rsid w:val="009B236A"/>
    <w:rsid w:val="009B4C0B"/>
    <w:rsid w:val="009C7CB7"/>
    <w:rsid w:val="009D6228"/>
    <w:rsid w:val="009E423D"/>
    <w:rsid w:val="009F17BB"/>
    <w:rsid w:val="009F49A6"/>
    <w:rsid w:val="009F71E7"/>
    <w:rsid w:val="00A05A22"/>
    <w:rsid w:val="00A13CC8"/>
    <w:rsid w:val="00A1503F"/>
    <w:rsid w:val="00A20165"/>
    <w:rsid w:val="00A20582"/>
    <w:rsid w:val="00A26106"/>
    <w:rsid w:val="00A57A47"/>
    <w:rsid w:val="00A62C42"/>
    <w:rsid w:val="00A658FF"/>
    <w:rsid w:val="00A704ED"/>
    <w:rsid w:val="00A748EE"/>
    <w:rsid w:val="00A923DC"/>
    <w:rsid w:val="00A976A4"/>
    <w:rsid w:val="00AB52A8"/>
    <w:rsid w:val="00AB6C99"/>
    <w:rsid w:val="00AC702C"/>
    <w:rsid w:val="00AD7372"/>
    <w:rsid w:val="00AE271B"/>
    <w:rsid w:val="00AE5A6F"/>
    <w:rsid w:val="00AF079B"/>
    <w:rsid w:val="00AF1E05"/>
    <w:rsid w:val="00AF1F9B"/>
    <w:rsid w:val="00B00C2F"/>
    <w:rsid w:val="00B07F6C"/>
    <w:rsid w:val="00B15225"/>
    <w:rsid w:val="00B20E29"/>
    <w:rsid w:val="00B253BC"/>
    <w:rsid w:val="00B254E1"/>
    <w:rsid w:val="00B26E00"/>
    <w:rsid w:val="00B30D51"/>
    <w:rsid w:val="00B4486A"/>
    <w:rsid w:val="00B472EE"/>
    <w:rsid w:val="00B5137A"/>
    <w:rsid w:val="00B711E5"/>
    <w:rsid w:val="00B93AD7"/>
    <w:rsid w:val="00B93D08"/>
    <w:rsid w:val="00BA0537"/>
    <w:rsid w:val="00BA1E74"/>
    <w:rsid w:val="00BB7856"/>
    <w:rsid w:val="00BC2ECC"/>
    <w:rsid w:val="00BF16FB"/>
    <w:rsid w:val="00C02161"/>
    <w:rsid w:val="00C030E6"/>
    <w:rsid w:val="00C11128"/>
    <w:rsid w:val="00C17B56"/>
    <w:rsid w:val="00C271EE"/>
    <w:rsid w:val="00C27314"/>
    <w:rsid w:val="00C32690"/>
    <w:rsid w:val="00C332BD"/>
    <w:rsid w:val="00C36BDF"/>
    <w:rsid w:val="00C41080"/>
    <w:rsid w:val="00C50770"/>
    <w:rsid w:val="00C5511E"/>
    <w:rsid w:val="00C60184"/>
    <w:rsid w:val="00C60F8C"/>
    <w:rsid w:val="00C84F1F"/>
    <w:rsid w:val="00C96305"/>
    <w:rsid w:val="00C965DE"/>
    <w:rsid w:val="00CA529E"/>
    <w:rsid w:val="00CA79DA"/>
    <w:rsid w:val="00CB589D"/>
    <w:rsid w:val="00CB67AC"/>
    <w:rsid w:val="00CB73A7"/>
    <w:rsid w:val="00CC35D2"/>
    <w:rsid w:val="00CC78C2"/>
    <w:rsid w:val="00CD0339"/>
    <w:rsid w:val="00CD0DDE"/>
    <w:rsid w:val="00CE2D10"/>
    <w:rsid w:val="00CE30D1"/>
    <w:rsid w:val="00CE37D8"/>
    <w:rsid w:val="00CE7A8D"/>
    <w:rsid w:val="00CF11A1"/>
    <w:rsid w:val="00D07C37"/>
    <w:rsid w:val="00D16655"/>
    <w:rsid w:val="00D21902"/>
    <w:rsid w:val="00D230CF"/>
    <w:rsid w:val="00D237F7"/>
    <w:rsid w:val="00D244F8"/>
    <w:rsid w:val="00D44E97"/>
    <w:rsid w:val="00D57E12"/>
    <w:rsid w:val="00D64500"/>
    <w:rsid w:val="00D7768B"/>
    <w:rsid w:val="00D90AC4"/>
    <w:rsid w:val="00D90C81"/>
    <w:rsid w:val="00DA1516"/>
    <w:rsid w:val="00DA2445"/>
    <w:rsid w:val="00DC76FF"/>
    <w:rsid w:val="00DD5573"/>
    <w:rsid w:val="00DF219A"/>
    <w:rsid w:val="00DF3EB3"/>
    <w:rsid w:val="00DF56E7"/>
    <w:rsid w:val="00E03281"/>
    <w:rsid w:val="00E040B8"/>
    <w:rsid w:val="00E100DC"/>
    <w:rsid w:val="00E16B00"/>
    <w:rsid w:val="00E20D5A"/>
    <w:rsid w:val="00E222EA"/>
    <w:rsid w:val="00E24E4D"/>
    <w:rsid w:val="00E34609"/>
    <w:rsid w:val="00E62BCA"/>
    <w:rsid w:val="00E833C2"/>
    <w:rsid w:val="00EA7AB6"/>
    <w:rsid w:val="00EB39A0"/>
    <w:rsid w:val="00ED59B5"/>
    <w:rsid w:val="00EE667A"/>
    <w:rsid w:val="00EE66D6"/>
    <w:rsid w:val="00EF3296"/>
    <w:rsid w:val="00F020D9"/>
    <w:rsid w:val="00F025CE"/>
    <w:rsid w:val="00F150D2"/>
    <w:rsid w:val="00F30AD5"/>
    <w:rsid w:val="00F3719A"/>
    <w:rsid w:val="00F4097F"/>
    <w:rsid w:val="00F43C99"/>
    <w:rsid w:val="00F66033"/>
    <w:rsid w:val="00F6632C"/>
    <w:rsid w:val="00F708BC"/>
    <w:rsid w:val="00F8684A"/>
    <w:rsid w:val="00F94342"/>
    <w:rsid w:val="00F96BD4"/>
    <w:rsid w:val="00FA241A"/>
    <w:rsid w:val="00FA2FDC"/>
    <w:rsid w:val="00FB1F36"/>
    <w:rsid w:val="00FB5A42"/>
    <w:rsid w:val="00FB69A2"/>
    <w:rsid w:val="00FC298A"/>
    <w:rsid w:val="00FC6569"/>
    <w:rsid w:val="00FE17FB"/>
    <w:rsid w:val="00FE341E"/>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paragraph" w:styleId="PlainText">
    <w:name w:val="Plain Text"/>
    <w:basedOn w:val="Normal"/>
    <w:link w:val="PlainTextChar"/>
    <w:uiPriority w:val="99"/>
    <w:unhideWhenUsed/>
    <w:rsid w:val="00635F52"/>
    <w:rPr>
      <w:rFonts w:ascii="Consolas" w:hAnsi="Consolas" w:cs="Consolas"/>
      <w:sz w:val="21"/>
      <w:szCs w:val="21"/>
      <w:lang w:eastAsia="lv-LV"/>
    </w:rPr>
  </w:style>
  <w:style w:type="character" w:customStyle="1" w:styleId="PlainTextChar">
    <w:name w:val="Plain Text Char"/>
    <w:basedOn w:val="DefaultParagraphFont"/>
    <w:link w:val="PlainText"/>
    <w:uiPriority w:val="99"/>
    <w:rsid w:val="00635F52"/>
    <w:rPr>
      <w:rFonts w:ascii="Consolas" w:hAnsi="Consolas" w:cs="Consolas"/>
      <w:sz w:val="21"/>
      <w:szCs w:val="21"/>
      <w:lang w:eastAsia="lv-LV"/>
    </w:rPr>
  </w:style>
  <w:style w:type="paragraph" w:styleId="NormalWeb">
    <w:name w:val="Normal (Web)"/>
    <w:basedOn w:val="Normal"/>
    <w:unhideWhenUsed/>
    <w:rsid w:val="00E03281"/>
    <w:pPr>
      <w:spacing w:before="100" w:beforeAutospacing="1" w:after="100" w:afterAutospacing="1"/>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paragraph" w:styleId="PlainText">
    <w:name w:val="Plain Text"/>
    <w:basedOn w:val="Normal"/>
    <w:link w:val="PlainTextChar"/>
    <w:uiPriority w:val="99"/>
    <w:unhideWhenUsed/>
    <w:rsid w:val="00635F52"/>
    <w:rPr>
      <w:rFonts w:ascii="Consolas" w:hAnsi="Consolas" w:cs="Consolas"/>
      <w:sz w:val="21"/>
      <w:szCs w:val="21"/>
      <w:lang w:eastAsia="lv-LV"/>
    </w:rPr>
  </w:style>
  <w:style w:type="character" w:customStyle="1" w:styleId="PlainTextChar">
    <w:name w:val="Plain Text Char"/>
    <w:basedOn w:val="DefaultParagraphFont"/>
    <w:link w:val="PlainText"/>
    <w:uiPriority w:val="99"/>
    <w:rsid w:val="00635F52"/>
    <w:rPr>
      <w:rFonts w:ascii="Consolas" w:hAnsi="Consolas" w:cs="Consolas"/>
      <w:sz w:val="21"/>
      <w:szCs w:val="21"/>
      <w:lang w:eastAsia="lv-LV"/>
    </w:rPr>
  </w:style>
  <w:style w:type="paragraph" w:styleId="NormalWeb">
    <w:name w:val="Normal (Web)"/>
    <w:basedOn w:val="Normal"/>
    <w:unhideWhenUsed/>
    <w:rsid w:val="00E03281"/>
    <w:pPr>
      <w:spacing w:before="100" w:beforeAutospacing="1" w:after="100" w:afterAutospacing="1"/>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945</Words>
  <Characters>6384</Characters>
  <Application>Microsoft Office Word</Application>
  <DocSecurity>0</DocSecurity>
  <Lines>456</Lines>
  <Paragraphs>209</Paragraphs>
  <ScaleCrop>false</ScaleCrop>
  <HeadingPairs>
    <vt:vector size="2" baseType="variant">
      <vt:variant>
        <vt:lpstr>Title</vt:lpstr>
      </vt:variant>
      <vt:variant>
        <vt:i4>1</vt:i4>
      </vt:variant>
    </vt:vector>
  </HeadingPairs>
  <TitlesOfParts>
    <vt:vector size="1" baseType="lpstr">
      <vt:lpstr>Likumprojekts "Grozījumi likumā "Par valsts un pašvaldību kapitāla daļām un kapitālsabiedrībām""</vt:lpstr>
    </vt:vector>
  </TitlesOfParts>
  <Company>fm</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un pašvaldību kapitāla daļām un kapitālsabiedrībām""</dc:title>
  <dc:subject>Anotācija</dc:subject>
  <dc:creator>I.Artemjeva</dc:creator>
  <cp:keywords/>
  <dc:description>t.67095599; 
Ineta.Artemjeva@fm.gov.lv  </dc:description>
  <cp:lastModifiedBy>changeme</cp:lastModifiedBy>
  <cp:revision>19</cp:revision>
  <cp:lastPrinted>2012-09-17T10:28:00Z</cp:lastPrinted>
  <dcterms:created xsi:type="dcterms:W3CDTF">2012-09-14T08:48:00Z</dcterms:created>
  <dcterms:modified xsi:type="dcterms:W3CDTF">2012-09-17T10:38:00Z</dcterms:modified>
</cp:coreProperties>
</file>