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51" w:rsidRPr="00AF6B10" w:rsidRDefault="00826E51" w:rsidP="00826E51">
      <w:pPr>
        <w:jc w:val="center"/>
        <w:rPr>
          <w:b/>
          <w:bCs/>
          <w:color w:val="000000"/>
        </w:rPr>
      </w:pPr>
      <w:r w:rsidRPr="00AF6B10">
        <w:rPr>
          <w:b/>
          <w:bCs/>
          <w:color w:val="000000"/>
        </w:rPr>
        <w:t xml:space="preserve">Ministru kabineta </w:t>
      </w:r>
      <w:r>
        <w:rPr>
          <w:b/>
          <w:bCs/>
          <w:color w:val="000000"/>
        </w:rPr>
        <w:t xml:space="preserve">instrukcijas </w:t>
      </w:r>
      <w:r w:rsidRPr="00AF6B10">
        <w:rPr>
          <w:b/>
          <w:bCs/>
          <w:color w:val="000000"/>
        </w:rPr>
        <w:t>projekta</w:t>
      </w:r>
    </w:p>
    <w:p w:rsidR="00826E51" w:rsidRPr="00AF6B10" w:rsidRDefault="00826E51" w:rsidP="00826E51">
      <w:pPr>
        <w:jc w:val="center"/>
        <w:rPr>
          <w:b/>
          <w:spacing w:val="2"/>
          <w:position w:val="-12"/>
        </w:rPr>
      </w:pPr>
      <w:r w:rsidRPr="00AF6B10">
        <w:rPr>
          <w:b/>
          <w:color w:val="000000"/>
          <w:spacing w:val="2"/>
          <w:position w:val="-12"/>
        </w:rPr>
        <w:t>„</w:t>
      </w:r>
      <w:bookmarkStart w:id="0" w:name="OLE_LINK1"/>
      <w:bookmarkStart w:id="1" w:name="OLE_LINK2"/>
      <w:r>
        <w:rPr>
          <w:b/>
          <w:spacing w:val="2"/>
          <w:position w:val="-12"/>
        </w:rPr>
        <w:t>Grozījumi Ministru kabineta 2009. gada 20. janvāra instrukcijā</w:t>
      </w:r>
      <w:r w:rsidRPr="00AF6B10">
        <w:rPr>
          <w:b/>
          <w:spacing w:val="2"/>
          <w:position w:val="-12"/>
        </w:rPr>
        <w:t xml:space="preserve"> Nr.</w:t>
      </w:r>
      <w:r>
        <w:rPr>
          <w:b/>
          <w:spacing w:val="2"/>
          <w:position w:val="-12"/>
        </w:rPr>
        <w:t>2</w:t>
      </w:r>
      <w:r w:rsidRPr="00AF6B10">
        <w:rPr>
          <w:b/>
          <w:spacing w:val="2"/>
          <w:position w:val="-12"/>
        </w:rPr>
        <w:t xml:space="preserve"> </w:t>
      </w:r>
      <w:bookmarkEnd w:id="0"/>
      <w:bookmarkEnd w:id="1"/>
    </w:p>
    <w:p w:rsidR="00826E51" w:rsidRPr="00AF6B10" w:rsidRDefault="00826E51" w:rsidP="00826E51">
      <w:pPr>
        <w:jc w:val="center"/>
        <w:rPr>
          <w:b/>
          <w:spacing w:val="2"/>
          <w:position w:val="-12"/>
        </w:rPr>
      </w:pPr>
      <w:r w:rsidRPr="00AF6B10">
        <w:rPr>
          <w:b/>
          <w:bCs/>
        </w:rPr>
        <w:t>„</w:t>
      </w:r>
      <w:r w:rsidRPr="00826E51">
        <w:rPr>
          <w:b/>
          <w:bCs/>
        </w:rPr>
        <w:t>Kārtība, kādā valsts budžeta iestādes sagatavo un apstiprina valsts budžeta programmu, apakšprogrammu un pasākumu tāmes kārtējam gadam</w:t>
      </w:r>
      <w:r w:rsidRPr="00643C0E">
        <w:rPr>
          <w:b/>
          <w:bCs/>
        </w:rPr>
        <w:t>”</w:t>
      </w:r>
      <w:r>
        <w:rPr>
          <w:b/>
          <w:bCs/>
        </w:rPr>
        <w:t>”</w:t>
      </w:r>
      <w:r w:rsidRPr="00643C0E">
        <w:rPr>
          <w:b/>
          <w:bCs/>
        </w:rPr>
        <w:t xml:space="preserve"> </w:t>
      </w:r>
      <w:r w:rsidRPr="001E6D07">
        <w:rPr>
          <w:b/>
          <w:bCs/>
        </w:rPr>
        <w:t xml:space="preserve">sākotnējās ietekmes novērtējuma </w:t>
      </w:r>
      <w:smartTag w:uri="schemas-tilde-lv/tildestengine" w:element="veidnes">
        <w:smartTagPr>
          <w:attr w:name="id" w:val="-1"/>
          <w:attr w:name="baseform" w:val="ziņojums"/>
          <w:attr w:name="text" w:val="ziņojums"/>
        </w:smartTagPr>
        <w:r w:rsidRPr="001E6D07">
          <w:rPr>
            <w:b/>
            <w:bCs/>
          </w:rPr>
          <w:t>ziņojums</w:t>
        </w:r>
      </w:smartTag>
      <w:r w:rsidRPr="001E6D07">
        <w:rPr>
          <w:b/>
          <w:bCs/>
        </w:rPr>
        <w:t xml:space="preserve"> </w:t>
      </w:r>
      <w:r>
        <w:rPr>
          <w:b/>
          <w:bCs/>
        </w:rPr>
        <w:t>(</w:t>
      </w:r>
      <w:r w:rsidRPr="00643C0E">
        <w:rPr>
          <w:b/>
          <w:color w:val="000000"/>
        </w:rPr>
        <w:t>anotācija</w:t>
      </w:r>
      <w:r>
        <w:rPr>
          <w:b/>
          <w:color w:val="000000"/>
        </w:rPr>
        <w:t>)</w:t>
      </w:r>
    </w:p>
    <w:p w:rsidR="0034725C" w:rsidRDefault="0034725C"/>
    <w:tbl>
      <w:tblPr>
        <w:tblW w:w="4997"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38"/>
        <w:gridCol w:w="2864"/>
        <w:gridCol w:w="5873"/>
      </w:tblGrid>
      <w:tr w:rsidR="000A6C5D" w:rsidRPr="00826E51" w:rsidTr="00B52A79">
        <w:tc>
          <w:tcPr>
            <w:tcW w:w="5000" w:type="pct"/>
            <w:gridSpan w:val="3"/>
            <w:tcBorders>
              <w:top w:val="outset" w:sz="6" w:space="0" w:color="auto"/>
              <w:bottom w:val="outset" w:sz="6" w:space="0" w:color="auto"/>
            </w:tcBorders>
          </w:tcPr>
          <w:p w:rsidR="000A6C5D" w:rsidRPr="00826E51" w:rsidRDefault="000A6C5D" w:rsidP="00F15474">
            <w:pPr>
              <w:jc w:val="center"/>
              <w:rPr>
                <w:b/>
              </w:rPr>
            </w:pPr>
            <w:r w:rsidRPr="00826E51">
              <w:rPr>
                <w:b/>
                <w:bCs/>
              </w:rPr>
              <w:t>I. Tiesību akta projekta izstrādes nepieciešamība</w:t>
            </w:r>
          </w:p>
        </w:tc>
      </w:tr>
      <w:tr w:rsidR="00826E51" w:rsidRPr="00826E51" w:rsidTr="00B52A79">
        <w:tc>
          <w:tcPr>
            <w:tcW w:w="290" w:type="pct"/>
            <w:tcBorders>
              <w:top w:val="outset" w:sz="6" w:space="0" w:color="auto"/>
              <w:bottom w:val="outset" w:sz="6" w:space="0" w:color="auto"/>
              <w:right w:val="outset" w:sz="6" w:space="0" w:color="auto"/>
            </w:tcBorders>
          </w:tcPr>
          <w:p w:rsidR="00826E51" w:rsidRPr="00826E51" w:rsidRDefault="00826E51" w:rsidP="00826E51">
            <w:r w:rsidRPr="00826E51">
              <w:t>1.</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Pamatojums</w:t>
            </w:r>
          </w:p>
        </w:tc>
        <w:tc>
          <w:tcPr>
            <w:tcW w:w="3166" w:type="pct"/>
            <w:tcBorders>
              <w:top w:val="outset" w:sz="6" w:space="0" w:color="auto"/>
              <w:left w:val="outset" w:sz="6" w:space="0" w:color="auto"/>
              <w:bottom w:val="outset" w:sz="6" w:space="0" w:color="auto"/>
            </w:tcBorders>
          </w:tcPr>
          <w:p w:rsidR="00826E51" w:rsidRPr="00826E51" w:rsidRDefault="006C27AF" w:rsidP="00E1762A">
            <w:pPr>
              <w:ind w:firstLine="422"/>
              <w:jc w:val="both"/>
            </w:pPr>
            <w:r>
              <w:t xml:space="preserve">Nepieciešamība veikt grozījumus Ministru kabineta (turpmāk – MK) 2009. gada 20. janvāra instrukcijā Nr.2 „Kārtība, kādā valsts budžeta iestādes sagatavo un apstiprina valsts budžeta programmu, apakšprogrammu un pasākumu tāmes kārtējam gadam” (turpmāk – Instrukcija Nr.2) izriet no </w:t>
            </w:r>
            <w:r w:rsidRPr="006C27AF">
              <w:t xml:space="preserve">2011.gada 11. oktobrī MK </w:t>
            </w:r>
            <w:r>
              <w:t xml:space="preserve">pieņemtajiem grozījumiem </w:t>
            </w:r>
            <w:r w:rsidRPr="006C27AF">
              <w:t>MK 2005. gada 27. decembra noteikumos Nr.1031 "Noteikumi par budžetu izdevumu klasifikāciju atbilstoši ekonomiskajām kategorijām" (turpmāk – Noteikumi par izdevumu klasifikāciju) un MK 2005. gada 27. decembra noteikumos Nr.1032 "Noteikumi par budžetu ieņēmumu klasifikāciju" (turpmāk – Noteikumi par ieņēmumu klasifikāciju).</w:t>
            </w:r>
          </w:p>
        </w:tc>
      </w:tr>
      <w:tr w:rsidR="00826E51" w:rsidRPr="00826E51" w:rsidTr="00B52A79">
        <w:trPr>
          <w:trHeight w:val="1250"/>
        </w:trPr>
        <w:tc>
          <w:tcPr>
            <w:tcW w:w="290" w:type="pct"/>
            <w:tcBorders>
              <w:top w:val="outset" w:sz="6" w:space="0" w:color="auto"/>
              <w:bottom w:val="outset" w:sz="6" w:space="0" w:color="auto"/>
              <w:right w:val="outset" w:sz="6" w:space="0" w:color="auto"/>
            </w:tcBorders>
          </w:tcPr>
          <w:p w:rsidR="00826E51" w:rsidRPr="00826E51" w:rsidRDefault="00826E51" w:rsidP="00826E51">
            <w:r w:rsidRPr="00826E51">
              <w:t>2.</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Pašreizējā situācija un problēmas</w:t>
            </w:r>
          </w:p>
        </w:tc>
        <w:tc>
          <w:tcPr>
            <w:tcW w:w="3166" w:type="pct"/>
            <w:tcBorders>
              <w:top w:val="outset" w:sz="6" w:space="0" w:color="auto"/>
              <w:left w:val="outset" w:sz="6" w:space="0" w:color="auto"/>
              <w:bottom w:val="outset" w:sz="6" w:space="0" w:color="auto"/>
            </w:tcBorders>
          </w:tcPr>
          <w:p w:rsidR="00826E51" w:rsidRDefault="00E1762A" w:rsidP="00E1762A">
            <w:pPr>
              <w:ind w:firstLine="422"/>
              <w:jc w:val="both"/>
            </w:pPr>
            <w:r>
              <w:t>2012. gada 1. janvārī stājoties spēkā pēdējiem grozījumiem Noteikumos</w:t>
            </w:r>
            <w:r w:rsidRPr="00E1762A">
              <w:t xml:space="preserve"> par izdevumu klasifikāciju</w:t>
            </w:r>
            <w:r>
              <w:t xml:space="preserve"> un </w:t>
            </w:r>
            <w:r w:rsidRPr="00E1762A">
              <w:t>Noteikum</w:t>
            </w:r>
            <w:r>
              <w:t>os</w:t>
            </w:r>
            <w:r w:rsidRPr="00E1762A">
              <w:t xml:space="preserve"> par budžetu ieņēmumu klasifikāciju</w:t>
            </w:r>
            <w:r>
              <w:t>, klasifikāciju kodi Instrukcijā Nr.2 būs novecojuši un neatbildīs klasifikāciju kodiem iepriekšminētajos MK noteikumos.</w:t>
            </w:r>
          </w:p>
          <w:p w:rsidR="004A2F94" w:rsidRPr="00826E51" w:rsidRDefault="004A2F94" w:rsidP="004A2F94">
            <w:pPr>
              <w:ind w:firstLine="422"/>
              <w:jc w:val="both"/>
            </w:pPr>
            <w:r>
              <w:t>Instrukcijas Nr.2 10.punktā minētais budžeta programmu un apakšprogrammu sakārtojums valsts budžeta likumā ir novecojis un neatbilst reālajai situācijai.</w:t>
            </w:r>
          </w:p>
        </w:tc>
      </w:tr>
      <w:tr w:rsidR="00826E51" w:rsidRPr="00826E51" w:rsidTr="00B52A79">
        <w:trPr>
          <w:trHeight w:val="670"/>
        </w:trPr>
        <w:tc>
          <w:tcPr>
            <w:tcW w:w="290" w:type="pct"/>
            <w:tcBorders>
              <w:top w:val="outset" w:sz="6" w:space="0" w:color="auto"/>
              <w:bottom w:val="outset" w:sz="6" w:space="0" w:color="auto"/>
              <w:right w:val="outset" w:sz="6" w:space="0" w:color="auto"/>
            </w:tcBorders>
          </w:tcPr>
          <w:p w:rsidR="00826E51" w:rsidRPr="00826E51" w:rsidRDefault="00826E51" w:rsidP="00826E51">
            <w:r w:rsidRPr="00826E51">
              <w:t>3.</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Saistītie politikas ietekmes novērtējumi un pētījumi</w:t>
            </w:r>
          </w:p>
        </w:tc>
        <w:tc>
          <w:tcPr>
            <w:tcW w:w="3166" w:type="pct"/>
            <w:tcBorders>
              <w:top w:val="outset" w:sz="6" w:space="0" w:color="auto"/>
              <w:left w:val="outset" w:sz="6" w:space="0" w:color="auto"/>
              <w:bottom w:val="outset" w:sz="6" w:space="0" w:color="auto"/>
            </w:tcBorders>
          </w:tcPr>
          <w:p w:rsidR="00826E51" w:rsidRPr="00826E51" w:rsidRDefault="00826E51" w:rsidP="00E1762A">
            <w:pPr>
              <w:ind w:firstLine="422"/>
              <w:jc w:val="both"/>
              <w:rPr>
                <w:bCs/>
              </w:rPr>
            </w:pPr>
            <w:r w:rsidRPr="00826E51">
              <w:t>Nav attiecināms.</w:t>
            </w:r>
          </w:p>
        </w:tc>
      </w:tr>
      <w:tr w:rsidR="00826E51" w:rsidRPr="00826E51" w:rsidTr="00B52A79">
        <w:tc>
          <w:tcPr>
            <w:tcW w:w="290" w:type="pct"/>
            <w:tcBorders>
              <w:top w:val="outset" w:sz="6" w:space="0" w:color="auto"/>
              <w:bottom w:val="outset" w:sz="6" w:space="0" w:color="auto"/>
              <w:right w:val="outset" w:sz="6" w:space="0" w:color="auto"/>
            </w:tcBorders>
          </w:tcPr>
          <w:p w:rsidR="00826E51" w:rsidRPr="00826E51" w:rsidRDefault="00826E51" w:rsidP="00826E51">
            <w:r w:rsidRPr="00826E51">
              <w:t>4.</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Tiesiskā regulējuma mērķis un būtība</w:t>
            </w:r>
          </w:p>
        </w:tc>
        <w:tc>
          <w:tcPr>
            <w:tcW w:w="3166" w:type="pct"/>
            <w:tcBorders>
              <w:top w:val="outset" w:sz="6" w:space="0" w:color="auto"/>
              <w:left w:val="outset" w:sz="6" w:space="0" w:color="auto"/>
              <w:bottom w:val="outset" w:sz="6" w:space="0" w:color="auto"/>
            </w:tcBorders>
          </w:tcPr>
          <w:p w:rsidR="00E1762A" w:rsidRDefault="00E1762A" w:rsidP="009A4297">
            <w:pPr>
              <w:ind w:firstLine="422"/>
              <w:jc w:val="both"/>
            </w:pPr>
            <w:r>
              <w:t xml:space="preserve">Likuma par budžetu un finanšu vadību 24. panta 1. </w:t>
            </w:r>
            <w:r w:rsidR="00DA03C4">
              <w:t>daļa</w:t>
            </w:r>
            <w:r>
              <w:t xml:space="preserve"> nosaka, ka valsts budžeta izpildītāji var izdarīt valsts budžeta izdevumus vai uzņemties īstermiņa saistības tikai to finansēšanas plānos noteikto asignējumu ietvaros, kurus izsniedz Valsts kase.</w:t>
            </w:r>
          </w:p>
          <w:p w:rsidR="00E1762A" w:rsidRDefault="009A4297" w:rsidP="009A4297">
            <w:pPr>
              <w:ind w:firstLine="422"/>
              <w:jc w:val="both"/>
            </w:pPr>
            <w:r>
              <w:t>MK</w:t>
            </w:r>
            <w:r w:rsidR="00E1762A">
              <w:t xml:space="preserve"> 2010. gada 28. decembra noteikumi Nr.1220 „Asignējumu piešķiršanas un izpildes kārtība” paredz, ka Valsts kase pārbauda atbilstību un reģistrē Valsts kases informācijas sistēmā ministriju un citu centrālo valsts iestāžu finansēšanas plānus, kurus ne vēlāk kā astoņas darbdienas pirms saimnieciskā gada sākuma vai trīs darbdienas pirms kārtējā mēneša sākuma ministrijas un citas centrālās valsts iestādes elektroniski apstiprina Valsts kases informācijas sistēmā.</w:t>
            </w:r>
          </w:p>
          <w:p w:rsidR="00E1762A" w:rsidRDefault="00E1762A" w:rsidP="009A4297">
            <w:pPr>
              <w:ind w:firstLine="422"/>
              <w:jc w:val="both"/>
            </w:pPr>
            <w:r>
              <w:t xml:space="preserve">Savukārt </w:t>
            </w:r>
            <w:r w:rsidR="009A4297">
              <w:t>Instrukcijas Nr.2</w:t>
            </w:r>
            <w:r>
              <w:t xml:space="preserve"> 3. punkts nosaka, ka valsts </w:t>
            </w:r>
            <w:r>
              <w:lastRenderedPageBreak/>
              <w:t>budžeta iestādes sagatavo tāmes atbilstoši finansēšanas plānos apstiprinātajam asignējumam kārtējam gadam ne vēlāk kā 10 darbdienu laikā pēc finansēšanas plāna apstiprināšanas.</w:t>
            </w:r>
          </w:p>
          <w:p w:rsidR="00E1762A" w:rsidRDefault="00E1762A" w:rsidP="009A4297">
            <w:pPr>
              <w:ind w:firstLine="422"/>
              <w:jc w:val="both"/>
            </w:pPr>
            <w:r>
              <w:t>2011.gada 11. okt</w:t>
            </w:r>
            <w:r w:rsidR="009A4297">
              <w:t xml:space="preserve">obrī MK tika pieņemti grozījumi </w:t>
            </w:r>
            <w:r>
              <w:t>Noteikum</w:t>
            </w:r>
            <w:r w:rsidR="009A4297">
              <w:t>os par izdevumu klasifikāciju</w:t>
            </w:r>
            <w:r>
              <w:t xml:space="preserve"> un </w:t>
            </w:r>
            <w:r w:rsidR="009A4297">
              <w:t>Noteikumos par ieņēmumu klasifikāciju</w:t>
            </w:r>
            <w:r>
              <w:t>.</w:t>
            </w:r>
          </w:p>
          <w:p w:rsidR="00E1762A" w:rsidRDefault="00E1762A" w:rsidP="009A4297">
            <w:pPr>
              <w:ind w:firstLine="422"/>
              <w:jc w:val="both"/>
            </w:pPr>
            <w:r>
              <w:t xml:space="preserve">Līdz ar to ir nepieciešams veikt grozījumus Instrukcijā Nr.2, lai klasifikāciju kodi tāmēs atbilstu klasifikāciju kodiem Noteikumos par izdevumu klasifikāciju un Noteikumos par ieņēmumu klasifikāciju. </w:t>
            </w:r>
            <w:r w:rsidR="00063E36">
              <w:t>Ņemot vērā to,</w:t>
            </w:r>
            <w:r>
              <w:t xml:space="preserve"> ka iepriekšminētie termiņi paredz, ka </w:t>
            </w:r>
            <w:r w:rsidR="00063E36">
              <w:t xml:space="preserve">valsts budžeta iestādes sāks lietot </w:t>
            </w:r>
            <w:r>
              <w:t>tām</w:t>
            </w:r>
            <w:r w:rsidR="00063E36">
              <w:t>ju veidlapas jau 2011.gada nogalē drīz pēc valsts budžeta likuma apstiprināšanas Saeimā, un arī to, ka valsts budžets 2012.gadam tiek plānots pēc jaunajiem kodiem atbilstoši Noteikumiem par izdevumu klasifikāciju un Noteikumiem par ieņēmumu klasifikāciju, tad</w:t>
            </w:r>
            <w:r>
              <w:t xml:space="preserve"> grozījum</w:t>
            </w:r>
            <w:r w:rsidR="00063E36">
              <w:t>us</w:t>
            </w:r>
            <w:r>
              <w:t xml:space="preserve"> Instrukcijā Nr.2 ir </w:t>
            </w:r>
            <w:r w:rsidR="00063E36">
              <w:t>jāapstiprina MK līdz valsts budžeta likuma 2012.gadam apstiprināšanas Saeimā.</w:t>
            </w:r>
          </w:p>
          <w:p w:rsidR="009A4297" w:rsidRDefault="00E1762A" w:rsidP="009A4297">
            <w:pPr>
              <w:ind w:firstLine="422"/>
              <w:jc w:val="both"/>
            </w:pPr>
            <w:r>
              <w:t xml:space="preserve">Instrukcijas Nr.2 grozījumu projekta izstrāde tika uzsākta tiklīdz  2011. gada 11. oktobra grozījumi Noteikumos par izdevumu klasifikāciju un Noteikumos par ieņēmumu klasifikāciju tika pieņemti </w:t>
            </w:r>
            <w:r w:rsidR="009A4297">
              <w:t>MK</w:t>
            </w:r>
            <w:r>
              <w:t xml:space="preserve"> un </w:t>
            </w:r>
            <w:r w:rsidR="004A2F94">
              <w:t xml:space="preserve">klasifikācijas kodu </w:t>
            </w:r>
            <w:r w:rsidR="00063E36">
              <w:t xml:space="preserve">precīzie </w:t>
            </w:r>
            <w:r w:rsidR="004A2F94">
              <w:t xml:space="preserve">nosaukumi </w:t>
            </w:r>
            <w:r>
              <w:t>redaktoru izskatīti</w:t>
            </w:r>
            <w:r w:rsidR="004A2F94">
              <w:t xml:space="preserve"> un</w:t>
            </w:r>
            <w:r>
              <w:t xml:space="preserve"> noformēti tika ievietoti interneta vietnē </w:t>
            </w:r>
            <w:proofErr w:type="spellStart"/>
            <w:r w:rsidR="009A4297" w:rsidRPr="009A4297">
              <w:t>www.likumi.lv</w:t>
            </w:r>
            <w:proofErr w:type="spellEnd"/>
            <w:r>
              <w:t>.</w:t>
            </w:r>
          </w:p>
          <w:p w:rsidR="003577C8" w:rsidRDefault="003577C8" w:rsidP="009A4297">
            <w:pPr>
              <w:ind w:firstLine="422"/>
              <w:jc w:val="both"/>
            </w:pPr>
          </w:p>
          <w:p w:rsidR="003577C8" w:rsidRDefault="003577C8" w:rsidP="003577C8">
            <w:pPr>
              <w:ind w:firstLine="422"/>
              <w:jc w:val="both"/>
            </w:pPr>
            <w:r w:rsidRPr="003577C8">
              <w:t>Izsakot instrukcijas 10.punktu jaunā redakcijā, grozījumu projekts paredz arī precizēt atsevišķo budžeta programmu un apakšprogrammu nosaukumus, kā arī skaidrāk sasaistīt instrukcijas normas ar Ministru kabineta 2009.gada 22.decembra noteikumos Nr.1644 „Kārtība, kādā pieprasa un izlieto budžeta programmas "Līdzekļi neparedzētiem gadījumiem" līdzekļus” minēto.</w:t>
            </w:r>
          </w:p>
          <w:p w:rsidR="003577C8" w:rsidRDefault="003577C8" w:rsidP="003577C8">
            <w:pPr>
              <w:ind w:firstLine="422"/>
              <w:jc w:val="both"/>
            </w:pPr>
          </w:p>
          <w:p w:rsidR="003577C8" w:rsidRPr="00826E51" w:rsidRDefault="003577C8" w:rsidP="003577C8">
            <w:pPr>
              <w:ind w:firstLine="422"/>
              <w:jc w:val="both"/>
            </w:pPr>
            <w:r w:rsidRPr="003577C8">
              <w:t>Instrukcijas projekts pilnīgi atrisina anotācijas šajā sadaļā 2. punktā minētās problēmas.</w:t>
            </w:r>
          </w:p>
        </w:tc>
      </w:tr>
      <w:tr w:rsidR="00826E51" w:rsidRPr="00826E51" w:rsidTr="00B52A79">
        <w:tc>
          <w:tcPr>
            <w:tcW w:w="290" w:type="pct"/>
            <w:tcBorders>
              <w:top w:val="outset" w:sz="6" w:space="0" w:color="auto"/>
              <w:bottom w:val="outset" w:sz="6" w:space="0" w:color="auto"/>
              <w:right w:val="outset" w:sz="6" w:space="0" w:color="auto"/>
            </w:tcBorders>
          </w:tcPr>
          <w:p w:rsidR="00826E51" w:rsidRPr="00826E51" w:rsidRDefault="00826E51" w:rsidP="00826E51">
            <w:r w:rsidRPr="00826E51">
              <w:lastRenderedPageBreak/>
              <w:t>5.</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Projekta izstrādē iesaistītās institūcijas</w:t>
            </w:r>
          </w:p>
        </w:tc>
        <w:tc>
          <w:tcPr>
            <w:tcW w:w="3166" w:type="pct"/>
            <w:tcBorders>
              <w:top w:val="outset" w:sz="6" w:space="0" w:color="auto"/>
              <w:left w:val="outset" w:sz="6" w:space="0" w:color="auto"/>
              <w:bottom w:val="outset" w:sz="6" w:space="0" w:color="auto"/>
            </w:tcBorders>
          </w:tcPr>
          <w:p w:rsidR="00826E51" w:rsidRPr="00826E51" w:rsidRDefault="009A4297" w:rsidP="009A4297">
            <w:pPr>
              <w:ind w:firstLine="422"/>
            </w:pPr>
            <w:r w:rsidRPr="009A4297">
              <w:t>Projekts šo jomu neskar.</w:t>
            </w:r>
          </w:p>
        </w:tc>
      </w:tr>
      <w:tr w:rsidR="00826E51" w:rsidRPr="00826E51" w:rsidTr="00B52A79">
        <w:tc>
          <w:tcPr>
            <w:tcW w:w="290" w:type="pct"/>
            <w:tcBorders>
              <w:top w:val="outset" w:sz="6" w:space="0" w:color="auto"/>
              <w:bottom w:val="outset" w:sz="6" w:space="0" w:color="auto"/>
              <w:right w:val="outset" w:sz="6" w:space="0" w:color="auto"/>
            </w:tcBorders>
          </w:tcPr>
          <w:p w:rsidR="00826E51" w:rsidRPr="00826E51" w:rsidRDefault="00826E51" w:rsidP="00826E51">
            <w:r w:rsidRPr="00826E51">
              <w:t>6.</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Iemesli, kādēļ netika nodrošināta sabiedrības līdzdalība</w:t>
            </w:r>
          </w:p>
        </w:tc>
        <w:tc>
          <w:tcPr>
            <w:tcW w:w="3166" w:type="pct"/>
            <w:tcBorders>
              <w:top w:val="outset" w:sz="6" w:space="0" w:color="auto"/>
              <w:left w:val="outset" w:sz="6" w:space="0" w:color="auto"/>
              <w:bottom w:val="outset" w:sz="6" w:space="0" w:color="auto"/>
            </w:tcBorders>
          </w:tcPr>
          <w:p w:rsidR="00826E51" w:rsidRPr="00826E51" w:rsidRDefault="00826E51" w:rsidP="00860DC0">
            <w:pPr>
              <w:ind w:firstLine="422"/>
            </w:pPr>
            <w:r w:rsidRPr="00826E51">
              <w:t xml:space="preserve">Projekts </w:t>
            </w:r>
            <w:r w:rsidR="00860DC0">
              <w:t>neskar sabiedrību vai atsevišķas tās grupas.</w:t>
            </w:r>
          </w:p>
        </w:tc>
      </w:tr>
      <w:tr w:rsidR="00826E51" w:rsidRPr="00826E51" w:rsidTr="00B52A79">
        <w:tc>
          <w:tcPr>
            <w:tcW w:w="290" w:type="pct"/>
            <w:tcBorders>
              <w:top w:val="outset" w:sz="6" w:space="0" w:color="auto"/>
              <w:bottom w:val="outset" w:sz="6" w:space="0" w:color="auto"/>
              <w:right w:val="outset" w:sz="6" w:space="0" w:color="auto"/>
            </w:tcBorders>
          </w:tcPr>
          <w:p w:rsidR="00826E51" w:rsidRPr="00826E51" w:rsidRDefault="00826E51" w:rsidP="00826E51">
            <w:r w:rsidRPr="00826E51">
              <w:t>7.</w:t>
            </w:r>
          </w:p>
        </w:tc>
        <w:tc>
          <w:tcPr>
            <w:tcW w:w="1544" w:type="pct"/>
            <w:tcBorders>
              <w:top w:val="outset" w:sz="6" w:space="0" w:color="auto"/>
              <w:left w:val="outset" w:sz="6" w:space="0" w:color="auto"/>
              <w:bottom w:val="outset" w:sz="6" w:space="0" w:color="auto"/>
              <w:right w:val="outset" w:sz="6" w:space="0" w:color="auto"/>
            </w:tcBorders>
          </w:tcPr>
          <w:p w:rsidR="00826E51" w:rsidRPr="00826E51" w:rsidRDefault="00826E51" w:rsidP="00826E51">
            <w:r w:rsidRPr="00826E51">
              <w:t xml:space="preserve"> Cita informācija</w:t>
            </w:r>
          </w:p>
        </w:tc>
        <w:tc>
          <w:tcPr>
            <w:tcW w:w="3166" w:type="pct"/>
            <w:tcBorders>
              <w:top w:val="outset" w:sz="6" w:space="0" w:color="auto"/>
              <w:left w:val="outset" w:sz="6" w:space="0" w:color="auto"/>
              <w:bottom w:val="outset" w:sz="6" w:space="0" w:color="auto"/>
            </w:tcBorders>
          </w:tcPr>
          <w:p w:rsidR="00826E51" w:rsidRPr="00826E51" w:rsidRDefault="00826E51" w:rsidP="009A4297">
            <w:pPr>
              <w:ind w:firstLine="422"/>
            </w:pPr>
            <w:r w:rsidRPr="00826E51">
              <w:t>Nav.</w:t>
            </w:r>
          </w:p>
        </w:tc>
      </w:tr>
    </w:tbl>
    <w:p w:rsidR="00826E51" w:rsidRDefault="00687863">
      <w:r>
        <w:t xml:space="preserve"> </w:t>
      </w:r>
    </w:p>
    <w:tbl>
      <w:tblPr>
        <w:tblStyle w:val="TableGrid"/>
        <w:tblW w:w="9322" w:type="dxa"/>
        <w:tblLook w:val="04A0" w:firstRow="1" w:lastRow="0" w:firstColumn="1" w:lastColumn="0" w:noHBand="0" w:noVBand="1"/>
      </w:tblPr>
      <w:tblGrid>
        <w:gridCol w:w="534"/>
        <w:gridCol w:w="2551"/>
        <w:gridCol w:w="6237"/>
      </w:tblGrid>
      <w:tr w:rsidR="006319D2" w:rsidTr="00B52A79">
        <w:trPr>
          <w:trHeight w:val="441"/>
        </w:trPr>
        <w:tc>
          <w:tcPr>
            <w:tcW w:w="9322" w:type="dxa"/>
            <w:gridSpan w:val="3"/>
            <w:vAlign w:val="center"/>
          </w:tcPr>
          <w:p w:rsidR="006319D2" w:rsidRPr="006319D2" w:rsidRDefault="006319D2" w:rsidP="00F15474">
            <w:pPr>
              <w:jc w:val="center"/>
              <w:rPr>
                <w:b/>
              </w:rPr>
            </w:pPr>
            <w:r w:rsidRPr="006319D2">
              <w:rPr>
                <w:b/>
              </w:rPr>
              <w:t>II. Tiesību akta projekta ietekme uz sabiedrību</w:t>
            </w:r>
          </w:p>
        </w:tc>
      </w:tr>
      <w:tr w:rsidR="00687863" w:rsidTr="00B52A79">
        <w:tc>
          <w:tcPr>
            <w:tcW w:w="534" w:type="dxa"/>
            <w:vAlign w:val="center"/>
          </w:tcPr>
          <w:p w:rsidR="000A6C5D" w:rsidRDefault="000A6C5D" w:rsidP="000A6C5D">
            <w:r>
              <w:t>1.</w:t>
            </w:r>
          </w:p>
        </w:tc>
        <w:tc>
          <w:tcPr>
            <w:tcW w:w="2551" w:type="dxa"/>
            <w:vAlign w:val="center"/>
          </w:tcPr>
          <w:p w:rsidR="00687863" w:rsidRDefault="000A6C5D" w:rsidP="000A6C5D">
            <w:r w:rsidRPr="000A6C5D">
              <w:t xml:space="preserve">Sabiedrības </w:t>
            </w:r>
            <w:proofErr w:type="spellStart"/>
            <w:r w:rsidRPr="000A6C5D">
              <w:t>mērķgrupa</w:t>
            </w:r>
            <w:proofErr w:type="spellEnd"/>
          </w:p>
        </w:tc>
        <w:tc>
          <w:tcPr>
            <w:tcW w:w="6237" w:type="dxa"/>
          </w:tcPr>
          <w:p w:rsidR="00687863" w:rsidRDefault="000A6C5D" w:rsidP="003577C8">
            <w:pPr>
              <w:ind w:firstLine="459"/>
            </w:pPr>
            <w:r>
              <w:t>Valsts budžeta iestādēs nodarbinātie</w:t>
            </w:r>
            <w:r w:rsidR="003577C8">
              <w:t>.</w:t>
            </w:r>
          </w:p>
        </w:tc>
      </w:tr>
      <w:tr w:rsidR="00687863" w:rsidTr="00B52A79">
        <w:tc>
          <w:tcPr>
            <w:tcW w:w="534" w:type="dxa"/>
            <w:vAlign w:val="center"/>
          </w:tcPr>
          <w:p w:rsidR="00687863" w:rsidRDefault="000A6C5D" w:rsidP="000A6C5D">
            <w:r>
              <w:lastRenderedPageBreak/>
              <w:t>2.</w:t>
            </w:r>
          </w:p>
        </w:tc>
        <w:tc>
          <w:tcPr>
            <w:tcW w:w="2551" w:type="dxa"/>
            <w:vAlign w:val="center"/>
          </w:tcPr>
          <w:p w:rsidR="00687863" w:rsidRDefault="000A6C5D" w:rsidP="000A6C5D">
            <w:r w:rsidRPr="000A6C5D">
              <w:t xml:space="preserve">Citas sabiedrības grupas (bez </w:t>
            </w:r>
            <w:proofErr w:type="spellStart"/>
            <w:r w:rsidRPr="000A6C5D">
              <w:t>mērķgrupas</w:t>
            </w:r>
            <w:proofErr w:type="spellEnd"/>
            <w:r w:rsidRPr="000A6C5D">
              <w:t>), kuras tiesiskais regulējums arī ietekmē vai varētu ietekmēt</w:t>
            </w:r>
          </w:p>
        </w:tc>
        <w:tc>
          <w:tcPr>
            <w:tcW w:w="6237" w:type="dxa"/>
          </w:tcPr>
          <w:p w:rsidR="00687863" w:rsidRDefault="000A6C5D" w:rsidP="000A6C5D">
            <w:pPr>
              <w:ind w:firstLine="459"/>
            </w:pPr>
            <w:r w:rsidRPr="000A6C5D">
              <w:t>Projekts šo jomu neskar.</w:t>
            </w:r>
          </w:p>
        </w:tc>
      </w:tr>
      <w:tr w:rsidR="00687863" w:rsidTr="00B52A79">
        <w:tc>
          <w:tcPr>
            <w:tcW w:w="534" w:type="dxa"/>
            <w:vAlign w:val="center"/>
          </w:tcPr>
          <w:p w:rsidR="00687863" w:rsidRDefault="000A6C5D" w:rsidP="000A6C5D">
            <w:r>
              <w:t>3.</w:t>
            </w:r>
          </w:p>
        </w:tc>
        <w:tc>
          <w:tcPr>
            <w:tcW w:w="2551" w:type="dxa"/>
            <w:vAlign w:val="center"/>
          </w:tcPr>
          <w:p w:rsidR="00687863" w:rsidRDefault="000A6C5D" w:rsidP="000A6C5D">
            <w:r w:rsidRPr="000A6C5D">
              <w:t>Tiesiskā regulējuma finansiālā ietekme</w:t>
            </w:r>
          </w:p>
        </w:tc>
        <w:tc>
          <w:tcPr>
            <w:tcW w:w="6237" w:type="dxa"/>
          </w:tcPr>
          <w:p w:rsidR="00687863" w:rsidRDefault="000A6C5D" w:rsidP="000A6C5D">
            <w:pPr>
              <w:ind w:firstLine="459"/>
            </w:pPr>
            <w:r w:rsidRPr="000A6C5D">
              <w:t>Projekts šo jomu neskar.</w:t>
            </w:r>
          </w:p>
        </w:tc>
      </w:tr>
      <w:tr w:rsidR="00687863" w:rsidTr="00B52A79">
        <w:tc>
          <w:tcPr>
            <w:tcW w:w="534" w:type="dxa"/>
            <w:vAlign w:val="center"/>
          </w:tcPr>
          <w:p w:rsidR="00687863" w:rsidRDefault="000A6C5D" w:rsidP="000A6C5D">
            <w:r>
              <w:t>4.</w:t>
            </w:r>
          </w:p>
        </w:tc>
        <w:tc>
          <w:tcPr>
            <w:tcW w:w="2551" w:type="dxa"/>
            <w:vAlign w:val="center"/>
          </w:tcPr>
          <w:p w:rsidR="00687863" w:rsidRDefault="000A6C5D" w:rsidP="000A6C5D">
            <w:r>
              <w:t>Tiesiskā regulējuma nefinansiālā ietekme</w:t>
            </w:r>
          </w:p>
        </w:tc>
        <w:tc>
          <w:tcPr>
            <w:tcW w:w="6237" w:type="dxa"/>
          </w:tcPr>
          <w:p w:rsidR="00687863" w:rsidRDefault="000A6C5D" w:rsidP="000A6C5D">
            <w:pPr>
              <w:ind w:firstLine="459"/>
            </w:pPr>
            <w:r w:rsidRPr="000A6C5D">
              <w:t>Projekts šo jomu neskar.</w:t>
            </w:r>
          </w:p>
        </w:tc>
      </w:tr>
      <w:tr w:rsidR="00687863" w:rsidTr="00B52A79">
        <w:tc>
          <w:tcPr>
            <w:tcW w:w="534" w:type="dxa"/>
            <w:vAlign w:val="center"/>
          </w:tcPr>
          <w:p w:rsidR="00687863" w:rsidRDefault="000A6C5D" w:rsidP="000A6C5D">
            <w:r>
              <w:t>5.</w:t>
            </w:r>
          </w:p>
        </w:tc>
        <w:tc>
          <w:tcPr>
            <w:tcW w:w="2551" w:type="dxa"/>
            <w:vAlign w:val="center"/>
          </w:tcPr>
          <w:p w:rsidR="00687863" w:rsidRDefault="000A6C5D" w:rsidP="000A6C5D">
            <w:r w:rsidRPr="000A6C5D">
              <w:t>Administratīvās procedūras raksturojums</w:t>
            </w:r>
          </w:p>
        </w:tc>
        <w:tc>
          <w:tcPr>
            <w:tcW w:w="6237" w:type="dxa"/>
          </w:tcPr>
          <w:p w:rsidR="00687863" w:rsidRDefault="000A6C5D" w:rsidP="000A6C5D">
            <w:pPr>
              <w:ind w:firstLine="459"/>
              <w:jc w:val="both"/>
            </w:pPr>
            <w:r>
              <w:t>Administratīvā procedūra nemainās, jo netiek mainīta tāmju izstrādāšanas un apstiprināšanas kārtība.</w:t>
            </w:r>
          </w:p>
        </w:tc>
      </w:tr>
      <w:tr w:rsidR="00687863" w:rsidTr="00B52A79">
        <w:tc>
          <w:tcPr>
            <w:tcW w:w="534" w:type="dxa"/>
            <w:vAlign w:val="center"/>
          </w:tcPr>
          <w:p w:rsidR="00687863" w:rsidRDefault="000A6C5D" w:rsidP="000A6C5D">
            <w:r>
              <w:t>6.</w:t>
            </w:r>
          </w:p>
        </w:tc>
        <w:tc>
          <w:tcPr>
            <w:tcW w:w="2551" w:type="dxa"/>
            <w:vAlign w:val="center"/>
          </w:tcPr>
          <w:p w:rsidR="00687863" w:rsidRDefault="000A6C5D" w:rsidP="000A6C5D">
            <w:r w:rsidRPr="000A6C5D">
              <w:t>Administratīvo izmaksu monetārs novērtējums</w:t>
            </w:r>
          </w:p>
        </w:tc>
        <w:tc>
          <w:tcPr>
            <w:tcW w:w="6237" w:type="dxa"/>
          </w:tcPr>
          <w:p w:rsidR="00687863" w:rsidRDefault="000A6C5D">
            <w:r w:rsidRPr="000A6C5D">
              <w:t>Projekts šo jomu neskar.</w:t>
            </w:r>
          </w:p>
        </w:tc>
      </w:tr>
      <w:tr w:rsidR="00687863" w:rsidTr="00B52A79">
        <w:tc>
          <w:tcPr>
            <w:tcW w:w="534" w:type="dxa"/>
            <w:vAlign w:val="center"/>
          </w:tcPr>
          <w:p w:rsidR="00687863" w:rsidRDefault="000A6C5D" w:rsidP="000A6C5D">
            <w:r>
              <w:t>7.</w:t>
            </w:r>
          </w:p>
        </w:tc>
        <w:tc>
          <w:tcPr>
            <w:tcW w:w="2551" w:type="dxa"/>
            <w:vAlign w:val="center"/>
          </w:tcPr>
          <w:p w:rsidR="00687863" w:rsidRDefault="000A6C5D" w:rsidP="000A6C5D">
            <w:r w:rsidRPr="000A6C5D">
              <w:t>Cita informācija</w:t>
            </w:r>
          </w:p>
        </w:tc>
        <w:tc>
          <w:tcPr>
            <w:tcW w:w="6237" w:type="dxa"/>
          </w:tcPr>
          <w:p w:rsidR="00687863" w:rsidRDefault="000A6C5D" w:rsidP="00992C8B">
            <w:pPr>
              <w:ind w:firstLine="459"/>
            </w:pPr>
            <w:r>
              <w:t>Nav.</w:t>
            </w:r>
          </w:p>
        </w:tc>
      </w:tr>
    </w:tbl>
    <w:p w:rsidR="00F15474" w:rsidRDefault="00F15474"/>
    <w:p w:rsidR="00F15474" w:rsidRDefault="00F15474"/>
    <w:tbl>
      <w:tblPr>
        <w:tblStyle w:val="TableGrid"/>
        <w:tblW w:w="9322" w:type="dxa"/>
        <w:tblLook w:val="04A0" w:firstRow="1" w:lastRow="0" w:firstColumn="1" w:lastColumn="0" w:noHBand="0" w:noVBand="1"/>
      </w:tblPr>
      <w:tblGrid>
        <w:gridCol w:w="534"/>
        <w:gridCol w:w="5386"/>
        <w:gridCol w:w="3402"/>
      </w:tblGrid>
      <w:tr w:rsidR="00F15474" w:rsidRPr="00F15474" w:rsidTr="00B52A79">
        <w:trPr>
          <w:trHeight w:val="428"/>
        </w:trPr>
        <w:tc>
          <w:tcPr>
            <w:tcW w:w="9322" w:type="dxa"/>
            <w:gridSpan w:val="3"/>
            <w:vAlign w:val="center"/>
          </w:tcPr>
          <w:p w:rsidR="00F15474" w:rsidRPr="00F15474" w:rsidRDefault="00F15474" w:rsidP="00FF0AFC">
            <w:pPr>
              <w:spacing w:line="360" w:lineRule="auto"/>
              <w:jc w:val="center"/>
              <w:rPr>
                <w:b/>
              </w:rPr>
            </w:pPr>
            <w:r w:rsidRPr="00F15474">
              <w:rPr>
                <w:b/>
              </w:rPr>
              <w:t>VII. Tiesību akta projekta izpildes nodrošināšana un tās ietekme uz institūcijām</w:t>
            </w:r>
          </w:p>
        </w:tc>
      </w:tr>
      <w:tr w:rsidR="00F15474" w:rsidRPr="00F15474" w:rsidTr="00B52A79">
        <w:tc>
          <w:tcPr>
            <w:tcW w:w="534" w:type="dxa"/>
            <w:vAlign w:val="center"/>
          </w:tcPr>
          <w:p w:rsidR="00F15474" w:rsidRDefault="00F15474" w:rsidP="00FF0AFC">
            <w:pPr>
              <w:pStyle w:val="naiskr"/>
              <w:spacing w:line="360" w:lineRule="auto"/>
            </w:pPr>
            <w:r>
              <w:t>1.</w:t>
            </w:r>
          </w:p>
        </w:tc>
        <w:tc>
          <w:tcPr>
            <w:tcW w:w="5386" w:type="dxa"/>
            <w:vAlign w:val="center"/>
          </w:tcPr>
          <w:p w:rsidR="00F15474" w:rsidRDefault="00F15474" w:rsidP="00FF0AFC">
            <w:pPr>
              <w:pStyle w:val="naiskr"/>
              <w:spacing w:line="360" w:lineRule="auto"/>
            </w:pPr>
            <w:r>
              <w:t>Projekta izpildē iesaistītās institūcijas</w:t>
            </w:r>
          </w:p>
        </w:tc>
        <w:tc>
          <w:tcPr>
            <w:tcW w:w="3402" w:type="dxa"/>
          </w:tcPr>
          <w:p w:rsidR="00F15474" w:rsidRDefault="00FF0AFC" w:rsidP="00FF0AFC">
            <w:pPr>
              <w:pStyle w:val="naiskr"/>
              <w:spacing w:line="360" w:lineRule="auto"/>
            </w:pPr>
            <w:r>
              <w:t>Valsts budžeta iestādes.</w:t>
            </w:r>
          </w:p>
        </w:tc>
      </w:tr>
      <w:tr w:rsidR="00F15474" w:rsidRPr="00F15474" w:rsidTr="00B52A79">
        <w:tc>
          <w:tcPr>
            <w:tcW w:w="534" w:type="dxa"/>
            <w:vAlign w:val="center"/>
          </w:tcPr>
          <w:p w:rsidR="00F15474" w:rsidRDefault="00F15474" w:rsidP="00FF0AFC">
            <w:pPr>
              <w:pStyle w:val="naiskr"/>
              <w:spacing w:line="360" w:lineRule="auto"/>
            </w:pPr>
            <w:r>
              <w:t>2.</w:t>
            </w:r>
          </w:p>
        </w:tc>
        <w:tc>
          <w:tcPr>
            <w:tcW w:w="5386" w:type="dxa"/>
            <w:vAlign w:val="center"/>
          </w:tcPr>
          <w:p w:rsidR="00F15474" w:rsidRDefault="00F15474" w:rsidP="00FF0AFC">
            <w:pPr>
              <w:pStyle w:val="naiskr"/>
              <w:spacing w:line="360" w:lineRule="auto"/>
            </w:pPr>
            <w:r>
              <w:t>Projekta izpildes ietekme uz pārvaldes funkcijām</w:t>
            </w:r>
          </w:p>
        </w:tc>
        <w:tc>
          <w:tcPr>
            <w:tcW w:w="3402" w:type="dxa"/>
          </w:tcPr>
          <w:p w:rsidR="00F15474" w:rsidRDefault="00FF0AFC" w:rsidP="00FF0AFC">
            <w:pPr>
              <w:pStyle w:val="naiskr"/>
              <w:spacing w:line="360" w:lineRule="auto"/>
            </w:pPr>
            <w:r w:rsidRPr="00FF0AFC">
              <w:t>Projekts šo jomu neskar.</w:t>
            </w:r>
          </w:p>
        </w:tc>
      </w:tr>
      <w:tr w:rsidR="00F15474" w:rsidRPr="00F15474" w:rsidTr="00B52A79">
        <w:tc>
          <w:tcPr>
            <w:tcW w:w="534" w:type="dxa"/>
            <w:vAlign w:val="center"/>
          </w:tcPr>
          <w:p w:rsidR="00F15474" w:rsidRDefault="00F15474" w:rsidP="00FF0AFC">
            <w:pPr>
              <w:pStyle w:val="naiskr"/>
              <w:spacing w:line="360" w:lineRule="auto"/>
            </w:pPr>
            <w:r>
              <w:t>3.</w:t>
            </w:r>
          </w:p>
        </w:tc>
        <w:tc>
          <w:tcPr>
            <w:tcW w:w="5386" w:type="dxa"/>
            <w:vAlign w:val="center"/>
          </w:tcPr>
          <w:p w:rsidR="00F15474" w:rsidRDefault="00F15474" w:rsidP="00FF0AFC">
            <w:pPr>
              <w:pStyle w:val="naiskr"/>
              <w:spacing w:line="276" w:lineRule="auto"/>
            </w:pPr>
            <w:r>
              <w:t>Projekta izpildes ietekme uz pārvaldes institucionālo</w:t>
            </w:r>
            <w:r w:rsidR="00FF0AFC">
              <w:t xml:space="preserve"> struktūru. </w:t>
            </w:r>
            <w:r>
              <w:t>Jaunu institūciju izveide</w:t>
            </w:r>
            <w:r w:rsidR="00FF0AFC">
              <w:t>.</w:t>
            </w:r>
          </w:p>
        </w:tc>
        <w:tc>
          <w:tcPr>
            <w:tcW w:w="3402" w:type="dxa"/>
          </w:tcPr>
          <w:p w:rsidR="00F15474" w:rsidRDefault="00FF0AFC" w:rsidP="00FF0AFC">
            <w:pPr>
              <w:pStyle w:val="naiskr"/>
              <w:spacing w:line="360" w:lineRule="auto"/>
            </w:pPr>
            <w:r w:rsidRPr="00FF0AFC">
              <w:t>Projekts šo jomu neskar.</w:t>
            </w:r>
          </w:p>
        </w:tc>
      </w:tr>
      <w:tr w:rsidR="00F15474" w:rsidRPr="00F15474" w:rsidTr="00B52A79">
        <w:tc>
          <w:tcPr>
            <w:tcW w:w="534" w:type="dxa"/>
            <w:vAlign w:val="center"/>
          </w:tcPr>
          <w:p w:rsidR="00F15474" w:rsidRDefault="00F15474" w:rsidP="00FF0AFC">
            <w:pPr>
              <w:pStyle w:val="naiskr"/>
              <w:spacing w:line="360" w:lineRule="auto"/>
            </w:pPr>
            <w:r>
              <w:t>4.</w:t>
            </w:r>
          </w:p>
        </w:tc>
        <w:tc>
          <w:tcPr>
            <w:tcW w:w="5386" w:type="dxa"/>
            <w:vAlign w:val="center"/>
          </w:tcPr>
          <w:p w:rsidR="00F15474" w:rsidRDefault="00F15474" w:rsidP="00FF0AFC">
            <w:pPr>
              <w:pStyle w:val="naiskr"/>
              <w:spacing w:line="276" w:lineRule="auto"/>
            </w:pPr>
            <w:r>
              <w:t xml:space="preserve">Projekta izpildes ietekme uz pārvaldes institucionālo struktūru. </w:t>
            </w:r>
            <w:r>
              <w:rPr>
                <w:vanish/>
              </w:rPr>
              <w:t xml:space="preserve">av, IV, V,stiprinifikāciju)umi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Esošu institūciju likvidācija</w:t>
            </w:r>
            <w:r w:rsidR="00FF0AFC">
              <w:t>.</w:t>
            </w:r>
          </w:p>
        </w:tc>
        <w:tc>
          <w:tcPr>
            <w:tcW w:w="3402" w:type="dxa"/>
          </w:tcPr>
          <w:p w:rsidR="00F15474" w:rsidRDefault="00FF0AFC" w:rsidP="00FF0AFC">
            <w:pPr>
              <w:pStyle w:val="naiskr"/>
              <w:spacing w:line="360" w:lineRule="auto"/>
            </w:pPr>
            <w:r w:rsidRPr="00FF0AFC">
              <w:t>Projekts šo jomu neskar.</w:t>
            </w:r>
          </w:p>
        </w:tc>
      </w:tr>
      <w:tr w:rsidR="00F15474" w:rsidRPr="00F15474" w:rsidTr="00B52A79">
        <w:tc>
          <w:tcPr>
            <w:tcW w:w="534" w:type="dxa"/>
            <w:vAlign w:val="center"/>
          </w:tcPr>
          <w:p w:rsidR="00F15474" w:rsidRDefault="00F15474" w:rsidP="00FF0AFC">
            <w:pPr>
              <w:pStyle w:val="naiskr"/>
              <w:spacing w:line="360" w:lineRule="auto"/>
            </w:pPr>
            <w:r>
              <w:t>5.</w:t>
            </w:r>
          </w:p>
        </w:tc>
        <w:tc>
          <w:tcPr>
            <w:tcW w:w="5386" w:type="dxa"/>
            <w:vAlign w:val="center"/>
          </w:tcPr>
          <w:p w:rsidR="00F15474" w:rsidRDefault="00F15474" w:rsidP="00FF0AFC">
            <w:pPr>
              <w:pStyle w:val="naiskr"/>
              <w:spacing w:line="276" w:lineRule="auto"/>
            </w:pPr>
            <w:r>
              <w:t>Projekta izpildes ietekme uz pārvaldes institucionālo struktūru. Esošu institūciju reorganizācija.</w:t>
            </w:r>
          </w:p>
        </w:tc>
        <w:tc>
          <w:tcPr>
            <w:tcW w:w="3402" w:type="dxa"/>
          </w:tcPr>
          <w:p w:rsidR="00F15474" w:rsidRDefault="00FF0AFC" w:rsidP="00FF0AFC">
            <w:pPr>
              <w:pStyle w:val="naiskr"/>
              <w:spacing w:line="360" w:lineRule="auto"/>
            </w:pPr>
            <w:r w:rsidRPr="00FF0AFC">
              <w:t>Projekts šo jomu neskar.</w:t>
            </w:r>
          </w:p>
        </w:tc>
      </w:tr>
      <w:tr w:rsidR="00F15474" w:rsidRPr="00F15474" w:rsidTr="00B52A79">
        <w:tc>
          <w:tcPr>
            <w:tcW w:w="534" w:type="dxa"/>
            <w:vAlign w:val="center"/>
          </w:tcPr>
          <w:p w:rsidR="00F15474" w:rsidRDefault="00F15474" w:rsidP="00FF0AFC">
            <w:pPr>
              <w:pStyle w:val="naiskr"/>
              <w:spacing w:line="360" w:lineRule="auto"/>
            </w:pPr>
            <w:r>
              <w:t>6.</w:t>
            </w:r>
          </w:p>
        </w:tc>
        <w:tc>
          <w:tcPr>
            <w:tcW w:w="5386" w:type="dxa"/>
            <w:vAlign w:val="center"/>
          </w:tcPr>
          <w:p w:rsidR="00F15474" w:rsidRDefault="00F15474" w:rsidP="00FF0AFC">
            <w:pPr>
              <w:pStyle w:val="naiskr"/>
              <w:spacing w:line="360" w:lineRule="auto"/>
            </w:pPr>
            <w:r>
              <w:t>Cita informācija</w:t>
            </w:r>
          </w:p>
        </w:tc>
        <w:tc>
          <w:tcPr>
            <w:tcW w:w="3402" w:type="dxa"/>
          </w:tcPr>
          <w:p w:rsidR="00F15474" w:rsidRDefault="00F15474" w:rsidP="00FF0AFC">
            <w:pPr>
              <w:pStyle w:val="naiskr"/>
              <w:spacing w:line="360" w:lineRule="auto"/>
            </w:pPr>
            <w:r>
              <w:t>Nav.</w:t>
            </w:r>
          </w:p>
        </w:tc>
      </w:tr>
    </w:tbl>
    <w:p w:rsidR="008732D4" w:rsidRDefault="008732D4">
      <w:r>
        <w:t xml:space="preserve"> </w:t>
      </w:r>
    </w:p>
    <w:p w:rsidR="00F15474" w:rsidRDefault="008732D4">
      <w:r w:rsidRPr="008732D4">
        <w:t>Anotācijas III, IV, V un VI sadaļa – Projekts šīs jomas neskar.</w:t>
      </w:r>
    </w:p>
    <w:p w:rsidR="000931A3" w:rsidRDefault="000931A3">
      <w:r>
        <w:t xml:space="preserve"> </w:t>
      </w:r>
    </w:p>
    <w:p w:rsidR="000931A3" w:rsidRDefault="000931A3"/>
    <w:p w:rsidR="000931A3" w:rsidRDefault="000931A3"/>
    <w:p w:rsidR="000931A3" w:rsidRDefault="000931A3"/>
    <w:p w:rsidR="000931A3" w:rsidRDefault="000931A3" w:rsidP="000931A3">
      <w:r>
        <w:t xml:space="preserve">Finanšu ministrs </w:t>
      </w:r>
      <w:r>
        <w:tab/>
        <w:t xml:space="preserve">  </w:t>
      </w:r>
      <w:r>
        <w:tab/>
      </w:r>
      <w:r>
        <w:tab/>
      </w:r>
      <w:r>
        <w:tab/>
      </w:r>
      <w:r>
        <w:tab/>
      </w:r>
      <w:r>
        <w:tab/>
      </w:r>
      <w:r>
        <w:tab/>
        <w:t>A.Vilks</w:t>
      </w:r>
    </w:p>
    <w:p w:rsidR="000931A3" w:rsidRDefault="000931A3" w:rsidP="000931A3"/>
    <w:p w:rsidR="000931A3" w:rsidRDefault="000931A3" w:rsidP="000931A3"/>
    <w:p w:rsidR="000931A3" w:rsidRDefault="000931A3" w:rsidP="000931A3"/>
    <w:p w:rsidR="00131ED9" w:rsidRDefault="00131ED9" w:rsidP="000931A3"/>
    <w:p w:rsidR="00131ED9" w:rsidRDefault="00131ED9" w:rsidP="000931A3"/>
    <w:p w:rsidR="00131ED9" w:rsidRDefault="00131ED9" w:rsidP="000931A3"/>
    <w:p w:rsidR="000931A3" w:rsidRDefault="000931A3" w:rsidP="000931A3">
      <w:bookmarkStart w:id="2" w:name="_GoBack"/>
      <w:bookmarkEnd w:id="2"/>
    </w:p>
    <w:p w:rsidR="000931A3" w:rsidRPr="000931A3" w:rsidRDefault="000931A3" w:rsidP="000931A3">
      <w:pPr>
        <w:rPr>
          <w:sz w:val="16"/>
          <w:szCs w:val="16"/>
        </w:rPr>
      </w:pPr>
    </w:p>
    <w:p w:rsidR="000931A3" w:rsidRDefault="00F50C22" w:rsidP="000931A3">
      <w:pPr>
        <w:rPr>
          <w:sz w:val="16"/>
          <w:szCs w:val="16"/>
        </w:rPr>
      </w:pPr>
      <w:r>
        <w:rPr>
          <w:sz w:val="16"/>
          <w:szCs w:val="16"/>
        </w:rPr>
        <w:t>2011.12.07. 13:07</w:t>
      </w:r>
    </w:p>
    <w:p w:rsidR="000931A3" w:rsidRPr="000931A3" w:rsidRDefault="00860DC0" w:rsidP="000931A3">
      <w:pPr>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713</w:t>
      </w:r>
      <w:r>
        <w:rPr>
          <w:sz w:val="16"/>
          <w:szCs w:val="16"/>
        </w:rPr>
        <w:fldChar w:fldCharType="end"/>
      </w:r>
      <w:r w:rsidR="000931A3" w:rsidRPr="000931A3">
        <w:rPr>
          <w:sz w:val="16"/>
          <w:szCs w:val="16"/>
        </w:rPr>
        <w:tab/>
      </w:r>
    </w:p>
    <w:p w:rsidR="000931A3" w:rsidRPr="000931A3" w:rsidRDefault="000931A3" w:rsidP="000931A3">
      <w:pPr>
        <w:rPr>
          <w:sz w:val="16"/>
          <w:szCs w:val="16"/>
        </w:rPr>
      </w:pPr>
      <w:r>
        <w:rPr>
          <w:sz w:val="16"/>
          <w:szCs w:val="16"/>
        </w:rPr>
        <w:t>S.Sīlīte</w:t>
      </w:r>
    </w:p>
    <w:p w:rsidR="000931A3" w:rsidRPr="000931A3" w:rsidRDefault="000931A3" w:rsidP="000931A3">
      <w:pPr>
        <w:rPr>
          <w:sz w:val="16"/>
          <w:szCs w:val="16"/>
        </w:rPr>
      </w:pPr>
      <w:r w:rsidRPr="000931A3">
        <w:rPr>
          <w:sz w:val="16"/>
          <w:szCs w:val="16"/>
        </w:rPr>
        <w:t>67095</w:t>
      </w:r>
      <w:r>
        <w:rPr>
          <w:sz w:val="16"/>
          <w:szCs w:val="16"/>
        </w:rPr>
        <w:t>531</w:t>
      </w:r>
      <w:r w:rsidRPr="000931A3">
        <w:rPr>
          <w:sz w:val="16"/>
          <w:szCs w:val="16"/>
        </w:rPr>
        <w:t>,</w:t>
      </w:r>
    </w:p>
    <w:p w:rsidR="000931A3" w:rsidRPr="000931A3" w:rsidRDefault="000931A3" w:rsidP="000931A3">
      <w:pPr>
        <w:rPr>
          <w:sz w:val="16"/>
          <w:szCs w:val="16"/>
        </w:rPr>
      </w:pPr>
      <w:r>
        <w:rPr>
          <w:sz w:val="16"/>
          <w:szCs w:val="16"/>
        </w:rPr>
        <w:t>Signe.Silite</w:t>
      </w:r>
      <w:r w:rsidRPr="000931A3">
        <w:rPr>
          <w:sz w:val="16"/>
          <w:szCs w:val="16"/>
        </w:rPr>
        <w:t xml:space="preserve">@fm.gov.lv  </w:t>
      </w:r>
    </w:p>
    <w:sectPr w:rsidR="000931A3" w:rsidRPr="000931A3" w:rsidSect="007C39D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DE" w:rsidRDefault="007642DE" w:rsidP="00B52A79">
      <w:r>
        <w:separator/>
      </w:r>
    </w:p>
  </w:endnote>
  <w:endnote w:type="continuationSeparator" w:id="0">
    <w:p w:rsidR="007642DE" w:rsidRDefault="007642DE" w:rsidP="00B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D9" w:rsidRPr="00131ED9" w:rsidRDefault="00131ED9" w:rsidP="00131ED9">
    <w:pPr>
      <w:pStyle w:val="Footer"/>
      <w:jc w:val="both"/>
      <w:rPr>
        <w:sz w:val="20"/>
        <w:szCs w:val="20"/>
      </w:rPr>
    </w:pPr>
    <w:r w:rsidRPr="00131ED9">
      <w:rPr>
        <w:sz w:val="20"/>
        <w:szCs w:val="20"/>
      </w:rPr>
      <w:fldChar w:fldCharType="begin"/>
    </w:r>
    <w:r w:rsidRPr="00131ED9">
      <w:rPr>
        <w:sz w:val="20"/>
        <w:szCs w:val="20"/>
      </w:rPr>
      <w:instrText xml:space="preserve"> FILENAME   \* MERGEFORMAT </w:instrText>
    </w:r>
    <w:r w:rsidRPr="00131ED9">
      <w:rPr>
        <w:sz w:val="20"/>
        <w:szCs w:val="20"/>
      </w:rPr>
      <w:fldChar w:fldCharType="separate"/>
    </w:r>
    <w:r w:rsidR="00DA03C4">
      <w:rPr>
        <w:noProof/>
        <w:sz w:val="20"/>
        <w:szCs w:val="20"/>
      </w:rPr>
      <w:t>FMAnot_141111_grozNr2</w:t>
    </w:r>
    <w:r w:rsidRPr="00131ED9">
      <w:rPr>
        <w:sz w:val="20"/>
        <w:szCs w:val="20"/>
      </w:rPr>
      <w:fldChar w:fldCharType="end"/>
    </w:r>
    <w:r w:rsidRPr="00131ED9">
      <w:rPr>
        <w:sz w:val="20"/>
        <w:szCs w:val="20"/>
      </w:rPr>
      <w:t>; Ministru kabineta instrukcijas projekta „Grozījumi Ministru kabineta 2009. gada 20. janvāra instrukcijā Nr.2 „Kārtība, kādā valsts budžeta iestādes sagatavo un apstiprina valsts budžeta programmu, apakšprogrammu un pasākumu tāmes kārtējam gadam””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D9" w:rsidRPr="00131ED9" w:rsidRDefault="00131ED9" w:rsidP="00131ED9">
    <w:pPr>
      <w:pStyle w:val="Footer"/>
      <w:rPr>
        <w:sz w:val="20"/>
        <w:szCs w:val="20"/>
      </w:rPr>
    </w:pPr>
    <w:r w:rsidRPr="00131ED9">
      <w:rPr>
        <w:sz w:val="20"/>
        <w:szCs w:val="20"/>
      </w:rPr>
      <w:fldChar w:fldCharType="begin"/>
    </w:r>
    <w:r w:rsidRPr="00131ED9">
      <w:rPr>
        <w:sz w:val="20"/>
        <w:szCs w:val="20"/>
      </w:rPr>
      <w:instrText xml:space="preserve"> FILENAME   \* MERGEFORMAT </w:instrText>
    </w:r>
    <w:r w:rsidRPr="00131ED9">
      <w:rPr>
        <w:sz w:val="20"/>
        <w:szCs w:val="20"/>
      </w:rPr>
      <w:fldChar w:fldCharType="separate"/>
    </w:r>
    <w:r w:rsidR="00DA03C4">
      <w:rPr>
        <w:noProof/>
        <w:sz w:val="20"/>
        <w:szCs w:val="20"/>
      </w:rPr>
      <w:t>FMAnot_141111_grozNr2</w:t>
    </w:r>
    <w:r w:rsidRPr="00131ED9">
      <w:rPr>
        <w:sz w:val="20"/>
        <w:szCs w:val="20"/>
      </w:rPr>
      <w:fldChar w:fldCharType="end"/>
    </w:r>
    <w:r w:rsidRPr="00131ED9">
      <w:rPr>
        <w:sz w:val="20"/>
        <w:szCs w:val="20"/>
      </w:rPr>
      <w:t>; Ministru</w:t>
    </w:r>
    <w:r>
      <w:rPr>
        <w:sz w:val="20"/>
        <w:szCs w:val="20"/>
      </w:rPr>
      <w:t xml:space="preserve"> kabineta instrukcijas projekta </w:t>
    </w:r>
    <w:r w:rsidRPr="00131ED9">
      <w:rPr>
        <w:sz w:val="20"/>
        <w:szCs w:val="20"/>
      </w:rPr>
      <w:t>„Grozījumi Ministru kabineta 2009. gad</w:t>
    </w:r>
    <w:r>
      <w:rPr>
        <w:sz w:val="20"/>
        <w:szCs w:val="20"/>
      </w:rPr>
      <w:t xml:space="preserve">a 20. janvāra instrukcijā Nr.2 </w:t>
    </w:r>
    <w:r w:rsidRPr="00131ED9">
      <w:rPr>
        <w:sz w:val="20"/>
        <w:szCs w:val="20"/>
      </w:rPr>
      <w:t>„Kārtība, kādā valsts budžeta iestādes sagatavo un apstiprina valsts budžeta programmu, apakšprogrammu un pasākumu tāmes kārtējam gadam””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DE" w:rsidRDefault="007642DE" w:rsidP="00B52A79">
      <w:r>
        <w:separator/>
      </w:r>
    </w:p>
  </w:footnote>
  <w:footnote w:type="continuationSeparator" w:id="0">
    <w:p w:rsidR="007642DE" w:rsidRDefault="007642DE" w:rsidP="00B5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78934"/>
      <w:docPartObj>
        <w:docPartGallery w:val="Page Numbers (Top of Page)"/>
        <w:docPartUnique/>
      </w:docPartObj>
    </w:sdtPr>
    <w:sdtEndPr>
      <w:rPr>
        <w:noProof/>
      </w:rPr>
    </w:sdtEndPr>
    <w:sdtContent>
      <w:p w:rsidR="00B52A79" w:rsidRDefault="00B52A79">
        <w:pPr>
          <w:pStyle w:val="Header"/>
          <w:jc w:val="center"/>
        </w:pPr>
        <w:r>
          <w:fldChar w:fldCharType="begin"/>
        </w:r>
        <w:r>
          <w:instrText xml:space="preserve"> PAGE   \* MERGEFORMAT </w:instrText>
        </w:r>
        <w:r>
          <w:fldChar w:fldCharType="separate"/>
        </w:r>
        <w:r w:rsidR="00F50C22">
          <w:rPr>
            <w:noProof/>
          </w:rPr>
          <w:t>3</w:t>
        </w:r>
        <w:r>
          <w:rPr>
            <w:noProof/>
          </w:rPr>
          <w:fldChar w:fldCharType="end"/>
        </w:r>
      </w:p>
    </w:sdtContent>
  </w:sdt>
  <w:p w:rsidR="00B52A79" w:rsidRDefault="00B52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00"/>
    <w:rsid w:val="0006221B"/>
    <w:rsid w:val="00063E36"/>
    <w:rsid w:val="000931A3"/>
    <w:rsid w:val="000A6C5D"/>
    <w:rsid w:val="00131ED9"/>
    <w:rsid w:val="00137943"/>
    <w:rsid w:val="002B1400"/>
    <w:rsid w:val="0034725C"/>
    <w:rsid w:val="003577C8"/>
    <w:rsid w:val="00370A72"/>
    <w:rsid w:val="00463C9C"/>
    <w:rsid w:val="004A2F94"/>
    <w:rsid w:val="00590F7F"/>
    <w:rsid w:val="00594C2F"/>
    <w:rsid w:val="005963A8"/>
    <w:rsid w:val="005B545D"/>
    <w:rsid w:val="006319D2"/>
    <w:rsid w:val="00687863"/>
    <w:rsid w:val="006C27AF"/>
    <w:rsid w:val="00703EA0"/>
    <w:rsid w:val="00721561"/>
    <w:rsid w:val="007642DE"/>
    <w:rsid w:val="007C39D9"/>
    <w:rsid w:val="00826E51"/>
    <w:rsid w:val="00860DC0"/>
    <w:rsid w:val="008732D4"/>
    <w:rsid w:val="008E363E"/>
    <w:rsid w:val="00992C8B"/>
    <w:rsid w:val="009A4297"/>
    <w:rsid w:val="00AD3E63"/>
    <w:rsid w:val="00B52A79"/>
    <w:rsid w:val="00C812E8"/>
    <w:rsid w:val="00D41474"/>
    <w:rsid w:val="00D94DFC"/>
    <w:rsid w:val="00DA03C4"/>
    <w:rsid w:val="00E1762A"/>
    <w:rsid w:val="00E3554B"/>
    <w:rsid w:val="00EE6D1A"/>
    <w:rsid w:val="00F15474"/>
    <w:rsid w:val="00F50C22"/>
    <w:rsid w:val="00FF0AFC"/>
    <w:rsid w:val="00FF3EE9"/>
    <w:rsid w:val="00FF6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97"/>
    <w:rPr>
      <w:color w:val="0000FF" w:themeColor="hyperlink"/>
      <w:u w:val="single"/>
    </w:rPr>
  </w:style>
  <w:style w:type="table" w:styleId="TableGrid">
    <w:name w:val="Table Grid"/>
    <w:basedOn w:val="TableNormal"/>
    <w:uiPriority w:val="59"/>
    <w:rsid w:val="0068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F154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577C8"/>
    <w:rPr>
      <w:rFonts w:ascii="Tahoma" w:hAnsi="Tahoma" w:cs="Tahoma"/>
      <w:sz w:val="16"/>
      <w:szCs w:val="16"/>
    </w:rPr>
  </w:style>
  <w:style w:type="character" w:customStyle="1" w:styleId="BalloonTextChar">
    <w:name w:val="Balloon Text Char"/>
    <w:basedOn w:val="DefaultParagraphFont"/>
    <w:link w:val="BalloonText"/>
    <w:uiPriority w:val="99"/>
    <w:semiHidden/>
    <w:rsid w:val="003577C8"/>
    <w:rPr>
      <w:rFonts w:ascii="Tahoma" w:eastAsia="Calibri" w:hAnsi="Tahoma" w:cs="Tahoma"/>
      <w:sz w:val="16"/>
      <w:szCs w:val="16"/>
      <w:lang w:eastAsia="lv-LV"/>
    </w:rPr>
  </w:style>
  <w:style w:type="paragraph" w:styleId="Header">
    <w:name w:val="header"/>
    <w:basedOn w:val="Normal"/>
    <w:link w:val="HeaderChar"/>
    <w:uiPriority w:val="99"/>
    <w:unhideWhenUsed/>
    <w:rsid w:val="00B52A79"/>
    <w:pPr>
      <w:tabs>
        <w:tab w:val="center" w:pos="4513"/>
        <w:tab w:val="right" w:pos="9026"/>
      </w:tabs>
    </w:pPr>
  </w:style>
  <w:style w:type="character" w:customStyle="1" w:styleId="HeaderChar">
    <w:name w:val="Header Char"/>
    <w:basedOn w:val="DefaultParagraphFont"/>
    <w:link w:val="Header"/>
    <w:uiPriority w:val="99"/>
    <w:rsid w:val="00B52A79"/>
    <w:rPr>
      <w:rFonts w:eastAsia="Calibri" w:cs="Times New Roman"/>
      <w:szCs w:val="24"/>
      <w:lang w:eastAsia="lv-LV"/>
    </w:rPr>
  </w:style>
  <w:style w:type="paragraph" w:styleId="Footer">
    <w:name w:val="footer"/>
    <w:basedOn w:val="Normal"/>
    <w:link w:val="FooterChar"/>
    <w:uiPriority w:val="99"/>
    <w:unhideWhenUsed/>
    <w:rsid w:val="00B52A79"/>
    <w:pPr>
      <w:tabs>
        <w:tab w:val="center" w:pos="4513"/>
        <w:tab w:val="right" w:pos="9026"/>
      </w:tabs>
    </w:pPr>
  </w:style>
  <w:style w:type="character" w:customStyle="1" w:styleId="FooterChar">
    <w:name w:val="Footer Char"/>
    <w:basedOn w:val="DefaultParagraphFont"/>
    <w:link w:val="Footer"/>
    <w:uiPriority w:val="99"/>
    <w:rsid w:val="00B52A79"/>
    <w:rPr>
      <w:rFonts w:eastAsia="Calibr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97"/>
    <w:rPr>
      <w:color w:val="0000FF" w:themeColor="hyperlink"/>
      <w:u w:val="single"/>
    </w:rPr>
  </w:style>
  <w:style w:type="table" w:styleId="TableGrid">
    <w:name w:val="Table Grid"/>
    <w:basedOn w:val="TableNormal"/>
    <w:uiPriority w:val="59"/>
    <w:rsid w:val="0068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F154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577C8"/>
    <w:rPr>
      <w:rFonts w:ascii="Tahoma" w:hAnsi="Tahoma" w:cs="Tahoma"/>
      <w:sz w:val="16"/>
      <w:szCs w:val="16"/>
    </w:rPr>
  </w:style>
  <w:style w:type="character" w:customStyle="1" w:styleId="BalloonTextChar">
    <w:name w:val="Balloon Text Char"/>
    <w:basedOn w:val="DefaultParagraphFont"/>
    <w:link w:val="BalloonText"/>
    <w:uiPriority w:val="99"/>
    <w:semiHidden/>
    <w:rsid w:val="003577C8"/>
    <w:rPr>
      <w:rFonts w:ascii="Tahoma" w:eastAsia="Calibri" w:hAnsi="Tahoma" w:cs="Tahoma"/>
      <w:sz w:val="16"/>
      <w:szCs w:val="16"/>
      <w:lang w:eastAsia="lv-LV"/>
    </w:rPr>
  </w:style>
  <w:style w:type="paragraph" w:styleId="Header">
    <w:name w:val="header"/>
    <w:basedOn w:val="Normal"/>
    <w:link w:val="HeaderChar"/>
    <w:uiPriority w:val="99"/>
    <w:unhideWhenUsed/>
    <w:rsid w:val="00B52A79"/>
    <w:pPr>
      <w:tabs>
        <w:tab w:val="center" w:pos="4513"/>
        <w:tab w:val="right" w:pos="9026"/>
      </w:tabs>
    </w:pPr>
  </w:style>
  <w:style w:type="character" w:customStyle="1" w:styleId="HeaderChar">
    <w:name w:val="Header Char"/>
    <w:basedOn w:val="DefaultParagraphFont"/>
    <w:link w:val="Header"/>
    <w:uiPriority w:val="99"/>
    <w:rsid w:val="00B52A79"/>
    <w:rPr>
      <w:rFonts w:eastAsia="Calibri" w:cs="Times New Roman"/>
      <w:szCs w:val="24"/>
      <w:lang w:eastAsia="lv-LV"/>
    </w:rPr>
  </w:style>
  <w:style w:type="paragraph" w:styleId="Footer">
    <w:name w:val="footer"/>
    <w:basedOn w:val="Normal"/>
    <w:link w:val="FooterChar"/>
    <w:uiPriority w:val="99"/>
    <w:unhideWhenUsed/>
    <w:rsid w:val="00B52A79"/>
    <w:pPr>
      <w:tabs>
        <w:tab w:val="center" w:pos="4513"/>
        <w:tab w:val="right" w:pos="9026"/>
      </w:tabs>
    </w:pPr>
  </w:style>
  <w:style w:type="character" w:customStyle="1" w:styleId="FooterChar">
    <w:name w:val="Footer Char"/>
    <w:basedOn w:val="DefaultParagraphFont"/>
    <w:link w:val="Footer"/>
    <w:uiPriority w:val="99"/>
    <w:rsid w:val="00B52A79"/>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5399">
      <w:bodyDiv w:val="1"/>
      <w:marLeft w:val="0"/>
      <w:marRight w:val="0"/>
      <w:marTop w:val="0"/>
      <w:marBottom w:val="0"/>
      <w:divBdr>
        <w:top w:val="none" w:sz="0" w:space="0" w:color="auto"/>
        <w:left w:val="none" w:sz="0" w:space="0" w:color="auto"/>
        <w:bottom w:val="none" w:sz="0" w:space="0" w:color="auto"/>
        <w:right w:val="none" w:sz="0" w:space="0" w:color="auto"/>
      </w:divBdr>
    </w:div>
    <w:div w:id="12886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A59F-8DCA-413E-9EFB-27EEC055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3773</Words>
  <Characters>2151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2009. gada 20. janvāra instrukcijā Nr.2 „Kārtība, kādā valsts budžeta iestādes sagatavo un apstiprina valsts budžeta programmu, apakšprogrammu un pasākumu tāmes kārtējam gadam””sākotnējā</vt:lpstr>
    </vt:vector>
  </TitlesOfParts>
  <Company>Finanšu ministrija</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2009. gada 20. janvāra instrukcijā Nr.2 „Kārtība, kādā valsts budžeta iestādes sagatavo un apstiprina valsts budžeta programmu, apakšprogrammu un pasākumu tāmes kārtējam gadam””sākotnējās ietekmes novērtējuma ziņojums (anotācija) </dc:title>
  <dc:subject>Anotācija</dc:subject>
  <dc:creator>Signe Sīlīte</dc:creator>
  <cp:keywords/>
  <dc:description>Signe.Silite@fm.gov.lv, 67095531</dc:description>
  <cp:lastModifiedBy>kc-siman</cp:lastModifiedBy>
  <cp:revision>9</cp:revision>
  <cp:lastPrinted>2011-12-07T13:51:00Z</cp:lastPrinted>
  <dcterms:created xsi:type="dcterms:W3CDTF">2011-11-14T11:29:00Z</dcterms:created>
  <dcterms:modified xsi:type="dcterms:W3CDTF">2011-12-12T08:18:00Z</dcterms:modified>
</cp:coreProperties>
</file>