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11" w:rsidRDefault="008C3F03" w:rsidP="00B03D11">
      <w:pPr>
        <w:pStyle w:val="naisc"/>
        <w:spacing w:before="0" w:after="0"/>
        <w:rPr>
          <w:bCs/>
          <w:sz w:val="28"/>
          <w:szCs w:val="28"/>
        </w:rPr>
      </w:pPr>
      <w:bookmarkStart w:id="0" w:name="OLE_LINK1"/>
      <w:r w:rsidRPr="0030193F">
        <w:rPr>
          <w:b/>
          <w:sz w:val="28"/>
          <w:szCs w:val="28"/>
        </w:rPr>
        <w:t xml:space="preserve">Ministru kabineta </w:t>
      </w:r>
      <w:r>
        <w:rPr>
          <w:b/>
          <w:sz w:val="28"/>
          <w:szCs w:val="28"/>
        </w:rPr>
        <w:t>rīkojuma</w:t>
      </w:r>
      <w:r w:rsidRPr="0030193F">
        <w:rPr>
          <w:b/>
          <w:sz w:val="28"/>
          <w:szCs w:val="28"/>
        </w:rPr>
        <w:t xml:space="preserve"> projekta</w:t>
      </w:r>
      <w:bookmarkEnd w:id="0"/>
      <w:r>
        <w:rPr>
          <w:b/>
          <w:sz w:val="28"/>
          <w:szCs w:val="28"/>
        </w:rPr>
        <w:t xml:space="preserve"> </w:t>
      </w:r>
      <w:r w:rsidRPr="0030193F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Par finanšu līdzekļu piešķiršanu </w:t>
      </w:r>
      <w:r w:rsidRPr="000D0ABD">
        <w:rPr>
          <w:b/>
          <w:sz w:val="28"/>
          <w:szCs w:val="28"/>
        </w:rPr>
        <w:t>no valsts budžeta programmas „Līdzekļi neparedzētiem gadījumiem</w:t>
      </w:r>
      <w:r>
        <w:rPr>
          <w:b/>
          <w:sz w:val="28"/>
          <w:szCs w:val="28"/>
        </w:rPr>
        <w:t xml:space="preserve">”” </w:t>
      </w:r>
      <w:r w:rsidRPr="0030193F">
        <w:rPr>
          <w:b/>
          <w:bCs/>
          <w:sz w:val="28"/>
          <w:szCs w:val="28"/>
        </w:rPr>
        <w:t>sākotnējās ietekmes novērtējuma ziņojums (anotācija</w:t>
      </w:r>
      <w:r w:rsidRPr="0030193F">
        <w:rPr>
          <w:bCs/>
          <w:sz w:val="28"/>
          <w:szCs w:val="28"/>
        </w:rPr>
        <w:t>)</w:t>
      </w:r>
    </w:p>
    <w:p w:rsidR="008C3F03" w:rsidRDefault="008C3F03" w:rsidP="00B03D11">
      <w:pPr>
        <w:pStyle w:val="naisc"/>
        <w:spacing w:before="0" w:after="0"/>
        <w:rPr>
          <w:b/>
          <w:bCs/>
          <w:sz w:val="24"/>
          <w:szCs w:val="24"/>
        </w:rPr>
      </w:pPr>
    </w:p>
    <w:p w:rsidR="002A2439" w:rsidRPr="000A0D36" w:rsidRDefault="002A2439" w:rsidP="00B03D11">
      <w:pPr>
        <w:pStyle w:val="naisc"/>
        <w:spacing w:before="0" w:after="0"/>
        <w:rPr>
          <w:b/>
          <w:bCs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1"/>
        <w:gridCol w:w="3259"/>
        <w:gridCol w:w="5491"/>
      </w:tblGrid>
      <w:tr w:rsidR="00B03D11" w:rsidRPr="000A0D36" w:rsidTr="00101F2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D11" w:rsidRPr="000A0D36" w:rsidRDefault="00B03D11" w:rsidP="00101F22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0A0D36">
              <w:rPr>
                <w:b/>
                <w:bCs/>
                <w:sz w:val="24"/>
                <w:szCs w:val="24"/>
              </w:rPr>
              <w:t xml:space="preserve">I. </w:t>
            </w:r>
            <w:r w:rsidRPr="000A0D36">
              <w:rPr>
                <w:b/>
                <w:color w:val="000000"/>
                <w:sz w:val="24"/>
                <w:szCs w:val="24"/>
              </w:rPr>
              <w:t>Tiesību akta projekta izstrādes nepieciešamība</w:t>
            </w:r>
          </w:p>
        </w:tc>
      </w:tr>
      <w:tr w:rsidR="00B03D11" w:rsidRPr="000A0D36" w:rsidTr="00101F22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1.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Pamatojums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DE6F77" w:rsidRDefault="006F21F2" w:rsidP="00101F22">
            <w:pPr>
              <w:jc w:val="both"/>
            </w:pPr>
            <w:r>
              <w:t>Nav attiecināms.</w:t>
            </w:r>
          </w:p>
        </w:tc>
      </w:tr>
      <w:tr w:rsidR="00B03D11" w:rsidRPr="000A0D36" w:rsidTr="00101F22">
        <w:trPr>
          <w:trHeight w:val="3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2.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Pašreizējā situācija un problēmas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3D11" w:rsidRPr="00C06306" w:rsidRDefault="00FB0580" w:rsidP="0099299F">
            <w:pPr>
              <w:ind w:left="38" w:firstLine="567"/>
              <w:jc w:val="both"/>
            </w:pPr>
            <w:r>
              <w:t>Centrālā vēlēšanu komisija līdz šim ir izmantojusi bezmaksas Saeimas interneta pieslēgumu, kuru no 2013.gada aprīļa vairs nebūs iespējams izmantot. Tādējādi</w:t>
            </w:r>
            <w:r w:rsidR="0099299F">
              <w:t xml:space="preserve"> </w:t>
            </w:r>
            <w:r>
              <w:t>pilnvērtīg</w:t>
            </w:r>
            <w:r w:rsidR="0099299F">
              <w:t>am</w:t>
            </w:r>
            <w:r>
              <w:t xml:space="preserve"> Centrālā</w:t>
            </w:r>
            <w:r w:rsidR="0099299F">
              <w:t>s</w:t>
            </w:r>
            <w:r>
              <w:t xml:space="preserve"> vēlēšanu komisijas darb</w:t>
            </w:r>
            <w:r w:rsidR="0099299F">
              <w:t>am</w:t>
            </w:r>
            <w:r>
              <w:t>, tajā skaitā pašva</w:t>
            </w:r>
            <w:r w:rsidR="0099299F">
              <w:t>l</w:t>
            </w:r>
            <w:r>
              <w:t>dību vēlēšan</w:t>
            </w:r>
            <w:r w:rsidR="0099299F">
              <w:t>u nodrošināšanai</w:t>
            </w:r>
            <w:r>
              <w:t>,</w:t>
            </w:r>
            <w:r w:rsidR="0099299F">
              <w:t xml:space="preserve"> ir nepieciešama autonoma interneta pieslēguma izveidošana un nodrošināšana.</w:t>
            </w:r>
          </w:p>
        </w:tc>
      </w:tr>
      <w:tr w:rsidR="00B03D11" w:rsidRPr="000A0D36" w:rsidTr="00101F22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3.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Saistītie politikas ietekmes novērtējumi un pētījumi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aisf"/>
              <w:spacing w:before="0" w:after="0"/>
              <w:ind w:firstLine="0"/>
              <w:rPr>
                <w:highlight w:val="yellow"/>
              </w:rPr>
            </w:pPr>
            <w:r w:rsidRPr="000A0D36">
              <w:t>Nav attiecināms.</w:t>
            </w:r>
          </w:p>
        </w:tc>
      </w:tr>
      <w:tr w:rsidR="00B03D11" w:rsidRPr="000A0D36" w:rsidTr="00101F22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4.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Tiesiskā regulējuma mērķis un būtība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439" w:rsidRPr="0099299F" w:rsidRDefault="00FF0419" w:rsidP="0099299F">
            <w:pPr>
              <w:ind w:firstLine="605"/>
              <w:jc w:val="both"/>
            </w:pPr>
            <w:r>
              <w:t>Ministru kabineta rīkojuma projekts paredz no valsts budžeta programmas 02.00.00 „Līdzekļi neparedzētiem gadījumiem” p</w:t>
            </w:r>
            <w:r w:rsidR="0099299F" w:rsidRPr="0099299F">
              <w:t>iešķirt Centrālajai vēlēšanu komisijai</w:t>
            </w:r>
            <w:r w:rsidR="001867F7" w:rsidRPr="0099299F">
              <w:t xml:space="preserve"> </w:t>
            </w:r>
            <w:r w:rsidR="0099299F" w:rsidRPr="0099299F">
              <w:t>papildu līdzekļus 1 440 latu apmērā autonoma interneta pieslēguma izveidošanai un nodrošināšanai 2013.gadā</w:t>
            </w:r>
            <w:r w:rsidR="0099299F">
              <w:t>.</w:t>
            </w:r>
          </w:p>
        </w:tc>
      </w:tr>
      <w:tr w:rsidR="00B03D11" w:rsidRPr="000A0D36" w:rsidTr="00101F22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5.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Projekta izstrādē iesaistītās institūcijas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aisf"/>
              <w:spacing w:before="0" w:after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Nav attiecināms </w:t>
            </w:r>
          </w:p>
        </w:tc>
      </w:tr>
      <w:tr w:rsidR="00B03D11" w:rsidRPr="000A0D36" w:rsidTr="00101F22">
        <w:trPr>
          <w:trHeight w:val="834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6.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Iemesli, kādēļ netika nodrošināta sabiedrības līdzdalība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aisf"/>
              <w:spacing w:before="0" w:after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Nav attiecināms. </w:t>
            </w:r>
          </w:p>
        </w:tc>
      </w:tr>
      <w:tr w:rsidR="00B03D11" w:rsidRPr="000A0D36" w:rsidTr="00101F22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7.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Cita informācija.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r w:rsidRPr="000A0D36">
              <w:t>Nav</w:t>
            </w:r>
            <w:r>
              <w:t xml:space="preserve"> attiecināms. </w:t>
            </w:r>
          </w:p>
        </w:tc>
      </w:tr>
    </w:tbl>
    <w:p w:rsidR="00B03D11" w:rsidRPr="000A0D36" w:rsidRDefault="00B03D11" w:rsidP="00B03D11">
      <w:pPr>
        <w:pStyle w:val="naisc"/>
        <w:spacing w:before="0" w:after="0"/>
        <w:rPr>
          <w:sz w:val="24"/>
          <w:szCs w:val="24"/>
        </w:rPr>
      </w:pPr>
    </w:p>
    <w:tbl>
      <w:tblPr>
        <w:tblW w:w="5123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9"/>
        <w:gridCol w:w="1273"/>
        <w:gridCol w:w="1274"/>
        <w:gridCol w:w="1274"/>
        <w:gridCol w:w="1274"/>
        <w:gridCol w:w="1272"/>
      </w:tblGrid>
      <w:tr w:rsidR="00B03D11" w:rsidRPr="00C16E58" w:rsidTr="00101F2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  <w:rPr>
                <w:b/>
                <w:bCs/>
              </w:rPr>
            </w:pPr>
            <w:r w:rsidRPr="00C16E58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B03D11" w:rsidRPr="00C16E58" w:rsidTr="00101F22">
        <w:tc>
          <w:tcPr>
            <w:tcW w:w="15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  <w:rPr>
                <w:b/>
                <w:bCs/>
              </w:rPr>
            </w:pPr>
            <w:r w:rsidRPr="00C16E58">
              <w:rPr>
                <w:b/>
                <w:bCs/>
              </w:rPr>
              <w:t>Rādītāji</w:t>
            </w:r>
          </w:p>
        </w:tc>
        <w:tc>
          <w:tcPr>
            <w:tcW w:w="1361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C05EE" w:rsidP="00BC05EE">
            <w:pPr>
              <w:pStyle w:val="naisf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B03D11" w:rsidRPr="00C16E58">
              <w:rPr>
                <w:b/>
                <w:bCs/>
              </w:rPr>
              <w:t>201</w:t>
            </w:r>
            <w:r w:rsidR="0099299F">
              <w:rPr>
                <w:b/>
                <w:bCs/>
              </w:rPr>
              <w:t>3</w:t>
            </w:r>
            <w:r w:rsidR="00B03D11" w:rsidRPr="00C16E58">
              <w:rPr>
                <w:b/>
                <w:bCs/>
              </w:rPr>
              <w:t>.gads</w:t>
            </w:r>
          </w:p>
        </w:tc>
        <w:tc>
          <w:tcPr>
            <w:tcW w:w="204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Turpmākie trīs gadi (</w:t>
            </w:r>
            <w:proofErr w:type="spellStart"/>
            <w:r w:rsidRPr="00C16E58">
              <w:t>tūkst</w:t>
            </w:r>
            <w:proofErr w:type="spellEnd"/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Pr="00C16E58">
                <w:t>. latu</w:t>
              </w:r>
            </w:smartTag>
            <w:r w:rsidRPr="00C16E58">
              <w:t>)</w:t>
            </w:r>
          </w:p>
        </w:tc>
      </w:tr>
      <w:tr w:rsidR="00B03D11" w:rsidRPr="00C16E58" w:rsidTr="00101F22">
        <w:tc>
          <w:tcPr>
            <w:tcW w:w="15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rPr>
                <w:b/>
                <w:bCs/>
              </w:rPr>
            </w:pPr>
          </w:p>
        </w:tc>
        <w:tc>
          <w:tcPr>
            <w:tcW w:w="1361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99299F">
            <w:pPr>
              <w:pStyle w:val="naisf"/>
              <w:spacing w:before="0" w:after="0"/>
              <w:rPr>
                <w:b/>
                <w:bCs/>
              </w:rPr>
            </w:pPr>
            <w:r w:rsidRPr="00C16E58">
              <w:rPr>
                <w:b/>
                <w:bCs/>
              </w:rPr>
              <w:t>201</w:t>
            </w:r>
            <w:r w:rsidR="0099299F">
              <w:rPr>
                <w:b/>
                <w:bCs/>
              </w:rPr>
              <w:t>4</w:t>
            </w:r>
            <w:r w:rsidRPr="00C16E58">
              <w:rPr>
                <w:b/>
                <w:bCs/>
              </w:rPr>
              <w:t>.g.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99299F">
            <w:pPr>
              <w:pStyle w:val="naisf"/>
              <w:spacing w:before="0" w:after="0"/>
              <w:rPr>
                <w:b/>
                <w:bCs/>
              </w:rPr>
            </w:pPr>
            <w:r w:rsidRPr="00C16E58">
              <w:rPr>
                <w:b/>
                <w:bCs/>
              </w:rPr>
              <w:t>201</w:t>
            </w:r>
            <w:r w:rsidR="0099299F">
              <w:rPr>
                <w:b/>
                <w:bCs/>
              </w:rPr>
              <w:t>5</w:t>
            </w:r>
            <w:r w:rsidRPr="00C16E58">
              <w:rPr>
                <w:b/>
                <w:bCs/>
              </w:rPr>
              <w:t>.g.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99299F">
            <w:pPr>
              <w:pStyle w:val="naisf"/>
              <w:spacing w:before="0" w:after="0"/>
              <w:rPr>
                <w:b/>
                <w:bCs/>
              </w:rPr>
            </w:pPr>
            <w:r w:rsidRPr="00C16E58">
              <w:rPr>
                <w:b/>
                <w:bCs/>
              </w:rPr>
              <w:t>201</w:t>
            </w:r>
            <w:r w:rsidR="0099299F">
              <w:rPr>
                <w:b/>
                <w:bCs/>
              </w:rPr>
              <w:t>6</w:t>
            </w:r>
            <w:r w:rsidRPr="00C16E58">
              <w:rPr>
                <w:b/>
                <w:bCs/>
              </w:rPr>
              <w:t>.g.</w:t>
            </w:r>
          </w:p>
        </w:tc>
      </w:tr>
      <w:tr w:rsidR="00B03D11" w:rsidRPr="00C16E58" w:rsidTr="00101F22">
        <w:tc>
          <w:tcPr>
            <w:tcW w:w="15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rPr>
                <w:b/>
                <w:bCs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BC05EE">
            <w:pPr>
              <w:pStyle w:val="naisf"/>
              <w:spacing w:before="0" w:after="0"/>
              <w:ind w:firstLine="0"/>
              <w:jc w:val="center"/>
            </w:pPr>
            <w:r w:rsidRPr="00C16E58">
              <w:t>Saskaņā ar valsts budžetu kārtējam gadam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BC05EE">
            <w:pPr>
              <w:pStyle w:val="naisf"/>
              <w:spacing w:before="0" w:after="0"/>
              <w:ind w:firstLine="0"/>
              <w:jc w:val="center"/>
            </w:pPr>
            <w:r w:rsidRPr="00C16E58">
              <w:t>Izmaiņas kārtējā gadā, salīdzinot ar budžetu kārtējam gadam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BC05EE">
            <w:pPr>
              <w:pStyle w:val="naisf"/>
              <w:spacing w:before="0" w:after="0"/>
              <w:ind w:firstLine="0"/>
              <w:jc w:val="center"/>
            </w:pPr>
            <w:r w:rsidRPr="00C16E58"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BC05EE">
            <w:pPr>
              <w:pStyle w:val="naisf"/>
              <w:spacing w:before="0" w:after="0"/>
              <w:ind w:firstLine="0"/>
              <w:jc w:val="center"/>
            </w:pPr>
            <w:r w:rsidRPr="00C16E58">
              <w:t>Izmaiņas, salīdzinot ar kārtējo (n) gadu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BC05EE">
            <w:pPr>
              <w:pStyle w:val="naisf"/>
              <w:spacing w:before="0" w:after="0"/>
              <w:ind w:firstLine="0"/>
              <w:jc w:val="center"/>
            </w:pPr>
            <w:r w:rsidRPr="00C16E58">
              <w:t>Izmaiņas, salīdzinot ar kārtējo (n) gadu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1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5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6</w:t>
            </w:r>
          </w:p>
        </w:tc>
      </w:tr>
      <w:tr w:rsidR="00B03D11" w:rsidRPr="00C16E58" w:rsidTr="00101F22">
        <w:trPr>
          <w:trHeight w:val="316"/>
        </w:trPr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1. Budžeta ieņēmumi: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lastRenderedPageBreak/>
              <w:t>1.1. valsts pamatbudžets, tai skaitā ieņēmumi no maksas pakalpojumiem un citi pašu ieņēmumi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1.2. valsts speciālais 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1.3. pašvaldību 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2. Budžeta izdevumi: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A22147" w:rsidP="00FB0580">
            <w:pPr>
              <w:pStyle w:val="naisf"/>
            </w:pPr>
            <w:r>
              <w:t>1</w:t>
            </w:r>
            <w:r w:rsidR="00FB0580">
              <w:t>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rPr>
          <w:trHeight w:val="308"/>
        </w:trPr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2.1. valsts pamatbudžets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FB0580" w:rsidP="00FB0580">
            <w:pPr>
              <w:pStyle w:val="naisf"/>
            </w:pPr>
            <w:r>
              <w:t>1</w:t>
            </w:r>
            <w:r w:rsidR="00A22147">
              <w:t>,</w:t>
            </w: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2.2. valsts speciālais 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2.3. pašvaldību 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3. Finansiālā ietekme: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A22147" w:rsidP="00FB0580">
            <w:pPr>
              <w:pStyle w:val="naisf"/>
              <w:ind w:firstLine="0"/>
            </w:pPr>
            <w:r>
              <w:t xml:space="preserve">     </w:t>
            </w:r>
            <w:r w:rsidR="00BC05EE">
              <w:t>-</w:t>
            </w:r>
            <w:r w:rsidR="00FB0580">
              <w:t>1</w:t>
            </w:r>
            <w:r>
              <w:t>,</w:t>
            </w:r>
            <w:r w:rsidR="00FB0580">
              <w:t>4</w:t>
            </w:r>
            <w:r w:rsidRPr="00C16E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3.1. valsts pamatbudžets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A22147" w:rsidP="00FB0580">
            <w:pPr>
              <w:pStyle w:val="naisf"/>
              <w:ind w:firstLine="0"/>
            </w:pPr>
            <w:r>
              <w:t xml:space="preserve">     -1</w:t>
            </w:r>
            <w:r w:rsidR="008C3F03">
              <w:t>,</w:t>
            </w:r>
            <w:r w:rsidR="00FB0580">
              <w:t>4</w:t>
            </w:r>
            <w:r w:rsidRPr="00C16E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3.2. speciālais 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3.3. pašvaldību 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rPr>
          <w:trHeight w:val="1367"/>
        </w:trPr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4. Finanšu līdzekļi papildu izde</w:t>
            </w:r>
            <w:r w:rsidRPr="00C16E58">
              <w:softHyphen/>
              <w:t>vumu finansēšanai (kompensējošu izdevumu samazinājumu norāda ar "+" zīmi)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FB0580" w:rsidP="00FB0580">
            <w:pPr>
              <w:pStyle w:val="naisf"/>
            </w:pPr>
            <w:r>
              <w:t>1</w:t>
            </w:r>
            <w:r w:rsidR="008C3F03">
              <w:t>,</w:t>
            </w:r>
            <w:r>
              <w:t>4</w:t>
            </w:r>
            <w:r w:rsidR="00A22147" w:rsidRPr="00C16E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5. Precizēta finansiālā ietekme:</w:t>
            </w:r>
          </w:p>
        </w:tc>
        <w:tc>
          <w:tcPr>
            <w:tcW w:w="6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5.1. valsts pamatbudžets</w:t>
            </w:r>
          </w:p>
        </w:tc>
        <w:tc>
          <w:tcPr>
            <w:tcW w:w="68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5.2. speciālais budžets</w:t>
            </w:r>
          </w:p>
        </w:tc>
        <w:tc>
          <w:tcPr>
            <w:tcW w:w="68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5.3. pašvaldību budžets</w:t>
            </w:r>
          </w:p>
        </w:tc>
        <w:tc>
          <w:tcPr>
            <w:tcW w:w="68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6. Detalizēts ieņēmumu un izdevu</w:t>
            </w:r>
            <w:r w:rsidRPr="00C16E58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03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BC6" w:rsidRPr="00C16E58" w:rsidRDefault="0099299F" w:rsidP="0099299F">
            <w:pPr>
              <w:pStyle w:val="naisf"/>
              <w:ind w:firstLine="0"/>
            </w:pPr>
            <w:r>
              <w:t xml:space="preserve">Interneta pieslēguma abonēšana mēnesī  Ls 160, tādējādi šā gada 9 mēnešiem nepieciešami Ls 1 440 (Ls 160 x 9 mēneši). 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6.1. detalizēts ieņēmumu aprēķins</w:t>
            </w:r>
          </w:p>
        </w:tc>
        <w:tc>
          <w:tcPr>
            <w:tcW w:w="3403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6.2. detalizēts izdevumu aprēķins</w:t>
            </w:r>
          </w:p>
        </w:tc>
        <w:tc>
          <w:tcPr>
            <w:tcW w:w="3403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7. Cita informācija</w:t>
            </w:r>
          </w:p>
        </w:tc>
        <w:tc>
          <w:tcPr>
            <w:tcW w:w="340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4C3F74" w:rsidRDefault="00B03D11" w:rsidP="00B03D11">
            <w:pPr>
              <w:jc w:val="both"/>
              <w:rPr>
                <w:i/>
              </w:rPr>
            </w:pPr>
            <w:r w:rsidRPr="00C16E58">
              <w:t>Izdevumus sedz no valsts budžeta programmas 02.00.00 „Līdzekļi neparedzētiem gadījumiem”.</w:t>
            </w:r>
            <w:r>
              <w:t xml:space="preserve"> </w:t>
            </w:r>
          </w:p>
        </w:tc>
      </w:tr>
    </w:tbl>
    <w:p w:rsidR="00B03D11" w:rsidRDefault="00B03D11" w:rsidP="00B03D11">
      <w:pPr>
        <w:pStyle w:val="naisf"/>
        <w:spacing w:before="0" w:after="0"/>
      </w:pPr>
    </w:p>
    <w:p w:rsidR="00B03D11" w:rsidRPr="000A0D36" w:rsidRDefault="00B03D11" w:rsidP="00B03D11">
      <w:pPr>
        <w:pStyle w:val="NormalWeb"/>
        <w:spacing w:before="0" w:beforeAutospacing="0" w:after="0" w:afterAutospacing="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2"/>
        <w:gridCol w:w="3542"/>
        <w:gridCol w:w="5207"/>
      </w:tblGrid>
      <w:tr w:rsidR="00B03D11" w:rsidRPr="000A0D36" w:rsidTr="00101F2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aisc"/>
              <w:spacing w:before="0" w:after="0"/>
              <w:rPr>
                <w:b/>
                <w:bCs/>
                <w:sz w:val="24"/>
                <w:szCs w:val="24"/>
              </w:rPr>
            </w:pPr>
            <w:r w:rsidRPr="000A0D36">
              <w:rPr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B03D11" w:rsidRPr="000A0D36" w:rsidTr="00101F22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lastRenderedPageBreak/>
              <w:t>1.</w:t>
            </w:r>
          </w:p>
        </w:tc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Projekta izpildē iesaistītās institūcijas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8F7BC6" w:rsidP="008F7BC6">
            <w:pPr>
              <w:jc w:val="both"/>
              <w:rPr>
                <w:highlight w:val="yellow"/>
              </w:rPr>
            </w:pPr>
            <w:r>
              <w:rPr>
                <w:bCs/>
                <w:color w:val="000000"/>
              </w:rPr>
              <w:t>Centrālā vēlēšanu komisija, Finanšu ministrija</w:t>
            </w:r>
          </w:p>
        </w:tc>
      </w:tr>
      <w:tr w:rsidR="00B03D11" w:rsidRPr="000A0D36" w:rsidTr="00101F22">
        <w:trPr>
          <w:trHeight w:val="795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2.</w:t>
            </w:r>
          </w:p>
        </w:tc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Projekta izpildes ietekme uz pārvaldes funkcijām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bCs/>
                <w:color w:val="000000"/>
              </w:rPr>
            </w:pPr>
            <w:r w:rsidRPr="000A0D36">
              <w:t>Nav attiecināms.</w:t>
            </w:r>
          </w:p>
        </w:tc>
      </w:tr>
      <w:tr w:rsidR="00B03D11" w:rsidRPr="000A0D36" w:rsidTr="00101F22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3.</w:t>
            </w:r>
          </w:p>
        </w:tc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Projekta izpildes ietekme uz pārvaldes institucionālo struktūru.</w:t>
            </w:r>
          </w:p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Jaunu institūciju izveide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highlight w:val="yellow"/>
              </w:rPr>
            </w:pPr>
            <w:r w:rsidRPr="000A0D36">
              <w:t>Nav attiecināms.</w:t>
            </w:r>
          </w:p>
        </w:tc>
      </w:tr>
      <w:tr w:rsidR="00B03D11" w:rsidRPr="000A0D36" w:rsidTr="00101F22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4.</w:t>
            </w:r>
          </w:p>
        </w:tc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Projekta izpildes ietekme uz pārvaldes institucionālo struktūru.</w:t>
            </w:r>
          </w:p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Esošu institūciju likvidācija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</w:pPr>
            <w:r w:rsidRPr="000A0D36">
              <w:t>Nav attiecināms.</w:t>
            </w:r>
          </w:p>
        </w:tc>
      </w:tr>
      <w:tr w:rsidR="00B03D11" w:rsidRPr="000A0D36" w:rsidTr="00101F22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5.</w:t>
            </w:r>
          </w:p>
        </w:tc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Projekta izpildes ietekme uz pārvaldes institucionālo struktūru.</w:t>
            </w:r>
          </w:p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Esošu institūciju reorganizācija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</w:pPr>
            <w:r w:rsidRPr="000A0D36">
              <w:t>Nav attiecināms.</w:t>
            </w:r>
          </w:p>
        </w:tc>
      </w:tr>
      <w:tr w:rsidR="00B03D11" w:rsidRPr="000A0D36" w:rsidTr="00101F22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6.</w:t>
            </w:r>
          </w:p>
        </w:tc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Cita informācija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r w:rsidRPr="000A0D36">
              <w:t>Nav</w:t>
            </w:r>
            <w:r>
              <w:t xml:space="preserve"> attiecināms. </w:t>
            </w:r>
          </w:p>
        </w:tc>
      </w:tr>
    </w:tbl>
    <w:p w:rsidR="00C5732A" w:rsidRPr="00C16E58" w:rsidRDefault="00C5732A" w:rsidP="00C5732A">
      <w:pPr>
        <w:jc w:val="both"/>
        <w:rPr>
          <w:rFonts w:eastAsia="Calibri"/>
        </w:rPr>
      </w:pPr>
      <w:r w:rsidRPr="00C16E58">
        <w:rPr>
          <w:rFonts w:eastAsia="Calibri"/>
        </w:rPr>
        <w:t>Anotācijas II, IV, V, VI sadaļa – nav attiecināms.</w:t>
      </w:r>
    </w:p>
    <w:p w:rsidR="004F39F2" w:rsidRDefault="004F39F2" w:rsidP="0061761D">
      <w:pPr>
        <w:jc w:val="both"/>
        <w:rPr>
          <w:sz w:val="28"/>
          <w:szCs w:val="28"/>
        </w:rPr>
      </w:pPr>
    </w:p>
    <w:p w:rsidR="002A2439" w:rsidRDefault="002A2439" w:rsidP="002A2439">
      <w:pPr>
        <w:rPr>
          <w:sz w:val="28"/>
          <w:szCs w:val="28"/>
        </w:rPr>
      </w:pPr>
    </w:p>
    <w:p w:rsidR="00FF0419" w:rsidRDefault="00FF0419" w:rsidP="002A2439">
      <w:pPr>
        <w:rPr>
          <w:sz w:val="28"/>
          <w:szCs w:val="28"/>
        </w:rPr>
      </w:pPr>
    </w:p>
    <w:p w:rsidR="002A2439" w:rsidRDefault="002A2439" w:rsidP="002A2439">
      <w:pPr>
        <w:rPr>
          <w:sz w:val="28"/>
          <w:szCs w:val="28"/>
        </w:rPr>
      </w:pPr>
    </w:p>
    <w:p w:rsidR="0099299F" w:rsidRDefault="0099299F" w:rsidP="0099299F">
      <w:pPr>
        <w:rPr>
          <w:sz w:val="28"/>
          <w:szCs w:val="28"/>
        </w:rPr>
      </w:pPr>
      <w:r>
        <w:rPr>
          <w:sz w:val="28"/>
          <w:szCs w:val="28"/>
        </w:rPr>
        <w:t xml:space="preserve">Finanšu  ministrs                                                                      </w:t>
      </w:r>
      <w:r w:rsidR="00FF04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A.Vilks</w:t>
      </w:r>
    </w:p>
    <w:p w:rsidR="0061761D" w:rsidRDefault="002A2439" w:rsidP="002A2439">
      <w:pPr>
        <w:pStyle w:val="Footer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2A2439" w:rsidRDefault="002A2439" w:rsidP="00B03D11">
      <w:pPr>
        <w:pStyle w:val="Footer"/>
        <w:rPr>
          <w:sz w:val="18"/>
          <w:szCs w:val="18"/>
        </w:rPr>
      </w:pPr>
    </w:p>
    <w:p w:rsidR="002A2439" w:rsidRDefault="002A2439" w:rsidP="00B03D11">
      <w:pPr>
        <w:pStyle w:val="Footer"/>
        <w:rPr>
          <w:sz w:val="18"/>
          <w:szCs w:val="18"/>
        </w:rPr>
      </w:pPr>
    </w:p>
    <w:p w:rsidR="002A2439" w:rsidRDefault="002A2439" w:rsidP="00B03D11">
      <w:pPr>
        <w:pStyle w:val="Footer"/>
        <w:rPr>
          <w:sz w:val="18"/>
          <w:szCs w:val="18"/>
        </w:rPr>
      </w:pPr>
    </w:p>
    <w:p w:rsidR="00FF0419" w:rsidRDefault="00FF0419" w:rsidP="00B03D11">
      <w:pPr>
        <w:pStyle w:val="Footer"/>
        <w:rPr>
          <w:sz w:val="18"/>
          <w:szCs w:val="18"/>
        </w:rPr>
      </w:pPr>
    </w:p>
    <w:p w:rsidR="00FF0419" w:rsidRDefault="00FF0419" w:rsidP="00B03D11">
      <w:pPr>
        <w:pStyle w:val="Footer"/>
        <w:rPr>
          <w:sz w:val="18"/>
          <w:szCs w:val="18"/>
        </w:rPr>
      </w:pPr>
    </w:p>
    <w:p w:rsidR="00FF0419" w:rsidRDefault="00FF0419" w:rsidP="00B03D11">
      <w:pPr>
        <w:pStyle w:val="Footer"/>
        <w:rPr>
          <w:sz w:val="18"/>
          <w:szCs w:val="18"/>
        </w:rPr>
      </w:pPr>
    </w:p>
    <w:p w:rsidR="00FF0419" w:rsidRDefault="00FF0419" w:rsidP="00B03D11">
      <w:pPr>
        <w:pStyle w:val="Footer"/>
        <w:rPr>
          <w:sz w:val="18"/>
          <w:szCs w:val="18"/>
        </w:rPr>
      </w:pPr>
    </w:p>
    <w:p w:rsidR="00FF0419" w:rsidRDefault="00FF0419" w:rsidP="00B03D11">
      <w:pPr>
        <w:pStyle w:val="Footer"/>
        <w:rPr>
          <w:sz w:val="18"/>
          <w:szCs w:val="18"/>
        </w:rPr>
      </w:pPr>
    </w:p>
    <w:p w:rsidR="002A2439" w:rsidRDefault="002A2439" w:rsidP="00B03D11">
      <w:pPr>
        <w:pStyle w:val="Footer"/>
        <w:rPr>
          <w:sz w:val="18"/>
          <w:szCs w:val="18"/>
        </w:rPr>
      </w:pPr>
    </w:p>
    <w:p w:rsidR="002A2439" w:rsidRPr="00547107" w:rsidRDefault="002A2439" w:rsidP="00B03D11">
      <w:pPr>
        <w:pStyle w:val="Footer"/>
        <w:rPr>
          <w:sz w:val="20"/>
        </w:rPr>
      </w:pPr>
    </w:p>
    <w:p w:rsidR="00B03D11" w:rsidRPr="00547107" w:rsidRDefault="000F0B46" w:rsidP="00B03D11">
      <w:pPr>
        <w:pStyle w:val="Footer"/>
        <w:rPr>
          <w:sz w:val="20"/>
        </w:rPr>
      </w:pPr>
      <w:r>
        <w:rPr>
          <w:sz w:val="20"/>
        </w:rPr>
        <w:t>15</w:t>
      </w:r>
      <w:r w:rsidR="0099299F">
        <w:rPr>
          <w:sz w:val="20"/>
        </w:rPr>
        <w:t>.04</w:t>
      </w:r>
      <w:r w:rsidR="008C3F03" w:rsidRPr="00547107">
        <w:rPr>
          <w:sz w:val="20"/>
        </w:rPr>
        <w:t>.2012</w:t>
      </w:r>
      <w:r w:rsidR="0099299F">
        <w:rPr>
          <w:sz w:val="20"/>
        </w:rPr>
        <w:t>. 15</w:t>
      </w:r>
      <w:r w:rsidR="00BA4340" w:rsidRPr="00547107">
        <w:rPr>
          <w:sz w:val="20"/>
        </w:rPr>
        <w:t>:</w:t>
      </w:r>
      <w:r w:rsidR="001867F7" w:rsidRPr="00547107">
        <w:rPr>
          <w:sz w:val="20"/>
        </w:rPr>
        <w:t>5</w:t>
      </w:r>
      <w:r w:rsidR="002A2439" w:rsidRPr="00547107">
        <w:rPr>
          <w:sz w:val="20"/>
        </w:rPr>
        <w:t>5</w:t>
      </w:r>
      <w:bookmarkStart w:id="1" w:name="_GoBack"/>
      <w:bookmarkEnd w:id="1"/>
    </w:p>
    <w:p w:rsidR="00C5732A" w:rsidRPr="00547107" w:rsidRDefault="00FF0419" w:rsidP="00C5732A">
      <w:pPr>
        <w:pStyle w:val="Footer"/>
        <w:rPr>
          <w:sz w:val="20"/>
        </w:rPr>
      </w:pPr>
      <w:r>
        <w:rPr>
          <w:rStyle w:val="PageNumber"/>
          <w:sz w:val="20"/>
        </w:rPr>
        <w:t>503</w:t>
      </w:r>
    </w:p>
    <w:p w:rsidR="00C5732A" w:rsidRPr="00547107" w:rsidRDefault="00C5732A" w:rsidP="00C5732A">
      <w:pPr>
        <w:pStyle w:val="BodyText"/>
        <w:jc w:val="both"/>
        <w:rPr>
          <w:sz w:val="20"/>
          <w:szCs w:val="20"/>
        </w:rPr>
      </w:pPr>
      <w:r w:rsidRPr="00547107">
        <w:rPr>
          <w:sz w:val="20"/>
          <w:szCs w:val="20"/>
        </w:rPr>
        <w:t xml:space="preserve">E.Kobzeva </w:t>
      </w:r>
    </w:p>
    <w:p w:rsidR="00C5732A" w:rsidRPr="00547107" w:rsidRDefault="00C5732A" w:rsidP="00C5732A">
      <w:pPr>
        <w:pStyle w:val="BodyText"/>
        <w:jc w:val="both"/>
        <w:rPr>
          <w:sz w:val="20"/>
          <w:szCs w:val="20"/>
        </w:rPr>
      </w:pPr>
      <w:r w:rsidRPr="00547107">
        <w:rPr>
          <w:sz w:val="20"/>
          <w:szCs w:val="20"/>
        </w:rPr>
        <w:t xml:space="preserve">67083885; </w:t>
      </w:r>
      <w:hyperlink r:id="rId8" w:history="1">
        <w:r w:rsidRPr="00547107">
          <w:rPr>
            <w:rStyle w:val="Hyperlink"/>
            <w:sz w:val="20"/>
            <w:szCs w:val="20"/>
          </w:rPr>
          <w:t>Elina.Kobzeva@fm.gov.lv</w:t>
        </w:r>
      </w:hyperlink>
    </w:p>
    <w:sectPr w:rsidR="00C5732A" w:rsidRPr="00547107" w:rsidSect="00101F2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80" w:rsidRDefault="00FB0580" w:rsidP="00C50023">
      <w:r>
        <w:separator/>
      </w:r>
    </w:p>
  </w:endnote>
  <w:endnote w:type="continuationSeparator" w:id="0">
    <w:p w:rsidR="00FB0580" w:rsidRDefault="00FB0580" w:rsidP="00C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80" w:rsidRPr="00C50023" w:rsidRDefault="000F0B46" w:rsidP="00C50023">
    <w:pPr>
      <w:jc w:val="both"/>
      <w:rPr>
        <w:sz w:val="20"/>
        <w:szCs w:val="20"/>
      </w:rPr>
    </w:pPr>
    <w:r>
      <w:rPr>
        <w:sz w:val="20"/>
        <w:szCs w:val="20"/>
      </w:rPr>
      <w:t>FMAnot_15</w:t>
    </w:r>
    <w:r w:rsidR="0099299F">
      <w:rPr>
        <w:sz w:val="20"/>
        <w:szCs w:val="20"/>
      </w:rPr>
      <w:t>0413</w:t>
    </w:r>
    <w:r w:rsidR="00FB0580" w:rsidRPr="00C50023">
      <w:rPr>
        <w:sz w:val="20"/>
        <w:szCs w:val="20"/>
      </w:rPr>
      <w:t>; Ministru kabineta rīkojuma projekta „Par finanšu līdzekļu piešķiršanu no valsts budžeta programmas „Līdzekļi neparedzētiem gadījumiem””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80" w:rsidRPr="00C50023" w:rsidRDefault="000F0B46" w:rsidP="00101F22">
    <w:pPr>
      <w:jc w:val="both"/>
      <w:rPr>
        <w:sz w:val="20"/>
        <w:szCs w:val="20"/>
      </w:rPr>
    </w:pPr>
    <w:r>
      <w:rPr>
        <w:sz w:val="20"/>
        <w:szCs w:val="20"/>
      </w:rPr>
      <w:t>FMAnot_15</w:t>
    </w:r>
    <w:r w:rsidR="0099299F">
      <w:rPr>
        <w:sz w:val="20"/>
        <w:szCs w:val="20"/>
      </w:rPr>
      <w:t>0413</w:t>
    </w:r>
    <w:r w:rsidR="00FB0580" w:rsidRPr="00C50023">
      <w:rPr>
        <w:sz w:val="20"/>
        <w:szCs w:val="20"/>
      </w:rPr>
      <w:t>; Ministru kabineta rīkojuma projekta „Par finanšu līdzekļu piešķiršanu no valsts budžeta programmas „Līdzekļi neparedzētiem gadījumiem””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80" w:rsidRDefault="00FB0580" w:rsidP="00C50023">
      <w:r>
        <w:separator/>
      </w:r>
    </w:p>
  </w:footnote>
  <w:footnote w:type="continuationSeparator" w:id="0">
    <w:p w:rsidR="00FB0580" w:rsidRDefault="00FB0580" w:rsidP="00C5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80" w:rsidRDefault="00FB0580" w:rsidP="00101F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580" w:rsidRDefault="00FB05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80" w:rsidRDefault="00FB0580" w:rsidP="00101F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B46">
      <w:rPr>
        <w:rStyle w:val="PageNumber"/>
        <w:noProof/>
      </w:rPr>
      <w:t>3</w:t>
    </w:r>
    <w:r>
      <w:rPr>
        <w:rStyle w:val="PageNumber"/>
      </w:rPr>
      <w:fldChar w:fldCharType="end"/>
    </w:r>
  </w:p>
  <w:p w:rsidR="00FB0580" w:rsidRDefault="00FB0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B58"/>
    <w:multiLevelType w:val="hybridMultilevel"/>
    <w:tmpl w:val="562EBCBA"/>
    <w:lvl w:ilvl="0" w:tplc="CA26BDA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4B3B64CC"/>
    <w:multiLevelType w:val="hybridMultilevel"/>
    <w:tmpl w:val="2F96F638"/>
    <w:lvl w:ilvl="0" w:tplc="6088D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F064A3"/>
    <w:multiLevelType w:val="hybridMultilevel"/>
    <w:tmpl w:val="25B4E5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11"/>
    <w:rsid w:val="00020F72"/>
    <w:rsid w:val="000F0B46"/>
    <w:rsid w:val="00101F22"/>
    <w:rsid w:val="001867F7"/>
    <w:rsid w:val="001C4DFF"/>
    <w:rsid w:val="002A2439"/>
    <w:rsid w:val="004F39F2"/>
    <w:rsid w:val="00547107"/>
    <w:rsid w:val="005B2537"/>
    <w:rsid w:val="0061761D"/>
    <w:rsid w:val="006F21F2"/>
    <w:rsid w:val="008A5B8F"/>
    <w:rsid w:val="008C3F03"/>
    <w:rsid w:val="008F3D97"/>
    <w:rsid w:val="008F7BC6"/>
    <w:rsid w:val="0099299F"/>
    <w:rsid w:val="00A22147"/>
    <w:rsid w:val="00A3270B"/>
    <w:rsid w:val="00B03D11"/>
    <w:rsid w:val="00BA4340"/>
    <w:rsid w:val="00BC05EE"/>
    <w:rsid w:val="00C50023"/>
    <w:rsid w:val="00C5732A"/>
    <w:rsid w:val="00E02D94"/>
    <w:rsid w:val="00E8575E"/>
    <w:rsid w:val="00E97231"/>
    <w:rsid w:val="00FB0580"/>
    <w:rsid w:val="00FB6B66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3D1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03D11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B03D11"/>
    <w:pPr>
      <w:spacing w:before="450" w:after="300"/>
      <w:jc w:val="center"/>
    </w:pPr>
    <w:rPr>
      <w:sz w:val="26"/>
      <w:szCs w:val="26"/>
    </w:rPr>
  </w:style>
  <w:style w:type="character" w:styleId="Hyperlink">
    <w:name w:val="Hyperlink"/>
    <w:rsid w:val="00B03D11"/>
    <w:rPr>
      <w:color w:val="0000FF"/>
      <w:u w:val="single"/>
    </w:rPr>
  </w:style>
  <w:style w:type="paragraph" w:styleId="Footer">
    <w:name w:val="footer"/>
    <w:basedOn w:val="Normal"/>
    <w:link w:val="FooterChar"/>
    <w:rsid w:val="00B03D11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03D1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rsid w:val="00B03D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3D1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03D11"/>
  </w:style>
  <w:style w:type="paragraph" w:customStyle="1" w:styleId="RakstzRakstzCharCharChar">
    <w:name w:val="Rakstz. Rakstz. Char Char Char"/>
    <w:basedOn w:val="Normal"/>
    <w:next w:val="BlockText"/>
    <w:rsid w:val="00BC05E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BC05E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B2537"/>
    <w:pPr>
      <w:ind w:left="720"/>
      <w:contextualSpacing/>
    </w:pPr>
  </w:style>
  <w:style w:type="paragraph" w:styleId="BodyText">
    <w:name w:val="Body Text"/>
    <w:basedOn w:val="Normal"/>
    <w:link w:val="BodyTextChar"/>
    <w:rsid w:val="00C5732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5732A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5E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3D1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03D11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B03D11"/>
    <w:pPr>
      <w:spacing w:before="450" w:after="300"/>
      <w:jc w:val="center"/>
    </w:pPr>
    <w:rPr>
      <w:sz w:val="26"/>
      <w:szCs w:val="26"/>
    </w:rPr>
  </w:style>
  <w:style w:type="character" w:styleId="Hyperlink">
    <w:name w:val="Hyperlink"/>
    <w:rsid w:val="00B03D11"/>
    <w:rPr>
      <w:color w:val="0000FF"/>
      <w:u w:val="single"/>
    </w:rPr>
  </w:style>
  <w:style w:type="paragraph" w:styleId="Footer">
    <w:name w:val="footer"/>
    <w:basedOn w:val="Normal"/>
    <w:link w:val="FooterChar"/>
    <w:rsid w:val="00B03D11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03D1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rsid w:val="00B03D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3D1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03D11"/>
  </w:style>
  <w:style w:type="paragraph" w:customStyle="1" w:styleId="RakstzRakstzCharCharChar">
    <w:name w:val="Rakstz. Rakstz. Char Char Char"/>
    <w:basedOn w:val="Normal"/>
    <w:next w:val="BlockText"/>
    <w:rsid w:val="00BC05E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BC05E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B2537"/>
    <w:pPr>
      <w:ind w:left="720"/>
      <w:contextualSpacing/>
    </w:pPr>
  </w:style>
  <w:style w:type="paragraph" w:styleId="BodyText">
    <w:name w:val="Body Text"/>
    <w:basedOn w:val="Normal"/>
    <w:link w:val="BodyTextChar"/>
    <w:rsid w:val="00C5732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5732A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5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Kobzeva@f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2418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finanšu līdzekļu piešķiršanu no valsts budžeta programmas „Līdzekļi neparedzētiem gadījumiem”” sākotnējās ietekmes novērtējuma ziņojums (anotācija)</vt:lpstr>
    </vt:vector>
  </TitlesOfParts>
  <Company>Finanšu ministrija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„Līdzekļi neparedzētiem gadījumiem”” sākotnējās ietekmes novērtējuma ziņojums (anotācija)</dc:title>
  <dc:subject/>
  <dc:creator>E.Kobzeva</dc:creator>
  <cp:keywords/>
  <dc:description>Elina.Kobzeva@fm.gov.lv
67083885</dc:description>
  <cp:lastModifiedBy>E.Kobzeva</cp:lastModifiedBy>
  <cp:revision>15</cp:revision>
  <cp:lastPrinted>2013-04-15T12:05:00Z</cp:lastPrinted>
  <dcterms:created xsi:type="dcterms:W3CDTF">2011-04-27T08:12:00Z</dcterms:created>
  <dcterms:modified xsi:type="dcterms:W3CDTF">2013-04-15T12:05:00Z</dcterms:modified>
</cp:coreProperties>
</file>