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2FE9" w:rsidRDefault="00C32FE9" w:rsidP="002C1B0D">
      <w:pPr>
        <w:suppressAutoHyphens w:val="0"/>
        <w:spacing w:line="276" w:lineRule="auto"/>
        <w:jc w:val="center"/>
        <w:rPr>
          <w:rFonts w:eastAsia="Calibri"/>
          <w:b/>
          <w:kern w:val="0"/>
          <w:sz w:val="28"/>
          <w:szCs w:val="28"/>
          <w:lang w:eastAsia="en-US"/>
        </w:rPr>
      </w:pPr>
      <w:bookmarkStart w:id="0" w:name="OLE_LINK3"/>
      <w:bookmarkStart w:id="1" w:name="OLE_LINK4"/>
    </w:p>
    <w:p w:rsidR="00C32FE9" w:rsidRDefault="00C32FE9" w:rsidP="002C1B0D">
      <w:pPr>
        <w:suppressAutoHyphens w:val="0"/>
        <w:spacing w:line="276" w:lineRule="auto"/>
        <w:jc w:val="center"/>
        <w:rPr>
          <w:rFonts w:eastAsia="Calibri"/>
          <w:b/>
          <w:kern w:val="0"/>
          <w:sz w:val="28"/>
          <w:szCs w:val="28"/>
          <w:lang w:eastAsia="en-US"/>
        </w:rPr>
      </w:pPr>
      <w:r>
        <w:rPr>
          <w:rFonts w:eastAsia="Calibri"/>
          <w:b/>
          <w:kern w:val="0"/>
          <w:sz w:val="28"/>
          <w:szCs w:val="28"/>
          <w:lang w:eastAsia="en-US"/>
        </w:rPr>
        <w:t>Ministru kabineta noteikumu projekts</w:t>
      </w:r>
    </w:p>
    <w:p w:rsidR="002C1B0D" w:rsidRPr="002C1B0D" w:rsidRDefault="002C1B0D" w:rsidP="002C1B0D">
      <w:pPr>
        <w:suppressAutoHyphens w:val="0"/>
        <w:spacing w:line="276" w:lineRule="auto"/>
        <w:jc w:val="center"/>
        <w:rPr>
          <w:rFonts w:eastAsia="Calibri"/>
          <w:b/>
          <w:kern w:val="0"/>
          <w:sz w:val="28"/>
          <w:szCs w:val="28"/>
          <w:lang w:eastAsia="en-US"/>
        </w:rPr>
      </w:pPr>
      <w:r w:rsidRPr="002C1B0D">
        <w:rPr>
          <w:rFonts w:eastAsia="Calibri"/>
          <w:b/>
          <w:kern w:val="0"/>
          <w:sz w:val="28"/>
          <w:szCs w:val="28"/>
          <w:lang w:eastAsia="en-US"/>
        </w:rPr>
        <w:t>Grozījums Ministru kabineta 2010.gada 21.decembra noteikumos Nr.1135 „Muitas procedūras – tranzīts – piemērošanas kārtība”</w:t>
      </w:r>
    </w:p>
    <w:p w:rsidR="00E3225D" w:rsidRPr="009418B7" w:rsidRDefault="00774AA2" w:rsidP="002C1B0D">
      <w:pPr>
        <w:pStyle w:val="Heading3"/>
        <w:spacing w:before="0" w:after="0"/>
        <w:jc w:val="center"/>
        <w:rPr>
          <w:rFonts w:ascii="Times New Roman" w:hAnsi="Times New Roman"/>
          <w:kern w:val="0"/>
          <w:sz w:val="28"/>
          <w:szCs w:val="28"/>
          <w:lang w:eastAsia="en-US"/>
        </w:rPr>
      </w:pPr>
      <w:r w:rsidRPr="009418B7">
        <w:rPr>
          <w:rFonts w:ascii="Times New Roman" w:hAnsi="Times New Roman"/>
          <w:sz w:val="28"/>
          <w:szCs w:val="28"/>
          <w:lang w:val="lv-LV"/>
        </w:rPr>
        <w:t xml:space="preserve"> </w:t>
      </w:r>
      <w:r w:rsidR="00DA49AF" w:rsidRPr="009418B7">
        <w:rPr>
          <w:rFonts w:ascii="Times New Roman" w:hAnsi="Times New Roman"/>
          <w:bCs w:val="0"/>
          <w:sz w:val="28"/>
          <w:szCs w:val="28"/>
        </w:rPr>
        <w:t>sākotnējās ietekmes novērtējuma ziņojums (anotācija)</w:t>
      </w:r>
    </w:p>
    <w:bookmarkEnd w:id="0"/>
    <w:bookmarkEnd w:id="1"/>
    <w:p w:rsidR="00E3225D" w:rsidRPr="009418B7" w:rsidRDefault="00E3225D">
      <w:pPr>
        <w:jc w:val="center"/>
        <w:rPr>
          <w:b/>
          <w:sz w:val="28"/>
          <w:szCs w:val="28"/>
        </w:rPr>
      </w:pPr>
    </w:p>
    <w:tbl>
      <w:tblPr>
        <w:tblW w:w="9356" w:type="dxa"/>
        <w:tblInd w:w="-112" w:type="dxa"/>
        <w:tblLayout w:type="fixed"/>
        <w:tblCellMar>
          <w:top w:w="30" w:type="dxa"/>
          <w:left w:w="30" w:type="dxa"/>
          <w:bottom w:w="30" w:type="dxa"/>
          <w:right w:w="30" w:type="dxa"/>
        </w:tblCellMar>
        <w:tblLook w:val="0000" w:firstRow="0" w:lastRow="0" w:firstColumn="0" w:lastColumn="0" w:noHBand="0" w:noVBand="0"/>
      </w:tblPr>
      <w:tblGrid>
        <w:gridCol w:w="284"/>
        <w:gridCol w:w="9"/>
        <w:gridCol w:w="133"/>
        <w:gridCol w:w="1417"/>
        <w:gridCol w:w="174"/>
        <w:gridCol w:w="535"/>
        <w:gridCol w:w="284"/>
        <w:gridCol w:w="992"/>
        <w:gridCol w:w="2126"/>
        <w:gridCol w:w="3402"/>
      </w:tblGrid>
      <w:tr w:rsidR="00AF2CC3" w:rsidRPr="00AF2CC3" w:rsidTr="00EB1617">
        <w:tc>
          <w:tcPr>
            <w:tcW w:w="9356" w:type="dxa"/>
            <w:gridSpan w:val="10"/>
            <w:tcBorders>
              <w:top w:val="single" w:sz="4" w:space="0" w:color="auto"/>
              <w:left w:val="single" w:sz="4" w:space="0" w:color="auto"/>
              <w:bottom w:val="single" w:sz="4" w:space="0" w:color="auto"/>
              <w:right w:val="single" w:sz="4" w:space="0" w:color="auto"/>
            </w:tcBorders>
          </w:tcPr>
          <w:p w:rsidR="00BE1C3C" w:rsidRPr="00AF2CC3" w:rsidRDefault="00BE1C3C" w:rsidP="00BE1C3C">
            <w:pPr>
              <w:snapToGrid w:val="0"/>
              <w:jc w:val="center"/>
            </w:pPr>
            <w:r w:rsidRPr="00AF2CC3">
              <w:rPr>
                <w:b/>
                <w:bCs/>
                <w:color w:val="000000"/>
              </w:rPr>
              <w:t>I. Tiesību akta projekta izstrādes nepieciešamība</w:t>
            </w:r>
          </w:p>
        </w:tc>
      </w:tr>
      <w:tr w:rsidR="00AF2CC3" w:rsidRPr="00AF2CC3" w:rsidTr="00EB1617">
        <w:tc>
          <w:tcPr>
            <w:tcW w:w="293" w:type="dxa"/>
            <w:gridSpan w:val="2"/>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1.</w:t>
            </w:r>
          </w:p>
        </w:tc>
        <w:tc>
          <w:tcPr>
            <w:tcW w:w="1724" w:type="dxa"/>
            <w:gridSpan w:val="3"/>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Pamatojums</w:t>
            </w:r>
          </w:p>
        </w:tc>
        <w:tc>
          <w:tcPr>
            <w:tcW w:w="7339" w:type="dxa"/>
            <w:gridSpan w:val="5"/>
            <w:tcBorders>
              <w:top w:val="single" w:sz="4" w:space="0" w:color="auto"/>
              <w:left w:val="single" w:sz="4" w:space="0" w:color="auto"/>
              <w:bottom w:val="single" w:sz="4" w:space="0" w:color="auto"/>
              <w:right w:val="single" w:sz="4" w:space="0" w:color="auto"/>
            </w:tcBorders>
          </w:tcPr>
          <w:p w:rsidR="00E645CC" w:rsidRPr="00AF2CC3" w:rsidRDefault="00E645CC" w:rsidP="0025002A">
            <w:pPr>
              <w:tabs>
                <w:tab w:val="left" w:pos="7309"/>
              </w:tabs>
              <w:suppressAutoHyphens w:val="0"/>
              <w:autoSpaceDE w:val="0"/>
              <w:autoSpaceDN w:val="0"/>
              <w:adjustRightInd w:val="0"/>
              <w:ind w:left="80" w:right="112"/>
              <w:jc w:val="both"/>
            </w:pPr>
            <w:r w:rsidRPr="00AF2CC3">
              <w:rPr>
                <w:iCs/>
              </w:rPr>
              <w:t>Saeima 2012.gada 22.martā</w:t>
            </w:r>
            <w:r w:rsidR="00774AA2" w:rsidRPr="00AF2CC3">
              <w:rPr>
                <w:iCs/>
              </w:rPr>
              <w:t xml:space="preserve"> pieņēma grozīj</w:t>
            </w:r>
            <w:r w:rsidRPr="00AF2CC3">
              <w:rPr>
                <w:iCs/>
              </w:rPr>
              <w:t xml:space="preserve">umus likumā „Par nodokļiem un nodevām”. Likuma „Par nodokļiem un nodevām” </w:t>
            </w:r>
            <w:r w:rsidRPr="00AF2CC3">
              <w:rPr>
                <w:rFonts w:eastAsia="Arial Unicode MS"/>
              </w:rPr>
              <w:t>7.</w:t>
            </w:r>
            <w:r w:rsidRPr="00AF2CC3">
              <w:rPr>
                <w:rFonts w:eastAsia="Arial Unicode MS"/>
                <w:vertAlign w:val="superscript"/>
              </w:rPr>
              <w:t>1</w:t>
            </w:r>
            <w:r w:rsidRPr="00AF2CC3">
              <w:rPr>
                <w:iCs/>
              </w:rPr>
              <w:t>pants</w:t>
            </w:r>
            <w:r w:rsidR="00774AA2" w:rsidRPr="00AF2CC3">
              <w:rPr>
                <w:iCs/>
              </w:rPr>
              <w:t xml:space="preserve"> </w:t>
            </w:r>
            <w:r w:rsidRPr="00AF2CC3">
              <w:rPr>
                <w:iCs/>
              </w:rPr>
              <w:t xml:space="preserve">par Padziļinātās sadarbības programmu </w:t>
            </w:r>
            <w:r w:rsidR="00774AA2" w:rsidRPr="00AF2CC3">
              <w:t>paredz</w:t>
            </w:r>
            <w:r w:rsidRPr="00AF2CC3">
              <w:t xml:space="preserve"> veicināt ciešāku un efektīvāku sadarbību starp nodokļu maksātāju un nodokļu administrāciju un mazināt administratīvo slogu. Tās ietvaros notiek nodokļu maksātāja, kurš iekļauts Padziļinātās sadarbības programma (turpmāk – programmas dalībnieks), brīvprātīga sadarbība ar valsts pārvaldes iestādi.</w:t>
            </w:r>
          </w:p>
          <w:p w:rsidR="006517F3" w:rsidRPr="00AF2CC3" w:rsidRDefault="00103760" w:rsidP="00217F2C">
            <w:pPr>
              <w:tabs>
                <w:tab w:val="left" w:pos="7309"/>
              </w:tabs>
              <w:suppressAutoHyphens w:val="0"/>
              <w:autoSpaceDE w:val="0"/>
              <w:autoSpaceDN w:val="0"/>
              <w:adjustRightInd w:val="0"/>
              <w:ind w:left="80" w:right="112"/>
              <w:jc w:val="both"/>
            </w:pPr>
            <w:r w:rsidRPr="00AF2CC3">
              <w:rPr>
                <w:iCs/>
              </w:rPr>
              <w:t>Likuma</w:t>
            </w:r>
            <w:r w:rsidR="00E645CC" w:rsidRPr="00AF2CC3">
              <w:rPr>
                <w:iCs/>
              </w:rPr>
              <w:t xml:space="preserve"> „Par nodokļiem un nodevām</w:t>
            </w:r>
            <w:r w:rsidR="00774AA2" w:rsidRPr="00AF2CC3">
              <w:rPr>
                <w:iCs/>
              </w:rPr>
              <w:t>”</w:t>
            </w:r>
            <w:r w:rsidR="006E09B8" w:rsidRPr="00AF2CC3">
              <w:rPr>
                <w:iCs/>
              </w:rPr>
              <w:t xml:space="preserve"> </w:t>
            </w:r>
            <w:r w:rsidRPr="00AF2CC3">
              <w:rPr>
                <w:rFonts w:eastAsia="Arial Unicode MS"/>
              </w:rPr>
              <w:t>7.</w:t>
            </w:r>
            <w:r w:rsidRPr="00AF2CC3">
              <w:rPr>
                <w:rFonts w:eastAsia="Arial Unicode MS"/>
                <w:vertAlign w:val="superscript"/>
              </w:rPr>
              <w:t>1</w:t>
            </w:r>
            <w:r w:rsidRPr="00AF2CC3">
              <w:rPr>
                <w:iCs/>
              </w:rPr>
              <w:t xml:space="preserve">pants </w:t>
            </w:r>
            <w:r w:rsidR="00774AA2" w:rsidRPr="00AF2CC3">
              <w:rPr>
                <w:iCs/>
              </w:rPr>
              <w:t>stā</w:t>
            </w:r>
            <w:r w:rsidR="00217F2C" w:rsidRPr="00AF2CC3">
              <w:rPr>
                <w:iCs/>
              </w:rPr>
              <w:t>sies</w:t>
            </w:r>
            <w:r w:rsidR="00774AA2" w:rsidRPr="00AF2CC3">
              <w:rPr>
                <w:iCs/>
              </w:rPr>
              <w:t xml:space="preserve"> spēkā 2012.gada 1</w:t>
            </w:r>
            <w:r w:rsidR="009F2C21" w:rsidRPr="00AF2CC3">
              <w:rPr>
                <w:iCs/>
              </w:rPr>
              <w:t>.</w:t>
            </w:r>
            <w:r w:rsidR="00E645CC" w:rsidRPr="00AF2CC3">
              <w:rPr>
                <w:iCs/>
              </w:rPr>
              <w:t>jūlijā</w:t>
            </w:r>
            <w:r w:rsidR="009F2C21" w:rsidRPr="00AF2CC3">
              <w:rPr>
                <w:iCs/>
              </w:rPr>
              <w:t>.</w:t>
            </w:r>
          </w:p>
        </w:tc>
      </w:tr>
      <w:tr w:rsidR="00AF2CC3" w:rsidRPr="00AF2CC3" w:rsidTr="00EB1617">
        <w:tc>
          <w:tcPr>
            <w:tcW w:w="293" w:type="dxa"/>
            <w:gridSpan w:val="2"/>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2.</w:t>
            </w:r>
          </w:p>
        </w:tc>
        <w:tc>
          <w:tcPr>
            <w:tcW w:w="1724" w:type="dxa"/>
            <w:gridSpan w:val="3"/>
            <w:tcBorders>
              <w:top w:val="single" w:sz="4" w:space="0" w:color="auto"/>
              <w:left w:val="single" w:sz="4" w:space="0" w:color="auto"/>
              <w:bottom w:val="single" w:sz="4" w:space="0" w:color="auto"/>
              <w:right w:val="single" w:sz="4" w:space="0" w:color="auto"/>
            </w:tcBorders>
          </w:tcPr>
          <w:p w:rsidR="00E3225D" w:rsidRPr="00AF2CC3" w:rsidRDefault="00E3225D" w:rsidP="00AF2CC3">
            <w:pPr>
              <w:snapToGrid w:val="0"/>
              <w:rPr>
                <w:color w:val="000000"/>
              </w:rPr>
            </w:pPr>
            <w:r w:rsidRPr="00AF2CC3">
              <w:rPr>
                <w:color w:val="000000"/>
              </w:rPr>
              <w:t>Pašreizējā situācija un problēmas</w:t>
            </w:r>
          </w:p>
        </w:tc>
        <w:tc>
          <w:tcPr>
            <w:tcW w:w="7339" w:type="dxa"/>
            <w:gridSpan w:val="5"/>
            <w:tcBorders>
              <w:top w:val="single" w:sz="4" w:space="0" w:color="auto"/>
              <w:left w:val="single" w:sz="4" w:space="0" w:color="auto"/>
              <w:bottom w:val="single" w:sz="4" w:space="0" w:color="auto"/>
              <w:right w:val="single" w:sz="4" w:space="0" w:color="auto"/>
            </w:tcBorders>
          </w:tcPr>
          <w:p w:rsidR="008723F7" w:rsidRPr="00AF2CC3" w:rsidRDefault="006A28C0" w:rsidP="002C1B0D">
            <w:pPr>
              <w:suppressAutoHyphens w:val="0"/>
              <w:ind w:left="80" w:right="112"/>
              <w:jc w:val="both"/>
            </w:pPr>
            <w:r w:rsidRPr="00AF2CC3">
              <w:rPr>
                <w:kern w:val="0"/>
                <w:lang w:eastAsia="lv-LV"/>
              </w:rPr>
              <w:t>Šobrīd  Ministru kabineta 201</w:t>
            </w:r>
            <w:r w:rsidR="002C1B0D" w:rsidRPr="00AF2CC3">
              <w:rPr>
                <w:kern w:val="0"/>
                <w:lang w:eastAsia="lv-LV"/>
              </w:rPr>
              <w:t>0</w:t>
            </w:r>
            <w:r w:rsidRPr="00AF2CC3">
              <w:rPr>
                <w:kern w:val="0"/>
                <w:lang w:eastAsia="lv-LV"/>
              </w:rPr>
              <w:t xml:space="preserve">.gada </w:t>
            </w:r>
            <w:r w:rsidR="002C1B0D" w:rsidRPr="00AF2CC3">
              <w:rPr>
                <w:kern w:val="0"/>
                <w:lang w:eastAsia="lv-LV"/>
              </w:rPr>
              <w:t>21.decembra</w:t>
            </w:r>
            <w:r w:rsidR="008723F7" w:rsidRPr="00AF2CC3">
              <w:rPr>
                <w:kern w:val="0"/>
                <w:lang w:eastAsia="lv-LV"/>
              </w:rPr>
              <w:t xml:space="preserve"> </w:t>
            </w:r>
            <w:r w:rsidRPr="00AF2CC3">
              <w:rPr>
                <w:kern w:val="0"/>
                <w:lang w:eastAsia="lv-LV"/>
              </w:rPr>
              <w:t>noteikumos Nr.</w:t>
            </w:r>
            <w:r w:rsidR="002C1B0D" w:rsidRPr="00AF2CC3">
              <w:rPr>
                <w:kern w:val="0"/>
                <w:lang w:eastAsia="lv-LV"/>
              </w:rPr>
              <w:t>1135</w:t>
            </w:r>
            <w:r w:rsidRPr="00AF2CC3">
              <w:rPr>
                <w:kern w:val="0"/>
                <w:lang w:eastAsia="lv-LV"/>
              </w:rPr>
              <w:t xml:space="preserve"> </w:t>
            </w:r>
            <w:r w:rsidR="002C1B0D" w:rsidRPr="00AF2CC3">
              <w:rPr>
                <w:rFonts w:eastAsia="Calibri"/>
                <w:kern w:val="0"/>
                <w:lang w:eastAsia="en-US"/>
              </w:rPr>
              <w:t>„Muitas procedūras – tranzīts – piemērošanas kārtība”</w:t>
            </w:r>
            <w:r w:rsidRPr="00AF2CC3">
              <w:rPr>
                <w:kern w:val="0"/>
                <w:lang w:eastAsia="lv-LV"/>
              </w:rPr>
              <w:t xml:space="preserve"> (turpmāk - Ministru kabineta 201</w:t>
            </w:r>
            <w:r w:rsidR="002C1B0D" w:rsidRPr="00AF2CC3">
              <w:rPr>
                <w:kern w:val="0"/>
                <w:lang w:eastAsia="lv-LV"/>
              </w:rPr>
              <w:t>0</w:t>
            </w:r>
            <w:r w:rsidRPr="00AF2CC3">
              <w:rPr>
                <w:kern w:val="0"/>
                <w:lang w:eastAsia="lv-LV"/>
              </w:rPr>
              <w:t xml:space="preserve">.gada </w:t>
            </w:r>
            <w:r w:rsidR="002C1B0D" w:rsidRPr="00AF2CC3">
              <w:rPr>
                <w:kern w:val="0"/>
                <w:lang w:eastAsia="lv-LV"/>
              </w:rPr>
              <w:t xml:space="preserve">21.decembra </w:t>
            </w:r>
            <w:r w:rsidR="008723F7" w:rsidRPr="00AF2CC3">
              <w:rPr>
                <w:kern w:val="0"/>
                <w:lang w:eastAsia="lv-LV"/>
              </w:rPr>
              <w:t xml:space="preserve"> note</w:t>
            </w:r>
            <w:r w:rsidRPr="00AF2CC3">
              <w:rPr>
                <w:kern w:val="0"/>
                <w:lang w:eastAsia="lv-LV"/>
              </w:rPr>
              <w:t>ikumi</w:t>
            </w:r>
            <w:r w:rsidR="008723F7" w:rsidRPr="00AF2CC3">
              <w:rPr>
                <w:kern w:val="0"/>
                <w:lang w:eastAsia="lv-LV"/>
              </w:rPr>
              <w:t xml:space="preserve"> Nr.</w:t>
            </w:r>
            <w:r w:rsidR="002C1B0D" w:rsidRPr="00AF2CC3">
              <w:rPr>
                <w:kern w:val="0"/>
                <w:lang w:eastAsia="lv-LV"/>
              </w:rPr>
              <w:t>1135</w:t>
            </w:r>
            <w:r w:rsidRPr="00AF2CC3">
              <w:rPr>
                <w:kern w:val="0"/>
                <w:lang w:eastAsia="lv-LV"/>
              </w:rPr>
              <w:t>) ir noteikt</w:t>
            </w:r>
            <w:r w:rsidR="008723F7" w:rsidRPr="00AF2CC3">
              <w:rPr>
                <w:kern w:val="0"/>
                <w:lang w:eastAsia="lv-LV"/>
              </w:rPr>
              <w:t>s, ka persona</w:t>
            </w:r>
            <w:r w:rsidR="002C1B0D" w:rsidRPr="00AF2CC3">
              <w:rPr>
                <w:kern w:val="0"/>
                <w:lang w:eastAsia="lv-LV"/>
              </w:rPr>
              <w:t>i</w:t>
            </w:r>
            <w:r w:rsidR="008723F7" w:rsidRPr="00AF2CC3">
              <w:rPr>
                <w:kern w:val="0"/>
                <w:lang w:eastAsia="lv-LV"/>
              </w:rPr>
              <w:t xml:space="preserve">, kas </w:t>
            </w:r>
            <w:r w:rsidR="008723F7" w:rsidRPr="00AF2CC3">
              <w:t xml:space="preserve">ir saņēmusi atzītā </w:t>
            </w:r>
            <w:r w:rsidR="008723F7" w:rsidRPr="005A2001">
              <w:t xml:space="preserve">komersanta statusu saskaņā ar Padomes 1992.gada 12.oktobra Regulu (EEK) </w:t>
            </w:r>
            <w:proofErr w:type="spellStart"/>
            <w:r w:rsidR="008723F7" w:rsidRPr="005A2001">
              <w:t>Nr</w:t>
            </w:r>
            <w:proofErr w:type="spellEnd"/>
            <w:r w:rsidR="008723F7" w:rsidRPr="005A2001">
              <w:t xml:space="preserve">. </w:t>
            </w:r>
            <w:hyperlink r:id="rId9" w:tgtFrame="_blank" w:tooltip="Atvērt regulas konsolidēto versiju" w:history="1">
              <w:r w:rsidR="008723F7" w:rsidRPr="005A2001">
                <w:t>2913/92</w:t>
              </w:r>
            </w:hyperlink>
            <w:r w:rsidR="008723F7" w:rsidRPr="005A2001">
              <w:t xml:space="preserve"> par Kopienas Muitas kodeksa izveidi un Komisijas 1993.gada 2.jūlija Regulu (EEK) </w:t>
            </w:r>
            <w:proofErr w:type="spellStart"/>
            <w:r w:rsidR="008723F7" w:rsidRPr="005A2001">
              <w:t>Nr</w:t>
            </w:r>
            <w:proofErr w:type="spellEnd"/>
            <w:r w:rsidR="008723F7" w:rsidRPr="005A2001">
              <w:t xml:space="preserve">. </w:t>
            </w:r>
            <w:hyperlink r:id="rId10" w:tgtFrame="_blank" w:tooltip="Atvērt regulas konsolidēto versiju" w:history="1">
              <w:r w:rsidR="008723F7" w:rsidRPr="005A2001">
                <w:t>2454/93</w:t>
              </w:r>
            </w:hyperlink>
            <w:r w:rsidR="008723F7" w:rsidRPr="005A2001">
              <w:t xml:space="preserve">, ar ko nosaka īstenošanas noteikumus Padomes Regulai (EEK) </w:t>
            </w:r>
            <w:proofErr w:type="spellStart"/>
            <w:r w:rsidR="008723F7" w:rsidRPr="005A2001">
              <w:t>Nr</w:t>
            </w:r>
            <w:proofErr w:type="spellEnd"/>
            <w:r w:rsidR="008723F7" w:rsidRPr="005A2001">
              <w:t xml:space="preserve">. </w:t>
            </w:r>
            <w:hyperlink r:id="rId11" w:tgtFrame="_blank" w:tooltip="Atvērt regulas konsolidēto versiju" w:history="1">
              <w:r w:rsidR="008723F7" w:rsidRPr="005A2001">
                <w:t>2913/92</w:t>
              </w:r>
            </w:hyperlink>
            <w:r w:rsidR="008723F7" w:rsidRPr="005A2001">
              <w:t xml:space="preserve"> par Kopienas Muitas kodeksa </w:t>
            </w:r>
            <w:r w:rsidR="006720CE" w:rsidRPr="005A2001">
              <w:t xml:space="preserve">ir samazinātas prasības atļaujas izmantot </w:t>
            </w:r>
            <w:r w:rsidR="002C1B0D" w:rsidRPr="005A2001">
              <w:t>TIR procedūr</w:t>
            </w:r>
            <w:r w:rsidR="006720CE" w:rsidRPr="005A2001">
              <w:t>u un TIR</w:t>
            </w:r>
            <w:r w:rsidR="006720CE" w:rsidRPr="00AF2CC3">
              <w:t xml:space="preserve"> karnešu saņemšanai. Šīm personām nav saistoša prasība gada laikā pirms iesnieguma </w:t>
            </w:r>
            <w:r w:rsidR="006720CE" w:rsidRPr="00AF2CC3">
              <w:rPr>
                <w:lang w:eastAsia="lv-LV"/>
              </w:rPr>
              <w:t xml:space="preserve">par tiesībām izmantot TIR procedūru un saņemt TIR karnetes </w:t>
            </w:r>
            <w:r w:rsidR="006720CE" w:rsidRPr="00AF2CC3">
              <w:t xml:space="preserve">veikt </w:t>
            </w:r>
            <w:r w:rsidR="006720CE" w:rsidRPr="00AF2CC3">
              <w:rPr>
                <w:lang w:eastAsia="lv-LV"/>
              </w:rPr>
              <w:t>vismaz 48 starptautiskos kravu pārvadājumus (vismaz seši pārvadājumi ārpus Eiropas Savienības teritorijas) un vismaz četrus starptautiskos kravu autopārvadājumus mēnesī.</w:t>
            </w:r>
          </w:p>
          <w:p w:rsidR="0025002A" w:rsidRPr="00AF2CC3" w:rsidRDefault="0025002A" w:rsidP="0025002A">
            <w:pPr>
              <w:suppressAutoHyphens w:val="0"/>
              <w:ind w:left="582" w:right="112"/>
              <w:jc w:val="both"/>
            </w:pPr>
          </w:p>
          <w:p w:rsidR="0025002A" w:rsidRPr="00AF2CC3" w:rsidRDefault="00217F2C" w:rsidP="005A2001">
            <w:pPr>
              <w:suppressAutoHyphens w:val="0"/>
              <w:ind w:left="80" w:right="112"/>
              <w:jc w:val="both"/>
            </w:pPr>
            <w:r w:rsidRPr="00AF2CC3">
              <w:rPr>
                <w:kern w:val="0"/>
                <w:lang w:eastAsia="lv-LV"/>
              </w:rPr>
              <w:t>Tā kā atzītā komersanta statusa būtība arī ir balstīta uz ciešu muitas iestādes un komersanta sadarbību un paredz stingras prasības statusa iegūšanai, tad gan atzītajiem komersantiem, gan programmas dalībniekiem var noteikt vienādus atvieglojumus. Līdz ar to ir n</w:t>
            </w:r>
            <w:r w:rsidR="0025002A" w:rsidRPr="00AF2CC3">
              <w:rPr>
                <w:kern w:val="0"/>
                <w:lang w:eastAsia="lv-LV"/>
              </w:rPr>
              <w:t xml:space="preserve">epieciešams Ministru kabineta 2011.gada </w:t>
            </w:r>
            <w:r w:rsidR="00C97D99" w:rsidRPr="00AF2CC3">
              <w:rPr>
                <w:kern w:val="0"/>
                <w:lang w:eastAsia="lv-LV"/>
              </w:rPr>
              <w:t>21.decembra</w:t>
            </w:r>
            <w:r w:rsidR="0025002A" w:rsidRPr="00AF2CC3">
              <w:rPr>
                <w:kern w:val="0"/>
                <w:lang w:eastAsia="lv-LV"/>
              </w:rPr>
              <w:t xml:space="preserve"> noteikumus Nr.</w:t>
            </w:r>
            <w:r w:rsidR="00C97D99" w:rsidRPr="00AF2CC3">
              <w:rPr>
                <w:kern w:val="0"/>
                <w:lang w:eastAsia="lv-LV"/>
              </w:rPr>
              <w:t xml:space="preserve">1135 </w:t>
            </w:r>
            <w:r w:rsidR="0025002A" w:rsidRPr="00AF2CC3">
              <w:rPr>
                <w:kern w:val="0"/>
                <w:lang w:eastAsia="lv-LV"/>
              </w:rPr>
              <w:t>papildināt ar jaun</w:t>
            </w:r>
            <w:r w:rsidRPr="00AF2CC3">
              <w:rPr>
                <w:kern w:val="0"/>
                <w:lang w:eastAsia="lv-LV"/>
              </w:rPr>
              <w:t>u</w:t>
            </w:r>
            <w:r w:rsidR="0025002A" w:rsidRPr="00AF2CC3">
              <w:rPr>
                <w:kern w:val="0"/>
                <w:lang w:eastAsia="lv-LV"/>
              </w:rPr>
              <w:t xml:space="preserve"> norm</w:t>
            </w:r>
            <w:r w:rsidRPr="00AF2CC3">
              <w:rPr>
                <w:kern w:val="0"/>
                <w:lang w:eastAsia="lv-LV"/>
              </w:rPr>
              <w:t>u</w:t>
            </w:r>
            <w:r w:rsidR="0025002A" w:rsidRPr="00AF2CC3">
              <w:rPr>
                <w:kern w:val="0"/>
                <w:lang w:eastAsia="lv-LV"/>
              </w:rPr>
              <w:t xml:space="preserve">, kura noteiks, ka komersanti, kuri būs programmas dalībnieki varēs piemērot tādu pašu atvieglojumu kā personas, kas </w:t>
            </w:r>
            <w:r w:rsidR="0025002A" w:rsidRPr="00AF2CC3">
              <w:t>ir saņēmušas atzītā komersanta statusu</w:t>
            </w:r>
            <w:r w:rsidR="0025002A" w:rsidRPr="00AF2CC3">
              <w:rPr>
                <w:kern w:val="0"/>
                <w:lang w:eastAsia="lv-LV"/>
              </w:rPr>
              <w:t>.</w:t>
            </w:r>
          </w:p>
        </w:tc>
      </w:tr>
      <w:tr w:rsidR="00AF2CC3" w:rsidRPr="00AF2CC3" w:rsidTr="00EB1617">
        <w:tc>
          <w:tcPr>
            <w:tcW w:w="293" w:type="dxa"/>
            <w:gridSpan w:val="2"/>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3.</w:t>
            </w:r>
          </w:p>
        </w:tc>
        <w:tc>
          <w:tcPr>
            <w:tcW w:w="1724" w:type="dxa"/>
            <w:gridSpan w:val="3"/>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Saistītie politikas ietekmes novērtējumi un pētījumi</w:t>
            </w:r>
          </w:p>
        </w:tc>
        <w:tc>
          <w:tcPr>
            <w:tcW w:w="7339" w:type="dxa"/>
            <w:gridSpan w:val="5"/>
            <w:tcBorders>
              <w:top w:val="single" w:sz="4" w:space="0" w:color="auto"/>
              <w:left w:val="single" w:sz="4" w:space="0" w:color="auto"/>
              <w:bottom w:val="single" w:sz="4" w:space="0" w:color="auto"/>
              <w:right w:val="single" w:sz="4" w:space="0" w:color="auto"/>
            </w:tcBorders>
          </w:tcPr>
          <w:p w:rsidR="00E3225D" w:rsidRPr="004008C6" w:rsidRDefault="0065307C" w:rsidP="00AE4CA9">
            <w:pPr>
              <w:snapToGrid w:val="0"/>
              <w:jc w:val="both"/>
            </w:pPr>
            <w:r w:rsidRPr="004008C6">
              <w:t>Ministru kabineta 2011.gada 19.decembra</w:t>
            </w:r>
            <w:r w:rsidR="00AE4CA9" w:rsidRPr="004008C6">
              <w:t xml:space="preserve"> </w:t>
            </w:r>
            <w:r w:rsidRPr="004008C6">
              <w:t xml:space="preserve">rīkojums </w:t>
            </w:r>
            <w:proofErr w:type="spellStart"/>
            <w:r w:rsidRPr="004008C6">
              <w:t>Nr</w:t>
            </w:r>
            <w:proofErr w:type="spellEnd"/>
            <w:r w:rsidRPr="004008C6">
              <w:t>. 673 (</w:t>
            </w:r>
            <w:proofErr w:type="spellStart"/>
            <w:r w:rsidRPr="004008C6">
              <w:t>prot</w:t>
            </w:r>
            <w:proofErr w:type="spellEnd"/>
            <w:r w:rsidRPr="004008C6">
              <w:t xml:space="preserve">. </w:t>
            </w:r>
            <w:proofErr w:type="spellStart"/>
            <w:r w:rsidRPr="004008C6">
              <w:t>Nr</w:t>
            </w:r>
            <w:proofErr w:type="spellEnd"/>
            <w:r w:rsidRPr="004008C6">
              <w:t>. 74 25.§) Par koncepciju „Par Padziļinātās sadarbības programmu”.</w:t>
            </w:r>
          </w:p>
        </w:tc>
      </w:tr>
      <w:tr w:rsidR="00AF2CC3" w:rsidRPr="00AF2CC3" w:rsidTr="00EB1617">
        <w:tc>
          <w:tcPr>
            <w:tcW w:w="293" w:type="dxa"/>
            <w:gridSpan w:val="2"/>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4.</w:t>
            </w:r>
          </w:p>
        </w:tc>
        <w:tc>
          <w:tcPr>
            <w:tcW w:w="1724" w:type="dxa"/>
            <w:gridSpan w:val="3"/>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Tiesiskā regulējuma mērķis un būtība</w:t>
            </w:r>
          </w:p>
        </w:tc>
        <w:tc>
          <w:tcPr>
            <w:tcW w:w="7339" w:type="dxa"/>
            <w:gridSpan w:val="5"/>
            <w:tcBorders>
              <w:top w:val="single" w:sz="4" w:space="0" w:color="auto"/>
              <w:left w:val="single" w:sz="4" w:space="0" w:color="auto"/>
              <w:bottom w:val="single" w:sz="4" w:space="0" w:color="auto"/>
              <w:right w:val="single" w:sz="4" w:space="0" w:color="auto"/>
            </w:tcBorders>
          </w:tcPr>
          <w:p w:rsidR="00324F32" w:rsidRPr="004008C6" w:rsidRDefault="00774AA2" w:rsidP="00217F2C">
            <w:pPr>
              <w:snapToGrid w:val="0"/>
              <w:ind w:left="80" w:right="112"/>
              <w:jc w:val="both"/>
              <w:rPr>
                <w:iCs/>
              </w:rPr>
            </w:pPr>
            <w:r w:rsidRPr="00AF2CC3">
              <w:rPr>
                <w:iCs/>
              </w:rPr>
              <w:t>Mini</w:t>
            </w:r>
            <w:r w:rsidR="001A18B2" w:rsidRPr="00AF2CC3">
              <w:rPr>
                <w:iCs/>
              </w:rPr>
              <w:t>stru kab</w:t>
            </w:r>
            <w:r w:rsidR="00397A43" w:rsidRPr="00AF2CC3">
              <w:rPr>
                <w:iCs/>
              </w:rPr>
              <w:t xml:space="preserve">ineta noteikumu projekts paredz </w:t>
            </w:r>
            <w:r w:rsidR="001F7152" w:rsidRPr="00AF2CC3">
              <w:rPr>
                <w:iCs/>
              </w:rPr>
              <w:t>person</w:t>
            </w:r>
            <w:r w:rsidR="00324F32" w:rsidRPr="00AF2CC3">
              <w:rPr>
                <w:iCs/>
              </w:rPr>
              <w:t>as,</w:t>
            </w:r>
            <w:r w:rsidR="001F7152" w:rsidRPr="00AF2CC3">
              <w:rPr>
                <w:iCs/>
              </w:rPr>
              <w:t xml:space="preserve"> kas </w:t>
            </w:r>
            <w:r w:rsidR="00397A43" w:rsidRPr="00AF2CC3">
              <w:rPr>
                <w:iCs/>
              </w:rPr>
              <w:t>ir programmas dalībn</w:t>
            </w:r>
            <w:r w:rsidR="001F7152" w:rsidRPr="00AF2CC3">
              <w:rPr>
                <w:iCs/>
              </w:rPr>
              <w:t xml:space="preserve">ieki, </w:t>
            </w:r>
            <w:r w:rsidR="00324F32" w:rsidRPr="00AF2CC3">
              <w:rPr>
                <w:iCs/>
              </w:rPr>
              <w:t xml:space="preserve">atbrīvot no prasības </w:t>
            </w:r>
            <w:r w:rsidR="00324F32" w:rsidRPr="00AF2CC3">
              <w:t xml:space="preserve">gada laikā, pirms iesnieguma </w:t>
            </w:r>
            <w:r w:rsidR="00324F32" w:rsidRPr="00AF2CC3">
              <w:rPr>
                <w:lang w:eastAsia="lv-LV"/>
              </w:rPr>
              <w:t xml:space="preserve">par tiesībām izmantot TIR procedūru un saņemt TIR karnetes iesniegšanas, </w:t>
            </w:r>
            <w:r w:rsidR="00217F2C" w:rsidRPr="00AF2CC3">
              <w:rPr>
                <w:lang w:eastAsia="lv-LV"/>
              </w:rPr>
              <w:t xml:space="preserve">veikt </w:t>
            </w:r>
            <w:r w:rsidR="00324F32" w:rsidRPr="00AF2CC3">
              <w:rPr>
                <w:lang w:eastAsia="lv-LV"/>
              </w:rPr>
              <w:t xml:space="preserve">vismaz 48 starptautiskos kravu pārvadājumus (vismaz seši pārvadājumi ārpus Eiropas Savienības teritorijas) un vismaz četrus </w:t>
            </w:r>
            <w:r w:rsidR="00324F32" w:rsidRPr="00AF2CC3">
              <w:rPr>
                <w:lang w:eastAsia="lv-LV"/>
              </w:rPr>
              <w:lastRenderedPageBreak/>
              <w:t>starptautiskos kravu autopārvadājumus mēnesī</w:t>
            </w:r>
            <w:r w:rsidR="00AE4CA9" w:rsidRPr="00AF2CC3">
              <w:rPr>
                <w:lang w:eastAsia="lv-LV"/>
              </w:rPr>
              <w:t xml:space="preserve">, </w:t>
            </w:r>
            <w:r w:rsidR="00AE4CA9" w:rsidRPr="004008C6">
              <w:rPr>
                <w:lang w:eastAsia="lv-LV"/>
              </w:rPr>
              <w:t xml:space="preserve">bet pie nosacījuma, ka </w:t>
            </w:r>
            <w:r w:rsidR="003254D3" w:rsidRPr="004008C6">
              <w:rPr>
                <w:lang w:eastAsia="lv-LV"/>
              </w:rPr>
              <w:t xml:space="preserve">personai </w:t>
            </w:r>
            <w:r w:rsidR="00AE4CA9" w:rsidRPr="004008C6">
              <w:rPr>
                <w:bCs/>
              </w:rPr>
              <w:t>ir licence starptautisko komercpārvadājumu veikšanai ar kravas automob</w:t>
            </w:r>
            <w:r w:rsidR="003254D3" w:rsidRPr="004008C6">
              <w:rPr>
                <w:bCs/>
              </w:rPr>
              <w:t>i</w:t>
            </w:r>
            <w:r w:rsidR="00AE4CA9" w:rsidRPr="004008C6">
              <w:rPr>
                <w:bCs/>
              </w:rPr>
              <w:t xml:space="preserve">ļiem ne mazāk kā trīs gadus. </w:t>
            </w:r>
            <w:r w:rsidR="003254D3" w:rsidRPr="004008C6">
              <w:rPr>
                <w:bCs/>
              </w:rPr>
              <w:t>Š</w:t>
            </w:r>
            <w:r w:rsidR="00DF10CE" w:rsidRPr="004008C6">
              <w:rPr>
                <w:bCs/>
              </w:rPr>
              <w:t>āds</w:t>
            </w:r>
            <w:r w:rsidR="003254D3" w:rsidRPr="004008C6">
              <w:rPr>
                <w:bCs/>
              </w:rPr>
              <w:t xml:space="preserve"> ierobežojums nepieciešams, j</w:t>
            </w:r>
            <w:r w:rsidR="00AE4CA9" w:rsidRPr="004008C6">
              <w:rPr>
                <w:bCs/>
              </w:rPr>
              <w:t xml:space="preserve">o </w:t>
            </w:r>
            <w:r w:rsidR="00DF01DC" w:rsidRPr="004008C6">
              <w:rPr>
                <w:lang w:eastAsia="lv-LV"/>
              </w:rPr>
              <w:t>„</w:t>
            </w:r>
            <w:r w:rsidR="00DF01DC" w:rsidRPr="004008C6">
              <w:rPr>
                <w:bCs/>
                <w:lang w:eastAsia="lv-LV"/>
              </w:rPr>
              <w:t>Muitas konvencijas par starptautiskajiem kravu pārvadājumiem, izmantojot TIR grāmatiņu”</w:t>
            </w:r>
            <w:r w:rsidR="00AE4CA9" w:rsidRPr="004008C6">
              <w:t xml:space="preserve"> 9.pielikuma II daļas 5.punkts  nosaka minimālos nosacījumus un prasības,</w:t>
            </w:r>
            <w:r w:rsidR="00DF10CE" w:rsidRPr="004008C6">
              <w:t xml:space="preserve"> </w:t>
            </w:r>
            <w:r w:rsidR="00AE4CA9" w:rsidRPr="004008C6">
              <w:t>kuras jāievēro personām, lai tās varētu darboties TIR procedūrā, kur a) apakšpunk</w:t>
            </w:r>
            <w:r w:rsidR="00DF10CE" w:rsidRPr="004008C6">
              <w:t>t</w:t>
            </w:r>
            <w:r w:rsidR="00AE4CA9" w:rsidRPr="004008C6">
              <w:t>ā ir noteikts, ka personai ir j</w:t>
            </w:r>
            <w:r w:rsidR="00DF10CE" w:rsidRPr="004008C6">
              <w:t>ā</w:t>
            </w:r>
            <w:r w:rsidR="00AE4CA9" w:rsidRPr="004008C6">
              <w:t xml:space="preserve">iesniedz pierādāma pieredze vai vismaz spējas iesaistīties regulāros starptautiskos pārvadājumos (licences turētājs starptautisku pārvadājumu veikšanai </w:t>
            </w:r>
            <w:proofErr w:type="spellStart"/>
            <w:r w:rsidR="00AE4CA9" w:rsidRPr="004008C6">
              <w:t>u.tml</w:t>
            </w:r>
            <w:proofErr w:type="spellEnd"/>
            <w:r w:rsidR="00AE4CA9" w:rsidRPr="004008C6">
              <w:t>.)</w:t>
            </w:r>
            <w:r w:rsidR="00324F32" w:rsidRPr="004008C6">
              <w:rPr>
                <w:iCs/>
              </w:rPr>
              <w:t>.</w:t>
            </w:r>
            <w:r w:rsidR="00AE4CA9" w:rsidRPr="004008C6">
              <w:rPr>
                <w:iCs/>
              </w:rPr>
              <w:t xml:space="preserve"> Tas nozīmē, ka atvieglojumu var piemērot programmas dalībnieki, kas darbojas attiecīgajā nozarē.</w:t>
            </w:r>
          </w:p>
          <w:p w:rsidR="00DF10CE" w:rsidRPr="004008C6" w:rsidRDefault="00DF10CE" w:rsidP="00AF2CC3">
            <w:pPr>
              <w:snapToGrid w:val="0"/>
              <w:ind w:left="80" w:right="112"/>
              <w:jc w:val="both"/>
            </w:pPr>
            <w:r w:rsidRPr="004008C6">
              <w:rPr>
                <w:iCs/>
              </w:rPr>
              <w:t xml:space="preserve">Padziļinātās sadarbības programma paredz, ka nodokļu maksātāji, </w:t>
            </w:r>
            <w:r w:rsidRPr="004008C6">
              <w:t>kas ir pierādījuši savu izcilību attieksmē (nodokļu saistību izpildē) pret valsti, var saņemt īpašu attieksmi un pretimnākošu sadarbību no valsts puses. Lai kļūtu par programmas dalībnieku, nodokļu maksātājam jāizpilda vairāki kritēriji, kā piemēram:</w:t>
            </w:r>
          </w:p>
          <w:p w:rsidR="00AF2CC3" w:rsidRPr="004008C6" w:rsidRDefault="00DF10CE" w:rsidP="00AF2CC3">
            <w:pPr>
              <w:pStyle w:val="ListParagraph"/>
              <w:numPr>
                <w:ilvl w:val="0"/>
                <w:numId w:val="14"/>
              </w:numPr>
              <w:tabs>
                <w:tab w:val="left" w:pos="0"/>
                <w:tab w:val="left" w:pos="363"/>
              </w:tabs>
              <w:spacing w:after="0" w:line="240" w:lineRule="auto"/>
              <w:ind w:left="363" w:right="112" w:hanging="283"/>
              <w:jc w:val="both"/>
              <w:rPr>
                <w:rFonts w:ascii="Times New Roman" w:eastAsia="Times New Roman" w:hAnsi="Times New Roman"/>
                <w:sz w:val="24"/>
                <w:szCs w:val="24"/>
                <w:lang w:eastAsia="lv-LV"/>
              </w:rPr>
            </w:pPr>
            <w:r w:rsidRPr="004008C6">
              <w:rPr>
                <w:rFonts w:ascii="Times New Roman" w:eastAsia="Times New Roman" w:hAnsi="Times New Roman"/>
                <w:sz w:val="24"/>
                <w:szCs w:val="24"/>
                <w:lang w:eastAsia="lv-LV"/>
              </w:rPr>
              <w:t>nevainojama reputācija;</w:t>
            </w:r>
          </w:p>
          <w:p w:rsidR="00AF2CC3" w:rsidRPr="004008C6" w:rsidRDefault="00DF10CE" w:rsidP="00AF2CC3">
            <w:pPr>
              <w:pStyle w:val="ListParagraph"/>
              <w:numPr>
                <w:ilvl w:val="0"/>
                <w:numId w:val="14"/>
              </w:numPr>
              <w:tabs>
                <w:tab w:val="left" w:pos="0"/>
                <w:tab w:val="left" w:pos="363"/>
              </w:tabs>
              <w:spacing w:after="0" w:line="240" w:lineRule="auto"/>
              <w:ind w:left="363" w:right="112" w:hanging="283"/>
              <w:jc w:val="both"/>
              <w:rPr>
                <w:rFonts w:ascii="Times New Roman" w:eastAsia="Times New Roman" w:hAnsi="Times New Roman"/>
                <w:sz w:val="24"/>
                <w:szCs w:val="24"/>
                <w:lang w:eastAsia="lv-LV"/>
              </w:rPr>
            </w:pPr>
            <w:r w:rsidRPr="004008C6">
              <w:rPr>
                <w:rFonts w:ascii="Times New Roman" w:eastAsia="Times New Roman" w:hAnsi="Times New Roman"/>
                <w:sz w:val="24"/>
                <w:szCs w:val="24"/>
                <w:lang w:eastAsia="lv-LV"/>
              </w:rPr>
              <w:t>saimnieciskā darbība tiek veikta ilgāk nekā trīs gadus;</w:t>
            </w:r>
          </w:p>
          <w:p w:rsidR="00AF2CC3" w:rsidRPr="004008C6" w:rsidRDefault="00DF10CE" w:rsidP="00AF2CC3">
            <w:pPr>
              <w:pStyle w:val="ListParagraph"/>
              <w:numPr>
                <w:ilvl w:val="0"/>
                <w:numId w:val="14"/>
              </w:numPr>
              <w:tabs>
                <w:tab w:val="left" w:pos="0"/>
                <w:tab w:val="left" w:pos="363"/>
              </w:tabs>
              <w:spacing w:after="0" w:line="240" w:lineRule="auto"/>
              <w:ind w:left="363" w:right="112" w:hanging="283"/>
              <w:jc w:val="both"/>
              <w:rPr>
                <w:rFonts w:ascii="Times New Roman" w:eastAsia="Times New Roman" w:hAnsi="Times New Roman"/>
                <w:sz w:val="24"/>
                <w:szCs w:val="24"/>
                <w:lang w:eastAsia="lv-LV"/>
              </w:rPr>
            </w:pPr>
            <w:r w:rsidRPr="004008C6">
              <w:rPr>
                <w:rFonts w:ascii="Times New Roman" w:eastAsia="Times New Roman" w:hAnsi="Times New Roman"/>
                <w:sz w:val="24"/>
                <w:szCs w:val="24"/>
                <w:lang w:eastAsia="lv-LV"/>
              </w:rPr>
              <w:t>nav Valsts ieņēmumu dienesta administrējamo nodokļu un citu valsts noteikto obligāto maksājumu parādu, kuru kopsumma pārsniedz 100 latu;</w:t>
            </w:r>
          </w:p>
          <w:p w:rsidR="00AF2CC3" w:rsidRPr="004008C6" w:rsidRDefault="00DF10CE" w:rsidP="00AF2CC3">
            <w:pPr>
              <w:pStyle w:val="ListParagraph"/>
              <w:numPr>
                <w:ilvl w:val="0"/>
                <w:numId w:val="14"/>
              </w:numPr>
              <w:tabs>
                <w:tab w:val="left" w:pos="0"/>
                <w:tab w:val="left" w:pos="363"/>
              </w:tabs>
              <w:spacing w:after="0" w:line="240" w:lineRule="auto"/>
              <w:ind w:left="363" w:right="112" w:hanging="283"/>
              <w:jc w:val="both"/>
              <w:rPr>
                <w:rFonts w:ascii="Times New Roman" w:eastAsia="Times New Roman" w:hAnsi="Times New Roman"/>
                <w:sz w:val="24"/>
                <w:szCs w:val="24"/>
                <w:lang w:eastAsia="lv-LV"/>
              </w:rPr>
            </w:pPr>
            <w:r w:rsidRPr="004008C6">
              <w:rPr>
                <w:rFonts w:ascii="Times New Roman" w:hAnsi="Times New Roman"/>
                <w:sz w:val="24"/>
                <w:szCs w:val="24"/>
                <w:lang w:eastAsia="lv-LV"/>
              </w:rPr>
              <w:t xml:space="preserve">pēdējo trīs gadu laikā nodokļu maksātājs nav sodīts par nodokļu vai darba tiesību normatīvo aktu pārkāpumu, saistībā ar kuru budžetā papildus iemaksājamās summas (naudas sodi, nodokļu uzrēķini, </w:t>
            </w:r>
            <w:proofErr w:type="spellStart"/>
            <w:r w:rsidRPr="004008C6">
              <w:rPr>
                <w:rFonts w:ascii="Times New Roman" w:hAnsi="Times New Roman"/>
                <w:sz w:val="24"/>
                <w:szCs w:val="24"/>
                <w:lang w:eastAsia="lv-LV"/>
              </w:rPr>
              <w:t>utt</w:t>
            </w:r>
            <w:proofErr w:type="spellEnd"/>
            <w:r w:rsidRPr="004008C6">
              <w:rPr>
                <w:rFonts w:ascii="Times New Roman" w:hAnsi="Times New Roman"/>
                <w:sz w:val="24"/>
                <w:szCs w:val="24"/>
                <w:lang w:eastAsia="lv-LV"/>
              </w:rPr>
              <w:t>.) pārsniedz sešus procentus no nodokļu maksātāja attiecīgā gada apgrozījuma;</w:t>
            </w:r>
          </w:p>
          <w:p w:rsidR="00DF10CE" w:rsidRPr="004008C6" w:rsidRDefault="00DF10CE" w:rsidP="00AF2CC3">
            <w:pPr>
              <w:pStyle w:val="ListParagraph"/>
              <w:numPr>
                <w:ilvl w:val="0"/>
                <w:numId w:val="14"/>
              </w:numPr>
              <w:tabs>
                <w:tab w:val="left" w:pos="0"/>
                <w:tab w:val="left" w:pos="363"/>
              </w:tabs>
              <w:spacing w:after="0" w:line="240" w:lineRule="auto"/>
              <w:ind w:left="363" w:right="112" w:hanging="283"/>
              <w:jc w:val="both"/>
              <w:rPr>
                <w:rFonts w:ascii="Times New Roman" w:eastAsia="Times New Roman" w:hAnsi="Times New Roman"/>
                <w:sz w:val="24"/>
                <w:szCs w:val="24"/>
                <w:lang w:eastAsia="lv-LV"/>
              </w:rPr>
            </w:pPr>
            <w:r w:rsidRPr="004008C6">
              <w:rPr>
                <w:rFonts w:ascii="Times New Roman" w:hAnsi="Times New Roman"/>
                <w:sz w:val="24"/>
                <w:szCs w:val="24"/>
                <w:lang w:eastAsia="lv-LV"/>
              </w:rPr>
              <w:t>taksācijas gadā pirms pieteikuma iesniegšanas nodokļu maksātājs ir veicis saimniecisko darbību un atbilstoši iepriekšējā finanšu pārskata rādītājiem:</w:t>
            </w:r>
          </w:p>
          <w:p w:rsidR="00AF2CC3" w:rsidRPr="004008C6" w:rsidRDefault="00AF2CC3" w:rsidP="00AF2CC3">
            <w:pPr>
              <w:tabs>
                <w:tab w:val="left" w:pos="0"/>
                <w:tab w:val="left" w:pos="993"/>
              </w:tabs>
              <w:suppressAutoHyphens w:val="0"/>
              <w:spacing w:after="200" w:line="276" w:lineRule="auto"/>
              <w:ind w:left="720" w:right="112"/>
              <w:contextualSpacing/>
              <w:jc w:val="both"/>
              <w:rPr>
                <w:kern w:val="0"/>
                <w:lang w:eastAsia="lv-LV"/>
              </w:rPr>
            </w:pPr>
            <w:r w:rsidRPr="004008C6">
              <w:rPr>
                <w:kern w:val="0"/>
                <w:lang w:eastAsia="lv-LV"/>
              </w:rPr>
              <w:t>-</w:t>
            </w:r>
            <w:r w:rsidR="00DF10CE" w:rsidRPr="004008C6">
              <w:rPr>
                <w:kern w:val="0"/>
                <w:lang w:eastAsia="lv-LV"/>
              </w:rPr>
              <w:t>saistību īpatsvars bilancē nepārsniedz vidējo rādītāju attiecīgajā tautsaimniecības nozarē;</w:t>
            </w:r>
          </w:p>
          <w:p w:rsidR="00AF2CC3" w:rsidRPr="004008C6" w:rsidRDefault="00AF2CC3" w:rsidP="00AF2CC3">
            <w:pPr>
              <w:tabs>
                <w:tab w:val="left" w:pos="0"/>
                <w:tab w:val="left" w:pos="993"/>
              </w:tabs>
              <w:suppressAutoHyphens w:val="0"/>
              <w:spacing w:after="200" w:line="276" w:lineRule="auto"/>
              <w:ind w:left="720" w:right="112"/>
              <w:contextualSpacing/>
              <w:jc w:val="both"/>
              <w:rPr>
                <w:kern w:val="0"/>
                <w:lang w:eastAsia="lv-LV"/>
              </w:rPr>
            </w:pPr>
            <w:r w:rsidRPr="004008C6">
              <w:rPr>
                <w:kern w:val="0"/>
                <w:lang w:eastAsia="lv-LV"/>
              </w:rPr>
              <w:t>-</w:t>
            </w:r>
            <w:r w:rsidR="00DF10CE" w:rsidRPr="004008C6">
              <w:rPr>
                <w:kern w:val="0"/>
                <w:lang w:eastAsia="lv-LV"/>
              </w:rPr>
              <w:t>kopējais likviditātes rādītājs nav zemāks par 1;</w:t>
            </w:r>
          </w:p>
          <w:p w:rsidR="00DF10CE" w:rsidRPr="004008C6" w:rsidRDefault="00AF2CC3" w:rsidP="00AF2CC3">
            <w:pPr>
              <w:tabs>
                <w:tab w:val="left" w:pos="0"/>
                <w:tab w:val="left" w:pos="993"/>
              </w:tabs>
              <w:suppressAutoHyphens w:val="0"/>
              <w:spacing w:after="200" w:line="276" w:lineRule="auto"/>
              <w:ind w:left="720" w:right="112"/>
              <w:contextualSpacing/>
              <w:jc w:val="both"/>
              <w:rPr>
                <w:kern w:val="0"/>
                <w:lang w:eastAsia="lv-LV"/>
              </w:rPr>
            </w:pPr>
            <w:r w:rsidRPr="004008C6">
              <w:rPr>
                <w:kern w:val="0"/>
                <w:lang w:eastAsia="lv-LV"/>
              </w:rPr>
              <w:t>-</w:t>
            </w:r>
            <w:r w:rsidR="00DF10CE" w:rsidRPr="004008C6">
              <w:rPr>
                <w:kern w:val="0"/>
                <w:lang w:eastAsia="lv-LV"/>
              </w:rPr>
              <w:t>apgrozījuma rentabilitātes rādītājs nav zemāks par vidējo rādītāju attiecīgajā tautsaimniecības nozarē.</w:t>
            </w:r>
          </w:p>
          <w:p w:rsidR="00AF2CC3" w:rsidRPr="004008C6" w:rsidRDefault="00DF10CE" w:rsidP="00AF2CC3">
            <w:pPr>
              <w:numPr>
                <w:ilvl w:val="0"/>
                <w:numId w:val="15"/>
              </w:numPr>
              <w:tabs>
                <w:tab w:val="left" w:pos="0"/>
                <w:tab w:val="left" w:pos="363"/>
              </w:tabs>
              <w:suppressAutoHyphens w:val="0"/>
              <w:spacing w:after="200" w:line="276" w:lineRule="auto"/>
              <w:ind w:left="363" w:hanging="283"/>
              <w:contextualSpacing/>
              <w:jc w:val="both"/>
              <w:rPr>
                <w:kern w:val="0"/>
                <w:lang w:eastAsia="lv-LV"/>
              </w:rPr>
            </w:pPr>
            <w:r w:rsidRPr="004008C6">
              <w:rPr>
                <w:kern w:val="0"/>
                <w:lang w:eastAsia="lv-LV"/>
              </w:rPr>
              <w:t xml:space="preserve">gada laikā pirms pieteikuma iesniegšanas nodokļu maksātājs nav veicis </w:t>
            </w:r>
            <w:r w:rsidRPr="004008C6">
              <w:rPr>
                <w:rFonts w:eastAsia="Calibri"/>
                <w:kern w:val="0"/>
                <w:lang w:eastAsia="en-US"/>
              </w:rPr>
              <w:t>darījumu vai darījumus, kuru kopējā summa pārsniedz 1000 latu, ar darījumu partneri, kuram saskaņā ar likuma „Par nodokļiem un nodevām„ 34.</w:t>
            </w:r>
            <w:r w:rsidRPr="004008C6">
              <w:rPr>
                <w:rFonts w:eastAsia="Calibri"/>
                <w:kern w:val="0"/>
                <w:vertAlign w:val="superscript"/>
                <w:lang w:eastAsia="en-US"/>
              </w:rPr>
              <w:t>1</w:t>
            </w:r>
            <w:r w:rsidRPr="004008C6">
              <w:rPr>
                <w:rFonts w:eastAsia="Calibri"/>
                <w:kern w:val="0"/>
                <w:lang w:eastAsia="en-US"/>
              </w:rPr>
              <w:t>pantu Valsts ieņēmumu dienests apturējis saimniecisko darbību, par ko izdarīts attiecīgs ieraksts Uzņēmuma reģistra vestajā reģistrā</w:t>
            </w:r>
            <w:r w:rsidRPr="004008C6">
              <w:rPr>
                <w:kern w:val="0"/>
                <w:lang w:eastAsia="lv-LV"/>
              </w:rPr>
              <w:t>;</w:t>
            </w:r>
          </w:p>
          <w:p w:rsidR="00DF10CE" w:rsidRPr="004008C6" w:rsidRDefault="00DF10CE" w:rsidP="00AF2CC3">
            <w:pPr>
              <w:numPr>
                <w:ilvl w:val="0"/>
                <w:numId w:val="15"/>
              </w:numPr>
              <w:tabs>
                <w:tab w:val="left" w:pos="0"/>
                <w:tab w:val="left" w:pos="363"/>
              </w:tabs>
              <w:suppressAutoHyphens w:val="0"/>
              <w:spacing w:after="200" w:line="276" w:lineRule="auto"/>
              <w:ind w:left="363" w:hanging="283"/>
              <w:contextualSpacing/>
              <w:jc w:val="both"/>
              <w:rPr>
                <w:kern w:val="0"/>
                <w:lang w:eastAsia="lv-LV"/>
              </w:rPr>
            </w:pPr>
            <w:r w:rsidRPr="004008C6">
              <w:rPr>
                <w:kern w:val="0"/>
                <w:lang w:eastAsia="lv-LV"/>
              </w:rPr>
              <w:t>nodokļu maksātājs ir ieviesis iekšējo nodokļu risku vadības sistēmu.</w:t>
            </w:r>
          </w:p>
          <w:p w:rsidR="00640FED" w:rsidRPr="00AF2CC3" w:rsidRDefault="0093223B" w:rsidP="00217F2C">
            <w:pPr>
              <w:snapToGrid w:val="0"/>
              <w:ind w:left="80" w:right="112"/>
              <w:jc w:val="both"/>
              <w:rPr>
                <w:rFonts w:eastAsia="Calibri"/>
                <w:iCs/>
                <w:kern w:val="0"/>
                <w:lang w:eastAsia="en-US"/>
              </w:rPr>
            </w:pPr>
            <w:r w:rsidRPr="00AF2CC3">
              <w:rPr>
                <w:rFonts w:eastAsia="Calibri"/>
                <w:iCs/>
                <w:kern w:val="0"/>
                <w:lang w:eastAsia="en-US"/>
              </w:rPr>
              <w:t>Noteikumu projekts atrisinās minētās problēmas pilnībā.</w:t>
            </w:r>
            <w:r w:rsidR="000A6979" w:rsidRPr="00AF2CC3">
              <w:rPr>
                <w:rFonts w:eastAsia="Calibri"/>
                <w:iCs/>
                <w:kern w:val="0"/>
                <w:lang w:eastAsia="en-US"/>
              </w:rPr>
              <w:t xml:space="preserve"> </w:t>
            </w:r>
          </w:p>
          <w:p w:rsidR="007A4E5F" w:rsidRPr="00AF2CC3" w:rsidRDefault="007A4E5F" w:rsidP="00C97D99">
            <w:pPr>
              <w:snapToGrid w:val="0"/>
              <w:ind w:left="80" w:right="112"/>
              <w:jc w:val="both"/>
              <w:rPr>
                <w:rFonts w:eastAsia="Calibri"/>
                <w:iCs/>
                <w:kern w:val="0"/>
                <w:lang w:eastAsia="en-US"/>
              </w:rPr>
            </w:pPr>
            <w:r w:rsidRPr="00AF2CC3">
              <w:rPr>
                <w:rFonts w:eastAsia="Calibri"/>
                <w:iCs/>
                <w:kern w:val="0"/>
                <w:lang w:eastAsia="en-US"/>
              </w:rPr>
              <w:t>Noteikumi stāsies spēkā 2012</w:t>
            </w:r>
            <w:r w:rsidR="00C97D99" w:rsidRPr="00AF2CC3">
              <w:rPr>
                <w:rFonts w:eastAsia="Calibri"/>
                <w:iCs/>
                <w:kern w:val="0"/>
                <w:lang w:eastAsia="en-US"/>
              </w:rPr>
              <w:t>.</w:t>
            </w:r>
            <w:r w:rsidRPr="00AF2CC3">
              <w:rPr>
                <w:rFonts w:eastAsia="Calibri"/>
                <w:iCs/>
                <w:kern w:val="0"/>
                <w:lang w:eastAsia="en-US"/>
              </w:rPr>
              <w:t>gada 1.jūlijā.</w:t>
            </w:r>
          </w:p>
        </w:tc>
      </w:tr>
      <w:tr w:rsidR="00AF2CC3" w:rsidRPr="00AF2CC3" w:rsidTr="00EB1617">
        <w:tc>
          <w:tcPr>
            <w:tcW w:w="293" w:type="dxa"/>
            <w:gridSpan w:val="2"/>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lastRenderedPageBreak/>
              <w:t>5.</w:t>
            </w:r>
          </w:p>
        </w:tc>
        <w:tc>
          <w:tcPr>
            <w:tcW w:w="1724" w:type="dxa"/>
            <w:gridSpan w:val="3"/>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Projekta izstrādē iesaistītās institūcijas</w:t>
            </w:r>
          </w:p>
        </w:tc>
        <w:tc>
          <w:tcPr>
            <w:tcW w:w="7339" w:type="dxa"/>
            <w:gridSpan w:val="5"/>
            <w:tcBorders>
              <w:top w:val="single" w:sz="4" w:space="0" w:color="auto"/>
              <w:left w:val="single" w:sz="4" w:space="0" w:color="auto"/>
              <w:bottom w:val="single" w:sz="4" w:space="0" w:color="auto"/>
              <w:right w:val="single" w:sz="4" w:space="0" w:color="auto"/>
            </w:tcBorders>
          </w:tcPr>
          <w:p w:rsidR="00E3225D" w:rsidRPr="00AF2CC3" w:rsidRDefault="005A2001" w:rsidP="005A2001">
            <w:pPr>
              <w:snapToGrid w:val="0"/>
              <w:jc w:val="both"/>
              <w:rPr>
                <w:color w:val="000000"/>
              </w:rPr>
            </w:pPr>
            <w:r>
              <w:rPr>
                <w:color w:val="000000"/>
              </w:rPr>
              <w:t xml:space="preserve"> </w:t>
            </w:r>
            <w:r w:rsidR="00831307" w:rsidRPr="00AF2CC3">
              <w:rPr>
                <w:color w:val="000000"/>
              </w:rPr>
              <w:t xml:space="preserve">Finanšu ministrija, </w:t>
            </w:r>
            <w:r w:rsidR="00404753" w:rsidRPr="00AF2CC3">
              <w:rPr>
                <w:color w:val="000000"/>
              </w:rPr>
              <w:t>Valsts ieņēmumu dienests</w:t>
            </w:r>
            <w:r w:rsidR="00E3225D" w:rsidRPr="00AF2CC3">
              <w:rPr>
                <w:color w:val="000000"/>
              </w:rPr>
              <w:t>.</w:t>
            </w:r>
          </w:p>
        </w:tc>
      </w:tr>
      <w:tr w:rsidR="00AF2CC3" w:rsidRPr="00AF2CC3" w:rsidTr="00EB1617">
        <w:tc>
          <w:tcPr>
            <w:tcW w:w="293" w:type="dxa"/>
            <w:gridSpan w:val="2"/>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6.</w:t>
            </w:r>
          </w:p>
        </w:tc>
        <w:tc>
          <w:tcPr>
            <w:tcW w:w="1724" w:type="dxa"/>
            <w:gridSpan w:val="3"/>
            <w:tcBorders>
              <w:top w:val="single" w:sz="4" w:space="0" w:color="auto"/>
              <w:left w:val="single" w:sz="4" w:space="0" w:color="auto"/>
              <w:bottom w:val="single" w:sz="4" w:space="0" w:color="auto"/>
              <w:right w:val="single" w:sz="4" w:space="0" w:color="auto"/>
            </w:tcBorders>
          </w:tcPr>
          <w:p w:rsidR="00E3225D" w:rsidRPr="00AF2CC3" w:rsidRDefault="00E3225D" w:rsidP="00AF2CC3">
            <w:pPr>
              <w:snapToGrid w:val="0"/>
              <w:rPr>
                <w:color w:val="000000"/>
              </w:rPr>
            </w:pPr>
            <w:r w:rsidRPr="00AF2CC3">
              <w:rPr>
                <w:color w:val="000000"/>
              </w:rPr>
              <w:t xml:space="preserve">Iemesli, kādēļ netika </w:t>
            </w:r>
            <w:r w:rsidRPr="00AF2CC3">
              <w:rPr>
                <w:color w:val="000000"/>
              </w:rPr>
              <w:lastRenderedPageBreak/>
              <w:t>nodrošināta sabiedrības līdzdalība</w:t>
            </w:r>
          </w:p>
        </w:tc>
        <w:tc>
          <w:tcPr>
            <w:tcW w:w="7339" w:type="dxa"/>
            <w:gridSpan w:val="5"/>
            <w:tcBorders>
              <w:top w:val="single" w:sz="4" w:space="0" w:color="auto"/>
              <w:left w:val="single" w:sz="4" w:space="0" w:color="auto"/>
              <w:bottom w:val="single" w:sz="4" w:space="0" w:color="auto"/>
              <w:right w:val="single" w:sz="4" w:space="0" w:color="auto"/>
            </w:tcBorders>
          </w:tcPr>
          <w:p w:rsidR="00E3225D" w:rsidRPr="00AF2CC3" w:rsidRDefault="000478A4" w:rsidP="005A2001">
            <w:pPr>
              <w:snapToGrid w:val="0"/>
              <w:ind w:left="80" w:right="112"/>
              <w:jc w:val="both"/>
              <w:rPr>
                <w:color w:val="000000"/>
              </w:rPr>
            </w:pPr>
            <w:r w:rsidRPr="00AF2CC3">
              <w:rPr>
                <w:color w:val="000000"/>
              </w:rPr>
              <w:lastRenderedPageBreak/>
              <w:t xml:space="preserve">Grozījumu </w:t>
            </w:r>
            <w:r w:rsidR="009F3D3C" w:rsidRPr="00AF2CC3">
              <w:rPr>
                <w:kern w:val="0"/>
                <w:lang w:eastAsia="lv-LV"/>
              </w:rPr>
              <w:t xml:space="preserve">Ministru kabineta 2011.gada </w:t>
            </w:r>
            <w:r w:rsidR="00C97D99" w:rsidRPr="00AF2CC3">
              <w:rPr>
                <w:kern w:val="0"/>
                <w:lang w:eastAsia="lv-LV"/>
              </w:rPr>
              <w:t>21.decembra</w:t>
            </w:r>
            <w:r w:rsidR="009F3D3C" w:rsidRPr="00AF2CC3">
              <w:rPr>
                <w:kern w:val="0"/>
                <w:lang w:eastAsia="lv-LV"/>
              </w:rPr>
              <w:t xml:space="preserve"> noteikumos Nr.</w:t>
            </w:r>
            <w:r w:rsidR="00C97D99" w:rsidRPr="00AF2CC3">
              <w:rPr>
                <w:kern w:val="0"/>
                <w:lang w:eastAsia="lv-LV"/>
              </w:rPr>
              <w:t xml:space="preserve">1135 </w:t>
            </w:r>
            <w:r w:rsidRPr="00AF2CC3">
              <w:rPr>
                <w:color w:val="000000"/>
              </w:rPr>
              <w:t>ir nepieciešams veikt</w:t>
            </w:r>
            <w:r w:rsidR="006C4F7D" w:rsidRPr="00AF2CC3">
              <w:rPr>
                <w:color w:val="000000"/>
              </w:rPr>
              <w:t>,</w:t>
            </w:r>
            <w:r w:rsidRPr="00AF2CC3">
              <w:rPr>
                <w:color w:val="000000"/>
              </w:rPr>
              <w:t xml:space="preserve"> pamatojoties uz Saeimā</w:t>
            </w:r>
            <w:r w:rsidR="00397A43" w:rsidRPr="00AF2CC3">
              <w:rPr>
                <w:color w:val="000000"/>
              </w:rPr>
              <w:t xml:space="preserve"> 2012.gada </w:t>
            </w:r>
            <w:r w:rsidR="00397A43" w:rsidRPr="00AF2CC3">
              <w:rPr>
                <w:color w:val="000000"/>
              </w:rPr>
              <w:lastRenderedPageBreak/>
              <w:t>22.martā</w:t>
            </w:r>
            <w:r w:rsidRPr="00AF2CC3">
              <w:rPr>
                <w:color w:val="000000"/>
              </w:rPr>
              <w:t xml:space="preserve"> pieņemtajiem grozījumiem likumā</w:t>
            </w:r>
            <w:r w:rsidR="00397A43" w:rsidRPr="00AF2CC3">
              <w:rPr>
                <w:color w:val="000000"/>
              </w:rPr>
              <w:t xml:space="preserve"> „Par nodokļiem un nodevām</w:t>
            </w:r>
            <w:r w:rsidR="0085420F" w:rsidRPr="00AF2CC3">
              <w:rPr>
                <w:color w:val="000000"/>
              </w:rPr>
              <w:t>”</w:t>
            </w:r>
            <w:r w:rsidR="007B62A6" w:rsidRPr="00AF2CC3">
              <w:rPr>
                <w:color w:val="000000"/>
              </w:rPr>
              <w:t>, par ko sabiedrība ir jau bijusi informēta</w:t>
            </w:r>
            <w:r w:rsidR="006C4F7D" w:rsidRPr="00AF2CC3">
              <w:rPr>
                <w:color w:val="000000"/>
              </w:rPr>
              <w:t>,</w:t>
            </w:r>
            <w:r w:rsidR="007B62A6" w:rsidRPr="00AF2CC3">
              <w:rPr>
                <w:color w:val="000000"/>
              </w:rPr>
              <w:t xml:space="preserve"> izskatot un pieņemot šos grozījumus</w:t>
            </w:r>
            <w:r w:rsidR="00875634" w:rsidRPr="00AF2CC3">
              <w:rPr>
                <w:color w:val="000000"/>
              </w:rPr>
              <w:t>.</w:t>
            </w:r>
          </w:p>
        </w:tc>
      </w:tr>
      <w:tr w:rsidR="00AF2CC3" w:rsidRPr="00AF2CC3" w:rsidTr="00EB1617">
        <w:tc>
          <w:tcPr>
            <w:tcW w:w="293" w:type="dxa"/>
            <w:gridSpan w:val="2"/>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lastRenderedPageBreak/>
              <w:t>7.</w:t>
            </w:r>
          </w:p>
        </w:tc>
        <w:tc>
          <w:tcPr>
            <w:tcW w:w="1724" w:type="dxa"/>
            <w:gridSpan w:val="3"/>
            <w:tcBorders>
              <w:top w:val="single" w:sz="4" w:space="0" w:color="auto"/>
              <w:left w:val="single" w:sz="4" w:space="0" w:color="auto"/>
              <w:bottom w:val="single" w:sz="4" w:space="0" w:color="auto"/>
              <w:right w:val="single" w:sz="4" w:space="0" w:color="auto"/>
            </w:tcBorders>
          </w:tcPr>
          <w:p w:rsidR="00E3225D" w:rsidRPr="00AF2CC3" w:rsidRDefault="00E3225D">
            <w:pPr>
              <w:snapToGrid w:val="0"/>
              <w:jc w:val="both"/>
              <w:rPr>
                <w:color w:val="000000"/>
              </w:rPr>
            </w:pPr>
            <w:r w:rsidRPr="00AF2CC3">
              <w:rPr>
                <w:color w:val="000000"/>
              </w:rPr>
              <w:t>Cita informācija</w:t>
            </w:r>
          </w:p>
        </w:tc>
        <w:tc>
          <w:tcPr>
            <w:tcW w:w="7339" w:type="dxa"/>
            <w:gridSpan w:val="5"/>
            <w:tcBorders>
              <w:top w:val="single" w:sz="4" w:space="0" w:color="auto"/>
              <w:left w:val="single" w:sz="4" w:space="0" w:color="auto"/>
              <w:bottom w:val="single" w:sz="4" w:space="0" w:color="auto"/>
              <w:right w:val="single" w:sz="4" w:space="0" w:color="auto"/>
            </w:tcBorders>
          </w:tcPr>
          <w:p w:rsidR="00E3225D" w:rsidRPr="00AF2CC3" w:rsidRDefault="005A2001" w:rsidP="005A2001">
            <w:pPr>
              <w:snapToGrid w:val="0"/>
              <w:jc w:val="both"/>
              <w:rPr>
                <w:color w:val="000000"/>
              </w:rPr>
            </w:pPr>
            <w:r>
              <w:rPr>
                <w:color w:val="000000"/>
              </w:rPr>
              <w:t xml:space="preserve"> </w:t>
            </w:r>
            <w:r w:rsidR="00E3225D" w:rsidRPr="00AF2CC3">
              <w:rPr>
                <w:color w:val="000000"/>
              </w:rPr>
              <w:t>Nav</w:t>
            </w:r>
            <w:r w:rsidR="00B76B05" w:rsidRPr="00AF2CC3">
              <w:rPr>
                <w:color w:val="000000"/>
              </w:rPr>
              <w:t>.</w:t>
            </w:r>
          </w:p>
        </w:tc>
      </w:tr>
      <w:tr w:rsidR="00AF2CC3" w:rsidRPr="00AF2CC3" w:rsidTr="00EB1617">
        <w:tc>
          <w:tcPr>
            <w:tcW w:w="9356" w:type="dxa"/>
            <w:gridSpan w:val="10"/>
            <w:tcBorders>
              <w:top w:val="single" w:sz="4" w:space="0" w:color="auto"/>
              <w:left w:val="single" w:sz="4" w:space="0" w:color="auto"/>
              <w:bottom w:val="single" w:sz="4" w:space="0" w:color="auto"/>
              <w:right w:val="single" w:sz="4" w:space="0" w:color="auto"/>
            </w:tcBorders>
          </w:tcPr>
          <w:p w:rsidR="004210FB" w:rsidRPr="00AF2CC3" w:rsidRDefault="004210FB" w:rsidP="006A0598">
            <w:pPr>
              <w:snapToGrid w:val="0"/>
              <w:ind w:left="222"/>
              <w:jc w:val="center"/>
              <w:rPr>
                <w:b/>
                <w:color w:val="000000"/>
              </w:rPr>
            </w:pPr>
            <w:r w:rsidRPr="00AF2CC3">
              <w:rPr>
                <w:b/>
              </w:rPr>
              <w:t>II. Tiesību akta projekta ietekme uz sabiedrību</w:t>
            </w:r>
          </w:p>
        </w:tc>
      </w:tr>
      <w:tr w:rsidR="00AF2CC3" w:rsidRPr="00AF2CC3" w:rsidTr="00EB1617">
        <w:tc>
          <w:tcPr>
            <w:tcW w:w="284" w:type="dxa"/>
            <w:tcBorders>
              <w:top w:val="single" w:sz="4" w:space="0" w:color="auto"/>
              <w:left w:val="single" w:sz="4" w:space="0" w:color="auto"/>
              <w:bottom w:val="single" w:sz="4" w:space="0" w:color="auto"/>
              <w:right w:val="single" w:sz="4" w:space="0" w:color="auto"/>
            </w:tcBorders>
          </w:tcPr>
          <w:p w:rsidR="004210FB" w:rsidRPr="00AF2CC3" w:rsidRDefault="004210FB" w:rsidP="004210FB">
            <w:pPr>
              <w:pStyle w:val="naiskr"/>
            </w:pPr>
            <w:r w:rsidRPr="00AF2CC3">
              <w:t>1.</w:t>
            </w:r>
          </w:p>
        </w:tc>
        <w:tc>
          <w:tcPr>
            <w:tcW w:w="3544" w:type="dxa"/>
            <w:gridSpan w:val="7"/>
            <w:tcBorders>
              <w:top w:val="single" w:sz="4" w:space="0" w:color="auto"/>
              <w:left w:val="single" w:sz="4" w:space="0" w:color="auto"/>
              <w:bottom w:val="single" w:sz="4" w:space="0" w:color="auto"/>
              <w:right w:val="single" w:sz="4" w:space="0" w:color="auto"/>
            </w:tcBorders>
          </w:tcPr>
          <w:p w:rsidR="004210FB" w:rsidRPr="00AF2CC3" w:rsidRDefault="004210FB" w:rsidP="004210FB">
            <w:pPr>
              <w:pStyle w:val="naiskr"/>
            </w:pPr>
            <w:r w:rsidRPr="00AF2CC3">
              <w:t xml:space="preserve"> Sabiedrības </w:t>
            </w:r>
            <w:proofErr w:type="spellStart"/>
            <w:r w:rsidRPr="00AF2CC3">
              <w:t>mērķgrupa</w:t>
            </w:r>
            <w:proofErr w:type="spellEnd"/>
          </w:p>
        </w:tc>
        <w:tc>
          <w:tcPr>
            <w:tcW w:w="5528" w:type="dxa"/>
            <w:gridSpan w:val="2"/>
            <w:tcBorders>
              <w:top w:val="single" w:sz="4" w:space="0" w:color="auto"/>
              <w:left w:val="single" w:sz="4" w:space="0" w:color="auto"/>
              <w:bottom w:val="single" w:sz="4" w:space="0" w:color="auto"/>
              <w:right w:val="single" w:sz="4" w:space="0" w:color="auto"/>
            </w:tcBorders>
          </w:tcPr>
          <w:p w:rsidR="007D5D84" w:rsidRPr="00AF2CC3" w:rsidRDefault="006517F3" w:rsidP="005A2001">
            <w:pPr>
              <w:ind w:left="112" w:right="112"/>
              <w:jc w:val="both"/>
              <w:rPr>
                <w:color w:val="FF0000"/>
              </w:rPr>
            </w:pPr>
            <w:r w:rsidRPr="00AF2CC3">
              <w:rPr>
                <w:lang w:eastAsia="lv-LV"/>
              </w:rPr>
              <w:t xml:space="preserve">Izstrādātais Ministru kabineta noteikumu projekts ir attiecināms uz </w:t>
            </w:r>
            <w:r w:rsidR="009F3D3C" w:rsidRPr="00AF2CC3">
              <w:rPr>
                <w:lang w:eastAsia="lv-LV"/>
              </w:rPr>
              <w:t>personām, kas piemēro muitas procedūr</w:t>
            </w:r>
            <w:r w:rsidR="00271903" w:rsidRPr="00AF2CC3">
              <w:rPr>
                <w:lang w:eastAsia="lv-LV"/>
              </w:rPr>
              <w:t xml:space="preserve">u – tranzīts - </w:t>
            </w:r>
            <w:r w:rsidR="009F3D3C" w:rsidRPr="00AF2CC3">
              <w:rPr>
                <w:lang w:eastAsia="lv-LV"/>
              </w:rPr>
              <w:t xml:space="preserve">un nav saņēmušas atzītā komersanta statusu, bet pretendē kļūt par </w:t>
            </w:r>
            <w:r w:rsidR="009F3D3C" w:rsidRPr="00AF2CC3">
              <w:rPr>
                <w:iCs/>
              </w:rPr>
              <w:t xml:space="preserve">programmas dalībniekiem. </w:t>
            </w:r>
          </w:p>
        </w:tc>
      </w:tr>
      <w:tr w:rsidR="00AF2CC3" w:rsidRPr="00AF2CC3" w:rsidTr="00EB1617">
        <w:tc>
          <w:tcPr>
            <w:tcW w:w="284" w:type="dxa"/>
            <w:tcBorders>
              <w:top w:val="single" w:sz="4" w:space="0" w:color="auto"/>
              <w:left w:val="single" w:sz="4" w:space="0" w:color="auto"/>
              <w:bottom w:val="single" w:sz="4" w:space="0" w:color="auto"/>
              <w:right w:val="single" w:sz="4" w:space="0" w:color="auto"/>
            </w:tcBorders>
          </w:tcPr>
          <w:p w:rsidR="004210FB" w:rsidRPr="00AF2CC3" w:rsidRDefault="004210FB" w:rsidP="004210FB">
            <w:pPr>
              <w:snapToGrid w:val="0"/>
              <w:rPr>
                <w:color w:val="000000"/>
              </w:rPr>
            </w:pPr>
            <w:r w:rsidRPr="00AF2CC3">
              <w:rPr>
                <w:color w:val="000000"/>
              </w:rPr>
              <w:t>2.</w:t>
            </w:r>
          </w:p>
        </w:tc>
        <w:tc>
          <w:tcPr>
            <w:tcW w:w="3544" w:type="dxa"/>
            <w:gridSpan w:val="7"/>
            <w:tcBorders>
              <w:top w:val="single" w:sz="4" w:space="0" w:color="auto"/>
              <w:left w:val="single" w:sz="4" w:space="0" w:color="auto"/>
              <w:bottom w:val="single" w:sz="4" w:space="0" w:color="auto"/>
              <w:right w:val="single" w:sz="4" w:space="0" w:color="auto"/>
            </w:tcBorders>
          </w:tcPr>
          <w:p w:rsidR="004210FB" w:rsidRPr="00AF2CC3" w:rsidRDefault="004210FB" w:rsidP="004210FB">
            <w:pPr>
              <w:snapToGrid w:val="0"/>
              <w:rPr>
                <w:color w:val="000000"/>
              </w:rPr>
            </w:pPr>
            <w:r w:rsidRPr="00AF2CC3">
              <w:t xml:space="preserve">Citas sabiedrības grupas (bez </w:t>
            </w:r>
            <w:proofErr w:type="spellStart"/>
            <w:r w:rsidRPr="00AF2CC3">
              <w:t>mērķgrupas</w:t>
            </w:r>
            <w:proofErr w:type="spellEnd"/>
            <w:r w:rsidRPr="00AF2CC3">
              <w:t>), kuras tiesiskais regulējums arī ietekmē vai varētu ietekmēt</w:t>
            </w:r>
          </w:p>
        </w:tc>
        <w:tc>
          <w:tcPr>
            <w:tcW w:w="5528" w:type="dxa"/>
            <w:gridSpan w:val="2"/>
            <w:tcBorders>
              <w:top w:val="single" w:sz="4" w:space="0" w:color="auto"/>
              <w:left w:val="single" w:sz="4" w:space="0" w:color="auto"/>
              <w:bottom w:val="single" w:sz="4" w:space="0" w:color="auto"/>
              <w:right w:val="single" w:sz="4" w:space="0" w:color="auto"/>
            </w:tcBorders>
          </w:tcPr>
          <w:p w:rsidR="004210FB" w:rsidRPr="00AF2CC3" w:rsidRDefault="002B3D66" w:rsidP="004210FB">
            <w:pPr>
              <w:snapToGrid w:val="0"/>
              <w:ind w:left="222"/>
              <w:rPr>
                <w:color w:val="000000"/>
              </w:rPr>
            </w:pPr>
            <w:r w:rsidRPr="00AF2CC3">
              <w:rPr>
                <w:color w:val="000000"/>
              </w:rPr>
              <w:t>Nav attiecināms.</w:t>
            </w:r>
          </w:p>
        </w:tc>
      </w:tr>
      <w:tr w:rsidR="00AF2CC3" w:rsidRPr="00AF2CC3" w:rsidTr="00EB1617">
        <w:tc>
          <w:tcPr>
            <w:tcW w:w="284" w:type="dxa"/>
            <w:tcBorders>
              <w:top w:val="single" w:sz="4" w:space="0" w:color="auto"/>
              <w:left w:val="single" w:sz="4" w:space="0" w:color="auto"/>
              <w:bottom w:val="single" w:sz="4" w:space="0" w:color="auto"/>
              <w:right w:val="single" w:sz="4" w:space="0" w:color="auto"/>
            </w:tcBorders>
          </w:tcPr>
          <w:p w:rsidR="004210FB" w:rsidRPr="00AF2CC3" w:rsidRDefault="004210FB" w:rsidP="004210FB">
            <w:pPr>
              <w:snapToGrid w:val="0"/>
              <w:rPr>
                <w:color w:val="000000"/>
              </w:rPr>
            </w:pPr>
            <w:r w:rsidRPr="00AF2CC3">
              <w:rPr>
                <w:color w:val="000000"/>
              </w:rPr>
              <w:t>3.</w:t>
            </w:r>
          </w:p>
        </w:tc>
        <w:tc>
          <w:tcPr>
            <w:tcW w:w="3544" w:type="dxa"/>
            <w:gridSpan w:val="7"/>
            <w:tcBorders>
              <w:top w:val="single" w:sz="4" w:space="0" w:color="auto"/>
              <w:left w:val="single" w:sz="4" w:space="0" w:color="auto"/>
              <w:bottom w:val="single" w:sz="4" w:space="0" w:color="auto"/>
              <w:right w:val="single" w:sz="4" w:space="0" w:color="auto"/>
            </w:tcBorders>
          </w:tcPr>
          <w:p w:rsidR="004210FB" w:rsidRPr="00AF2CC3" w:rsidRDefault="002B3D66" w:rsidP="004210FB">
            <w:pPr>
              <w:snapToGrid w:val="0"/>
              <w:rPr>
                <w:color w:val="000000"/>
              </w:rPr>
            </w:pPr>
            <w:r w:rsidRPr="00AF2CC3">
              <w:t>Tiesiskā regulējuma finansiālā ietekme</w:t>
            </w:r>
          </w:p>
        </w:tc>
        <w:tc>
          <w:tcPr>
            <w:tcW w:w="5528" w:type="dxa"/>
            <w:gridSpan w:val="2"/>
            <w:tcBorders>
              <w:top w:val="single" w:sz="4" w:space="0" w:color="auto"/>
              <w:left w:val="single" w:sz="4" w:space="0" w:color="auto"/>
              <w:bottom w:val="single" w:sz="4" w:space="0" w:color="auto"/>
              <w:right w:val="single" w:sz="4" w:space="0" w:color="auto"/>
            </w:tcBorders>
          </w:tcPr>
          <w:p w:rsidR="004210FB" w:rsidRPr="00AF2CC3" w:rsidRDefault="002B3D66" w:rsidP="004210FB">
            <w:pPr>
              <w:snapToGrid w:val="0"/>
              <w:ind w:left="222"/>
              <w:rPr>
                <w:color w:val="000000"/>
              </w:rPr>
            </w:pPr>
            <w:r w:rsidRPr="00AF2CC3">
              <w:rPr>
                <w:color w:val="000000"/>
              </w:rPr>
              <w:t>Nav attiecināms.</w:t>
            </w:r>
          </w:p>
        </w:tc>
      </w:tr>
      <w:tr w:rsidR="00AF2CC3" w:rsidRPr="00AF2CC3" w:rsidTr="00EB1617">
        <w:tc>
          <w:tcPr>
            <w:tcW w:w="284" w:type="dxa"/>
            <w:tcBorders>
              <w:top w:val="single" w:sz="4" w:space="0" w:color="auto"/>
              <w:left w:val="single" w:sz="4" w:space="0" w:color="auto"/>
              <w:bottom w:val="single" w:sz="4" w:space="0" w:color="auto"/>
              <w:right w:val="single" w:sz="4" w:space="0" w:color="auto"/>
            </w:tcBorders>
          </w:tcPr>
          <w:p w:rsidR="004210FB" w:rsidRPr="00AF2CC3" w:rsidRDefault="004210FB" w:rsidP="004210FB">
            <w:pPr>
              <w:snapToGrid w:val="0"/>
              <w:rPr>
                <w:color w:val="000000"/>
              </w:rPr>
            </w:pPr>
            <w:r w:rsidRPr="00AF2CC3">
              <w:rPr>
                <w:color w:val="000000"/>
              </w:rPr>
              <w:t>4.</w:t>
            </w:r>
          </w:p>
        </w:tc>
        <w:tc>
          <w:tcPr>
            <w:tcW w:w="3544" w:type="dxa"/>
            <w:gridSpan w:val="7"/>
            <w:tcBorders>
              <w:top w:val="single" w:sz="4" w:space="0" w:color="auto"/>
              <w:left w:val="single" w:sz="4" w:space="0" w:color="auto"/>
              <w:bottom w:val="single" w:sz="4" w:space="0" w:color="auto"/>
              <w:right w:val="single" w:sz="4" w:space="0" w:color="auto"/>
            </w:tcBorders>
          </w:tcPr>
          <w:p w:rsidR="004210FB" w:rsidRPr="00AF2CC3" w:rsidRDefault="002B3D66" w:rsidP="004210FB">
            <w:pPr>
              <w:snapToGrid w:val="0"/>
              <w:rPr>
                <w:color w:val="000000"/>
              </w:rPr>
            </w:pPr>
            <w:r w:rsidRPr="00AF2CC3">
              <w:t>Tiesiskā regulējuma nefinansiālā ietekme</w:t>
            </w:r>
          </w:p>
        </w:tc>
        <w:tc>
          <w:tcPr>
            <w:tcW w:w="5528" w:type="dxa"/>
            <w:gridSpan w:val="2"/>
            <w:tcBorders>
              <w:top w:val="single" w:sz="4" w:space="0" w:color="auto"/>
              <w:left w:val="single" w:sz="4" w:space="0" w:color="auto"/>
              <w:bottom w:val="single" w:sz="4" w:space="0" w:color="auto"/>
              <w:right w:val="single" w:sz="4" w:space="0" w:color="auto"/>
            </w:tcBorders>
          </w:tcPr>
          <w:p w:rsidR="004210FB" w:rsidRPr="00AF2CC3" w:rsidRDefault="009B596A" w:rsidP="002B3D66">
            <w:pPr>
              <w:snapToGrid w:val="0"/>
              <w:ind w:left="222"/>
              <w:rPr>
                <w:color w:val="000000"/>
              </w:rPr>
            </w:pPr>
            <w:r w:rsidRPr="00AF2CC3">
              <w:rPr>
                <w:color w:val="000000"/>
              </w:rPr>
              <w:t>Nav attiecināms.</w:t>
            </w:r>
          </w:p>
        </w:tc>
      </w:tr>
      <w:tr w:rsidR="00AF2CC3" w:rsidRPr="00AF2CC3" w:rsidTr="00EB1617">
        <w:tc>
          <w:tcPr>
            <w:tcW w:w="284" w:type="dxa"/>
            <w:tcBorders>
              <w:top w:val="single" w:sz="4" w:space="0" w:color="auto"/>
              <w:left w:val="single" w:sz="4" w:space="0" w:color="auto"/>
              <w:bottom w:val="single" w:sz="4" w:space="0" w:color="auto"/>
              <w:right w:val="single" w:sz="4" w:space="0" w:color="auto"/>
            </w:tcBorders>
          </w:tcPr>
          <w:p w:rsidR="004210FB" w:rsidRPr="00AF2CC3" w:rsidRDefault="004210FB" w:rsidP="004210FB">
            <w:pPr>
              <w:snapToGrid w:val="0"/>
              <w:rPr>
                <w:color w:val="000000"/>
              </w:rPr>
            </w:pPr>
            <w:r w:rsidRPr="00AF2CC3">
              <w:rPr>
                <w:color w:val="000000"/>
              </w:rPr>
              <w:t>5.</w:t>
            </w:r>
          </w:p>
        </w:tc>
        <w:tc>
          <w:tcPr>
            <w:tcW w:w="3544" w:type="dxa"/>
            <w:gridSpan w:val="7"/>
            <w:tcBorders>
              <w:top w:val="single" w:sz="4" w:space="0" w:color="auto"/>
              <w:left w:val="single" w:sz="4" w:space="0" w:color="auto"/>
              <w:bottom w:val="single" w:sz="4" w:space="0" w:color="auto"/>
              <w:right w:val="single" w:sz="4" w:space="0" w:color="auto"/>
            </w:tcBorders>
          </w:tcPr>
          <w:p w:rsidR="004210FB" w:rsidRPr="00AF2CC3" w:rsidRDefault="002B3D66" w:rsidP="004210FB">
            <w:pPr>
              <w:snapToGrid w:val="0"/>
              <w:rPr>
                <w:color w:val="000000"/>
              </w:rPr>
            </w:pPr>
            <w:r w:rsidRPr="00AF2CC3">
              <w:t>Administratīvās procedūras raksturojums</w:t>
            </w:r>
          </w:p>
        </w:tc>
        <w:tc>
          <w:tcPr>
            <w:tcW w:w="5528" w:type="dxa"/>
            <w:gridSpan w:val="2"/>
            <w:tcBorders>
              <w:top w:val="single" w:sz="4" w:space="0" w:color="auto"/>
              <w:left w:val="single" w:sz="4" w:space="0" w:color="auto"/>
              <w:bottom w:val="single" w:sz="4" w:space="0" w:color="auto"/>
              <w:right w:val="single" w:sz="4" w:space="0" w:color="auto"/>
            </w:tcBorders>
          </w:tcPr>
          <w:p w:rsidR="004210FB" w:rsidRPr="00AF2CC3" w:rsidRDefault="009B596A" w:rsidP="009B596A">
            <w:pPr>
              <w:snapToGrid w:val="0"/>
              <w:ind w:firstLine="253"/>
              <w:rPr>
                <w:color w:val="000000"/>
              </w:rPr>
            </w:pPr>
            <w:r w:rsidRPr="00AF2CC3">
              <w:rPr>
                <w:color w:val="000000"/>
              </w:rPr>
              <w:t>Nav attiecināms.</w:t>
            </w:r>
          </w:p>
        </w:tc>
      </w:tr>
      <w:tr w:rsidR="00AF2CC3" w:rsidRPr="00AF2CC3" w:rsidTr="00EB1617">
        <w:tc>
          <w:tcPr>
            <w:tcW w:w="284" w:type="dxa"/>
            <w:tcBorders>
              <w:top w:val="single" w:sz="4" w:space="0" w:color="auto"/>
              <w:left w:val="single" w:sz="4" w:space="0" w:color="auto"/>
              <w:bottom w:val="single" w:sz="4" w:space="0" w:color="auto"/>
              <w:right w:val="single" w:sz="4" w:space="0" w:color="auto"/>
            </w:tcBorders>
          </w:tcPr>
          <w:p w:rsidR="004210FB" w:rsidRPr="00AF2CC3" w:rsidRDefault="004210FB" w:rsidP="004210FB">
            <w:pPr>
              <w:snapToGrid w:val="0"/>
              <w:rPr>
                <w:color w:val="000000"/>
              </w:rPr>
            </w:pPr>
            <w:r w:rsidRPr="00AF2CC3">
              <w:rPr>
                <w:color w:val="000000"/>
              </w:rPr>
              <w:t>6.</w:t>
            </w:r>
          </w:p>
        </w:tc>
        <w:tc>
          <w:tcPr>
            <w:tcW w:w="3544" w:type="dxa"/>
            <w:gridSpan w:val="7"/>
            <w:tcBorders>
              <w:top w:val="single" w:sz="4" w:space="0" w:color="auto"/>
              <w:left w:val="single" w:sz="4" w:space="0" w:color="auto"/>
              <w:bottom w:val="single" w:sz="4" w:space="0" w:color="auto"/>
              <w:right w:val="single" w:sz="4" w:space="0" w:color="auto"/>
            </w:tcBorders>
          </w:tcPr>
          <w:p w:rsidR="004210FB" w:rsidRPr="00AF2CC3" w:rsidRDefault="002B3D66" w:rsidP="004210FB">
            <w:pPr>
              <w:snapToGrid w:val="0"/>
              <w:rPr>
                <w:color w:val="000000"/>
              </w:rPr>
            </w:pPr>
            <w:r w:rsidRPr="00AF2CC3">
              <w:t>Administratīvo izmaksu monetārs novērtējums</w:t>
            </w:r>
          </w:p>
        </w:tc>
        <w:tc>
          <w:tcPr>
            <w:tcW w:w="5528" w:type="dxa"/>
            <w:gridSpan w:val="2"/>
            <w:tcBorders>
              <w:top w:val="single" w:sz="4" w:space="0" w:color="auto"/>
              <w:left w:val="single" w:sz="4" w:space="0" w:color="auto"/>
              <w:bottom w:val="single" w:sz="4" w:space="0" w:color="auto"/>
              <w:right w:val="single" w:sz="4" w:space="0" w:color="auto"/>
            </w:tcBorders>
          </w:tcPr>
          <w:p w:rsidR="004210FB" w:rsidRPr="00AF2CC3" w:rsidRDefault="002B3D66" w:rsidP="009B596A">
            <w:pPr>
              <w:snapToGrid w:val="0"/>
              <w:ind w:firstLine="253"/>
              <w:rPr>
                <w:color w:val="000000"/>
              </w:rPr>
            </w:pPr>
            <w:r w:rsidRPr="00AF2CC3">
              <w:rPr>
                <w:color w:val="000000"/>
              </w:rPr>
              <w:t>Nav attiecināms.</w:t>
            </w:r>
          </w:p>
        </w:tc>
      </w:tr>
      <w:tr w:rsidR="00AF2CC3" w:rsidRPr="00AF2CC3" w:rsidTr="00EB1617">
        <w:tc>
          <w:tcPr>
            <w:tcW w:w="284" w:type="dxa"/>
            <w:tcBorders>
              <w:top w:val="single" w:sz="4" w:space="0" w:color="auto"/>
              <w:left w:val="single" w:sz="4" w:space="0" w:color="auto"/>
              <w:bottom w:val="single" w:sz="4" w:space="0" w:color="auto"/>
              <w:right w:val="single" w:sz="4" w:space="0" w:color="auto"/>
            </w:tcBorders>
          </w:tcPr>
          <w:p w:rsidR="004210FB" w:rsidRPr="00AF2CC3" w:rsidRDefault="004210FB" w:rsidP="004210FB">
            <w:pPr>
              <w:snapToGrid w:val="0"/>
              <w:rPr>
                <w:color w:val="000000"/>
              </w:rPr>
            </w:pPr>
            <w:r w:rsidRPr="00AF2CC3">
              <w:rPr>
                <w:color w:val="000000"/>
              </w:rPr>
              <w:t>7.</w:t>
            </w:r>
          </w:p>
        </w:tc>
        <w:tc>
          <w:tcPr>
            <w:tcW w:w="3544" w:type="dxa"/>
            <w:gridSpan w:val="7"/>
            <w:tcBorders>
              <w:top w:val="single" w:sz="4" w:space="0" w:color="auto"/>
              <w:left w:val="single" w:sz="4" w:space="0" w:color="auto"/>
              <w:bottom w:val="single" w:sz="4" w:space="0" w:color="auto"/>
              <w:right w:val="single" w:sz="4" w:space="0" w:color="auto"/>
            </w:tcBorders>
          </w:tcPr>
          <w:p w:rsidR="004210FB" w:rsidRPr="00AF2CC3" w:rsidRDefault="002B3D66" w:rsidP="004210FB">
            <w:pPr>
              <w:snapToGrid w:val="0"/>
              <w:rPr>
                <w:color w:val="000000"/>
              </w:rPr>
            </w:pPr>
            <w:r w:rsidRPr="00AF2CC3">
              <w:t>Cita informācija</w:t>
            </w:r>
          </w:p>
        </w:tc>
        <w:tc>
          <w:tcPr>
            <w:tcW w:w="5528" w:type="dxa"/>
            <w:gridSpan w:val="2"/>
            <w:tcBorders>
              <w:top w:val="single" w:sz="4" w:space="0" w:color="auto"/>
              <w:left w:val="single" w:sz="4" w:space="0" w:color="auto"/>
              <w:bottom w:val="single" w:sz="4" w:space="0" w:color="auto"/>
              <w:right w:val="single" w:sz="4" w:space="0" w:color="auto"/>
            </w:tcBorders>
          </w:tcPr>
          <w:p w:rsidR="004210FB" w:rsidRPr="00AF2CC3" w:rsidRDefault="002B3D66" w:rsidP="009B596A">
            <w:pPr>
              <w:snapToGrid w:val="0"/>
              <w:ind w:firstLine="253"/>
              <w:rPr>
                <w:color w:val="000000"/>
              </w:rPr>
            </w:pPr>
            <w:r w:rsidRPr="00AF2CC3">
              <w:rPr>
                <w:color w:val="000000"/>
              </w:rPr>
              <w:t>Nav.</w:t>
            </w:r>
          </w:p>
        </w:tc>
      </w:tr>
      <w:tr w:rsidR="006953BE" w:rsidRPr="00AF2CC3"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9356" w:type="dxa"/>
            <w:gridSpan w:val="10"/>
            <w:tcBorders>
              <w:top w:val="single" w:sz="4" w:space="0" w:color="auto"/>
              <w:left w:val="single" w:sz="4" w:space="0" w:color="auto"/>
              <w:bottom w:val="single" w:sz="4" w:space="0" w:color="auto"/>
              <w:right w:val="single" w:sz="4" w:space="0" w:color="auto"/>
            </w:tcBorders>
            <w:hideMark/>
          </w:tcPr>
          <w:p w:rsidR="006953BE" w:rsidRPr="00AF2CC3" w:rsidRDefault="0065307C" w:rsidP="006953BE">
            <w:pPr>
              <w:suppressAutoHyphens w:val="0"/>
              <w:spacing w:before="100" w:beforeAutospacing="1" w:after="100" w:afterAutospacing="1"/>
              <w:jc w:val="center"/>
              <w:rPr>
                <w:b/>
                <w:bCs/>
                <w:kern w:val="0"/>
                <w:lang w:eastAsia="lv-LV"/>
              </w:rPr>
            </w:pPr>
            <w:r w:rsidRPr="00AF2CC3">
              <w:rPr>
                <w:i/>
                <w:iCs/>
              </w:rPr>
              <w:t> </w:t>
            </w:r>
            <w:r w:rsidRPr="00AF2CC3">
              <w:rPr>
                <w:b/>
                <w:bCs/>
              </w:rPr>
              <w:t>IV. Tiesību akta projekta ietekme uz spēkā esošo tiesību normu sistēmu</w:t>
            </w:r>
          </w:p>
        </w:tc>
      </w:tr>
      <w:tr w:rsidR="00706925" w:rsidRPr="005A2001"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4" w:type="dxa"/>
            <w:tcBorders>
              <w:top w:val="single" w:sz="4" w:space="0" w:color="auto"/>
              <w:left w:val="single" w:sz="4" w:space="0" w:color="auto"/>
              <w:bottom w:val="single" w:sz="4" w:space="0" w:color="auto"/>
              <w:right w:val="single" w:sz="4" w:space="0" w:color="auto"/>
            </w:tcBorders>
          </w:tcPr>
          <w:p w:rsidR="00706925" w:rsidRPr="005A2001" w:rsidRDefault="00706925" w:rsidP="006953BE">
            <w:pPr>
              <w:suppressAutoHyphens w:val="0"/>
              <w:spacing w:before="100" w:beforeAutospacing="1" w:after="100" w:afterAutospacing="1"/>
              <w:jc w:val="center"/>
              <w:rPr>
                <w:iCs/>
              </w:rPr>
            </w:pPr>
            <w:r w:rsidRPr="005A2001">
              <w:t>1.</w:t>
            </w:r>
          </w:p>
        </w:tc>
        <w:tc>
          <w:tcPr>
            <w:tcW w:w="3544" w:type="dxa"/>
            <w:gridSpan w:val="7"/>
            <w:tcBorders>
              <w:top w:val="single" w:sz="4" w:space="0" w:color="auto"/>
              <w:left w:val="single" w:sz="4" w:space="0" w:color="auto"/>
              <w:bottom w:val="single" w:sz="4" w:space="0" w:color="auto"/>
              <w:right w:val="single" w:sz="4" w:space="0" w:color="auto"/>
            </w:tcBorders>
          </w:tcPr>
          <w:p w:rsidR="00706925" w:rsidRPr="005A2001" w:rsidRDefault="00706925" w:rsidP="006953BE">
            <w:pPr>
              <w:suppressAutoHyphens w:val="0"/>
              <w:spacing w:before="100" w:beforeAutospacing="1" w:after="100" w:afterAutospacing="1"/>
              <w:jc w:val="center"/>
              <w:rPr>
                <w:iCs/>
              </w:rPr>
            </w:pPr>
            <w:r w:rsidRPr="005A2001">
              <w:t>Nepieciešamie saistītie tiesību aktu projekti</w:t>
            </w:r>
          </w:p>
        </w:tc>
        <w:tc>
          <w:tcPr>
            <w:tcW w:w="5528" w:type="dxa"/>
            <w:gridSpan w:val="2"/>
            <w:tcBorders>
              <w:top w:val="single" w:sz="4" w:space="0" w:color="auto"/>
              <w:left w:val="single" w:sz="4" w:space="0" w:color="auto"/>
              <w:bottom w:val="single" w:sz="4" w:space="0" w:color="auto"/>
              <w:right w:val="single" w:sz="4" w:space="0" w:color="auto"/>
            </w:tcBorders>
          </w:tcPr>
          <w:p w:rsidR="00706925" w:rsidRPr="004008C6" w:rsidRDefault="00706925" w:rsidP="00283408">
            <w:pPr>
              <w:jc w:val="both"/>
              <w:rPr>
                <w:rFonts w:eastAsia="Calibri"/>
              </w:rPr>
            </w:pPr>
            <w:r w:rsidRPr="004008C6">
              <w:t>Noteikumu projekts Ministru kabinetā ir izskatāms vienlaicīgi ar:</w:t>
            </w:r>
          </w:p>
          <w:p w:rsidR="00706925" w:rsidRPr="004008C6" w:rsidRDefault="00706925" w:rsidP="000522FA">
            <w:pPr>
              <w:pStyle w:val="ListParagraph"/>
              <w:numPr>
                <w:ilvl w:val="0"/>
                <w:numId w:val="17"/>
              </w:numPr>
              <w:tabs>
                <w:tab w:val="left" w:pos="284"/>
              </w:tabs>
              <w:spacing w:line="240" w:lineRule="auto"/>
              <w:jc w:val="both"/>
              <w:rPr>
                <w:rFonts w:ascii="Times New Roman" w:hAnsi="Times New Roman"/>
                <w:sz w:val="24"/>
                <w:lang w:eastAsia="lv-LV"/>
              </w:rPr>
            </w:pPr>
            <w:r w:rsidRPr="004008C6">
              <w:rPr>
                <w:rFonts w:ascii="Times New Roman" w:hAnsi="Times New Roman"/>
                <w:bCs/>
                <w:sz w:val="24"/>
              </w:rPr>
              <w:t xml:space="preserve">Ministru kabineta noteikumu projektu „Noteikumi par Padziļinātās sadarbības programmas darbību”, kas nosaka </w:t>
            </w:r>
            <w:r w:rsidRPr="004008C6">
              <w:rPr>
                <w:rFonts w:ascii="Times New Roman" w:hAnsi="Times New Roman"/>
                <w:sz w:val="24"/>
                <w:lang w:eastAsia="lv-LV"/>
              </w:rPr>
              <w:t>pieteikuma dalībai programmā iesniegšanas un izskatīšanas kārtību, kā arī kritērijus nodokļu maksātāja uzņemšanai un izslēgšanai no programmas un kārtību, kādā publicē programmas dalībnieku reģistrā, kurā tiek iekļauti nodokļu maksātāji (uzņēmumi), kas atbilst noteikumu projektā paredzētajiem kritērijiem un piekrīt publiskot informāciju par savu uzņēmumu. Tāpat noteikumu projekts paredz kārtību, kādā nodokļu maksātāju izslēdz no reģistra.</w:t>
            </w:r>
          </w:p>
          <w:p w:rsidR="00706925" w:rsidRPr="004008C6" w:rsidRDefault="00706925" w:rsidP="000522FA">
            <w:pPr>
              <w:pStyle w:val="ListParagraph"/>
              <w:numPr>
                <w:ilvl w:val="0"/>
                <w:numId w:val="17"/>
              </w:numPr>
              <w:spacing w:line="240" w:lineRule="auto"/>
              <w:jc w:val="both"/>
              <w:rPr>
                <w:rFonts w:ascii="Times New Roman" w:hAnsi="Times New Roman"/>
                <w:sz w:val="24"/>
              </w:rPr>
            </w:pPr>
            <w:r w:rsidRPr="004008C6">
              <w:rPr>
                <w:rFonts w:ascii="Times New Roman" w:hAnsi="Times New Roman"/>
                <w:sz w:val="24"/>
              </w:rPr>
              <w:t>Ministru kabineta noteikumu projektu "Grozījumi Ministru kabineta 2011.gada 6.septembra noteikumos Nr.691 "Noteikumi par nodokļu parāda galvojumu preču muitošanai", kas paredz atvieglot nodokļu maksātājam, kurš iekļauts Padziļinātās sadarbības programmā, nosacījumus saistībā ar nodokļu parāda galvojumu preču muitošanai;</w:t>
            </w:r>
          </w:p>
          <w:p w:rsidR="00706925" w:rsidRPr="004008C6" w:rsidRDefault="00706925" w:rsidP="000522FA">
            <w:pPr>
              <w:pStyle w:val="ListParagraph"/>
              <w:numPr>
                <w:ilvl w:val="0"/>
                <w:numId w:val="17"/>
              </w:numPr>
              <w:spacing w:line="240" w:lineRule="auto"/>
              <w:jc w:val="both"/>
              <w:rPr>
                <w:rFonts w:ascii="Times New Roman" w:hAnsi="Times New Roman"/>
              </w:rPr>
            </w:pPr>
            <w:r w:rsidRPr="004008C6">
              <w:rPr>
                <w:rFonts w:ascii="Times New Roman" w:hAnsi="Times New Roman"/>
                <w:sz w:val="24"/>
              </w:rPr>
              <w:t xml:space="preserve">Ministru kabineta noteikumu projektu </w:t>
            </w:r>
            <w:r w:rsidRPr="004008C6">
              <w:rPr>
                <w:rFonts w:ascii="Times New Roman" w:hAnsi="Times New Roman"/>
                <w:sz w:val="24"/>
              </w:rPr>
              <w:lastRenderedPageBreak/>
              <w:t>"Grozījumi Ministru kabineta 2010.gada 30.marta noteikumos Nr.302 "Noteikumi par akcīzes nodokļa nodrošinājumiem", kas paredz nodokļu maksātājam, kurš iekļauts Padziļinātās sadarbības programmā, samazināt vispārējā nodrošinājuma apjomu.</w:t>
            </w:r>
          </w:p>
        </w:tc>
      </w:tr>
      <w:tr w:rsidR="00706925" w:rsidRPr="005A2001"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4" w:type="dxa"/>
            <w:tcBorders>
              <w:top w:val="single" w:sz="4" w:space="0" w:color="auto"/>
              <w:left w:val="single" w:sz="4" w:space="0" w:color="auto"/>
              <w:bottom w:val="single" w:sz="4" w:space="0" w:color="auto"/>
              <w:right w:val="single" w:sz="4" w:space="0" w:color="auto"/>
            </w:tcBorders>
          </w:tcPr>
          <w:p w:rsidR="00706925" w:rsidRPr="005A2001" w:rsidRDefault="00706925" w:rsidP="00706925">
            <w:pPr>
              <w:suppressAutoHyphens w:val="0"/>
              <w:spacing w:before="100" w:beforeAutospacing="1" w:after="100" w:afterAutospacing="1"/>
              <w:jc w:val="center"/>
            </w:pPr>
            <w:r w:rsidRPr="005A2001">
              <w:lastRenderedPageBreak/>
              <w:t>2.</w:t>
            </w:r>
          </w:p>
        </w:tc>
        <w:tc>
          <w:tcPr>
            <w:tcW w:w="3544" w:type="dxa"/>
            <w:gridSpan w:val="7"/>
            <w:tcBorders>
              <w:top w:val="single" w:sz="4" w:space="0" w:color="auto"/>
              <w:left w:val="single" w:sz="4" w:space="0" w:color="auto"/>
              <w:bottom w:val="single" w:sz="4" w:space="0" w:color="auto"/>
              <w:right w:val="single" w:sz="4" w:space="0" w:color="auto"/>
            </w:tcBorders>
          </w:tcPr>
          <w:p w:rsidR="00706925" w:rsidRPr="005A2001" w:rsidRDefault="00706925" w:rsidP="006953BE">
            <w:pPr>
              <w:suppressAutoHyphens w:val="0"/>
              <w:spacing w:before="100" w:beforeAutospacing="1" w:after="100" w:afterAutospacing="1"/>
              <w:jc w:val="center"/>
            </w:pPr>
            <w:r w:rsidRPr="005A2001">
              <w:t>Cita informācija</w:t>
            </w:r>
          </w:p>
        </w:tc>
        <w:tc>
          <w:tcPr>
            <w:tcW w:w="5528" w:type="dxa"/>
            <w:gridSpan w:val="2"/>
            <w:tcBorders>
              <w:top w:val="single" w:sz="4" w:space="0" w:color="auto"/>
              <w:left w:val="single" w:sz="4" w:space="0" w:color="auto"/>
              <w:bottom w:val="single" w:sz="4" w:space="0" w:color="auto"/>
              <w:right w:val="single" w:sz="4" w:space="0" w:color="auto"/>
            </w:tcBorders>
          </w:tcPr>
          <w:p w:rsidR="00706925" w:rsidRPr="004008C6" w:rsidRDefault="00706925" w:rsidP="00706925">
            <w:pPr>
              <w:jc w:val="both"/>
            </w:pPr>
            <w:r w:rsidRPr="004008C6">
              <w:rPr>
                <w:lang w:eastAsia="lv-LV"/>
              </w:rPr>
              <w:t>Nav</w:t>
            </w:r>
          </w:p>
        </w:tc>
      </w:tr>
      <w:tr w:rsidR="00706925" w:rsidRPr="00AF2CC3"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9356" w:type="dxa"/>
            <w:gridSpan w:val="10"/>
            <w:tcBorders>
              <w:top w:val="single" w:sz="4" w:space="0" w:color="auto"/>
              <w:left w:val="single" w:sz="4" w:space="0" w:color="auto"/>
              <w:bottom w:val="single" w:sz="4" w:space="0" w:color="auto"/>
              <w:right w:val="single" w:sz="4" w:space="0" w:color="auto"/>
            </w:tcBorders>
          </w:tcPr>
          <w:p w:rsidR="00706925" w:rsidRPr="00AF2CC3" w:rsidRDefault="00706925" w:rsidP="00706925">
            <w:pPr>
              <w:suppressAutoHyphens w:val="0"/>
              <w:spacing w:before="100" w:beforeAutospacing="1" w:after="100" w:afterAutospacing="1"/>
              <w:jc w:val="center"/>
              <w:rPr>
                <w:iCs/>
              </w:rPr>
            </w:pPr>
            <w:r w:rsidRPr="00AF2CC3">
              <w:rPr>
                <w:b/>
                <w:lang w:eastAsia="lv-LV"/>
              </w:rPr>
              <w:t>V. Tiesību akta projekta atbilstība Latvijas Republikas starptautiskajām saistībām</w:t>
            </w:r>
          </w:p>
        </w:tc>
      </w:tr>
      <w:tr w:rsidR="00706925" w:rsidRPr="00706925"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4" w:type="dxa"/>
            <w:tcBorders>
              <w:top w:val="single" w:sz="4" w:space="0" w:color="auto"/>
              <w:left w:val="single" w:sz="4" w:space="0" w:color="auto"/>
              <w:bottom w:val="single" w:sz="4" w:space="0" w:color="auto"/>
              <w:right w:val="single" w:sz="4" w:space="0" w:color="auto"/>
            </w:tcBorders>
          </w:tcPr>
          <w:p w:rsidR="00706925" w:rsidRPr="00706925" w:rsidRDefault="00706925" w:rsidP="00706925">
            <w:pPr>
              <w:suppressAutoHyphens w:val="0"/>
              <w:spacing w:before="100" w:beforeAutospacing="1" w:after="100" w:afterAutospacing="1"/>
              <w:rPr>
                <w:lang w:eastAsia="lv-LV"/>
              </w:rPr>
            </w:pPr>
            <w:r w:rsidRPr="00706925">
              <w:rPr>
                <w:lang w:eastAsia="lv-LV"/>
              </w:rPr>
              <w:t>1.</w:t>
            </w:r>
          </w:p>
        </w:tc>
        <w:tc>
          <w:tcPr>
            <w:tcW w:w="3544" w:type="dxa"/>
            <w:gridSpan w:val="7"/>
            <w:tcBorders>
              <w:top w:val="single" w:sz="4" w:space="0" w:color="auto"/>
              <w:left w:val="single" w:sz="4" w:space="0" w:color="auto"/>
              <w:bottom w:val="single" w:sz="4" w:space="0" w:color="auto"/>
              <w:right w:val="single" w:sz="4" w:space="0" w:color="auto"/>
            </w:tcBorders>
          </w:tcPr>
          <w:p w:rsidR="00706925" w:rsidRPr="00706925" w:rsidRDefault="00706925" w:rsidP="00706925">
            <w:pPr>
              <w:suppressAutoHyphens w:val="0"/>
              <w:spacing w:before="100" w:beforeAutospacing="1" w:after="100" w:afterAutospacing="1"/>
              <w:rPr>
                <w:lang w:eastAsia="lv-LV"/>
              </w:rPr>
            </w:pPr>
            <w:r w:rsidRPr="00706925">
              <w:rPr>
                <w:lang w:eastAsia="lv-LV"/>
              </w:rPr>
              <w:t>Saistības pret Eiropas Savienību</w:t>
            </w:r>
          </w:p>
        </w:tc>
        <w:tc>
          <w:tcPr>
            <w:tcW w:w="5528" w:type="dxa"/>
            <w:gridSpan w:val="2"/>
            <w:tcBorders>
              <w:top w:val="single" w:sz="4" w:space="0" w:color="auto"/>
              <w:left w:val="single" w:sz="4" w:space="0" w:color="auto"/>
              <w:bottom w:val="single" w:sz="4" w:space="0" w:color="auto"/>
              <w:right w:val="single" w:sz="4" w:space="0" w:color="auto"/>
            </w:tcBorders>
          </w:tcPr>
          <w:p w:rsidR="00706925" w:rsidRPr="004008C6" w:rsidRDefault="00706925" w:rsidP="00706925">
            <w:pPr>
              <w:suppressAutoHyphens w:val="0"/>
              <w:spacing w:before="100" w:beforeAutospacing="1" w:after="100" w:afterAutospacing="1"/>
              <w:rPr>
                <w:lang w:eastAsia="lv-LV"/>
              </w:rPr>
            </w:pPr>
            <w:r w:rsidRPr="004008C6">
              <w:rPr>
                <w:lang w:eastAsia="lv-LV"/>
              </w:rPr>
              <w:t>Nav attiecināms</w:t>
            </w:r>
          </w:p>
        </w:tc>
      </w:tr>
      <w:tr w:rsidR="00706925" w:rsidRPr="00706925"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4" w:type="dxa"/>
            <w:tcBorders>
              <w:top w:val="single" w:sz="4" w:space="0" w:color="auto"/>
              <w:left w:val="single" w:sz="4" w:space="0" w:color="auto"/>
              <w:bottom w:val="single" w:sz="4" w:space="0" w:color="auto"/>
              <w:right w:val="single" w:sz="4" w:space="0" w:color="auto"/>
            </w:tcBorders>
          </w:tcPr>
          <w:p w:rsidR="00706925" w:rsidRPr="00706925" w:rsidRDefault="00706925" w:rsidP="00706925">
            <w:pPr>
              <w:suppressAutoHyphens w:val="0"/>
              <w:spacing w:before="100" w:beforeAutospacing="1" w:after="100" w:afterAutospacing="1"/>
              <w:rPr>
                <w:lang w:eastAsia="lv-LV"/>
              </w:rPr>
            </w:pPr>
            <w:r w:rsidRPr="00706925">
              <w:rPr>
                <w:lang w:eastAsia="lv-LV"/>
              </w:rPr>
              <w:t>2.</w:t>
            </w:r>
          </w:p>
        </w:tc>
        <w:tc>
          <w:tcPr>
            <w:tcW w:w="3544" w:type="dxa"/>
            <w:gridSpan w:val="7"/>
            <w:tcBorders>
              <w:top w:val="single" w:sz="4" w:space="0" w:color="auto"/>
              <w:left w:val="single" w:sz="4" w:space="0" w:color="auto"/>
              <w:bottom w:val="single" w:sz="4" w:space="0" w:color="auto"/>
              <w:right w:val="single" w:sz="4" w:space="0" w:color="auto"/>
            </w:tcBorders>
          </w:tcPr>
          <w:p w:rsidR="00706925" w:rsidRPr="00706925" w:rsidRDefault="00706925" w:rsidP="00706925">
            <w:pPr>
              <w:suppressAutoHyphens w:val="0"/>
              <w:spacing w:before="100" w:beforeAutospacing="1" w:after="100" w:afterAutospacing="1"/>
              <w:rPr>
                <w:lang w:eastAsia="lv-LV"/>
              </w:rPr>
            </w:pPr>
            <w:r w:rsidRPr="00706925">
              <w:rPr>
                <w:lang w:eastAsia="lv-LV"/>
              </w:rPr>
              <w:t>Citas starptautiskās saistības</w:t>
            </w:r>
          </w:p>
        </w:tc>
        <w:tc>
          <w:tcPr>
            <w:tcW w:w="5528" w:type="dxa"/>
            <w:gridSpan w:val="2"/>
            <w:tcBorders>
              <w:top w:val="single" w:sz="4" w:space="0" w:color="auto"/>
              <w:left w:val="single" w:sz="4" w:space="0" w:color="auto"/>
              <w:bottom w:val="single" w:sz="4" w:space="0" w:color="auto"/>
              <w:right w:val="single" w:sz="4" w:space="0" w:color="auto"/>
            </w:tcBorders>
          </w:tcPr>
          <w:p w:rsidR="00706925" w:rsidRPr="004008C6" w:rsidRDefault="00706925" w:rsidP="00283408">
            <w:pPr>
              <w:suppressAutoHyphens w:val="0"/>
              <w:spacing w:before="100" w:beforeAutospacing="1" w:after="100" w:afterAutospacing="1"/>
              <w:jc w:val="both"/>
              <w:rPr>
                <w:lang w:eastAsia="lv-LV"/>
              </w:rPr>
            </w:pPr>
            <w:r w:rsidRPr="004008C6">
              <w:rPr>
                <w:lang w:eastAsia="lv-LV"/>
              </w:rPr>
              <w:t>Noteikumu projektā ir iekļauts atvieglojums personām, kas ir programmas dalībnieki.</w:t>
            </w:r>
          </w:p>
        </w:tc>
      </w:tr>
      <w:tr w:rsidR="00706925" w:rsidRPr="00706925"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4" w:type="dxa"/>
            <w:tcBorders>
              <w:top w:val="single" w:sz="4" w:space="0" w:color="auto"/>
              <w:left w:val="single" w:sz="4" w:space="0" w:color="auto"/>
              <w:bottom w:val="single" w:sz="4" w:space="0" w:color="auto"/>
              <w:right w:val="single" w:sz="4" w:space="0" w:color="auto"/>
            </w:tcBorders>
          </w:tcPr>
          <w:p w:rsidR="00706925" w:rsidRPr="00706925" w:rsidRDefault="00706925" w:rsidP="00706925">
            <w:pPr>
              <w:suppressAutoHyphens w:val="0"/>
              <w:spacing w:before="100" w:beforeAutospacing="1" w:after="100" w:afterAutospacing="1"/>
              <w:rPr>
                <w:lang w:eastAsia="lv-LV"/>
              </w:rPr>
            </w:pPr>
            <w:r w:rsidRPr="00706925">
              <w:rPr>
                <w:lang w:eastAsia="lv-LV"/>
              </w:rPr>
              <w:t>3.</w:t>
            </w:r>
          </w:p>
        </w:tc>
        <w:tc>
          <w:tcPr>
            <w:tcW w:w="3544" w:type="dxa"/>
            <w:gridSpan w:val="7"/>
            <w:tcBorders>
              <w:top w:val="single" w:sz="4" w:space="0" w:color="auto"/>
              <w:left w:val="single" w:sz="4" w:space="0" w:color="auto"/>
              <w:bottom w:val="single" w:sz="4" w:space="0" w:color="auto"/>
              <w:right w:val="single" w:sz="4" w:space="0" w:color="auto"/>
            </w:tcBorders>
          </w:tcPr>
          <w:p w:rsidR="00706925" w:rsidRPr="00706925" w:rsidRDefault="00706925" w:rsidP="00706925">
            <w:pPr>
              <w:suppressAutoHyphens w:val="0"/>
              <w:spacing w:before="100" w:beforeAutospacing="1" w:after="100" w:afterAutospacing="1"/>
              <w:rPr>
                <w:lang w:eastAsia="lv-LV"/>
              </w:rPr>
            </w:pPr>
            <w:r w:rsidRPr="00706925">
              <w:rPr>
                <w:lang w:eastAsia="lv-LV"/>
              </w:rPr>
              <w:t>Cita informācija</w:t>
            </w:r>
          </w:p>
        </w:tc>
        <w:tc>
          <w:tcPr>
            <w:tcW w:w="5528" w:type="dxa"/>
            <w:gridSpan w:val="2"/>
            <w:tcBorders>
              <w:top w:val="single" w:sz="4" w:space="0" w:color="auto"/>
              <w:left w:val="single" w:sz="4" w:space="0" w:color="auto"/>
              <w:bottom w:val="single" w:sz="4" w:space="0" w:color="auto"/>
              <w:right w:val="single" w:sz="4" w:space="0" w:color="auto"/>
            </w:tcBorders>
          </w:tcPr>
          <w:p w:rsidR="00706925" w:rsidRPr="004008C6" w:rsidRDefault="00706925" w:rsidP="00706925">
            <w:pPr>
              <w:suppressAutoHyphens w:val="0"/>
              <w:spacing w:before="100" w:beforeAutospacing="1" w:after="100" w:afterAutospacing="1"/>
              <w:rPr>
                <w:lang w:eastAsia="lv-LV"/>
              </w:rPr>
            </w:pPr>
            <w:r w:rsidRPr="004008C6">
              <w:rPr>
                <w:lang w:eastAsia="lv-LV"/>
              </w:rPr>
              <w:t>Nav</w:t>
            </w:r>
          </w:p>
        </w:tc>
      </w:tr>
      <w:tr w:rsidR="00EB1617" w:rsidRPr="00706925"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9356" w:type="dxa"/>
            <w:gridSpan w:val="10"/>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sidRPr="00AF2CC3">
              <w:rPr>
                <w:lang w:eastAsia="lv-LV"/>
              </w:rPr>
              <w:t>1.tabula</w:t>
            </w:r>
          </w:p>
          <w:p w:rsidR="00EB1617" w:rsidRPr="00706925" w:rsidRDefault="00EB1617" w:rsidP="00EB1617">
            <w:pPr>
              <w:suppressAutoHyphens w:val="0"/>
              <w:spacing w:before="100" w:beforeAutospacing="1" w:after="100" w:afterAutospacing="1"/>
              <w:rPr>
                <w:lang w:eastAsia="lv-LV"/>
              </w:rPr>
            </w:pPr>
            <w:r w:rsidRPr="00AF2CC3">
              <w:rPr>
                <w:lang w:eastAsia="lv-LV"/>
              </w:rPr>
              <w:t>Tiesību akta projekta atbilstība ES tiesību aktiem</w:t>
            </w:r>
          </w:p>
        </w:tc>
      </w:tr>
      <w:tr w:rsidR="00EB1617" w:rsidRPr="00706925"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3828" w:type="dxa"/>
            <w:gridSpan w:val="8"/>
            <w:tcBorders>
              <w:top w:val="single" w:sz="4" w:space="0" w:color="auto"/>
              <w:left w:val="single" w:sz="4" w:space="0" w:color="auto"/>
              <w:bottom w:val="single" w:sz="4" w:space="0" w:color="auto"/>
              <w:right w:val="single" w:sz="4" w:space="0" w:color="auto"/>
            </w:tcBorders>
          </w:tcPr>
          <w:p w:rsidR="00EB1617" w:rsidRPr="00706925" w:rsidRDefault="00EB1617" w:rsidP="00706925">
            <w:pPr>
              <w:suppressAutoHyphens w:val="0"/>
              <w:spacing w:before="100" w:beforeAutospacing="1" w:after="100" w:afterAutospacing="1"/>
              <w:rPr>
                <w:lang w:eastAsia="lv-LV"/>
              </w:rPr>
            </w:pPr>
            <w:r w:rsidRPr="00AF2CC3">
              <w:rPr>
                <w:lang w:eastAsia="lv-LV"/>
              </w:rPr>
              <w:t>Attiecīgā ES tiesību akta datums, numurs un nosaukums</w:t>
            </w:r>
          </w:p>
        </w:tc>
        <w:tc>
          <w:tcPr>
            <w:tcW w:w="5528" w:type="dxa"/>
            <w:gridSpan w:val="2"/>
            <w:tcBorders>
              <w:top w:val="single" w:sz="4" w:space="0" w:color="auto"/>
              <w:left w:val="single" w:sz="4" w:space="0" w:color="auto"/>
              <w:bottom w:val="single" w:sz="4" w:space="0" w:color="auto"/>
              <w:right w:val="single" w:sz="4" w:space="0" w:color="auto"/>
            </w:tcBorders>
          </w:tcPr>
          <w:p w:rsidR="00EB1617" w:rsidRPr="00706925" w:rsidRDefault="00EB1617" w:rsidP="00706925">
            <w:pPr>
              <w:suppressAutoHyphens w:val="0"/>
              <w:spacing w:before="100" w:beforeAutospacing="1" w:after="100" w:afterAutospacing="1"/>
              <w:rPr>
                <w:lang w:eastAsia="lv-LV"/>
              </w:rPr>
            </w:pPr>
            <w:r w:rsidRPr="00AF2CC3">
              <w:rPr>
                <w:lang w:eastAsia="lv-LV"/>
              </w:rPr>
              <w:t xml:space="preserve">Aizpilda, ja ar projektu tiek pārņemts vai ieviests vairāk nekā viens ES tiesību akts – jānorāda tā pati informācija, kas prasīta instrukcijas 55.1.apakšpunktā un jau tikusi norādīta arī </w:t>
            </w:r>
            <w:proofErr w:type="spellStart"/>
            <w:r w:rsidRPr="00AF2CC3">
              <w:rPr>
                <w:lang w:eastAsia="lv-LV"/>
              </w:rPr>
              <w:t>V sadaļas</w:t>
            </w:r>
            <w:proofErr w:type="spellEnd"/>
            <w:r w:rsidRPr="00AF2CC3">
              <w:rPr>
                <w:lang w:eastAsia="lv-LV"/>
              </w:rPr>
              <w:t xml:space="preserve"> 1.punkta ietvaros</w:t>
            </w:r>
          </w:p>
        </w:tc>
      </w:tr>
      <w:tr w:rsidR="00EB1617" w:rsidRPr="00706925"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9356" w:type="dxa"/>
            <w:gridSpan w:val="10"/>
            <w:tcBorders>
              <w:top w:val="single" w:sz="4" w:space="0" w:color="auto"/>
              <w:left w:val="single" w:sz="4" w:space="0" w:color="auto"/>
              <w:bottom w:val="single" w:sz="4" w:space="0" w:color="auto"/>
              <w:right w:val="single" w:sz="4" w:space="0" w:color="auto"/>
            </w:tcBorders>
          </w:tcPr>
          <w:p w:rsidR="00EB1617" w:rsidRPr="005A2001" w:rsidRDefault="00EB1617" w:rsidP="00706925">
            <w:pPr>
              <w:suppressAutoHyphens w:val="0"/>
              <w:spacing w:before="100" w:beforeAutospacing="1" w:after="100" w:afterAutospacing="1"/>
              <w:rPr>
                <w:b/>
                <w:lang w:eastAsia="lv-LV"/>
              </w:rPr>
            </w:pPr>
            <w:r w:rsidRPr="005A2001">
              <w:rPr>
                <w:b/>
                <w:lang w:eastAsia="lv-LV"/>
              </w:rPr>
              <w:t>Nav attiecināms</w:t>
            </w:r>
          </w:p>
        </w:tc>
      </w:tr>
      <w:tr w:rsidR="00EB1617" w:rsidRPr="00706925" w:rsidTr="00EB161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1843" w:type="dxa"/>
            <w:gridSpan w:val="4"/>
            <w:tcBorders>
              <w:top w:val="single" w:sz="4" w:space="0" w:color="auto"/>
              <w:left w:val="single" w:sz="4" w:space="0" w:color="auto"/>
              <w:bottom w:val="single" w:sz="4" w:space="0" w:color="auto"/>
              <w:right w:val="single" w:sz="4" w:space="0" w:color="auto"/>
            </w:tcBorders>
          </w:tcPr>
          <w:p w:rsidR="00EB1617" w:rsidRPr="00706925" w:rsidRDefault="00EB1617" w:rsidP="00706925">
            <w:pPr>
              <w:suppressAutoHyphens w:val="0"/>
              <w:spacing w:before="100" w:beforeAutospacing="1" w:after="100" w:afterAutospacing="1"/>
              <w:rPr>
                <w:lang w:eastAsia="lv-LV"/>
              </w:rPr>
            </w:pPr>
            <w:r>
              <w:rPr>
                <w:lang w:eastAsia="lv-LV"/>
              </w:rPr>
              <w:t>A</w:t>
            </w:r>
          </w:p>
        </w:tc>
        <w:tc>
          <w:tcPr>
            <w:tcW w:w="1985" w:type="dxa"/>
            <w:gridSpan w:val="4"/>
            <w:tcBorders>
              <w:top w:val="single" w:sz="4" w:space="0" w:color="auto"/>
              <w:left w:val="single" w:sz="4" w:space="0" w:color="auto"/>
              <w:bottom w:val="single" w:sz="4" w:space="0" w:color="auto"/>
              <w:right w:val="single" w:sz="4" w:space="0" w:color="auto"/>
            </w:tcBorders>
          </w:tcPr>
          <w:p w:rsidR="00EB1617" w:rsidRPr="00706925" w:rsidRDefault="00EB1617" w:rsidP="00706925">
            <w:pPr>
              <w:suppressAutoHyphens w:val="0"/>
              <w:spacing w:before="100" w:beforeAutospacing="1" w:after="100" w:afterAutospacing="1"/>
              <w:rPr>
                <w:lang w:eastAsia="lv-LV"/>
              </w:rPr>
            </w:pPr>
            <w:r>
              <w:rPr>
                <w:lang w:eastAsia="lv-LV"/>
              </w:rPr>
              <w:t>B</w:t>
            </w:r>
          </w:p>
        </w:tc>
        <w:tc>
          <w:tcPr>
            <w:tcW w:w="2126" w:type="dxa"/>
            <w:tcBorders>
              <w:top w:val="single" w:sz="4" w:space="0" w:color="auto"/>
              <w:left w:val="single" w:sz="4" w:space="0" w:color="auto"/>
              <w:bottom w:val="single" w:sz="4" w:space="0" w:color="auto"/>
              <w:right w:val="single" w:sz="4" w:space="0" w:color="auto"/>
            </w:tcBorders>
          </w:tcPr>
          <w:p w:rsidR="00EB1617" w:rsidRPr="00706925" w:rsidRDefault="00EB1617" w:rsidP="00706925">
            <w:pPr>
              <w:suppressAutoHyphens w:val="0"/>
              <w:spacing w:before="100" w:beforeAutospacing="1" w:after="100" w:afterAutospacing="1"/>
              <w:rPr>
                <w:lang w:eastAsia="lv-LV"/>
              </w:rPr>
            </w:pPr>
            <w:r>
              <w:rPr>
                <w:lang w:eastAsia="lv-LV"/>
              </w:rPr>
              <w:t>C</w:t>
            </w:r>
          </w:p>
        </w:tc>
        <w:tc>
          <w:tcPr>
            <w:tcW w:w="3402" w:type="dxa"/>
            <w:tcBorders>
              <w:top w:val="single" w:sz="4" w:space="0" w:color="auto"/>
              <w:left w:val="single" w:sz="4" w:space="0" w:color="auto"/>
              <w:bottom w:val="single" w:sz="4" w:space="0" w:color="auto"/>
              <w:right w:val="single" w:sz="4" w:space="0" w:color="auto"/>
            </w:tcBorders>
          </w:tcPr>
          <w:p w:rsidR="00EB1617" w:rsidRPr="00706925" w:rsidRDefault="00EB1617" w:rsidP="00706925">
            <w:pPr>
              <w:suppressAutoHyphens w:val="0"/>
              <w:spacing w:before="100" w:beforeAutospacing="1" w:after="100" w:afterAutospacing="1"/>
              <w:rPr>
                <w:lang w:eastAsia="lv-LV"/>
              </w:rPr>
            </w:pPr>
            <w:r>
              <w:rPr>
                <w:lang w:eastAsia="lv-LV"/>
              </w:rPr>
              <w:t>D</w:t>
            </w:r>
          </w:p>
        </w:tc>
      </w:tr>
      <w:tr w:rsidR="00EB1617" w:rsidRPr="00706925" w:rsidTr="00BC0A8C">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3828" w:type="dxa"/>
            <w:gridSpan w:val="8"/>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sidRPr="00AF2CC3">
              <w:rPr>
                <w:lang w:eastAsia="lv-LV"/>
              </w:rPr>
              <w:t>Kā ir izmantota ES tiesību aktā paredzētā rīcības brīvība dalībvalstij pārņemt vai ieviest noteiktas ES tiesību akta normas.</w:t>
            </w:r>
          </w:p>
          <w:p w:rsidR="00EB1617" w:rsidRPr="00706925" w:rsidRDefault="00EB1617" w:rsidP="00EB1617">
            <w:pPr>
              <w:suppressAutoHyphens w:val="0"/>
              <w:spacing w:before="100" w:beforeAutospacing="1" w:after="100" w:afterAutospacing="1"/>
              <w:rPr>
                <w:lang w:eastAsia="lv-LV"/>
              </w:rPr>
            </w:pPr>
            <w:r w:rsidRPr="00AF2CC3">
              <w:rPr>
                <w:lang w:eastAsia="lv-LV"/>
              </w:rPr>
              <w:t>Kādēļ?</w:t>
            </w:r>
          </w:p>
        </w:tc>
        <w:tc>
          <w:tcPr>
            <w:tcW w:w="5528" w:type="dxa"/>
            <w:gridSpan w:val="2"/>
            <w:tcBorders>
              <w:top w:val="single" w:sz="4" w:space="0" w:color="auto"/>
              <w:left w:val="single" w:sz="4" w:space="0" w:color="auto"/>
              <w:bottom w:val="single" w:sz="4" w:space="0" w:color="auto"/>
              <w:right w:val="single" w:sz="4" w:space="0" w:color="auto"/>
            </w:tcBorders>
          </w:tcPr>
          <w:p w:rsidR="00EB1617" w:rsidRPr="004008C6" w:rsidRDefault="00EB1617" w:rsidP="00706925">
            <w:pPr>
              <w:suppressAutoHyphens w:val="0"/>
              <w:spacing w:before="100" w:beforeAutospacing="1" w:after="100" w:afterAutospacing="1"/>
              <w:rPr>
                <w:lang w:eastAsia="lv-LV"/>
              </w:rPr>
            </w:pPr>
            <w:r w:rsidRPr="004008C6">
              <w:rPr>
                <w:lang w:eastAsia="lv-LV"/>
              </w:rPr>
              <w:t>Nav attiecināms</w:t>
            </w:r>
          </w:p>
        </w:tc>
      </w:tr>
      <w:tr w:rsidR="00EB1617" w:rsidRPr="00706925" w:rsidTr="00BC0A8C">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3828" w:type="dxa"/>
            <w:gridSpan w:val="8"/>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sidRPr="00AF2CC3">
              <w:rPr>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28" w:type="dxa"/>
            <w:gridSpan w:val="2"/>
            <w:tcBorders>
              <w:top w:val="single" w:sz="4" w:space="0" w:color="auto"/>
              <w:left w:val="single" w:sz="4" w:space="0" w:color="auto"/>
              <w:bottom w:val="single" w:sz="4" w:space="0" w:color="auto"/>
              <w:right w:val="single" w:sz="4" w:space="0" w:color="auto"/>
            </w:tcBorders>
          </w:tcPr>
          <w:p w:rsidR="00EB1617" w:rsidRPr="004008C6" w:rsidRDefault="00EB1617" w:rsidP="00185574">
            <w:pPr>
              <w:suppressAutoHyphens w:val="0"/>
              <w:spacing w:before="100" w:beforeAutospacing="1" w:after="100" w:afterAutospacing="1"/>
              <w:rPr>
                <w:lang w:eastAsia="lv-LV"/>
              </w:rPr>
            </w:pPr>
            <w:r w:rsidRPr="004008C6">
              <w:rPr>
                <w:lang w:eastAsia="lv-LV"/>
              </w:rPr>
              <w:t>Nav attiecināms</w:t>
            </w:r>
          </w:p>
        </w:tc>
      </w:tr>
      <w:tr w:rsidR="00EB1617" w:rsidRPr="00706925" w:rsidTr="00BC0A8C">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3828" w:type="dxa"/>
            <w:gridSpan w:val="8"/>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sidRPr="00AF2CC3">
              <w:rPr>
                <w:lang w:eastAsia="lv-LV"/>
              </w:rPr>
              <w:t>Cita informācija</w:t>
            </w:r>
          </w:p>
        </w:tc>
        <w:tc>
          <w:tcPr>
            <w:tcW w:w="5528" w:type="dxa"/>
            <w:gridSpan w:val="2"/>
            <w:tcBorders>
              <w:top w:val="single" w:sz="4" w:space="0" w:color="auto"/>
              <w:left w:val="single" w:sz="4" w:space="0" w:color="auto"/>
              <w:bottom w:val="single" w:sz="4" w:space="0" w:color="auto"/>
              <w:right w:val="single" w:sz="4" w:space="0" w:color="auto"/>
            </w:tcBorders>
          </w:tcPr>
          <w:p w:rsidR="00EB1617" w:rsidRPr="004008C6" w:rsidRDefault="00EB1617" w:rsidP="00185574">
            <w:pPr>
              <w:suppressAutoHyphens w:val="0"/>
              <w:spacing w:before="100" w:beforeAutospacing="1" w:after="100" w:afterAutospacing="1"/>
              <w:rPr>
                <w:lang w:eastAsia="lv-LV"/>
              </w:rPr>
            </w:pPr>
            <w:r w:rsidRPr="004008C6">
              <w:rPr>
                <w:lang w:eastAsia="lv-LV"/>
              </w:rPr>
              <w:t>Nav</w:t>
            </w:r>
          </w:p>
        </w:tc>
      </w:tr>
      <w:tr w:rsidR="00EB1617" w:rsidRPr="00706925" w:rsidTr="008D2CD7">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9356" w:type="dxa"/>
            <w:gridSpan w:val="10"/>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sidRPr="00AF2CC3">
              <w:rPr>
                <w:lang w:eastAsia="lv-LV"/>
              </w:rPr>
              <w:t>2.tabula</w:t>
            </w:r>
          </w:p>
          <w:p w:rsidR="00EB1617" w:rsidRPr="00AF2CC3" w:rsidRDefault="00EB1617" w:rsidP="00EB1617">
            <w:pPr>
              <w:spacing w:before="100" w:beforeAutospacing="1" w:after="100" w:afterAutospacing="1"/>
              <w:rPr>
                <w:lang w:eastAsia="lv-LV"/>
              </w:rPr>
            </w:pPr>
            <w:r w:rsidRPr="00AF2CC3">
              <w:rPr>
                <w:lang w:eastAsia="lv-LV"/>
              </w:rPr>
              <w:t>Ar tiesību akta projektu uzņemtās saistības, kas izriet no starptautiskajiem tiesību aktiem vai starptautiskas institūcijas vai organizācijas dokumentiem</w:t>
            </w:r>
          </w:p>
          <w:p w:rsidR="00EB1617" w:rsidRDefault="00EB1617" w:rsidP="00EB1617">
            <w:pPr>
              <w:suppressAutoHyphens w:val="0"/>
              <w:spacing w:before="100" w:beforeAutospacing="1" w:after="100" w:afterAutospacing="1"/>
              <w:rPr>
                <w:lang w:eastAsia="lv-LV"/>
              </w:rPr>
            </w:pPr>
            <w:r w:rsidRPr="00AF2CC3">
              <w:rPr>
                <w:lang w:eastAsia="lv-LV"/>
              </w:rPr>
              <w:t>Pasākumi šo saistību izpildei</w:t>
            </w:r>
          </w:p>
        </w:tc>
      </w:tr>
      <w:tr w:rsidR="00EB1617" w:rsidRPr="00706925" w:rsidTr="00283408">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Pr>
                <w:lang w:eastAsia="lv-LV"/>
              </w:rPr>
              <w:t>A</w:t>
            </w:r>
          </w:p>
        </w:tc>
        <w:tc>
          <w:tcPr>
            <w:tcW w:w="3118" w:type="dxa"/>
            <w:gridSpan w:val="2"/>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Pr>
                <w:lang w:eastAsia="lv-LV"/>
              </w:rPr>
              <w:t>B</w:t>
            </w:r>
          </w:p>
        </w:tc>
        <w:tc>
          <w:tcPr>
            <w:tcW w:w="3402" w:type="dxa"/>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r>
              <w:rPr>
                <w:lang w:eastAsia="lv-LV"/>
              </w:rPr>
              <w:t>C</w:t>
            </w:r>
          </w:p>
        </w:tc>
      </w:tr>
      <w:tr w:rsidR="00EB1617" w:rsidRPr="004008C6" w:rsidTr="00283408">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tcPr>
          <w:p w:rsidR="00EB1617" w:rsidRPr="004008C6" w:rsidRDefault="00EB1617" w:rsidP="00283408">
            <w:pPr>
              <w:jc w:val="both"/>
              <w:rPr>
                <w:lang w:eastAsia="lv-LV"/>
              </w:rPr>
            </w:pPr>
            <w:r w:rsidRPr="004008C6">
              <w:rPr>
                <w:lang w:eastAsia="lv-LV"/>
              </w:rPr>
              <w:t>„</w:t>
            </w:r>
            <w:r w:rsidRPr="004008C6">
              <w:rPr>
                <w:bCs/>
                <w:lang w:eastAsia="lv-LV"/>
              </w:rPr>
              <w:t xml:space="preserve">Muitas konvencija par starptautiskajiem kravu pārvadājumiem, izmantojot </w:t>
            </w:r>
            <w:r w:rsidRPr="004008C6">
              <w:rPr>
                <w:bCs/>
                <w:lang w:eastAsia="lv-LV"/>
              </w:rPr>
              <w:lastRenderedPageBreak/>
              <w:t xml:space="preserve">TIR grāmatiņu” </w:t>
            </w:r>
            <w:r w:rsidRPr="004008C6">
              <w:rPr>
                <w:lang w:eastAsia="lv-LV"/>
              </w:rPr>
              <w:t>9.pielikuma 1. punkts paredz, ka lai varētu darboties TIR procedūrā, personai ir jābūt pierādāmai pieredzei vai vismaz spējām iesaistīties regulāros starptautiskos pārvadājumos.</w:t>
            </w:r>
          </w:p>
        </w:tc>
        <w:tc>
          <w:tcPr>
            <w:tcW w:w="3118" w:type="dxa"/>
            <w:gridSpan w:val="2"/>
            <w:tcBorders>
              <w:top w:val="single" w:sz="4" w:space="0" w:color="auto"/>
              <w:left w:val="single" w:sz="4" w:space="0" w:color="auto"/>
              <w:bottom w:val="single" w:sz="4" w:space="0" w:color="auto"/>
              <w:right w:val="single" w:sz="4" w:space="0" w:color="auto"/>
            </w:tcBorders>
          </w:tcPr>
          <w:p w:rsidR="00EB1617" w:rsidRPr="004008C6" w:rsidRDefault="00EB1617" w:rsidP="00283408">
            <w:pPr>
              <w:spacing w:before="100" w:beforeAutospacing="1" w:after="100" w:afterAutospacing="1"/>
              <w:jc w:val="both"/>
              <w:rPr>
                <w:lang w:eastAsia="lv-LV"/>
              </w:rPr>
            </w:pPr>
            <w:r w:rsidRPr="004008C6">
              <w:rPr>
                <w:lang w:eastAsia="lv-LV"/>
              </w:rPr>
              <w:lastRenderedPageBreak/>
              <w:t>Noteikumu projekta 6.1. punkts</w:t>
            </w:r>
          </w:p>
          <w:p w:rsidR="00EB1617" w:rsidRPr="004008C6" w:rsidRDefault="00EB1617" w:rsidP="00283408">
            <w:pPr>
              <w:spacing w:before="100" w:beforeAutospacing="1" w:after="100" w:afterAutospacing="1"/>
              <w:jc w:val="both"/>
              <w:rPr>
                <w:lang w:eastAsia="lv-LV"/>
              </w:rPr>
            </w:pPr>
          </w:p>
        </w:tc>
        <w:tc>
          <w:tcPr>
            <w:tcW w:w="3402" w:type="dxa"/>
            <w:tcBorders>
              <w:top w:val="single" w:sz="4" w:space="0" w:color="auto"/>
              <w:left w:val="single" w:sz="4" w:space="0" w:color="auto"/>
              <w:bottom w:val="single" w:sz="4" w:space="0" w:color="auto"/>
              <w:right w:val="single" w:sz="4" w:space="0" w:color="auto"/>
            </w:tcBorders>
          </w:tcPr>
          <w:p w:rsidR="00EB1617" w:rsidRPr="004008C6" w:rsidRDefault="00EB1617" w:rsidP="00283408">
            <w:pPr>
              <w:spacing w:before="100" w:beforeAutospacing="1" w:after="100" w:afterAutospacing="1"/>
              <w:jc w:val="both"/>
              <w:rPr>
                <w:lang w:eastAsia="lv-LV"/>
              </w:rPr>
            </w:pPr>
            <w:r w:rsidRPr="004008C6">
              <w:rPr>
                <w:lang w:eastAsia="lv-LV"/>
              </w:rPr>
              <w:t>Tiesību norma tiek izpildīta pilnībā</w:t>
            </w:r>
          </w:p>
          <w:p w:rsidR="00EB1617" w:rsidRPr="004008C6" w:rsidRDefault="00EB1617" w:rsidP="00283408">
            <w:pPr>
              <w:spacing w:before="100" w:beforeAutospacing="1" w:after="100" w:afterAutospacing="1"/>
              <w:jc w:val="both"/>
              <w:rPr>
                <w:lang w:eastAsia="lv-LV"/>
              </w:rPr>
            </w:pPr>
          </w:p>
        </w:tc>
      </w:tr>
      <w:tr w:rsidR="00EB1617" w:rsidRPr="004008C6" w:rsidTr="00283408">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tcPr>
          <w:p w:rsidR="00EB1617" w:rsidRPr="004008C6" w:rsidRDefault="00EB1617" w:rsidP="00283408">
            <w:pPr>
              <w:jc w:val="both"/>
              <w:rPr>
                <w:lang w:eastAsia="lv-LV"/>
              </w:rPr>
            </w:pPr>
            <w:r w:rsidRPr="004008C6">
              <w:rPr>
                <w:lang w:eastAsia="lv-LV"/>
              </w:rPr>
              <w:lastRenderedPageBreak/>
              <w:t>„</w:t>
            </w:r>
            <w:r w:rsidRPr="004008C6">
              <w:rPr>
                <w:bCs/>
                <w:lang w:eastAsia="lv-LV"/>
              </w:rPr>
              <w:t>Muitas konvencija par starptautiskajiem kravu pārvadājumiem, izmantojot TIR grāmatiņu” 9.pielikuma</w:t>
            </w:r>
          </w:p>
          <w:p w:rsidR="00EB1617" w:rsidRPr="004008C6" w:rsidRDefault="00EB1617" w:rsidP="00283408">
            <w:pPr>
              <w:jc w:val="both"/>
              <w:rPr>
                <w:lang w:eastAsia="lv-LV"/>
              </w:rPr>
            </w:pPr>
            <w:r w:rsidRPr="004008C6">
              <w:rPr>
                <w:lang w:eastAsia="lv-LV"/>
              </w:rPr>
              <w:t>2.punkts nosaka, ka papildus un vēl ierobežojošākus nosacījumus un prasības, lai darbotos TIR procedūrā, var izvirzīt līgumslēdzēju pušu tiesīgas institūcijas un pašas asociācijas, ja vien tiesīgas institūcijas neizlemj citādi.</w:t>
            </w:r>
          </w:p>
        </w:tc>
        <w:tc>
          <w:tcPr>
            <w:tcW w:w="3118" w:type="dxa"/>
            <w:gridSpan w:val="2"/>
            <w:tcBorders>
              <w:top w:val="single" w:sz="4" w:space="0" w:color="auto"/>
              <w:left w:val="single" w:sz="4" w:space="0" w:color="auto"/>
              <w:bottom w:val="single" w:sz="4" w:space="0" w:color="auto"/>
              <w:right w:val="single" w:sz="4" w:space="0" w:color="auto"/>
            </w:tcBorders>
          </w:tcPr>
          <w:p w:rsidR="00EB1617" w:rsidRPr="004008C6" w:rsidRDefault="00EB1617" w:rsidP="00283408">
            <w:pPr>
              <w:spacing w:before="100" w:beforeAutospacing="1" w:after="100" w:afterAutospacing="1"/>
              <w:jc w:val="both"/>
              <w:rPr>
                <w:lang w:eastAsia="lv-LV"/>
              </w:rPr>
            </w:pPr>
            <w:r w:rsidRPr="004008C6">
              <w:rPr>
                <w:lang w:eastAsia="lv-LV"/>
              </w:rPr>
              <w:t>Noteikumu projekta 6.2. punkts</w:t>
            </w:r>
          </w:p>
        </w:tc>
        <w:tc>
          <w:tcPr>
            <w:tcW w:w="3402" w:type="dxa"/>
            <w:tcBorders>
              <w:top w:val="single" w:sz="4" w:space="0" w:color="auto"/>
              <w:left w:val="single" w:sz="4" w:space="0" w:color="auto"/>
              <w:bottom w:val="single" w:sz="4" w:space="0" w:color="auto"/>
              <w:right w:val="single" w:sz="4" w:space="0" w:color="auto"/>
            </w:tcBorders>
          </w:tcPr>
          <w:p w:rsidR="00EB1617" w:rsidRPr="004008C6" w:rsidRDefault="00EB1617" w:rsidP="00283408">
            <w:pPr>
              <w:spacing w:before="100" w:beforeAutospacing="1" w:after="100" w:afterAutospacing="1"/>
              <w:jc w:val="both"/>
              <w:rPr>
                <w:lang w:eastAsia="lv-LV"/>
              </w:rPr>
            </w:pPr>
            <w:r w:rsidRPr="004008C6">
              <w:rPr>
                <w:lang w:eastAsia="lv-LV"/>
              </w:rPr>
              <w:t>Tiesību norma tiek izpildīta daļēji, jo līgumslēdzēju pušu tiesīgās institūcijas to var ieviest pēc nepieciešamības. Nākotnē varētu tikt noteikti arī citi papildus nosacījumi un prasības, lai persona varētu darboties TIR procedūrā.</w:t>
            </w:r>
          </w:p>
          <w:p w:rsidR="00EB1617" w:rsidRPr="004008C6" w:rsidRDefault="00EB1617" w:rsidP="00283408">
            <w:pPr>
              <w:spacing w:before="100" w:beforeAutospacing="1" w:after="100" w:afterAutospacing="1"/>
              <w:jc w:val="both"/>
              <w:rPr>
                <w:lang w:eastAsia="lv-LV"/>
              </w:rPr>
            </w:pPr>
            <w:r w:rsidRPr="004008C6">
              <w:rPr>
                <w:lang w:eastAsia="lv-LV"/>
              </w:rPr>
              <w:t>Papildus prasības un nosacījumus nosaka Ministru kabinets.</w:t>
            </w:r>
          </w:p>
          <w:p w:rsidR="00EB1617" w:rsidRPr="004008C6" w:rsidRDefault="00EB1617" w:rsidP="00283408">
            <w:pPr>
              <w:spacing w:before="100" w:beforeAutospacing="1" w:after="100" w:afterAutospacing="1"/>
              <w:jc w:val="both"/>
              <w:rPr>
                <w:lang w:eastAsia="lv-LV"/>
              </w:rPr>
            </w:pPr>
          </w:p>
        </w:tc>
      </w:tr>
      <w:tr w:rsidR="00EB1617" w:rsidRPr="00706925" w:rsidTr="00283408">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tcPr>
          <w:p w:rsidR="00EB1617" w:rsidRPr="00AF2CC3" w:rsidRDefault="00EB1617" w:rsidP="00EB1617">
            <w:pPr>
              <w:rPr>
                <w:lang w:eastAsia="lv-LV"/>
              </w:rPr>
            </w:pPr>
            <w:r w:rsidRPr="00AF2CC3">
              <w:rPr>
                <w:lang w:eastAsia="lv-LV"/>
              </w:rPr>
              <w:t>Vai starptautiskajā dokumentā paredzētās saistības nav pretrunā ar jau esošajām Latvijas Republikas starptautiskajām saistībām</w:t>
            </w:r>
          </w:p>
        </w:tc>
        <w:tc>
          <w:tcPr>
            <w:tcW w:w="3118" w:type="dxa"/>
            <w:gridSpan w:val="2"/>
            <w:tcBorders>
              <w:top w:val="single" w:sz="4" w:space="0" w:color="auto"/>
              <w:left w:val="single" w:sz="4" w:space="0" w:color="auto"/>
              <w:bottom w:val="single" w:sz="4" w:space="0" w:color="auto"/>
              <w:right w:val="single" w:sz="4" w:space="0" w:color="auto"/>
            </w:tcBorders>
          </w:tcPr>
          <w:p w:rsidR="00EB1617" w:rsidRPr="004008C6" w:rsidRDefault="00EB1617" w:rsidP="00EB1617">
            <w:pPr>
              <w:spacing w:before="100" w:beforeAutospacing="1" w:after="100" w:afterAutospacing="1"/>
              <w:rPr>
                <w:lang w:eastAsia="lv-LV"/>
              </w:rPr>
            </w:pPr>
            <w:r w:rsidRPr="004008C6">
              <w:rPr>
                <w:lang w:eastAsia="lv-LV"/>
              </w:rPr>
              <w:t>Nav</w:t>
            </w:r>
          </w:p>
        </w:tc>
        <w:tc>
          <w:tcPr>
            <w:tcW w:w="3402" w:type="dxa"/>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p>
        </w:tc>
      </w:tr>
      <w:tr w:rsidR="00EB1617" w:rsidRPr="00706925" w:rsidTr="00283408">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tcPr>
          <w:p w:rsidR="00EB1617" w:rsidRPr="00AF2CC3" w:rsidRDefault="00EB1617" w:rsidP="00EB1617">
            <w:pPr>
              <w:rPr>
                <w:lang w:eastAsia="lv-LV"/>
              </w:rPr>
            </w:pPr>
            <w:r w:rsidRPr="00AF2CC3">
              <w:rPr>
                <w:lang w:eastAsia="lv-LV"/>
              </w:rPr>
              <w:t>Cita informācija</w:t>
            </w:r>
          </w:p>
        </w:tc>
        <w:tc>
          <w:tcPr>
            <w:tcW w:w="3118" w:type="dxa"/>
            <w:gridSpan w:val="2"/>
            <w:tcBorders>
              <w:top w:val="single" w:sz="4" w:space="0" w:color="auto"/>
              <w:left w:val="single" w:sz="4" w:space="0" w:color="auto"/>
              <w:bottom w:val="single" w:sz="4" w:space="0" w:color="auto"/>
              <w:right w:val="single" w:sz="4" w:space="0" w:color="auto"/>
            </w:tcBorders>
          </w:tcPr>
          <w:p w:rsidR="00EB1617" w:rsidRDefault="00EB1617" w:rsidP="00EB1617">
            <w:pPr>
              <w:spacing w:before="100" w:beforeAutospacing="1" w:after="100" w:afterAutospacing="1"/>
              <w:rPr>
                <w:lang w:eastAsia="lv-LV"/>
              </w:rPr>
            </w:pPr>
            <w:r>
              <w:rPr>
                <w:lang w:eastAsia="lv-LV"/>
              </w:rPr>
              <w:t>Nav</w:t>
            </w:r>
          </w:p>
        </w:tc>
        <w:tc>
          <w:tcPr>
            <w:tcW w:w="3402" w:type="dxa"/>
            <w:tcBorders>
              <w:top w:val="single" w:sz="4" w:space="0" w:color="auto"/>
              <w:left w:val="single" w:sz="4" w:space="0" w:color="auto"/>
              <w:bottom w:val="single" w:sz="4" w:space="0" w:color="auto"/>
              <w:right w:val="single" w:sz="4" w:space="0" w:color="auto"/>
            </w:tcBorders>
          </w:tcPr>
          <w:p w:rsidR="00EB1617" w:rsidRPr="00AF2CC3" w:rsidRDefault="00EB1617" w:rsidP="00EB1617">
            <w:pPr>
              <w:spacing w:before="100" w:beforeAutospacing="1" w:after="100" w:afterAutospacing="1"/>
              <w:rPr>
                <w:lang w:eastAsia="lv-LV"/>
              </w:rPr>
            </w:pPr>
          </w:p>
        </w:tc>
      </w:tr>
      <w:tr w:rsidR="00EB1617" w:rsidRPr="00706925" w:rsidTr="00B85360">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9356" w:type="dxa"/>
            <w:gridSpan w:val="10"/>
            <w:tcBorders>
              <w:top w:val="single" w:sz="4" w:space="0" w:color="auto"/>
              <w:left w:val="single" w:sz="4" w:space="0" w:color="auto"/>
              <w:bottom w:val="single" w:sz="4" w:space="0" w:color="auto"/>
              <w:right w:val="single" w:sz="4" w:space="0" w:color="auto"/>
            </w:tcBorders>
          </w:tcPr>
          <w:p w:rsidR="00EB1617" w:rsidRPr="00AF2CC3" w:rsidRDefault="00EB1617" w:rsidP="00283408">
            <w:pPr>
              <w:spacing w:before="100" w:beforeAutospacing="1" w:after="100" w:afterAutospacing="1"/>
              <w:jc w:val="center"/>
              <w:rPr>
                <w:lang w:eastAsia="lv-LV"/>
              </w:rPr>
            </w:pPr>
            <w:r w:rsidRPr="00AF2CC3">
              <w:rPr>
                <w:b/>
                <w:bCs/>
                <w:lang w:eastAsia="lv-LV"/>
              </w:rPr>
              <w:t>VI. Sabiedrības līdzdalība un šīs līdzdalības rezultāti</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Pr="005A2001" w:rsidRDefault="005A2001" w:rsidP="00EB1617">
            <w:pPr>
              <w:spacing w:before="100" w:beforeAutospacing="1" w:after="100" w:afterAutospacing="1"/>
              <w:rPr>
                <w:bCs/>
                <w:lang w:eastAsia="lv-LV"/>
              </w:rPr>
            </w:pPr>
            <w:r w:rsidRPr="005A2001">
              <w:rPr>
                <w:bCs/>
                <w:lang w:eastAsia="lv-LV"/>
              </w:rPr>
              <w:t xml:space="preserve">1. </w:t>
            </w:r>
          </w:p>
        </w:tc>
        <w:tc>
          <w:tcPr>
            <w:tcW w:w="2126" w:type="dxa"/>
            <w:gridSpan w:val="3"/>
            <w:tcBorders>
              <w:top w:val="single" w:sz="4" w:space="0" w:color="auto"/>
              <w:left w:val="single" w:sz="4" w:space="0" w:color="auto"/>
              <w:bottom w:val="single" w:sz="4" w:space="0" w:color="auto"/>
              <w:right w:val="single" w:sz="4" w:space="0" w:color="auto"/>
            </w:tcBorders>
          </w:tcPr>
          <w:p w:rsidR="005A2001" w:rsidRDefault="005A2001" w:rsidP="00EB1617">
            <w:pPr>
              <w:spacing w:before="100" w:beforeAutospacing="1" w:after="100" w:afterAutospacing="1"/>
              <w:rPr>
                <w:b/>
                <w:bCs/>
                <w:lang w:eastAsia="lv-LV"/>
              </w:rPr>
            </w:pPr>
            <w:r w:rsidRPr="00AF2CC3">
              <w:rPr>
                <w:lang w:eastAsia="lv-LV"/>
              </w:rPr>
              <w:t>Sabiedrības informēšana par projekta izstrādes uzsākšanu</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4008C6" w:rsidRDefault="005A2001" w:rsidP="00283408">
            <w:pPr>
              <w:spacing w:before="100" w:beforeAutospacing="1" w:after="100" w:afterAutospacing="1"/>
              <w:jc w:val="both"/>
              <w:rPr>
                <w:bCs/>
                <w:lang w:eastAsia="lv-LV"/>
              </w:rPr>
            </w:pPr>
            <w:r w:rsidRPr="004008C6">
              <w:rPr>
                <w:lang w:eastAsia="lv-LV"/>
              </w:rPr>
              <w:t>2012.gada 15.maijā informācija par Ministru kabineta noteikumu projekta izstrādi tika nosūtīta biedrībai „Autopārvadātāju asociācijai „Latvijas auto”” un tika saņemts priekšlikums, kas tika ņemts vērā.</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Pr="005A2001" w:rsidRDefault="005A2001" w:rsidP="00EB1617">
            <w:pPr>
              <w:spacing w:before="100" w:beforeAutospacing="1" w:after="100" w:afterAutospacing="1"/>
              <w:rPr>
                <w:bCs/>
                <w:lang w:eastAsia="lv-LV"/>
              </w:rPr>
            </w:pPr>
            <w:r w:rsidRPr="005A2001">
              <w:rPr>
                <w:bCs/>
                <w:lang w:eastAsia="lv-LV"/>
              </w:rPr>
              <w:t>2.</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EB1617">
            <w:pPr>
              <w:spacing w:before="100" w:beforeAutospacing="1" w:after="100" w:afterAutospacing="1"/>
              <w:rPr>
                <w:lang w:eastAsia="lv-LV"/>
              </w:rPr>
            </w:pPr>
            <w:r w:rsidRPr="00AF2CC3">
              <w:rPr>
                <w:lang w:eastAsia="lv-LV"/>
              </w:rPr>
              <w:t>Sabiedrības līdzdalība projekta izstrādē</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4008C6" w:rsidRDefault="005A2001" w:rsidP="00283408">
            <w:pPr>
              <w:ind w:right="85"/>
              <w:jc w:val="both"/>
              <w:rPr>
                <w:lang w:eastAsia="lv-LV"/>
              </w:rPr>
            </w:pPr>
            <w:r w:rsidRPr="004008C6">
              <w:rPr>
                <w:lang w:eastAsia="lv-LV"/>
              </w:rPr>
              <w:t>Ministru kabineta projekta izstrādes gaitā notikušas konsultācijas ar biedrību „Autopārvadātāju asociācija „Latvijas auto””.</w:t>
            </w:r>
          </w:p>
          <w:p w:rsidR="005A2001" w:rsidRPr="004008C6" w:rsidRDefault="005A2001" w:rsidP="00283408">
            <w:pPr>
              <w:spacing w:before="100" w:beforeAutospacing="1" w:after="100" w:afterAutospacing="1"/>
              <w:jc w:val="both"/>
              <w:rPr>
                <w:highlight w:val="yellow"/>
                <w:lang w:eastAsia="lv-LV"/>
              </w:rPr>
            </w:pPr>
            <w:r w:rsidRPr="004008C6">
              <w:rPr>
                <w:lang w:eastAsia="lv-LV"/>
              </w:rPr>
              <w:t>Biedrība „Autopārvadātāju asociācija „Latvijas auto”” piedalījās projekta izstrādē, jo tā noteikumu 5.punktā minētā garantējošā asociācija un tādēļ, ka projektā minētās normas tieši attiecināmas uz asociācijas darbības jomu.</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Pr="005A2001" w:rsidRDefault="005A2001" w:rsidP="005A2001">
            <w:pPr>
              <w:spacing w:before="100" w:beforeAutospacing="1" w:after="100" w:afterAutospacing="1"/>
              <w:rPr>
                <w:bCs/>
                <w:lang w:eastAsia="lv-LV"/>
              </w:rPr>
            </w:pPr>
            <w:r>
              <w:rPr>
                <w:bCs/>
                <w:lang w:eastAsia="lv-LV"/>
              </w:rPr>
              <w:t>3.</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EB1617">
            <w:pPr>
              <w:spacing w:before="100" w:beforeAutospacing="1" w:after="100" w:afterAutospacing="1"/>
              <w:rPr>
                <w:lang w:eastAsia="lv-LV"/>
              </w:rPr>
            </w:pPr>
            <w:r w:rsidRPr="00AF2CC3">
              <w:rPr>
                <w:lang w:eastAsia="lv-LV"/>
              </w:rPr>
              <w:t>Sabiedrības līdzdalības rezultāti</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4008C6" w:rsidRDefault="005A2001" w:rsidP="00283408">
            <w:pPr>
              <w:ind w:right="85"/>
              <w:jc w:val="both"/>
              <w:rPr>
                <w:lang w:eastAsia="lv-LV"/>
              </w:rPr>
            </w:pPr>
            <w:r w:rsidRPr="004008C6">
              <w:rPr>
                <w:lang w:eastAsia="lv-LV"/>
              </w:rPr>
              <w:t>Biedrība „Autopārvadātāju asociācija „Latvijas auto”” projektu atbalsta.</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Pr="005A2001" w:rsidRDefault="005A2001" w:rsidP="00EB1617">
            <w:pPr>
              <w:spacing w:before="100" w:beforeAutospacing="1" w:after="100" w:afterAutospacing="1"/>
              <w:rPr>
                <w:bCs/>
                <w:lang w:eastAsia="lv-LV"/>
              </w:rPr>
            </w:pPr>
            <w:r>
              <w:rPr>
                <w:bCs/>
                <w:lang w:eastAsia="lv-LV"/>
              </w:rPr>
              <w:t>4.</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EB1617">
            <w:pPr>
              <w:spacing w:before="100" w:beforeAutospacing="1" w:after="100" w:afterAutospacing="1"/>
              <w:rPr>
                <w:lang w:eastAsia="lv-LV"/>
              </w:rPr>
            </w:pPr>
            <w:r w:rsidRPr="00AF2CC3">
              <w:rPr>
                <w:lang w:eastAsia="lv-LV"/>
              </w:rPr>
              <w:t>Saeimas un ekspertu līdzdalība</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4008C6" w:rsidRDefault="005A2001" w:rsidP="00283408">
            <w:pPr>
              <w:ind w:right="85"/>
              <w:rPr>
                <w:lang w:eastAsia="lv-LV"/>
              </w:rPr>
            </w:pPr>
            <w:r w:rsidRPr="004008C6">
              <w:rPr>
                <w:lang w:eastAsia="lv-LV"/>
              </w:rPr>
              <w:t>Nav attiecināms</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Default="005A2001" w:rsidP="005A2001">
            <w:pPr>
              <w:spacing w:before="100" w:beforeAutospacing="1" w:after="100" w:afterAutospacing="1"/>
              <w:rPr>
                <w:bCs/>
                <w:lang w:eastAsia="lv-LV"/>
              </w:rPr>
            </w:pPr>
            <w:r>
              <w:rPr>
                <w:bCs/>
                <w:lang w:eastAsia="lv-LV"/>
              </w:rPr>
              <w:t>5.</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EB1617">
            <w:pPr>
              <w:spacing w:before="100" w:beforeAutospacing="1" w:after="100" w:afterAutospacing="1"/>
              <w:rPr>
                <w:lang w:eastAsia="lv-LV"/>
              </w:rPr>
            </w:pPr>
            <w:r w:rsidRPr="00AF2CC3">
              <w:rPr>
                <w:lang w:eastAsia="lv-LV"/>
              </w:rPr>
              <w:t>Cita informācija</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4008C6" w:rsidRDefault="005A2001" w:rsidP="00283408">
            <w:pPr>
              <w:ind w:right="85"/>
              <w:rPr>
                <w:lang w:eastAsia="lv-LV"/>
              </w:rPr>
            </w:pPr>
            <w:r w:rsidRPr="004008C6">
              <w:rPr>
                <w:lang w:eastAsia="lv-LV"/>
              </w:rPr>
              <w:t>Nav</w:t>
            </w:r>
          </w:p>
        </w:tc>
      </w:tr>
      <w:tr w:rsidR="005A2001" w:rsidRPr="00706925" w:rsidTr="00655D99">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9356" w:type="dxa"/>
            <w:gridSpan w:val="10"/>
            <w:tcBorders>
              <w:top w:val="single" w:sz="4" w:space="0" w:color="auto"/>
              <w:left w:val="single" w:sz="4" w:space="0" w:color="auto"/>
              <w:bottom w:val="single" w:sz="4" w:space="0" w:color="auto"/>
              <w:right w:val="single" w:sz="4" w:space="0" w:color="auto"/>
            </w:tcBorders>
          </w:tcPr>
          <w:p w:rsidR="005A2001" w:rsidRPr="004008C6" w:rsidRDefault="005A2001" w:rsidP="005A2001">
            <w:pPr>
              <w:ind w:left="193" w:right="85"/>
              <w:rPr>
                <w:lang w:eastAsia="lv-LV"/>
              </w:rPr>
            </w:pPr>
            <w:r w:rsidRPr="004008C6">
              <w:rPr>
                <w:bCs/>
                <w:kern w:val="0"/>
                <w:lang w:eastAsia="lv-LV"/>
              </w:rPr>
              <w:t>VII. Tiesību akta projekta izpildes nodrošināšana un tās ietekme uz institūcijām</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Default="005A2001" w:rsidP="005A2001">
            <w:pPr>
              <w:spacing w:before="100" w:beforeAutospacing="1" w:after="100" w:afterAutospacing="1"/>
              <w:rPr>
                <w:bCs/>
                <w:lang w:eastAsia="lv-LV"/>
              </w:rPr>
            </w:pPr>
            <w:r>
              <w:rPr>
                <w:bCs/>
                <w:lang w:eastAsia="lv-LV"/>
              </w:rPr>
              <w:t xml:space="preserve">1. </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EB1617">
            <w:pPr>
              <w:spacing w:before="100" w:beforeAutospacing="1" w:after="100" w:afterAutospacing="1"/>
              <w:rPr>
                <w:lang w:eastAsia="lv-LV"/>
              </w:rPr>
            </w:pPr>
            <w:r w:rsidRPr="00AF2CC3">
              <w:rPr>
                <w:kern w:val="0"/>
                <w:lang w:eastAsia="lv-LV"/>
              </w:rPr>
              <w:t>Projekta izpildē iesaistītās institūcijas</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4008C6" w:rsidRDefault="005A2001" w:rsidP="005A2001">
            <w:pPr>
              <w:suppressAutoHyphens w:val="0"/>
              <w:spacing w:before="100" w:beforeAutospacing="1" w:after="100" w:afterAutospacing="1"/>
              <w:jc w:val="both"/>
              <w:rPr>
                <w:kern w:val="0"/>
                <w:lang w:eastAsia="lv-LV"/>
              </w:rPr>
            </w:pPr>
            <w:r w:rsidRPr="004008C6">
              <w:rPr>
                <w:kern w:val="0"/>
                <w:lang w:eastAsia="lv-LV"/>
              </w:rPr>
              <w:t>Valsts ieņēmumu dienests.</w:t>
            </w:r>
          </w:p>
          <w:p w:rsidR="005A2001" w:rsidRPr="004008C6" w:rsidRDefault="005A2001" w:rsidP="00283408">
            <w:pPr>
              <w:ind w:right="85"/>
              <w:rPr>
                <w:lang w:eastAsia="lv-LV"/>
              </w:rPr>
            </w:pPr>
            <w:r w:rsidRPr="004008C6">
              <w:rPr>
                <w:lang w:eastAsia="lv-LV"/>
              </w:rPr>
              <w:lastRenderedPageBreak/>
              <w:t>Biedrība „Autopārvadātāju asociācija „Latvijas auto””</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Default="005A2001" w:rsidP="005A2001">
            <w:pPr>
              <w:spacing w:before="100" w:beforeAutospacing="1" w:after="100" w:afterAutospacing="1"/>
              <w:rPr>
                <w:bCs/>
                <w:lang w:eastAsia="lv-LV"/>
              </w:rPr>
            </w:pPr>
            <w:r>
              <w:rPr>
                <w:bCs/>
                <w:lang w:eastAsia="lv-LV"/>
              </w:rPr>
              <w:lastRenderedPageBreak/>
              <w:t>2.</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EB1617">
            <w:pPr>
              <w:spacing w:before="100" w:beforeAutospacing="1" w:after="100" w:afterAutospacing="1"/>
              <w:rPr>
                <w:kern w:val="0"/>
                <w:lang w:eastAsia="lv-LV"/>
              </w:rPr>
            </w:pPr>
            <w:r w:rsidRPr="00AF2CC3">
              <w:rPr>
                <w:kern w:val="0"/>
                <w:lang w:eastAsia="lv-LV"/>
              </w:rPr>
              <w:t>Projekta izpildes ietekme uz pārvaldes funkcijām</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spacing w:before="100" w:beforeAutospacing="1" w:after="100" w:afterAutospacing="1"/>
              <w:jc w:val="both"/>
              <w:rPr>
                <w:kern w:val="0"/>
                <w:lang w:eastAsia="lv-LV"/>
              </w:rPr>
            </w:pPr>
            <w:r w:rsidRPr="00AF2CC3">
              <w:rPr>
                <w:kern w:val="0"/>
                <w:lang w:eastAsia="lv-LV"/>
              </w:rPr>
              <w:t>Nav attiecināms.</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Default="005A2001" w:rsidP="005A2001">
            <w:pPr>
              <w:spacing w:before="100" w:beforeAutospacing="1" w:after="100" w:afterAutospacing="1"/>
              <w:rPr>
                <w:bCs/>
                <w:lang w:eastAsia="lv-LV"/>
              </w:rPr>
            </w:pPr>
            <w:r>
              <w:rPr>
                <w:bCs/>
                <w:lang w:eastAsia="lv-LV"/>
              </w:rPr>
              <w:t>3.</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rPr>
                <w:kern w:val="0"/>
                <w:lang w:eastAsia="lv-LV"/>
              </w:rPr>
            </w:pPr>
            <w:r w:rsidRPr="00AF2CC3">
              <w:rPr>
                <w:kern w:val="0"/>
                <w:lang w:eastAsia="lv-LV"/>
              </w:rPr>
              <w:t>Projekta izpildes ietekme uz pārvaldes institucionālo struktūru.</w:t>
            </w:r>
          </w:p>
          <w:p w:rsidR="005A2001" w:rsidRPr="00AF2CC3" w:rsidRDefault="005A2001" w:rsidP="005A2001">
            <w:pPr>
              <w:spacing w:before="100" w:beforeAutospacing="1" w:after="100" w:afterAutospacing="1"/>
              <w:rPr>
                <w:kern w:val="0"/>
                <w:lang w:eastAsia="lv-LV"/>
              </w:rPr>
            </w:pPr>
            <w:r w:rsidRPr="00AF2CC3">
              <w:rPr>
                <w:kern w:val="0"/>
                <w:lang w:eastAsia="lv-LV"/>
              </w:rPr>
              <w:t>Jaunu institūciju izveide</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spacing w:before="100" w:beforeAutospacing="1" w:after="100" w:afterAutospacing="1"/>
              <w:jc w:val="both"/>
              <w:rPr>
                <w:kern w:val="0"/>
                <w:lang w:eastAsia="lv-LV"/>
              </w:rPr>
            </w:pPr>
            <w:r w:rsidRPr="00AF2CC3">
              <w:rPr>
                <w:kern w:val="0"/>
                <w:lang w:eastAsia="lv-LV"/>
              </w:rPr>
              <w:t>Nav attiecināms.</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Default="005A2001" w:rsidP="005A2001">
            <w:pPr>
              <w:spacing w:before="100" w:beforeAutospacing="1" w:after="100" w:afterAutospacing="1"/>
              <w:rPr>
                <w:bCs/>
                <w:lang w:eastAsia="lv-LV"/>
              </w:rPr>
            </w:pPr>
            <w:r>
              <w:rPr>
                <w:bCs/>
                <w:lang w:eastAsia="lv-LV"/>
              </w:rPr>
              <w:t>4.</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rPr>
                <w:kern w:val="0"/>
                <w:lang w:eastAsia="lv-LV"/>
              </w:rPr>
            </w:pPr>
            <w:r w:rsidRPr="00AF2CC3">
              <w:rPr>
                <w:kern w:val="0"/>
                <w:lang w:eastAsia="lv-LV"/>
              </w:rPr>
              <w:t>Projekta izpildes ietekme uz pārvaldes institucionālo struktūru.</w:t>
            </w:r>
          </w:p>
          <w:p w:rsidR="005A2001" w:rsidRPr="00AF2CC3" w:rsidRDefault="005A2001" w:rsidP="005A2001">
            <w:pPr>
              <w:spacing w:before="100" w:beforeAutospacing="1" w:after="100" w:afterAutospacing="1"/>
              <w:rPr>
                <w:kern w:val="0"/>
                <w:lang w:eastAsia="lv-LV"/>
              </w:rPr>
            </w:pPr>
            <w:r w:rsidRPr="00AF2CC3">
              <w:rPr>
                <w:kern w:val="0"/>
                <w:lang w:eastAsia="lv-LV"/>
              </w:rPr>
              <w:t>Esošu institūciju likvidācija</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spacing w:before="100" w:beforeAutospacing="1" w:after="100" w:afterAutospacing="1"/>
              <w:jc w:val="both"/>
              <w:rPr>
                <w:kern w:val="0"/>
                <w:lang w:eastAsia="lv-LV"/>
              </w:rPr>
            </w:pPr>
            <w:r w:rsidRPr="00AF2CC3">
              <w:rPr>
                <w:kern w:val="0"/>
                <w:lang w:eastAsia="lv-LV"/>
              </w:rPr>
              <w:t>Nav attiecināms.</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Default="005A2001" w:rsidP="005A2001">
            <w:pPr>
              <w:spacing w:before="100" w:beforeAutospacing="1" w:after="100" w:afterAutospacing="1"/>
              <w:rPr>
                <w:bCs/>
                <w:lang w:eastAsia="lv-LV"/>
              </w:rPr>
            </w:pPr>
            <w:r>
              <w:rPr>
                <w:bCs/>
                <w:lang w:eastAsia="lv-LV"/>
              </w:rPr>
              <w:t>5.</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rPr>
                <w:kern w:val="0"/>
                <w:lang w:eastAsia="lv-LV"/>
              </w:rPr>
            </w:pPr>
            <w:r w:rsidRPr="00AF2CC3">
              <w:rPr>
                <w:kern w:val="0"/>
                <w:lang w:eastAsia="lv-LV"/>
              </w:rPr>
              <w:t xml:space="preserve">Esošu institūciju reorganizācija </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spacing w:before="100" w:beforeAutospacing="1" w:after="100" w:afterAutospacing="1"/>
              <w:jc w:val="both"/>
              <w:rPr>
                <w:kern w:val="0"/>
                <w:lang w:eastAsia="lv-LV"/>
              </w:rPr>
            </w:pPr>
            <w:r w:rsidRPr="00AF2CC3">
              <w:rPr>
                <w:kern w:val="0"/>
                <w:lang w:eastAsia="lv-LV"/>
              </w:rPr>
              <w:t>Nav attiecināms.</w:t>
            </w:r>
          </w:p>
        </w:tc>
      </w:tr>
      <w:tr w:rsidR="005A2001" w:rsidRPr="00706925" w:rsidTr="005A2001">
        <w:tblPrEx>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Ex>
        <w:tc>
          <w:tcPr>
            <w:tcW w:w="426" w:type="dxa"/>
            <w:gridSpan w:val="3"/>
            <w:tcBorders>
              <w:top w:val="single" w:sz="4" w:space="0" w:color="auto"/>
              <w:left w:val="single" w:sz="4" w:space="0" w:color="auto"/>
              <w:bottom w:val="single" w:sz="4" w:space="0" w:color="auto"/>
              <w:right w:val="single" w:sz="4" w:space="0" w:color="auto"/>
            </w:tcBorders>
          </w:tcPr>
          <w:p w:rsidR="005A2001" w:rsidRDefault="005A2001" w:rsidP="005A2001">
            <w:pPr>
              <w:spacing w:before="100" w:beforeAutospacing="1" w:after="100" w:afterAutospacing="1"/>
              <w:rPr>
                <w:bCs/>
                <w:lang w:eastAsia="lv-LV"/>
              </w:rPr>
            </w:pPr>
            <w:r>
              <w:rPr>
                <w:bCs/>
                <w:lang w:eastAsia="lv-LV"/>
              </w:rPr>
              <w:t>6.</w:t>
            </w:r>
          </w:p>
        </w:tc>
        <w:tc>
          <w:tcPr>
            <w:tcW w:w="2126" w:type="dxa"/>
            <w:gridSpan w:val="3"/>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rPr>
                <w:kern w:val="0"/>
                <w:lang w:eastAsia="lv-LV"/>
              </w:rPr>
            </w:pPr>
            <w:r w:rsidRPr="00AF2CC3">
              <w:rPr>
                <w:kern w:val="0"/>
                <w:lang w:eastAsia="lv-LV"/>
              </w:rPr>
              <w:t>Cita informācija</w:t>
            </w:r>
          </w:p>
        </w:tc>
        <w:tc>
          <w:tcPr>
            <w:tcW w:w="6804" w:type="dxa"/>
            <w:gridSpan w:val="4"/>
            <w:tcBorders>
              <w:top w:val="single" w:sz="4" w:space="0" w:color="auto"/>
              <w:left w:val="single" w:sz="4" w:space="0" w:color="auto"/>
              <w:bottom w:val="single" w:sz="4" w:space="0" w:color="auto"/>
              <w:right w:val="single" w:sz="4" w:space="0" w:color="auto"/>
            </w:tcBorders>
          </w:tcPr>
          <w:p w:rsidR="005A2001" w:rsidRPr="00AF2CC3" w:rsidRDefault="005A2001" w:rsidP="005A2001">
            <w:pPr>
              <w:suppressAutoHyphens w:val="0"/>
              <w:spacing w:before="100" w:beforeAutospacing="1" w:after="100" w:afterAutospacing="1"/>
              <w:jc w:val="both"/>
              <w:rPr>
                <w:kern w:val="0"/>
                <w:lang w:eastAsia="lv-LV"/>
              </w:rPr>
            </w:pPr>
            <w:r>
              <w:rPr>
                <w:kern w:val="0"/>
                <w:lang w:eastAsia="lv-LV"/>
              </w:rPr>
              <w:t>Nav</w:t>
            </w:r>
          </w:p>
        </w:tc>
      </w:tr>
    </w:tbl>
    <w:p w:rsidR="001C6ECF" w:rsidRPr="00AF2CC3" w:rsidRDefault="001C6ECF" w:rsidP="00BF379B">
      <w:pPr>
        <w:suppressAutoHyphens w:val="0"/>
        <w:spacing w:before="74" w:after="74"/>
        <w:jc w:val="both"/>
        <w:rPr>
          <w:b/>
          <w:iCs/>
        </w:rPr>
      </w:pPr>
    </w:p>
    <w:p w:rsidR="00E3225D" w:rsidRPr="00AF2CC3" w:rsidRDefault="00937108" w:rsidP="009B596A">
      <w:pPr>
        <w:suppressAutoHyphens w:val="0"/>
        <w:spacing w:before="74" w:after="74"/>
        <w:ind w:firstLine="902"/>
        <w:jc w:val="both"/>
        <w:rPr>
          <w:iCs/>
          <w:szCs w:val="28"/>
        </w:rPr>
      </w:pPr>
      <w:r w:rsidRPr="00AF2CC3">
        <w:rPr>
          <w:iCs/>
          <w:szCs w:val="28"/>
        </w:rPr>
        <w:t xml:space="preserve">Anotācijas </w:t>
      </w:r>
      <w:r w:rsidR="00610C06" w:rsidRPr="00AF2CC3">
        <w:rPr>
          <w:iCs/>
          <w:szCs w:val="28"/>
        </w:rPr>
        <w:t>III</w:t>
      </w:r>
      <w:r w:rsidR="009B596A" w:rsidRPr="00AF2CC3">
        <w:rPr>
          <w:iCs/>
          <w:szCs w:val="28"/>
        </w:rPr>
        <w:t xml:space="preserve"> sadaļa</w:t>
      </w:r>
      <w:r w:rsidR="009B596A" w:rsidRPr="00AF2CC3">
        <w:rPr>
          <w:szCs w:val="28"/>
          <w:lang w:eastAsia="lv-LV"/>
        </w:rPr>
        <w:t xml:space="preserve"> uz Ministru kabineta noteikumu projektu nav attiecināma.</w:t>
      </w:r>
    </w:p>
    <w:p w:rsidR="005C7390" w:rsidRPr="00AF2CC3" w:rsidRDefault="005C7390" w:rsidP="00897727">
      <w:pPr>
        <w:pStyle w:val="Heading5"/>
        <w:tabs>
          <w:tab w:val="left" w:pos="7200"/>
        </w:tabs>
        <w:rPr>
          <w:b w:val="0"/>
          <w:i w:val="0"/>
          <w:sz w:val="24"/>
          <w:szCs w:val="28"/>
        </w:rPr>
      </w:pPr>
    </w:p>
    <w:p w:rsidR="00EB752D" w:rsidRPr="00EB752D" w:rsidRDefault="00EB752D" w:rsidP="00EB752D">
      <w:pPr>
        <w:suppressAutoHyphens w:val="0"/>
        <w:jc w:val="both"/>
        <w:rPr>
          <w:kern w:val="0"/>
          <w:szCs w:val="28"/>
          <w:lang w:eastAsia="en-US"/>
        </w:rPr>
      </w:pPr>
      <w:r w:rsidRPr="00EB752D">
        <w:rPr>
          <w:kern w:val="0"/>
          <w:szCs w:val="28"/>
          <w:lang w:eastAsia="en-US"/>
        </w:rPr>
        <w:t>Finanšu ministrs                                                                               A.Vilks</w:t>
      </w:r>
    </w:p>
    <w:p w:rsidR="005C7390" w:rsidRPr="009418B7" w:rsidRDefault="005C7390" w:rsidP="00B76B05">
      <w:pPr>
        <w:suppressAutoHyphens w:val="0"/>
        <w:jc w:val="both"/>
        <w:rPr>
          <w:color w:val="000000"/>
          <w:sz w:val="28"/>
          <w:szCs w:val="28"/>
        </w:rPr>
      </w:pPr>
    </w:p>
    <w:p w:rsidR="005C7390" w:rsidRPr="009418B7" w:rsidRDefault="005C7390" w:rsidP="00B76B05">
      <w:pPr>
        <w:suppressAutoHyphens w:val="0"/>
        <w:jc w:val="both"/>
        <w:rPr>
          <w:color w:val="000000"/>
          <w:sz w:val="28"/>
          <w:szCs w:val="28"/>
        </w:rPr>
      </w:pPr>
    </w:p>
    <w:p w:rsidR="00B76B05" w:rsidRPr="00426C85" w:rsidRDefault="004008C6" w:rsidP="00B76B05">
      <w:pPr>
        <w:suppressAutoHyphens w:val="0"/>
        <w:jc w:val="both"/>
        <w:rPr>
          <w:rFonts w:eastAsia="Calibri"/>
          <w:kern w:val="0"/>
          <w:sz w:val="22"/>
          <w:szCs w:val="28"/>
          <w:lang w:eastAsia="en-US"/>
        </w:rPr>
      </w:pPr>
      <w:r>
        <w:rPr>
          <w:rFonts w:eastAsia="Calibri"/>
          <w:kern w:val="0"/>
          <w:sz w:val="22"/>
          <w:szCs w:val="28"/>
          <w:lang w:eastAsia="en-US"/>
        </w:rPr>
        <w:t>15</w:t>
      </w:r>
      <w:r w:rsidR="009F3D3C" w:rsidRPr="00426C85">
        <w:rPr>
          <w:rFonts w:eastAsia="Calibri"/>
          <w:kern w:val="0"/>
          <w:sz w:val="22"/>
          <w:szCs w:val="28"/>
          <w:lang w:eastAsia="en-US"/>
        </w:rPr>
        <w:t>.0</w:t>
      </w:r>
      <w:r w:rsidR="00DF10CE">
        <w:rPr>
          <w:rFonts w:eastAsia="Calibri"/>
          <w:kern w:val="0"/>
          <w:sz w:val="22"/>
          <w:szCs w:val="28"/>
          <w:lang w:eastAsia="en-US"/>
        </w:rPr>
        <w:t>6</w:t>
      </w:r>
      <w:r w:rsidR="00297EBA" w:rsidRPr="00426C85">
        <w:rPr>
          <w:rFonts w:eastAsia="Calibri"/>
          <w:kern w:val="0"/>
          <w:sz w:val="22"/>
          <w:szCs w:val="28"/>
          <w:lang w:eastAsia="en-US"/>
        </w:rPr>
        <w:t>.</w:t>
      </w:r>
      <w:r w:rsidR="00B76B05" w:rsidRPr="00426C85">
        <w:rPr>
          <w:rFonts w:eastAsia="Calibri"/>
          <w:kern w:val="0"/>
          <w:sz w:val="22"/>
          <w:szCs w:val="28"/>
          <w:lang w:eastAsia="en-US"/>
        </w:rPr>
        <w:t>201</w:t>
      </w:r>
      <w:r w:rsidR="00297EBA" w:rsidRPr="00426C85">
        <w:rPr>
          <w:rFonts w:eastAsia="Calibri"/>
          <w:kern w:val="0"/>
          <w:sz w:val="22"/>
          <w:szCs w:val="28"/>
          <w:lang w:eastAsia="en-US"/>
        </w:rPr>
        <w:t>2</w:t>
      </w:r>
      <w:r w:rsidR="00B76B05" w:rsidRPr="00426C85">
        <w:rPr>
          <w:rFonts w:eastAsia="Calibri"/>
          <w:kern w:val="0"/>
          <w:sz w:val="22"/>
          <w:szCs w:val="28"/>
          <w:lang w:eastAsia="en-US"/>
        </w:rPr>
        <w:t xml:space="preserve"> </w:t>
      </w:r>
      <w:r w:rsidR="00070073" w:rsidRPr="00426C85">
        <w:rPr>
          <w:rFonts w:eastAsia="Calibri"/>
          <w:kern w:val="0"/>
          <w:sz w:val="22"/>
          <w:szCs w:val="28"/>
          <w:lang w:eastAsia="en-US"/>
        </w:rPr>
        <w:t>1</w:t>
      </w:r>
      <w:r w:rsidR="00070073">
        <w:rPr>
          <w:rFonts w:eastAsia="Calibri"/>
          <w:kern w:val="0"/>
          <w:sz w:val="22"/>
          <w:szCs w:val="28"/>
          <w:lang w:eastAsia="en-US"/>
        </w:rPr>
        <w:t>2</w:t>
      </w:r>
      <w:r w:rsidR="009F3D3C" w:rsidRPr="00426C85">
        <w:rPr>
          <w:rFonts w:eastAsia="Calibri"/>
          <w:kern w:val="0"/>
          <w:sz w:val="22"/>
          <w:szCs w:val="28"/>
          <w:lang w:eastAsia="en-US"/>
        </w:rPr>
        <w:t>:00</w:t>
      </w:r>
    </w:p>
    <w:p w:rsidR="008F5FDE" w:rsidRPr="00426C85" w:rsidRDefault="00283408" w:rsidP="00B76B05">
      <w:pPr>
        <w:suppressAutoHyphens w:val="0"/>
        <w:jc w:val="both"/>
        <w:rPr>
          <w:rFonts w:eastAsia="Calibri"/>
          <w:kern w:val="0"/>
          <w:sz w:val="22"/>
          <w:szCs w:val="28"/>
          <w:lang w:eastAsia="en-US"/>
        </w:rPr>
      </w:pPr>
      <w:r>
        <w:rPr>
          <w:rFonts w:eastAsia="Calibri"/>
          <w:kern w:val="0"/>
          <w:sz w:val="22"/>
          <w:szCs w:val="28"/>
          <w:lang w:eastAsia="en-US"/>
        </w:rPr>
        <w:t>14</w:t>
      </w:r>
      <w:r w:rsidR="00EB752D">
        <w:rPr>
          <w:rFonts w:eastAsia="Calibri"/>
          <w:kern w:val="0"/>
          <w:sz w:val="22"/>
          <w:szCs w:val="28"/>
          <w:lang w:eastAsia="en-US"/>
        </w:rPr>
        <w:t>58</w:t>
      </w:r>
      <w:bookmarkStart w:id="2" w:name="_GoBack"/>
      <w:bookmarkEnd w:id="2"/>
    </w:p>
    <w:p w:rsidR="00B76B05" w:rsidRPr="00426C85" w:rsidRDefault="009F3D3C" w:rsidP="00B76B05">
      <w:pPr>
        <w:suppressAutoHyphens w:val="0"/>
        <w:jc w:val="both"/>
        <w:rPr>
          <w:rFonts w:eastAsia="Calibri"/>
          <w:kern w:val="0"/>
          <w:sz w:val="22"/>
          <w:szCs w:val="28"/>
          <w:lang w:eastAsia="en-US"/>
        </w:rPr>
      </w:pPr>
      <w:r w:rsidRPr="00426C85">
        <w:rPr>
          <w:rFonts w:eastAsia="Calibri"/>
          <w:kern w:val="0"/>
          <w:sz w:val="22"/>
          <w:szCs w:val="28"/>
          <w:lang w:eastAsia="en-US"/>
        </w:rPr>
        <w:t>J.Krastiņa</w:t>
      </w:r>
      <w:r w:rsidR="00B76B05" w:rsidRPr="00426C85">
        <w:rPr>
          <w:rFonts w:eastAsia="Calibri"/>
          <w:kern w:val="0"/>
          <w:sz w:val="22"/>
          <w:szCs w:val="28"/>
          <w:lang w:eastAsia="en-US"/>
        </w:rPr>
        <w:t xml:space="preserve">, </w:t>
      </w:r>
      <w:r w:rsidR="00340252" w:rsidRPr="00426C85">
        <w:rPr>
          <w:rFonts w:eastAsia="Calibri"/>
          <w:kern w:val="0"/>
          <w:sz w:val="22"/>
          <w:szCs w:val="28"/>
          <w:lang w:eastAsia="en-US"/>
        </w:rPr>
        <w:t>670955</w:t>
      </w:r>
      <w:r w:rsidRPr="00426C85">
        <w:rPr>
          <w:rFonts w:eastAsia="Calibri"/>
          <w:kern w:val="0"/>
          <w:sz w:val="22"/>
          <w:szCs w:val="28"/>
          <w:lang w:eastAsia="en-US"/>
        </w:rPr>
        <w:t>64</w:t>
      </w:r>
    </w:p>
    <w:p w:rsidR="00B76B05" w:rsidRPr="00426C85" w:rsidRDefault="00EB752D" w:rsidP="00B76B05">
      <w:pPr>
        <w:suppressAutoHyphens w:val="0"/>
        <w:jc w:val="both"/>
        <w:rPr>
          <w:rFonts w:eastAsia="Calibri"/>
          <w:kern w:val="0"/>
          <w:sz w:val="22"/>
          <w:szCs w:val="28"/>
          <w:lang w:eastAsia="en-US"/>
        </w:rPr>
      </w:pPr>
      <w:hyperlink r:id="rId12" w:history="1">
        <w:r w:rsidR="00426C85" w:rsidRPr="00426C85">
          <w:rPr>
            <w:rStyle w:val="Hyperlink"/>
            <w:rFonts w:eastAsia="Calibri"/>
            <w:kern w:val="0"/>
            <w:sz w:val="22"/>
            <w:szCs w:val="28"/>
            <w:lang w:eastAsia="en-US"/>
          </w:rPr>
          <w:t>Jolanta.Krastina@fm.gov.lv</w:t>
        </w:r>
      </w:hyperlink>
    </w:p>
    <w:p w:rsidR="00EE69AD" w:rsidRPr="009418B7" w:rsidRDefault="00EE69AD" w:rsidP="00897727">
      <w:pPr>
        <w:pStyle w:val="NormalWeb"/>
        <w:tabs>
          <w:tab w:val="left" w:pos="7200"/>
          <w:tab w:val="left" w:pos="11199"/>
        </w:tabs>
        <w:spacing w:before="0" w:after="0"/>
        <w:jc w:val="left"/>
        <w:rPr>
          <w:sz w:val="28"/>
          <w:szCs w:val="28"/>
        </w:rPr>
      </w:pPr>
    </w:p>
    <w:sectPr w:rsidR="00EE69AD" w:rsidRPr="009418B7" w:rsidSect="00624BA1">
      <w:headerReference w:type="even" r:id="rId13"/>
      <w:headerReference w:type="default" r:id="rId14"/>
      <w:footerReference w:type="default" r:id="rId15"/>
      <w:footerReference w:type="first" r:id="rId16"/>
      <w:pgSz w:w="11905" w:h="16837"/>
      <w:pgMar w:top="1134" w:right="1134" w:bottom="1134" w:left="1701"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F8" w:rsidRDefault="006B74F8">
      <w:r>
        <w:separator/>
      </w:r>
    </w:p>
  </w:endnote>
  <w:endnote w:type="continuationSeparator" w:id="0">
    <w:p w:rsidR="006B74F8" w:rsidRDefault="006B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DC" w:rsidRPr="00271903" w:rsidRDefault="00DF01DC" w:rsidP="00271903">
    <w:pPr>
      <w:suppressAutoHyphens w:val="0"/>
      <w:jc w:val="both"/>
      <w:rPr>
        <w:sz w:val="20"/>
        <w:szCs w:val="22"/>
      </w:rPr>
    </w:pPr>
    <w:r w:rsidRPr="00271903">
      <w:rPr>
        <w:bCs/>
        <w:sz w:val="20"/>
        <w:szCs w:val="22"/>
      </w:rPr>
      <w:t>FMAnot_</w:t>
    </w:r>
    <w:r w:rsidR="004008C6">
      <w:rPr>
        <w:bCs/>
        <w:sz w:val="20"/>
        <w:szCs w:val="22"/>
      </w:rPr>
      <w:t>15</w:t>
    </w:r>
    <w:r>
      <w:rPr>
        <w:bCs/>
        <w:sz w:val="20"/>
        <w:szCs w:val="22"/>
      </w:rPr>
      <w:t>06</w:t>
    </w:r>
    <w:r w:rsidRPr="00271903">
      <w:rPr>
        <w:bCs/>
        <w:sz w:val="20"/>
        <w:szCs w:val="22"/>
      </w:rPr>
      <w:t>12_tranz</w:t>
    </w:r>
    <w:r w:rsidR="00624BA1">
      <w:rPr>
        <w:bCs/>
        <w:sz w:val="20"/>
        <w:szCs w:val="22"/>
      </w:rPr>
      <w:t>i</w:t>
    </w:r>
    <w:r w:rsidRPr="00271903">
      <w:rPr>
        <w:bCs/>
        <w:sz w:val="20"/>
        <w:szCs w:val="22"/>
      </w:rPr>
      <w:t>ts:  Ministru kabineta noteikumu projekta „</w:t>
    </w:r>
    <w:r w:rsidRPr="00271903">
      <w:rPr>
        <w:rFonts w:eastAsia="Calibri"/>
        <w:kern w:val="0"/>
        <w:sz w:val="20"/>
        <w:szCs w:val="22"/>
        <w:lang w:eastAsia="en-US"/>
      </w:rPr>
      <w:t>Grozījums Ministru kabineta 2010.gada 21.decembra noteikumos Nr.1135 „Muitas procedūras – tranzīts – piemērošanas kārtība”</w:t>
    </w:r>
    <w:r>
      <w:rPr>
        <w:rFonts w:eastAsia="Calibri"/>
        <w:kern w:val="0"/>
        <w:sz w:val="20"/>
        <w:szCs w:val="22"/>
        <w:lang w:eastAsia="en-US"/>
      </w:rPr>
      <w:t xml:space="preserve"> </w:t>
    </w:r>
    <w:r w:rsidRPr="00271903">
      <w:rPr>
        <w:bCs/>
        <w:sz w:val="20"/>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DC" w:rsidRPr="0025002A" w:rsidRDefault="00DF01DC" w:rsidP="0025002A">
    <w:pPr>
      <w:jc w:val="both"/>
      <w:rPr>
        <w:kern w:val="0"/>
        <w:sz w:val="20"/>
        <w:szCs w:val="20"/>
        <w:lang w:eastAsia="en-US"/>
      </w:rPr>
    </w:pPr>
    <w:r w:rsidRPr="0025002A">
      <w:rPr>
        <w:bCs/>
        <w:sz w:val="20"/>
        <w:szCs w:val="20"/>
      </w:rPr>
      <w:t>FMAnot_030512_galvojums; Ministru kabineta noteikumu projekta „</w:t>
    </w:r>
    <w:r w:rsidRPr="0025002A">
      <w:rPr>
        <w:sz w:val="20"/>
        <w:szCs w:val="20"/>
      </w:rPr>
      <w:t xml:space="preserve">Grozījumi Ministru kabineta 2011.gada 6.septembra noteikumos </w:t>
    </w:r>
    <w:proofErr w:type="spellStart"/>
    <w:r w:rsidRPr="0025002A">
      <w:rPr>
        <w:sz w:val="20"/>
        <w:szCs w:val="20"/>
      </w:rPr>
      <w:t>Nr</w:t>
    </w:r>
    <w:proofErr w:type="spellEnd"/>
    <w:r w:rsidRPr="0025002A">
      <w:rPr>
        <w:sz w:val="20"/>
        <w:szCs w:val="20"/>
      </w:rPr>
      <w:t>. 691 „</w:t>
    </w:r>
    <w:r w:rsidRPr="0025002A">
      <w:rPr>
        <w:bCs/>
        <w:sz w:val="20"/>
        <w:szCs w:val="20"/>
        <w:lang w:eastAsia="lv-LV"/>
      </w:rPr>
      <w:t xml:space="preserve">Noteikumi par nodokļu parāda galvojumu preču muitošanai”” </w:t>
    </w:r>
    <w:r w:rsidRPr="0025002A">
      <w:rPr>
        <w:sz w:val="20"/>
        <w:szCs w:val="20"/>
      </w:rPr>
      <w:t xml:space="preserve"> </w:t>
    </w:r>
    <w:r w:rsidRPr="0025002A">
      <w:rPr>
        <w:bCs/>
        <w:sz w:val="20"/>
        <w:szCs w:val="20"/>
      </w:rPr>
      <w:t>sākotnējās ietekmes novērtējuma ziņojums (anotācija)</w:t>
    </w:r>
  </w:p>
  <w:p w:rsidR="00DF01DC" w:rsidRPr="0025002A" w:rsidRDefault="00DF01DC" w:rsidP="00C23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F8" w:rsidRDefault="006B74F8">
      <w:r>
        <w:separator/>
      </w:r>
    </w:p>
  </w:footnote>
  <w:footnote w:type="continuationSeparator" w:id="0">
    <w:p w:rsidR="006B74F8" w:rsidRDefault="006B7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DC" w:rsidRDefault="00DF01DC" w:rsidP="00D645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1DC" w:rsidRDefault="00DF0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DC" w:rsidRDefault="00DF01DC" w:rsidP="00D645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52D">
      <w:rPr>
        <w:rStyle w:val="PageNumber"/>
        <w:noProof/>
      </w:rPr>
      <w:t>6</w:t>
    </w:r>
    <w:r>
      <w:rPr>
        <w:rStyle w:val="PageNumber"/>
      </w:rPr>
      <w:fldChar w:fldCharType="end"/>
    </w:r>
  </w:p>
  <w:p w:rsidR="00DF01DC" w:rsidRDefault="00706925">
    <w:pPr>
      <w:pStyle w:val="Header"/>
    </w:pPr>
    <w:r>
      <w:rPr>
        <w:noProof/>
        <w:lang w:eastAsia="lv-LV"/>
      </w:rPr>
      <mc:AlternateContent>
        <mc:Choice Requires="wps">
          <w:drawing>
            <wp:anchor distT="0" distB="0" distL="0" distR="0" simplePos="0" relativeHeight="251657728" behindDoc="0" locked="0" layoutInCell="1" allowOverlap="1" wp14:anchorId="6A49D126" wp14:editId="2CE97B91">
              <wp:simplePos x="0" y="0"/>
              <wp:positionH relativeFrom="margin">
                <wp:align>center</wp:align>
              </wp:positionH>
              <wp:positionV relativeFrom="paragraph">
                <wp:posOffset>635</wp:posOffset>
              </wp:positionV>
              <wp:extent cx="68580" cy="167005"/>
              <wp:effectExtent l="1905" t="635"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1DC" w:rsidRPr="00BE1C3C" w:rsidRDefault="00DF01DC" w:rsidP="00BE1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pt;height:13.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rsidR="00DF01DC" w:rsidRPr="00BE1C3C" w:rsidRDefault="00DF01DC" w:rsidP="00BE1C3C"/>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41D8D"/>
    <w:multiLevelType w:val="hybridMultilevel"/>
    <w:tmpl w:val="300E1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E73607"/>
    <w:multiLevelType w:val="hybridMultilevel"/>
    <w:tmpl w:val="0E24CAEA"/>
    <w:lvl w:ilvl="0" w:tplc="7CAAF03E">
      <w:numFmt w:val="bullet"/>
      <w:lvlText w:val="-"/>
      <w:lvlJc w:val="left"/>
      <w:pPr>
        <w:ind w:left="582" w:hanging="360"/>
      </w:pPr>
      <w:rPr>
        <w:rFonts w:ascii="Times New Roman" w:eastAsia="Times New Roman" w:hAnsi="Times New Roman" w:cs="Times New Roman" w:hint="default"/>
      </w:rPr>
    </w:lvl>
    <w:lvl w:ilvl="1" w:tplc="04260003" w:tentative="1">
      <w:start w:val="1"/>
      <w:numFmt w:val="bullet"/>
      <w:lvlText w:val="o"/>
      <w:lvlJc w:val="left"/>
      <w:pPr>
        <w:ind w:left="1302" w:hanging="360"/>
      </w:pPr>
      <w:rPr>
        <w:rFonts w:ascii="Courier New" w:hAnsi="Courier New" w:cs="Courier New" w:hint="default"/>
      </w:rPr>
    </w:lvl>
    <w:lvl w:ilvl="2" w:tplc="04260005" w:tentative="1">
      <w:start w:val="1"/>
      <w:numFmt w:val="bullet"/>
      <w:lvlText w:val=""/>
      <w:lvlJc w:val="left"/>
      <w:pPr>
        <w:ind w:left="2022" w:hanging="360"/>
      </w:pPr>
      <w:rPr>
        <w:rFonts w:ascii="Wingdings" w:hAnsi="Wingdings" w:hint="default"/>
      </w:rPr>
    </w:lvl>
    <w:lvl w:ilvl="3" w:tplc="04260001" w:tentative="1">
      <w:start w:val="1"/>
      <w:numFmt w:val="bullet"/>
      <w:lvlText w:val=""/>
      <w:lvlJc w:val="left"/>
      <w:pPr>
        <w:ind w:left="2742" w:hanging="360"/>
      </w:pPr>
      <w:rPr>
        <w:rFonts w:ascii="Symbol" w:hAnsi="Symbol" w:hint="default"/>
      </w:rPr>
    </w:lvl>
    <w:lvl w:ilvl="4" w:tplc="04260003" w:tentative="1">
      <w:start w:val="1"/>
      <w:numFmt w:val="bullet"/>
      <w:lvlText w:val="o"/>
      <w:lvlJc w:val="left"/>
      <w:pPr>
        <w:ind w:left="3462" w:hanging="360"/>
      </w:pPr>
      <w:rPr>
        <w:rFonts w:ascii="Courier New" w:hAnsi="Courier New" w:cs="Courier New" w:hint="default"/>
      </w:rPr>
    </w:lvl>
    <w:lvl w:ilvl="5" w:tplc="04260005" w:tentative="1">
      <w:start w:val="1"/>
      <w:numFmt w:val="bullet"/>
      <w:lvlText w:val=""/>
      <w:lvlJc w:val="left"/>
      <w:pPr>
        <w:ind w:left="4182" w:hanging="360"/>
      </w:pPr>
      <w:rPr>
        <w:rFonts w:ascii="Wingdings" w:hAnsi="Wingdings" w:hint="default"/>
      </w:rPr>
    </w:lvl>
    <w:lvl w:ilvl="6" w:tplc="04260001" w:tentative="1">
      <w:start w:val="1"/>
      <w:numFmt w:val="bullet"/>
      <w:lvlText w:val=""/>
      <w:lvlJc w:val="left"/>
      <w:pPr>
        <w:ind w:left="4902" w:hanging="360"/>
      </w:pPr>
      <w:rPr>
        <w:rFonts w:ascii="Symbol" w:hAnsi="Symbol" w:hint="default"/>
      </w:rPr>
    </w:lvl>
    <w:lvl w:ilvl="7" w:tplc="04260003" w:tentative="1">
      <w:start w:val="1"/>
      <w:numFmt w:val="bullet"/>
      <w:lvlText w:val="o"/>
      <w:lvlJc w:val="left"/>
      <w:pPr>
        <w:ind w:left="5622" w:hanging="360"/>
      </w:pPr>
      <w:rPr>
        <w:rFonts w:ascii="Courier New" w:hAnsi="Courier New" w:cs="Courier New" w:hint="default"/>
      </w:rPr>
    </w:lvl>
    <w:lvl w:ilvl="8" w:tplc="04260005" w:tentative="1">
      <w:start w:val="1"/>
      <w:numFmt w:val="bullet"/>
      <w:lvlText w:val=""/>
      <w:lvlJc w:val="left"/>
      <w:pPr>
        <w:ind w:left="6342" w:hanging="360"/>
      </w:pPr>
      <w:rPr>
        <w:rFonts w:ascii="Wingdings" w:hAnsi="Wingdings" w:hint="default"/>
      </w:rPr>
    </w:lvl>
  </w:abstractNum>
  <w:abstractNum w:abstractNumId="3">
    <w:nsid w:val="05F23566"/>
    <w:multiLevelType w:val="hybridMultilevel"/>
    <w:tmpl w:val="A6AC916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0FEC086C"/>
    <w:multiLevelType w:val="hybridMultilevel"/>
    <w:tmpl w:val="F02ED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513A0F"/>
    <w:multiLevelType w:val="hybridMultilevel"/>
    <w:tmpl w:val="7F928400"/>
    <w:lvl w:ilvl="0" w:tplc="8B5A9A8A">
      <w:start w:val="1"/>
      <w:numFmt w:val="decimal"/>
      <w:lvlText w:val="%1."/>
      <w:lvlJc w:val="left"/>
      <w:pPr>
        <w:ind w:left="582" w:hanging="360"/>
      </w:pPr>
      <w:rPr>
        <w:rFonts w:ascii="Times New Roman" w:eastAsia="Times New Roman" w:hAnsi="Times New Roman" w:cs="Times New Roman"/>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6">
    <w:nsid w:val="378355E0"/>
    <w:multiLevelType w:val="hybridMultilevel"/>
    <w:tmpl w:val="E49AA90A"/>
    <w:lvl w:ilvl="0" w:tplc="5D1C6600">
      <w:start w:val="1"/>
      <w:numFmt w:val="decimal"/>
      <w:lvlText w:val="%1."/>
      <w:lvlJc w:val="left"/>
      <w:pPr>
        <w:ind w:left="582" w:hanging="360"/>
      </w:pPr>
      <w:rPr>
        <w:rFonts w:ascii="Times New Roman" w:eastAsia="Times New Roman" w:hAnsi="Times New Roman" w:cs="Times New Roman"/>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7">
    <w:nsid w:val="50C907F0"/>
    <w:multiLevelType w:val="hybridMultilevel"/>
    <w:tmpl w:val="BA12C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F6789E"/>
    <w:multiLevelType w:val="hybridMultilevel"/>
    <w:tmpl w:val="BCAEF9A4"/>
    <w:lvl w:ilvl="0" w:tplc="665E8E7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9">
    <w:nsid w:val="561403E4"/>
    <w:multiLevelType w:val="hybridMultilevel"/>
    <w:tmpl w:val="A9B65B4A"/>
    <w:lvl w:ilvl="0" w:tplc="9042DA2E">
      <w:start w:val="1"/>
      <w:numFmt w:val="decimal"/>
      <w:lvlText w:val="%1)"/>
      <w:lvlJc w:val="left"/>
      <w:pPr>
        <w:ind w:left="942" w:hanging="360"/>
      </w:pPr>
      <w:rPr>
        <w:rFonts w:hint="default"/>
      </w:rPr>
    </w:lvl>
    <w:lvl w:ilvl="1" w:tplc="04260019" w:tentative="1">
      <w:start w:val="1"/>
      <w:numFmt w:val="lowerLetter"/>
      <w:lvlText w:val="%2."/>
      <w:lvlJc w:val="left"/>
      <w:pPr>
        <w:ind w:left="1662" w:hanging="360"/>
      </w:pPr>
    </w:lvl>
    <w:lvl w:ilvl="2" w:tplc="0426001B" w:tentative="1">
      <w:start w:val="1"/>
      <w:numFmt w:val="lowerRoman"/>
      <w:lvlText w:val="%3."/>
      <w:lvlJc w:val="right"/>
      <w:pPr>
        <w:ind w:left="2382" w:hanging="180"/>
      </w:pPr>
    </w:lvl>
    <w:lvl w:ilvl="3" w:tplc="0426000F" w:tentative="1">
      <w:start w:val="1"/>
      <w:numFmt w:val="decimal"/>
      <w:lvlText w:val="%4."/>
      <w:lvlJc w:val="left"/>
      <w:pPr>
        <w:ind w:left="3102" w:hanging="360"/>
      </w:pPr>
    </w:lvl>
    <w:lvl w:ilvl="4" w:tplc="04260019" w:tentative="1">
      <w:start w:val="1"/>
      <w:numFmt w:val="lowerLetter"/>
      <w:lvlText w:val="%5."/>
      <w:lvlJc w:val="left"/>
      <w:pPr>
        <w:ind w:left="3822" w:hanging="360"/>
      </w:pPr>
    </w:lvl>
    <w:lvl w:ilvl="5" w:tplc="0426001B" w:tentative="1">
      <w:start w:val="1"/>
      <w:numFmt w:val="lowerRoman"/>
      <w:lvlText w:val="%6."/>
      <w:lvlJc w:val="right"/>
      <w:pPr>
        <w:ind w:left="4542" w:hanging="180"/>
      </w:pPr>
    </w:lvl>
    <w:lvl w:ilvl="6" w:tplc="0426000F" w:tentative="1">
      <w:start w:val="1"/>
      <w:numFmt w:val="decimal"/>
      <w:lvlText w:val="%7."/>
      <w:lvlJc w:val="left"/>
      <w:pPr>
        <w:ind w:left="5262" w:hanging="360"/>
      </w:pPr>
    </w:lvl>
    <w:lvl w:ilvl="7" w:tplc="04260019" w:tentative="1">
      <w:start w:val="1"/>
      <w:numFmt w:val="lowerLetter"/>
      <w:lvlText w:val="%8."/>
      <w:lvlJc w:val="left"/>
      <w:pPr>
        <w:ind w:left="5982" w:hanging="360"/>
      </w:pPr>
    </w:lvl>
    <w:lvl w:ilvl="8" w:tplc="0426001B" w:tentative="1">
      <w:start w:val="1"/>
      <w:numFmt w:val="lowerRoman"/>
      <w:lvlText w:val="%9."/>
      <w:lvlJc w:val="right"/>
      <w:pPr>
        <w:ind w:left="6702" w:hanging="180"/>
      </w:pPr>
    </w:lvl>
  </w:abstractNum>
  <w:abstractNum w:abstractNumId="10">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11">
    <w:nsid w:val="59C933AF"/>
    <w:multiLevelType w:val="hybridMultilevel"/>
    <w:tmpl w:val="13B20692"/>
    <w:lvl w:ilvl="0" w:tplc="2B9C6EC0">
      <w:numFmt w:val="bullet"/>
      <w:lvlText w:val="-"/>
      <w:lvlJc w:val="left"/>
      <w:pPr>
        <w:ind w:left="582" w:hanging="360"/>
      </w:pPr>
      <w:rPr>
        <w:rFonts w:ascii="Times New Roman" w:eastAsia="Times New Roman" w:hAnsi="Times New Roman" w:cs="Times New Roman" w:hint="default"/>
      </w:rPr>
    </w:lvl>
    <w:lvl w:ilvl="1" w:tplc="04260003" w:tentative="1">
      <w:start w:val="1"/>
      <w:numFmt w:val="bullet"/>
      <w:lvlText w:val="o"/>
      <w:lvlJc w:val="left"/>
      <w:pPr>
        <w:ind w:left="1302" w:hanging="360"/>
      </w:pPr>
      <w:rPr>
        <w:rFonts w:ascii="Courier New" w:hAnsi="Courier New" w:cs="Courier New" w:hint="default"/>
      </w:rPr>
    </w:lvl>
    <w:lvl w:ilvl="2" w:tplc="04260005" w:tentative="1">
      <w:start w:val="1"/>
      <w:numFmt w:val="bullet"/>
      <w:lvlText w:val=""/>
      <w:lvlJc w:val="left"/>
      <w:pPr>
        <w:ind w:left="2022" w:hanging="360"/>
      </w:pPr>
      <w:rPr>
        <w:rFonts w:ascii="Wingdings" w:hAnsi="Wingdings" w:hint="default"/>
      </w:rPr>
    </w:lvl>
    <w:lvl w:ilvl="3" w:tplc="04260001" w:tentative="1">
      <w:start w:val="1"/>
      <w:numFmt w:val="bullet"/>
      <w:lvlText w:val=""/>
      <w:lvlJc w:val="left"/>
      <w:pPr>
        <w:ind w:left="2742" w:hanging="360"/>
      </w:pPr>
      <w:rPr>
        <w:rFonts w:ascii="Symbol" w:hAnsi="Symbol" w:hint="default"/>
      </w:rPr>
    </w:lvl>
    <w:lvl w:ilvl="4" w:tplc="04260003" w:tentative="1">
      <w:start w:val="1"/>
      <w:numFmt w:val="bullet"/>
      <w:lvlText w:val="o"/>
      <w:lvlJc w:val="left"/>
      <w:pPr>
        <w:ind w:left="3462" w:hanging="360"/>
      </w:pPr>
      <w:rPr>
        <w:rFonts w:ascii="Courier New" w:hAnsi="Courier New" w:cs="Courier New" w:hint="default"/>
      </w:rPr>
    </w:lvl>
    <w:lvl w:ilvl="5" w:tplc="04260005" w:tentative="1">
      <w:start w:val="1"/>
      <w:numFmt w:val="bullet"/>
      <w:lvlText w:val=""/>
      <w:lvlJc w:val="left"/>
      <w:pPr>
        <w:ind w:left="4182" w:hanging="360"/>
      </w:pPr>
      <w:rPr>
        <w:rFonts w:ascii="Wingdings" w:hAnsi="Wingdings" w:hint="default"/>
      </w:rPr>
    </w:lvl>
    <w:lvl w:ilvl="6" w:tplc="04260001" w:tentative="1">
      <w:start w:val="1"/>
      <w:numFmt w:val="bullet"/>
      <w:lvlText w:val=""/>
      <w:lvlJc w:val="left"/>
      <w:pPr>
        <w:ind w:left="4902" w:hanging="360"/>
      </w:pPr>
      <w:rPr>
        <w:rFonts w:ascii="Symbol" w:hAnsi="Symbol" w:hint="default"/>
      </w:rPr>
    </w:lvl>
    <w:lvl w:ilvl="7" w:tplc="04260003" w:tentative="1">
      <w:start w:val="1"/>
      <w:numFmt w:val="bullet"/>
      <w:lvlText w:val="o"/>
      <w:lvlJc w:val="left"/>
      <w:pPr>
        <w:ind w:left="5622" w:hanging="360"/>
      </w:pPr>
      <w:rPr>
        <w:rFonts w:ascii="Courier New" w:hAnsi="Courier New" w:cs="Courier New" w:hint="default"/>
      </w:rPr>
    </w:lvl>
    <w:lvl w:ilvl="8" w:tplc="04260005" w:tentative="1">
      <w:start w:val="1"/>
      <w:numFmt w:val="bullet"/>
      <w:lvlText w:val=""/>
      <w:lvlJc w:val="left"/>
      <w:pPr>
        <w:ind w:left="6342" w:hanging="360"/>
      </w:pPr>
      <w:rPr>
        <w:rFonts w:ascii="Wingdings" w:hAnsi="Wingdings" w:hint="default"/>
      </w:rPr>
    </w:lvl>
  </w:abstractNum>
  <w:abstractNum w:abstractNumId="12">
    <w:nsid w:val="61FB1F78"/>
    <w:multiLevelType w:val="multilevel"/>
    <w:tmpl w:val="BD8E8B12"/>
    <w:lvl w:ilvl="0">
      <w:start w:val="1"/>
      <w:numFmt w:val="decimal"/>
      <w:lvlText w:val="%1."/>
      <w:lvlJc w:val="left"/>
      <w:pPr>
        <w:ind w:left="928" w:hanging="360"/>
      </w:pPr>
      <w:rPr>
        <w:rFonts w:hint="default"/>
        <w:b w:val="0"/>
      </w:rPr>
    </w:lvl>
    <w:lvl w:ilvl="1">
      <w:start w:val="1"/>
      <w:numFmt w:val="decimal"/>
      <w:isLgl/>
      <w:lvlText w:val="%1.%2."/>
      <w:lvlJc w:val="left"/>
      <w:pPr>
        <w:ind w:left="1713" w:hanging="720"/>
      </w:pPr>
      <w:rPr>
        <w:rFonts w:hint="default"/>
        <w:i w:val="0"/>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3">
    <w:nsid w:val="6B782382"/>
    <w:multiLevelType w:val="hybridMultilevel"/>
    <w:tmpl w:val="DCCAEAD2"/>
    <w:lvl w:ilvl="0" w:tplc="04260001">
      <w:start w:val="1"/>
      <w:numFmt w:val="bullet"/>
      <w:lvlText w:val=""/>
      <w:lvlJc w:val="left"/>
      <w:pPr>
        <w:ind w:left="1302" w:hanging="360"/>
      </w:pPr>
      <w:rPr>
        <w:rFonts w:ascii="Symbol" w:hAnsi="Symbol" w:hint="default"/>
      </w:rPr>
    </w:lvl>
    <w:lvl w:ilvl="1" w:tplc="04260003" w:tentative="1">
      <w:start w:val="1"/>
      <w:numFmt w:val="bullet"/>
      <w:lvlText w:val="o"/>
      <w:lvlJc w:val="left"/>
      <w:pPr>
        <w:ind w:left="2022" w:hanging="360"/>
      </w:pPr>
      <w:rPr>
        <w:rFonts w:ascii="Courier New" w:hAnsi="Courier New" w:cs="Courier New" w:hint="default"/>
      </w:rPr>
    </w:lvl>
    <w:lvl w:ilvl="2" w:tplc="04260005" w:tentative="1">
      <w:start w:val="1"/>
      <w:numFmt w:val="bullet"/>
      <w:lvlText w:val=""/>
      <w:lvlJc w:val="left"/>
      <w:pPr>
        <w:ind w:left="2742" w:hanging="360"/>
      </w:pPr>
      <w:rPr>
        <w:rFonts w:ascii="Wingdings" w:hAnsi="Wingdings" w:hint="default"/>
      </w:rPr>
    </w:lvl>
    <w:lvl w:ilvl="3" w:tplc="04260001" w:tentative="1">
      <w:start w:val="1"/>
      <w:numFmt w:val="bullet"/>
      <w:lvlText w:val=""/>
      <w:lvlJc w:val="left"/>
      <w:pPr>
        <w:ind w:left="3462" w:hanging="360"/>
      </w:pPr>
      <w:rPr>
        <w:rFonts w:ascii="Symbol" w:hAnsi="Symbol" w:hint="default"/>
      </w:rPr>
    </w:lvl>
    <w:lvl w:ilvl="4" w:tplc="04260003" w:tentative="1">
      <w:start w:val="1"/>
      <w:numFmt w:val="bullet"/>
      <w:lvlText w:val="o"/>
      <w:lvlJc w:val="left"/>
      <w:pPr>
        <w:ind w:left="4182" w:hanging="360"/>
      </w:pPr>
      <w:rPr>
        <w:rFonts w:ascii="Courier New" w:hAnsi="Courier New" w:cs="Courier New" w:hint="default"/>
      </w:rPr>
    </w:lvl>
    <w:lvl w:ilvl="5" w:tplc="04260005" w:tentative="1">
      <w:start w:val="1"/>
      <w:numFmt w:val="bullet"/>
      <w:lvlText w:val=""/>
      <w:lvlJc w:val="left"/>
      <w:pPr>
        <w:ind w:left="4902" w:hanging="360"/>
      </w:pPr>
      <w:rPr>
        <w:rFonts w:ascii="Wingdings" w:hAnsi="Wingdings" w:hint="default"/>
      </w:rPr>
    </w:lvl>
    <w:lvl w:ilvl="6" w:tplc="04260001" w:tentative="1">
      <w:start w:val="1"/>
      <w:numFmt w:val="bullet"/>
      <w:lvlText w:val=""/>
      <w:lvlJc w:val="left"/>
      <w:pPr>
        <w:ind w:left="5622" w:hanging="360"/>
      </w:pPr>
      <w:rPr>
        <w:rFonts w:ascii="Symbol" w:hAnsi="Symbol" w:hint="default"/>
      </w:rPr>
    </w:lvl>
    <w:lvl w:ilvl="7" w:tplc="04260003" w:tentative="1">
      <w:start w:val="1"/>
      <w:numFmt w:val="bullet"/>
      <w:lvlText w:val="o"/>
      <w:lvlJc w:val="left"/>
      <w:pPr>
        <w:ind w:left="6342" w:hanging="360"/>
      </w:pPr>
      <w:rPr>
        <w:rFonts w:ascii="Courier New" w:hAnsi="Courier New" w:cs="Courier New" w:hint="default"/>
      </w:rPr>
    </w:lvl>
    <w:lvl w:ilvl="8" w:tplc="04260005" w:tentative="1">
      <w:start w:val="1"/>
      <w:numFmt w:val="bullet"/>
      <w:lvlText w:val=""/>
      <w:lvlJc w:val="left"/>
      <w:pPr>
        <w:ind w:left="7062" w:hanging="360"/>
      </w:pPr>
      <w:rPr>
        <w:rFonts w:ascii="Wingdings" w:hAnsi="Wingdings" w:hint="default"/>
      </w:rPr>
    </w:lvl>
  </w:abstractNum>
  <w:abstractNum w:abstractNumId="14">
    <w:nsid w:val="6E297242"/>
    <w:multiLevelType w:val="multilevel"/>
    <w:tmpl w:val="BD8E8B12"/>
    <w:lvl w:ilvl="0">
      <w:start w:val="1"/>
      <w:numFmt w:val="decimal"/>
      <w:lvlText w:val="%1."/>
      <w:lvlJc w:val="left"/>
      <w:pPr>
        <w:ind w:left="928" w:hanging="360"/>
      </w:pPr>
      <w:rPr>
        <w:rFonts w:hint="default"/>
        <w:b w:val="0"/>
      </w:rPr>
    </w:lvl>
    <w:lvl w:ilvl="1">
      <w:start w:val="1"/>
      <w:numFmt w:val="decimal"/>
      <w:isLgl/>
      <w:lvlText w:val="%1.%2."/>
      <w:lvlJc w:val="left"/>
      <w:pPr>
        <w:ind w:left="1713" w:hanging="720"/>
      </w:pPr>
      <w:rPr>
        <w:rFonts w:hint="default"/>
        <w:i w:val="0"/>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5">
    <w:nsid w:val="75F87098"/>
    <w:multiLevelType w:val="hybridMultilevel"/>
    <w:tmpl w:val="EB8E601E"/>
    <w:lvl w:ilvl="0" w:tplc="8FD2F7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8286473"/>
    <w:multiLevelType w:val="hybridMultilevel"/>
    <w:tmpl w:val="37646080"/>
    <w:lvl w:ilvl="0" w:tplc="2DF80D94">
      <w:numFmt w:val="bullet"/>
      <w:lvlText w:val="-"/>
      <w:lvlJc w:val="left"/>
      <w:pPr>
        <w:ind w:left="582" w:hanging="360"/>
      </w:pPr>
      <w:rPr>
        <w:rFonts w:ascii="Times New Roman" w:eastAsia="Times New Roman" w:hAnsi="Times New Roman" w:cs="Times New Roman" w:hint="default"/>
      </w:rPr>
    </w:lvl>
    <w:lvl w:ilvl="1" w:tplc="04260003" w:tentative="1">
      <w:start w:val="1"/>
      <w:numFmt w:val="bullet"/>
      <w:lvlText w:val="o"/>
      <w:lvlJc w:val="left"/>
      <w:pPr>
        <w:ind w:left="1302" w:hanging="360"/>
      </w:pPr>
      <w:rPr>
        <w:rFonts w:ascii="Courier New" w:hAnsi="Courier New" w:cs="Courier New" w:hint="default"/>
      </w:rPr>
    </w:lvl>
    <w:lvl w:ilvl="2" w:tplc="04260005" w:tentative="1">
      <w:start w:val="1"/>
      <w:numFmt w:val="bullet"/>
      <w:lvlText w:val=""/>
      <w:lvlJc w:val="left"/>
      <w:pPr>
        <w:ind w:left="2022" w:hanging="360"/>
      </w:pPr>
      <w:rPr>
        <w:rFonts w:ascii="Wingdings" w:hAnsi="Wingdings" w:hint="default"/>
      </w:rPr>
    </w:lvl>
    <w:lvl w:ilvl="3" w:tplc="04260001" w:tentative="1">
      <w:start w:val="1"/>
      <w:numFmt w:val="bullet"/>
      <w:lvlText w:val=""/>
      <w:lvlJc w:val="left"/>
      <w:pPr>
        <w:ind w:left="2742" w:hanging="360"/>
      </w:pPr>
      <w:rPr>
        <w:rFonts w:ascii="Symbol" w:hAnsi="Symbol" w:hint="default"/>
      </w:rPr>
    </w:lvl>
    <w:lvl w:ilvl="4" w:tplc="04260003" w:tentative="1">
      <w:start w:val="1"/>
      <w:numFmt w:val="bullet"/>
      <w:lvlText w:val="o"/>
      <w:lvlJc w:val="left"/>
      <w:pPr>
        <w:ind w:left="3462" w:hanging="360"/>
      </w:pPr>
      <w:rPr>
        <w:rFonts w:ascii="Courier New" w:hAnsi="Courier New" w:cs="Courier New" w:hint="default"/>
      </w:rPr>
    </w:lvl>
    <w:lvl w:ilvl="5" w:tplc="04260005" w:tentative="1">
      <w:start w:val="1"/>
      <w:numFmt w:val="bullet"/>
      <w:lvlText w:val=""/>
      <w:lvlJc w:val="left"/>
      <w:pPr>
        <w:ind w:left="4182" w:hanging="360"/>
      </w:pPr>
      <w:rPr>
        <w:rFonts w:ascii="Wingdings" w:hAnsi="Wingdings" w:hint="default"/>
      </w:rPr>
    </w:lvl>
    <w:lvl w:ilvl="6" w:tplc="04260001" w:tentative="1">
      <w:start w:val="1"/>
      <w:numFmt w:val="bullet"/>
      <w:lvlText w:val=""/>
      <w:lvlJc w:val="left"/>
      <w:pPr>
        <w:ind w:left="4902" w:hanging="360"/>
      </w:pPr>
      <w:rPr>
        <w:rFonts w:ascii="Symbol" w:hAnsi="Symbol" w:hint="default"/>
      </w:rPr>
    </w:lvl>
    <w:lvl w:ilvl="7" w:tplc="04260003" w:tentative="1">
      <w:start w:val="1"/>
      <w:numFmt w:val="bullet"/>
      <w:lvlText w:val="o"/>
      <w:lvlJc w:val="left"/>
      <w:pPr>
        <w:ind w:left="5622" w:hanging="360"/>
      </w:pPr>
      <w:rPr>
        <w:rFonts w:ascii="Courier New" w:hAnsi="Courier New" w:cs="Courier New" w:hint="default"/>
      </w:rPr>
    </w:lvl>
    <w:lvl w:ilvl="8" w:tplc="04260005" w:tentative="1">
      <w:start w:val="1"/>
      <w:numFmt w:val="bullet"/>
      <w:lvlText w:val=""/>
      <w:lvlJc w:val="left"/>
      <w:pPr>
        <w:ind w:left="6342" w:hanging="360"/>
      </w:pPr>
      <w:rPr>
        <w:rFonts w:ascii="Wingdings" w:hAnsi="Wingdings" w:hint="default"/>
      </w:rPr>
    </w:lvl>
  </w:abstractNum>
  <w:num w:numId="1">
    <w:abstractNumId w:val="0"/>
  </w:num>
  <w:num w:numId="2">
    <w:abstractNumId w:val="10"/>
  </w:num>
  <w:num w:numId="3">
    <w:abstractNumId w:val="11"/>
  </w:num>
  <w:num w:numId="4">
    <w:abstractNumId w:val="2"/>
  </w:num>
  <w:num w:numId="5">
    <w:abstractNumId w:val="16"/>
  </w:num>
  <w:num w:numId="6">
    <w:abstractNumId w:val="5"/>
  </w:num>
  <w:num w:numId="7">
    <w:abstractNumId w:val="8"/>
  </w:num>
  <w:num w:numId="8">
    <w:abstractNumId w:val="9"/>
  </w:num>
  <w:num w:numId="9">
    <w:abstractNumId w:val="6"/>
  </w:num>
  <w:num w:numId="10">
    <w:abstractNumId w:val="13"/>
  </w:num>
  <w:num w:numId="11">
    <w:abstractNumId w:val="15"/>
  </w:num>
  <w:num w:numId="12">
    <w:abstractNumId w:val="14"/>
  </w:num>
  <w:num w:numId="13">
    <w:abstractNumId w:val="12"/>
  </w:num>
  <w:num w:numId="14">
    <w:abstractNumId w:val="3"/>
  </w:num>
  <w:num w:numId="15">
    <w:abstractNumId w:val="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0C"/>
    <w:rsid w:val="000120F3"/>
    <w:rsid w:val="00013AB4"/>
    <w:rsid w:val="00024A1C"/>
    <w:rsid w:val="00034E07"/>
    <w:rsid w:val="00040FD1"/>
    <w:rsid w:val="000478A4"/>
    <w:rsid w:val="000522FA"/>
    <w:rsid w:val="00054105"/>
    <w:rsid w:val="00060880"/>
    <w:rsid w:val="0006131E"/>
    <w:rsid w:val="00062357"/>
    <w:rsid w:val="0006586F"/>
    <w:rsid w:val="00070073"/>
    <w:rsid w:val="00077EDA"/>
    <w:rsid w:val="00090E96"/>
    <w:rsid w:val="00093CA0"/>
    <w:rsid w:val="000A4981"/>
    <w:rsid w:val="000A57E3"/>
    <w:rsid w:val="000A6979"/>
    <w:rsid w:val="000A79CF"/>
    <w:rsid w:val="000B125F"/>
    <w:rsid w:val="000B309C"/>
    <w:rsid w:val="000B4621"/>
    <w:rsid w:val="000C1118"/>
    <w:rsid w:val="000C23B2"/>
    <w:rsid w:val="000D2868"/>
    <w:rsid w:val="000F0471"/>
    <w:rsid w:val="000F43DF"/>
    <w:rsid w:val="00103760"/>
    <w:rsid w:val="00107E54"/>
    <w:rsid w:val="00115D43"/>
    <w:rsid w:val="00130A02"/>
    <w:rsid w:val="00135603"/>
    <w:rsid w:val="00144D02"/>
    <w:rsid w:val="0015120D"/>
    <w:rsid w:val="00152786"/>
    <w:rsid w:val="0016056B"/>
    <w:rsid w:val="001661D3"/>
    <w:rsid w:val="00172038"/>
    <w:rsid w:val="00172B9C"/>
    <w:rsid w:val="00173155"/>
    <w:rsid w:val="00182017"/>
    <w:rsid w:val="001828DF"/>
    <w:rsid w:val="001867C1"/>
    <w:rsid w:val="00193758"/>
    <w:rsid w:val="001971A3"/>
    <w:rsid w:val="001A18B2"/>
    <w:rsid w:val="001A3D4B"/>
    <w:rsid w:val="001A493C"/>
    <w:rsid w:val="001A6391"/>
    <w:rsid w:val="001B56B6"/>
    <w:rsid w:val="001C41FE"/>
    <w:rsid w:val="001C65BC"/>
    <w:rsid w:val="001C6ECF"/>
    <w:rsid w:val="001D27F5"/>
    <w:rsid w:val="001D7C6D"/>
    <w:rsid w:val="001F7152"/>
    <w:rsid w:val="002130A3"/>
    <w:rsid w:val="00213586"/>
    <w:rsid w:val="00217F2C"/>
    <w:rsid w:val="002204D7"/>
    <w:rsid w:val="00243326"/>
    <w:rsid w:val="002444DB"/>
    <w:rsid w:val="0025002A"/>
    <w:rsid w:val="00253810"/>
    <w:rsid w:val="00260DDF"/>
    <w:rsid w:val="00265F72"/>
    <w:rsid w:val="00271903"/>
    <w:rsid w:val="00271F81"/>
    <w:rsid w:val="00282382"/>
    <w:rsid w:val="00283408"/>
    <w:rsid w:val="00283878"/>
    <w:rsid w:val="00283C1C"/>
    <w:rsid w:val="00292872"/>
    <w:rsid w:val="00297EBA"/>
    <w:rsid w:val="002A135E"/>
    <w:rsid w:val="002A4661"/>
    <w:rsid w:val="002B0DF8"/>
    <w:rsid w:val="002B3D66"/>
    <w:rsid w:val="002B40FD"/>
    <w:rsid w:val="002B61CE"/>
    <w:rsid w:val="002B6702"/>
    <w:rsid w:val="002C1B0D"/>
    <w:rsid w:val="002C4BD4"/>
    <w:rsid w:val="002C6EB0"/>
    <w:rsid w:val="002D6FF9"/>
    <w:rsid w:val="002E5A98"/>
    <w:rsid w:val="002E68F7"/>
    <w:rsid w:val="002F10D7"/>
    <w:rsid w:val="002F3AA0"/>
    <w:rsid w:val="0030123B"/>
    <w:rsid w:val="00303E4A"/>
    <w:rsid w:val="0030469C"/>
    <w:rsid w:val="00307605"/>
    <w:rsid w:val="00317E98"/>
    <w:rsid w:val="003212F6"/>
    <w:rsid w:val="00324F32"/>
    <w:rsid w:val="003254D3"/>
    <w:rsid w:val="00331F6F"/>
    <w:rsid w:val="003335E0"/>
    <w:rsid w:val="00337162"/>
    <w:rsid w:val="00337A49"/>
    <w:rsid w:val="00340252"/>
    <w:rsid w:val="00353EBD"/>
    <w:rsid w:val="00360476"/>
    <w:rsid w:val="003616F5"/>
    <w:rsid w:val="003637EF"/>
    <w:rsid w:val="00366033"/>
    <w:rsid w:val="003661D5"/>
    <w:rsid w:val="0036782A"/>
    <w:rsid w:val="003772CA"/>
    <w:rsid w:val="003848B0"/>
    <w:rsid w:val="00387C9B"/>
    <w:rsid w:val="00397A43"/>
    <w:rsid w:val="003A00DE"/>
    <w:rsid w:val="003A5233"/>
    <w:rsid w:val="003C28B9"/>
    <w:rsid w:val="003C5D32"/>
    <w:rsid w:val="003C660B"/>
    <w:rsid w:val="003D175B"/>
    <w:rsid w:val="003D6371"/>
    <w:rsid w:val="003D7037"/>
    <w:rsid w:val="003E7D73"/>
    <w:rsid w:val="003F0A76"/>
    <w:rsid w:val="004008C6"/>
    <w:rsid w:val="00404753"/>
    <w:rsid w:val="004210FB"/>
    <w:rsid w:val="00426C85"/>
    <w:rsid w:val="00436162"/>
    <w:rsid w:val="00440325"/>
    <w:rsid w:val="004514E0"/>
    <w:rsid w:val="00451C19"/>
    <w:rsid w:val="00457728"/>
    <w:rsid w:val="00464F19"/>
    <w:rsid w:val="00466888"/>
    <w:rsid w:val="00470C41"/>
    <w:rsid w:val="0047143D"/>
    <w:rsid w:val="00486A17"/>
    <w:rsid w:val="00490524"/>
    <w:rsid w:val="00490991"/>
    <w:rsid w:val="00492677"/>
    <w:rsid w:val="0049440E"/>
    <w:rsid w:val="004949A8"/>
    <w:rsid w:val="004A2612"/>
    <w:rsid w:val="004A6D8F"/>
    <w:rsid w:val="004B2205"/>
    <w:rsid w:val="004B56F3"/>
    <w:rsid w:val="004B7977"/>
    <w:rsid w:val="004C293B"/>
    <w:rsid w:val="004D3FE5"/>
    <w:rsid w:val="004D59B8"/>
    <w:rsid w:val="004D613B"/>
    <w:rsid w:val="004D666D"/>
    <w:rsid w:val="004E12BA"/>
    <w:rsid w:val="004E563F"/>
    <w:rsid w:val="004E70DF"/>
    <w:rsid w:val="00502914"/>
    <w:rsid w:val="005127C6"/>
    <w:rsid w:val="005203FC"/>
    <w:rsid w:val="00521525"/>
    <w:rsid w:val="00545406"/>
    <w:rsid w:val="00553426"/>
    <w:rsid w:val="00565F0F"/>
    <w:rsid w:val="00570541"/>
    <w:rsid w:val="005710D4"/>
    <w:rsid w:val="005800FE"/>
    <w:rsid w:val="00596D61"/>
    <w:rsid w:val="005A2001"/>
    <w:rsid w:val="005A2379"/>
    <w:rsid w:val="005A3155"/>
    <w:rsid w:val="005A49A1"/>
    <w:rsid w:val="005C7390"/>
    <w:rsid w:val="005D0E20"/>
    <w:rsid w:val="005D67D4"/>
    <w:rsid w:val="005E2696"/>
    <w:rsid w:val="005F0AF7"/>
    <w:rsid w:val="005F1C46"/>
    <w:rsid w:val="005F6C60"/>
    <w:rsid w:val="005F79E9"/>
    <w:rsid w:val="006003DC"/>
    <w:rsid w:val="006017D8"/>
    <w:rsid w:val="006028D5"/>
    <w:rsid w:val="00610C06"/>
    <w:rsid w:val="0061513B"/>
    <w:rsid w:val="00616102"/>
    <w:rsid w:val="00624BA1"/>
    <w:rsid w:val="0063124F"/>
    <w:rsid w:val="00640FED"/>
    <w:rsid w:val="006517F3"/>
    <w:rsid w:val="0065307C"/>
    <w:rsid w:val="00661BA7"/>
    <w:rsid w:val="006720CE"/>
    <w:rsid w:val="006724FB"/>
    <w:rsid w:val="00672572"/>
    <w:rsid w:val="00675D8B"/>
    <w:rsid w:val="006859E6"/>
    <w:rsid w:val="0069415F"/>
    <w:rsid w:val="006953BE"/>
    <w:rsid w:val="00695720"/>
    <w:rsid w:val="006A0598"/>
    <w:rsid w:val="006A28C0"/>
    <w:rsid w:val="006A4A78"/>
    <w:rsid w:val="006A70D9"/>
    <w:rsid w:val="006B31B5"/>
    <w:rsid w:val="006B74F8"/>
    <w:rsid w:val="006C30FB"/>
    <w:rsid w:val="006C4F7D"/>
    <w:rsid w:val="006C6FAA"/>
    <w:rsid w:val="006E09B8"/>
    <w:rsid w:val="006E3F95"/>
    <w:rsid w:val="006E5170"/>
    <w:rsid w:val="00706925"/>
    <w:rsid w:val="007116BD"/>
    <w:rsid w:val="00711C20"/>
    <w:rsid w:val="00713020"/>
    <w:rsid w:val="00724FDD"/>
    <w:rsid w:val="007275E6"/>
    <w:rsid w:val="0073197B"/>
    <w:rsid w:val="007368BE"/>
    <w:rsid w:val="007379C7"/>
    <w:rsid w:val="007605C0"/>
    <w:rsid w:val="007610AF"/>
    <w:rsid w:val="00770172"/>
    <w:rsid w:val="00774AA2"/>
    <w:rsid w:val="0077519D"/>
    <w:rsid w:val="00781A77"/>
    <w:rsid w:val="007841F6"/>
    <w:rsid w:val="00793B30"/>
    <w:rsid w:val="007A0E23"/>
    <w:rsid w:val="007A17C4"/>
    <w:rsid w:val="007A26C4"/>
    <w:rsid w:val="007A3CDD"/>
    <w:rsid w:val="007A4E5F"/>
    <w:rsid w:val="007A7C0A"/>
    <w:rsid w:val="007B1949"/>
    <w:rsid w:val="007B2CDB"/>
    <w:rsid w:val="007B62A6"/>
    <w:rsid w:val="007B639B"/>
    <w:rsid w:val="007B6855"/>
    <w:rsid w:val="007C0FDA"/>
    <w:rsid w:val="007C7FF6"/>
    <w:rsid w:val="007D4A75"/>
    <w:rsid w:val="007D5D84"/>
    <w:rsid w:val="007E1DDE"/>
    <w:rsid w:val="007E479C"/>
    <w:rsid w:val="008037E6"/>
    <w:rsid w:val="0081333C"/>
    <w:rsid w:val="00820F0F"/>
    <w:rsid w:val="00831307"/>
    <w:rsid w:val="008365AD"/>
    <w:rsid w:val="00844C10"/>
    <w:rsid w:val="00844DAF"/>
    <w:rsid w:val="0085420F"/>
    <w:rsid w:val="00854EAB"/>
    <w:rsid w:val="00865565"/>
    <w:rsid w:val="008723F7"/>
    <w:rsid w:val="00875634"/>
    <w:rsid w:val="00881107"/>
    <w:rsid w:val="008976B2"/>
    <w:rsid w:val="00897727"/>
    <w:rsid w:val="008A0DF6"/>
    <w:rsid w:val="008A2FBF"/>
    <w:rsid w:val="008A464F"/>
    <w:rsid w:val="008A4B7A"/>
    <w:rsid w:val="008A562C"/>
    <w:rsid w:val="008A6B39"/>
    <w:rsid w:val="008C05FF"/>
    <w:rsid w:val="008C3C5D"/>
    <w:rsid w:val="008C72C9"/>
    <w:rsid w:val="008F5FDE"/>
    <w:rsid w:val="0091042C"/>
    <w:rsid w:val="0091065C"/>
    <w:rsid w:val="00910BD3"/>
    <w:rsid w:val="0093223B"/>
    <w:rsid w:val="009363D7"/>
    <w:rsid w:val="00937108"/>
    <w:rsid w:val="009418B7"/>
    <w:rsid w:val="00941920"/>
    <w:rsid w:val="00944598"/>
    <w:rsid w:val="00955A6E"/>
    <w:rsid w:val="00962E2B"/>
    <w:rsid w:val="00964239"/>
    <w:rsid w:val="009721D9"/>
    <w:rsid w:val="009726B7"/>
    <w:rsid w:val="00997465"/>
    <w:rsid w:val="009A50F4"/>
    <w:rsid w:val="009B0D99"/>
    <w:rsid w:val="009B2201"/>
    <w:rsid w:val="009B5135"/>
    <w:rsid w:val="009B596A"/>
    <w:rsid w:val="009C0F05"/>
    <w:rsid w:val="009C7DD2"/>
    <w:rsid w:val="009D3C7B"/>
    <w:rsid w:val="009D43D3"/>
    <w:rsid w:val="009D5EAE"/>
    <w:rsid w:val="009E6A9C"/>
    <w:rsid w:val="009F2C21"/>
    <w:rsid w:val="009F3D3C"/>
    <w:rsid w:val="00A0308C"/>
    <w:rsid w:val="00A0773A"/>
    <w:rsid w:val="00A21A80"/>
    <w:rsid w:val="00A23E91"/>
    <w:rsid w:val="00A249E1"/>
    <w:rsid w:val="00A325B1"/>
    <w:rsid w:val="00A41AF2"/>
    <w:rsid w:val="00A52E5A"/>
    <w:rsid w:val="00A55B91"/>
    <w:rsid w:val="00A6166C"/>
    <w:rsid w:val="00A65BD3"/>
    <w:rsid w:val="00A7486F"/>
    <w:rsid w:val="00A7491D"/>
    <w:rsid w:val="00A8287C"/>
    <w:rsid w:val="00A91C0D"/>
    <w:rsid w:val="00A955A0"/>
    <w:rsid w:val="00AA5BFB"/>
    <w:rsid w:val="00AB5CF3"/>
    <w:rsid w:val="00AC1EB7"/>
    <w:rsid w:val="00AD3CBD"/>
    <w:rsid w:val="00AE4CA9"/>
    <w:rsid w:val="00AE6726"/>
    <w:rsid w:val="00AF2CC3"/>
    <w:rsid w:val="00AF65C7"/>
    <w:rsid w:val="00B0014A"/>
    <w:rsid w:val="00B052E1"/>
    <w:rsid w:val="00B21590"/>
    <w:rsid w:val="00B260DF"/>
    <w:rsid w:val="00B43BD4"/>
    <w:rsid w:val="00B5235E"/>
    <w:rsid w:val="00B55DF9"/>
    <w:rsid w:val="00B640E8"/>
    <w:rsid w:val="00B64AB3"/>
    <w:rsid w:val="00B67D0B"/>
    <w:rsid w:val="00B72AD6"/>
    <w:rsid w:val="00B75376"/>
    <w:rsid w:val="00B76367"/>
    <w:rsid w:val="00B76B05"/>
    <w:rsid w:val="00B77E94"/>
    <w:rsid w:val="00B8141F"/>
    <w:rsid w:val="00B914E8"/>
    <w:rsid w:val="00B93AA2"/>
    <w:rsid w:val="00B93CE4"/>
    <w:rsid w:val="00B95434"/>
    <w:rsid w:val="00BA0F8C"/>
    <w:rsid w:val="00BA2C01"/>
    <w:rsid w:val="00BA2EE4"/>
    <w:rsid w:val="00BB16E4"/>
    <w:rsid w:val="00BB2191"/>
    <w:rsid w:val="00BC0993"/>
    <w:rsid w:val="00BC18C1"/>
    <w:rsid w:val="00BC5468"/>
    <w:rsid w:val="00BD38FB"/>
    <w:rsid w:val="00BD7115"/>
    <w:rsid w:val="00BE0276"/>
    <w:rsid w:val="00BE1C3C"/>
    <w:rsid w:val="00BE4F72"/>
    <w:rsid w:val="00BF06C9"/>
    <w:rsid w:val="00BF097A"/>
    <w:rsid w:val="00BF379B"/>
    <w:rsid w:val="00BF6878"/>
    <w:rsid w:val="00BF73E5"/>
    <w:rsid w:val="00C01D15"/>
    <w:rsid w:val="00C071C9"/>
    <w:rsid w:val="00C12F09"/>
    <w:rsid w:val="00C16844"/>
    <w:rsid w:val="00C23699"/>
    <w:rsid w:val="00C32FE9"/>
    <w:rsid w:val="00C42019"/>
    <w:rsid w:val="00C45177"/>
    <w:rsid w:val="00C46681"/>
    <w:rsid w:val="00C516B5"/>
    <w:rsid w:val="00C51E97"/>
    <w:rsid w:val="00C56361"/>
    <w:rsid w:val="00C63ABB"/>
    <w:rsid w:val="00C66C1F"/>
    <w:rsid w:val="00C70208"/>
    <w:rsid w:val="00C713F5"/>
    <w:rsid w:val="00C739E5"/>
    <w:rsid w:val="00C7426F"/>
    <w:rsid w:val="00C80969"/>
    <w:rsid w:val="00C81ED3"/>
    <w:rsid w:val="00C86803"/>
    <w:rsid w:val="00C914D4"/>
    <w:rsid w:val="00C92133"/>
    <w:rsid w:val="00C97D99"/>
    <w:rsid w:val="00CA489C"/>
    <w:rsid w:val="00CA4973"/>
    <w:rsid w:val="00CA5B90"/>
    <w:rsid w:val="00CA6062"/>
    <w:rsid w:val="00CB2F95"/>
    <w:rsid w:val="00CB3327"/>
    <w:rsid w:val="00CB696F"/>
    <w:rsid w:val="00CC5C9D"/>
    <w:rsid w:val="00CD0791"/>
    <w:rsid w:val="00CD5B3C"/>
    <w:rsid w:val="00CD7BB2"/>
    <w:rsid w:val="00CE693B"/>
    <w:rsid w:val="00CF1E9D"/>
    <w:rsid w:val="00D061D4"/>
    <w:rsid w:val="00D074AF"/>
    <w:rsid w:val="00D304AC"/>
    <w:rsid w:val="00D3221C"/>
    <w:rsid w:val="00D42D3A"/>
    <w:rsid w:val="00D4420C"/>
    <w:rsid w:val="00D453D4"/>
    <w:rsid w:val="00D45C58"/>
    <w:rsid w:val="00D47010"/>
    <w:rsid w:val="00D559E1"/>
    <w:rsid w:val="00D601E8"/>
    <w:rsid w:val="00D63D1C"/>
    <w:rsid w:val="00D64569"/>
    <w:rsid w:val="00D66F52"/>
    <w:rsid w:val="00D72DB7"/>
    <w:rsid w:val="00D76C61"/>
    <w:rsid w:val="00D7740D"/>
    <w:rsid w:val="00D8265C"/>
    <w:rsid w:val="00D920E5"/>
    <w:rsid w:val="00D921F8"/>
    <w:rsid w:val="00D930D3"/>
    <w:rsid w:val="00DA2D32"/>
    <w:rsid w:val="00DA49AF"/>
    <w:rsid w:val="00DB16B0"/>
    <w:rsid w:val="00DB3E6D"/>
    <w:rsid w:val="00DC1D8F"/>
    <w:rsid w:val="00DC3BCB"/>
    <w:rsid w:val="00DC7229"/>
    <w:rsid w:val="00DD62FB"/>
    <w:rsid w:val="00DE0628"/>
    <w:rsid w:val="00DF01DC"/>
    <w:rsid w:val="00DF10CE"/>
    <w:rsid w:val="00DF14C7"/>
    <w:rsid w:val="00E0353B"/>
    <w:rsid w:val="00E10B27"/>
    <w:rsid w:val="00E14123"/>
    <w:rsid w:val="00E20365"/>
    <w:rsid w:val="00E23943"/>
    <w:rsid w:val="00E253F2"/>
    <w:rsid w:val="00E3225D"/>
    <w:rsid w:val="00E50BAF"/>
    <w:rsid w:val="00E61F1F"/>
    <w:rsid w:val="00E64298"/>
    <w:rsid w:val="00E645CC"/>
    <w:rsid w:val="00E6523F"/>
    <w:rsid w:val="00E71D78"/>
    <w:rsid w:val="00E738D3"/>
    <w:rsid w:val="00E76FC4"/>
    <w:rsid w:val="00E84A13"/>
    <w:rsid w:val="00E9501E"/>
    <w:rsid w:val="00E968DC"/>
    <w:rsid w:val="00E97E2B"/>
    <w:rsid w:val="00EB1617"/>
    <w:rsid w:val="00EB752D"/>
    <w:rsid w:val="00EC0436"/>
    <w:rsid w:val="00EC34BC"/>
    <w:rsid w:val="00EC48F2"/>
    <w:rsid w:val="00EC614B"/>
    <w:rsid w:val="00ED6544"/>
    <w:rsid w:val="00ED6BF2"/>
    <w:rsid w:val="00ED7850"/>
    <w:rsid w:val="00EE69AD"/>
    <w:rsid w:val="00EE7269"/>
    <w:rsid w:val="00EF043F"/>
    <w:rsid w:val="00F01911"/>
    <w:rsid w:val="00F221CA"/>
    <w:rsid w:val="00F32FD0"/>
    <w:rsid w:val="00F34BE1"/>
    <w:rsid w:val="00F36EA3"/>
    <w:rsid w:val="00F46FA0"/>
    <w:rsid w:val="00F47306"/>
    <w:rsid w:val="00F47A8B"/>
    <w:rsid w:val="00F65046"/>
    <w:rsid w:val="00F845E1"/>
    <w:rsid w:val="00F8669C"/>
    <w:rsid w:val="00F94A48"/>
    <w:rsid w:val="00FA0D9C"/>
    <w:rsid w:val="00FB0A51"/>
    <w:rsid w:val="00FB4922"/>
    <w:rsid w:val="00FB72BC"/>
    <w:rsid w:val="00FC3414"/>
    <w:rsid w:val="00FC4A52"/>
    <w:rsid w:val="00FC7080"/>
    <w:rsid w:val="00FC71F5"/>
    <w:rsid w:val="00FD2D6B"/>
    <w:rsid w:val="00FD616A"/>
    <w:rsid w:val="00FD72B3"/>
    <w:rsid w:val="00FE09AF"/>
    <w:rsid w:val="00FE2149"/>
    <w:rsid w:val="00FF2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4"/>
      <w:szCs w:val="24"/>
      <w:lang w:eastAsia="ar-SA"/>
    </w:rPr>
  </w:style>
  <w:style w:type="paragraph" w:styleId="Heading3">
    <w:name w:val="heading 3"/>
    <w:basedOn w:val="Normal"/>
    <w:next w:val="Normal"/>
    <w:link w:val="Heading3Char"/>
    <w:unhideWhenUsed/>
    <w:qFormat/>
    <w:rsid w:val="006A70D9"/>
    <w:pPr>
      <w:keepNext/>
      <w:spacing w:before="240" w:after="60"/>
      <w:outlineLvl w:val="2"/>
    </w:pPr>
    <w:rPr>
      <w:rFonts w:ascii="Cambria" w:hAnsi="Cambria"/>
      <w:b/>
      <w:bCs/>
      <w:sz w:val="26"/>
      <w:szCs w:val="26"/>
      <w:lang w:val="x-none"/>
    </w:rPr>
  </w:style>
  <w:style w:type="paragraph" w:styleId="Heading4">
    <w:name w:val="heading 4"/>
    <w:basedOn w:val="Normal"/>
    <w:next w:val="BodyText"/>
    <w:qFormat/>
    <w:pPr>
      <w:numPr>
        <w:ilvl w:val="3"/>
        <w:numId w:val="1"/>
      </w:numPr>
      <w:spacing w:before="280" w:after="280"/>
      <w:outlineLvl w:val="3"/>
    </w:pPr>
    <w:rPr>
      <w:b/>
      <w:bCs/>
    </w:rPr>
  </w:style>
  <w:style w:type="paragraph" w:styleId="Heading5">
    <w:name w:val="heading 5"/>
    <w:basedOn w:val="Normal"/>
    <w:next w:val="Normal"/>
    <w:qFormat/>
    <w:rsid w:val="00781A77"/>
    <w:pPr>
      <w:spacing w:before="240" w:after="60"/>
      <w:outlineLvl w:val="4"/>
    </w:pPr>
    <w:rPr>
      <w:b/>
      <w:bCs/>
      <w:i/>
      <w:iCs/>
      <w:sz w:val="26"/>
      <w:szCs w:val="26"/>
    </w:rPr>
  </w:style>
  <w:style w:type="paragraph" w:styleId="Heading8">
    <w:name w:val="heading 8"/>
    <w:basedOn w:val="Normal"/>
    <w:next w:val="Normal"/>
    <w:qFormat/>
    <w:rsid w:val="00781A77"/>
    <w:pPr>
      <w:suppressAutoHyphens w:val="0"/>
      <w:spacing w:before="240" w:after="60" w:line="276" w:lineRule="auto"/>
      <w:outlineLvl w:val="7"/>
    </w:pPr>
    <w:rPr>
      <w:rFonts w:eastAsia="Calibri"/>
      <w:i/>
      <w:i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styleId="Hyperlink">
    <w:name w:val="Hyperlink"/>
    <w:rPr>
      <w:color w:val="0000FF"/>
      <w:u w:val="single"/>
    </w:rPr>
  </w:style>
  <w:style w:type="character" w:styleId="PageNumber">
    <w:name w:val="page number"/>
    <w:basedOn w:val="WW-DefaultParagraphFont1111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pPr>
      <w:spacing w:before="75" w:after="75"/>
      <w:ind w:firstLine="375"/>
      <w:jc w:val="both"/>
    </w:pPr>
  </w:style>
  <w:style w:type="character" w:styleId="Strong">
    <w:name w:val="Strong"/>
    <w:qFormat/>
    <w:rsid w:val="00881107"/>
    <w:rPr>
      <w:b/>
      <w:bCs/>
    </w:rPr>
  </w:style>
  <w:style w:type="character" w:styleId="Emphasis">
    <w:name w:val="Emphasis"/>
    <w:qFormat/>
    <w:rsid w:val="00881107"/>
    <w:rPr>
      <w:i/>
      <w:iCs/>
    </w:rPr>
  </w:style>
  <w:style w:type="paragraph" w:styleId="BodyTextIndent3">
    <w:name w:val="Body Text Indent 3"/>
    <w:basedOn w:val="Normal"/>
    <w:link w:val="BodyTextIndent3Char"/>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BodyTextIndent3Char">
    <w:name w:val="Body Text Indent 3 Char"/>
    <w:link w:val="BodyTextIndent3"/>
    <w:semiHidden/>
    <w:rsid w:val="00781A77"/>
    <w:rPr>
      <w:rFonts w:eastAsia="Calibri"/>
      <w:sz w:val="16"/>
      <w:szCs w:val="16"/>
      <w:lang w:val="lv-LV" w:eastAsia="en-US" w:bidi="ar-SA"/>
    </w:rPr>
  </w:style>
  <w:style w:type="paragraph" w:customStyle="1" w:styleId="naisnod">
    <w:name w:val="naisnod"/>
    <w:basedOn w:val="Normal"/>
    <w:rsid w:val="00D76C61"/>
    <w:pPr>
      <w:suppressAutoHyphens w:val="0"/>
      <w:spacing w:before="120" w:after="120"/>
      <w:jc w:val="center"/>
    </w:pPr>
    <w:rPr>
      <w:b/>
      <w:bCs/>
      <w:kern w:val="0"/>
      <w:lang w:eastAsia="lv-LV"/>
    </w:rPr>
  </w:style>
  <w:style w:type="paragraph" w:customStyle="1" w:styleId="naiskr">
    <w:name w:val="naiskr"/>
    <w:basedOn w:val="Normal"/>
    <w:rsid w:val="00D76C61"/>
    <w:pPr>
      <w:suppressAutoHyphens w:val="0"/>
      <w:spacing w:before="60" w:after="60"/>
    </w:pPr>
    <w:rPr>
      <w:kern w:val="0"/>
      <w:lang w:eastAsia="lv-LV"/>
    </w:rPr>
  </w:style>
  <w:style w:type="character" w:customStyle="1" w:styleId="HTMLPreformattedChar">
    <w:name w:val="HTML Preformatted Char"/>
    <w:link w:val="HTMLPreformatted"/>
    <w:rsid w:val="00897727"/>
    <w:rPr>
      <w:rFonts w:ascii="Courier New" w:eastAsia="Courier New" w:hAnsi="Courier New"/>
      <w:kern w:val="1"/>
      <w:lang w:val="en-GB" w:eastAsia="ar-SA"/>
    </w:rPr>
  </w:style>
  <w:style w:type="paragraph" w:styleId="BalloonText">
    <w:name w:val="Balloon Text"/>
    <w:basedOn w:val="Normal"/>
    <w:link w:val="BalloonTextChar"/>
    <w:rsid w:val="001867C1"/>
    <w:rPr>
      <w:rFonts w:ascii="Tahoma" w:hAnsi="Tahoma"/>
      <w:sz w:val="16"/>
      <w:szCs w:val="16"/>
      <w:lang w:val="x-none"/>
    </w:rPr>
  </w:style>
  <w:style w:type="character" w:customStyle="1" w:styleId="BalloonTextChar">
    <w:name w:val="Balloon Text Char"/>
    <w:link w:val="BalloonText"/>
    <w:rsid w:val="001867C1"/>
    <w:rPr>
      <w:rFonts w:ascii="Tahoma" w:hAnsi="Tahoma" w:cs="Tahoma"/>
      <w:kern w:val="1"/>
      <w:sz w:val="16"/>
      <w:szCs w:val="16"/>
      <w:lang w:eastAsia="ar-SA"/>
    </w:rPr>
  </w:style>
  <w:style w:type="character" w:customStyle="1" w:styleId="Heading3Char">
    <w:name w:val="Heading 3 Char"/>
    <w:link w:val="Heading3"/>
    <w:rsid w:val="006A70D9"/>
    <w:rPr>
      <w:rFonts w:ascii="Cambria" w:eastAsia="Times New Roman" w:hAnsi="Cambria" w:cs="Times New Roman"/>
      <w:b/>
      <w:bCs/>
      <w:kern w:val="1"/>
      <w:sz w:val="26"/>
      <w:szCs w:val="26"/>
      <w:lang w:eastAsia="ar-SA"/>
    </w:rPr>
  </w:style>
  <w:style w:type="character" w:styleId="CommentReference">
    <w:name w:val="annotation reference"/>
    <w:rsid w:val="007B2CDB"/>
    <w:rPr>
      <w:sz w:val="16"/>
      <w:szCs w:val="16"/>
    </w:rPr>
  </w:style>
  <w:style w:type="paragraph" w:styleId="CommentText">
    <w:name w:val="annotation text"/>
    <w:basedOn w:val="Normal"/>
    <w:link w:val="CommentTextChar"/>
    <w:rsid w:val="007B2CDB"/>
    <w:rPr>
      <w:sz w:val="20"/>
      <w:szCs w:val="20"/>
    </w:rPr>
  </w:style>
  <w:style w:type="character" w:customStyle="1" w:styleId="CommentTextChar">
    <w:name w:val="Comment Text Char"/>
    <w:link w:val="CommentText"/>
    <w:rsid w:val="007B2CDB"/>
    <w:rPr>
      <w:kern w:val="1"/>
      <w:lang w:eastAsia="ar-SA"/>
    </w:rPr>
  </w:style>
  <w:style w:type="paragraph" w:styleId="CommentSubject">
    <w:name w:val="annotation subject"/>
    <w:basedOn w:val="CommentText"/>
    <w:next w:val="CommentText"/>
    <w:link w:val="CommentSubjectChar"/>
    <w:rsid w:val="007B2CDB"/>
    <w:rPr>
      <w:b/>
      <w:bCs/>
    </w:rPr>
  </w:style>
  <w:style w:type="character" w:customStyle="1" w:styleId="CommentSubjectChar">
    <w:name w:val="Comment Subject Char"/>
    <w:link w:val="CommentSubject"/>
    <w:rsid w:val="007B2CDB"/>
    <w:rPr>
      <w:b/>
      <w:bCs/>
      <w:kern w:val="1"/>
      <w:lang w:eastAsia="ar-SA"/>
    </w:rPr>
  </w:style>
  <w:style w:type="paragraph" w:styleId="ListParagraph">
    <w:name w:val="List Paragraph"/>
    <w:basedOn w:val="Normal"/>
    <w:uiPriority w:val="34"/>
    <w:qFormat/>
    <w:rsid w:val="00DF10CE"/>
    <w:pPr>
      <w:suppressAutoHyphens w:val="0"/>
      <w:spacing w:after="200" w:line="276" w:lineRule="auto"/>
      <w:ind w:left="720"/>
      <w:contextualSpacing/>
    </w:pPr>
    <w:rPr>
      <w:rFonts w:ascii="Calibri" w:eastAsia="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4"/>
      <w:szCs w:val="24"/>
      <w:lang w:eastAsia="ar-SA"/>
    </w:rPr>
  </w:style>
  <w:style w:type="paragraph" w:styleId="Heading3">
    <w:name w:val="heading 3"/>
    <w:basedOn w:val="Normal"/>
    <w:next w:val="Normal"/>
    <w:link w:val="Heading3Char"/>
    <w:unhideWhenUsed/>
    <w:qFormat/>
    <w:rsid w:val="006A70D9"/>
    <w:pPr>
      <w:keepNext/>
      <w:spacing w:before="240" w:after="60"/>
      <w:outlineLvl w:val="2"/>
    </w:pPr>
    <w:rPr>
      <w:rFonts w:ascii="Cambria" w:hAnsi="Cambria"/>
      <w:b/>
      <w:bCs/>
      <w:sz w:val="26"/>
      <w:szCs w:val="26"/>
      <w:lang w:val="x-none"/>
    </w:rPr>
  </w:style>
  <w:style w:type="paragraph" w:styleId="Heading4">
    <w:name w:val="heading 4"/>
    <w:basedOn w:val="Normal"/>
    <w:next w:val="BodyText"/>
    <w:qFormat/>
    <w:pPr>
      <w:numPr>
        <w:ilvl w:val="3"/>
        <w:numId w:val="1"/>
      </w:numPr>
      <w:spacing w:before="280" w:after="280"/>
      <w:outlineLvl w:val="3"/>
    </w:pPr>
    <w:rPr>
      <w:b/>
      <w:bCs/>
    </w:rPr>
  </w:style>
  <w:style w:type="paragraph" w:styleId="Heading5">
    <w:name w:val="heading 5"/>
    <w:basedOn w:val="Normal"/>
    <w:next w:val="Normal"/>
    <w:qFormat/>
    <w:rsid w:val="00781A77"/>
    <w:pPr>
      <w:spacing w:before="240" w:after="60"/>
      <w:outlineLvl w:val="4"/>
    </w:pPr>
    <w:rPr>
      <w:b/>
      <w:bCs/>
      <w:i/>
      <w:iCs/>
      <w:sz w:val="26"/>
      <w:szCs w:val="26"/>
    </w:rPr>
  </w:style>
  <w:style w:type="paragraph" w:styleId="Heading8">
    <w:name w:val="heading 8"/>
    <w:basedOn w:val="Normal"/>
    <w:next w:val="Normal"/>
    <w:qFormat/>
    <w:rsid w:val="00781A77"/>
    <w:pPr>
      <w:suppressAutoHyphens w:val="0"/>
      <w:spacing w:before="240" w:after="60" w:line="276" w:lineRule="auto"/>
      <w:outlineLvl w:val="7"/>
    </w:pPr>
    <w:rPr>
      <w:rFonts w:eastAsia="Calibri"/>
      <w:i/>
      <w:i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styleId="Hyperlink">
    <w:name w:val="Hyperlink"/>
    <w:rPr>
      <w:color w:val="0000FF"/>
      <w:u w:val="single"/>
    </w:rPr>
  </w:style>
  <w:style w:type="character" w:styleId="PageNumber">
    <w:name w:val="page number"/>
    <w:basedOn w:val="WW-DefaultParagraphFont1111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pPr>
      <w:spacing w:before="75" w:after="75"/>
      <w:ind w:firstLine="375"/>
      <w:jc w:val="both"/>
    </w:pPr>
  </w:style>
  <w:style w:type="character" w:styleId="Strong">
    <w:name w:val="Strong"/>
    <w:qFormat/>
    <w:rsid w:val="00881107"/>
    <w:rPr>
      <w:b/>
      <w:bCs/>
    </w:rPr>
  </w:style>
  <w:style w:type="character" w:styleId="Emphasis">
    <w:name w:val="Emphasis"/>
    <w:qFormat/>
    <w:rsid w:val="00881107"/>
    <w:rPr>
      <w:i/>
      <w:iCs/>
    </w:rPr>
  </w:style>
  <w:style w:type="paragraph" w:styleId="BodyTextIndent3">
    <w:name w:val="Body Text Indent 3"/>
    <w:basedOn w:val="Normal"/>
    <w:link w:val="BodyTextIndent3Char"/>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BodyTextIndent3Char">
    <w:name w:val="Body Text Indent 3 Char"/>
    <w:link w:val="BodyTextIndent3"/>
    <w:semiHidden/>
    <w:rsid w:val="00781A77"/>
    <w:rPr>
      <w:rFonts w:eastAsia="Calibri"/>
      <w:sz w:val="16"/>
      <w:szCs w:val="16"/>
      <w:lang w:val="lv-LV" w:eastAsia="en-US" w:bidi="ar-SA"/>
    </w:rPr>
  </w:style>
  <w:style w:type="paragraph" w:customStyle="1" w:styleId="naisnod">
    <w:name w:val="naisnod"/>
    <w:basedOn w:val="Normal"/>
    <w:rsid w:val="00D76C61"/>
    <w:pPr>
      <w:suppressAutoHyphens w:val="0"/>
      <w:spacing w:before="120" w:after="120"/>
      <w:jc w:val="center"/>
    </w:pPr>
    <w:rPr>
      <w:b/>
      <w:bCs/>
      <w:kern w:val="0"/>
      <w:lang w:eastAsia="lv-LV"/>
    </w:rPr>
  </w:style>
  <w:style w:type="paragraph" w:customStyle="1" w:styleId="naiskr">
    <w:name w:val="naiskr"/>
    <w:basedOn w:val="Normal"/>
    <w:rsid w:val="00D76C61"/>
    <w:pPr>
      <w:suppressAutoHyphens w:val="0"/>
      <w:spacing w:before="60" w:after="60"/>
    </w:pPr>
    <w:rPr>
      <w:kern w:val="0"/>
      <w:lang w:eastAsia="lv-LV"/>
    </w:rPr>
  </w:style>
  <w:style w:type="character" w:customStyle="1" w:styleId="HTMLPreformattedChar">
    <w:name w:val="HTML Preformatted Char"/>
    <w:link w:val="HTMLPreformatted"/>
    <w:rsid w:val="00897727"/>
    <w:rPr>
      <w:rFonts w:ascii="Courier New" w:eastAsia="Courier New" w:hAnsi="Courier New"/>
      <w:kern w:val="1"/>
      <w:lang w:val="en-GB" w:eastAsia="ar-SA"/>
    </w:rPr>
  </w:style>
  <w:style w:type="paragraph" w:styleId="BalloonText">
    <w:name w:val="Balloon Text"/>
    <w:basedOn w:val="Normal"/>
    <w:link w:val="BalloonTextChar"/>
    <w:rsid w:val="001867C1"/>
    <w:rPr>
      <w:rFonts w:ascii="Tahoma" w:hAnsi="Tahoma"/>
      <w:sz w:val="16"/>
      <w:szCs w:val="16"/>
      <w:lang w:val="x-none"/>
    </w:rPr>
  </w:style>
  <w:style w:type="character" w:customStyle="1" w:styleId="BalloonTextChar">
    <w:name w:val="Balloon Text Char"/>
    <w:link w:val="BalloonText"/>
    <w:rsid w:val="001867C1"/>
    <w:rPr>
      <w:rFonts w:ascii="Tahoma" w:hAnsi="Tahoma" w:cs="Tahoma"/>
      <w:kern w:val="1"/>
      <w:sz w:val="16"/>
      <w:szCs w:val="16"/>
      <w:lang w:eastAsia="ar-SA"/>
    </w:rPr>
  </w:style>
  <w:style w:type="character" w:customStyle="1" w:styleId="Heading3Char">
    <w:name w:val="Heading 3 Char"/>
    <w:link w:val="Heading3"/>
    <w:rsid w:val="006A70D9"/>
    <w:rPr>
      <w:rFonts w:ascii="Cambria" w:eastAsia="Times New Roman" w:hAnsi="Cambria" w:cs="Times New Roman"/>
      <w:b/>
      <w:bCs/>
      <w:kern w:val="1"/>
      <w:sz w:val="26"/>
      <w:szCs w:val="26"/>
      <w:lang w:eastAsia="ar-SA"/>
    </w:rPr>
  </w:style>
  <w:style w:type="character" w:styleId="CommentReference">
    <w:name w:val="annotation reference"/>
    <w:rsid w:val="007B2CDB"/>
    <w:rPr>
      <w:sz w:val="16"/>
      <w:szCs w:val="16"/>
    </w:rPr>
  </w:style>
  <w:style w:type="paragraph" w:styleId="CommentText">
    <w:name w:val="annotation text"/>
    <w:basedOn w:val="Normal"/>
    <w:link w:val="CommentTextChar"/>
    <w:rsid w:val="007B2CDB"/>
    <w:rPr>
      <w:sz w:val="20"/>
      <w:szCs w:val="20"/>
    </w:rPr>
  </w:style>
  <w:style w:type="character" w:customStyle="1" w:styleId="CommentTextChar">
    <w:name w:val="Comment Text Char"/>
    <w:link w:val="CommentText"/>
    <w:rsid w:val="007B2CDB"/>
    <w:rPr>
      <w:kern w:val="1"/>
      <w:lang w:eastAsia="ar-SA"/>
    </w:rPr>
  </w:style>
  <w:style w:type="paragraph" w:styleId="CommentSubject">
    <w:name w:val="annotation subject"/>
    <w:basedOn w:val="CommentText"/>
    <w:next w:val="CommentText"/>
    <w:link w:val="CommentSubjectChar"/>
    <w:rsid w:val="007B2CDB"/>
    <w:rPr>
      <w:b/>
      <w:bCs/>
    </w:rPr>
  </w:style>
  <w:style w:type="character" w:customStyle="1" w:styleId="CommentSubjectChar">
    <w:name w:val="Comment Subject Char"/>
    <w:link w:val="CommentSubject"/>
    <w:rsid w:val="007B2CDB"/>
    <w:rPr>
      <w:b/>
      <w:bCs/>
      <w:kern w:val="1"/>
      <w:lang w:eastAsia="ar-SA"/>
    </w:rPr>
  </w:style>
  <w:style w:type="paragraph" w:styleId="ListParagraph">
    <w:name w:val="List Paragraph"/>
    <w:basedOn w:val="Normal"/>
    <w:uiPriority w:val="34"/>
    <w:qFormat/>
    <w:rsid w:val="00DF10CE"/>
    <w:pPr>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1499080150">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6616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lanta.Krastina@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1992R2913:20070101:LV: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xUriServ/LexUriServ.do?uri=CONSLEG:1993R2454:200907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1992R2913:20070101:LV: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572B-23E2-4E17-82AE-8471AB23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7962</Words>
  <Characters>4539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„Grozījums Ministru kabineta 2010.gada 21.decembra noteikumos Nr.1135 „Muitas procedūras – tranzīts – piemērošanas kārtība””</vt:lpstr>
      <vt:lpstr>Ministru kabineta noteikumu projekta „Grozījumi Ministru kabineta 2005.gada 13.decembra noteikumos Nr.956 „Kārtība, kādā piešķirams patstāvīgas mazās alus darītavas statuss un piemērojama akcīzes nodokļa likme patstāvīgo mazo alus darītavu saražotajam alu</vt:lpstr>
    </vt:vector>
  </TitlesOfParts>
  <Company>FM</Company>
  <LinksUpToDate>false</LinksUpToDate>
  <CharactersWithSpaces>12477</CharactersWithSpaces>
  <SharedDoc>false</SharedDoc>
  <HLinks>
    <vt:vector size="24" baseType="variant">
      <vt:variant>
        <vt:i4>2818078</vt:i4>
      </vt:variant>
      <vt:variant>
        <vt:i4>9</vt:i4>
      </vt:variant>
      <vt:variant>
        <vt:i4>0</vt:i4>
      </vt:variant>
      <vt:variant>
        <vt:i4>5</vt:i4>
      </vt:variant>
      <vt:variant>
        <vt:lpwstr>mailto:Jolanta.Krastina@fm.gov.lv</vt:lpwstr>
      </vt:variant>
      <vt:variant>
        <vt:lpwstr/>
      </vt:variant>
      <vt:variant>
        <vt:i4>1704006</vt:i4>
      </vt:variant>
      <vt:variant>
        <vt:i4>6</vt:i4>
      </vt:variant>
      <vt:variant>
        <vt:i4>0</vt:i4>
      </vt:variant>
      <vt:variant>
        <vt:i4>5</vt:i4>
      </vt:variant>
      <vt:variant>
        <vt:lpwstr>http://eur-lex.europa.eu/LexUriServ/LexUriServ.do?uri=CONSLEG:1992R2913:20070101:LV:HTML</vt:lpwstr>
      </vt:variant>
      <vt:variant>
        <vt:lpwstr/>
      </vt:variant>
      <vt:variant>
        <vt:i4>1507404</vt:i4>
      </vt:variant>
      <vt:variant>
        <vt:i4>3</vt:i4>
      </vt:variant>
      <vt:variant>
        <vt:i4>0</vt:i4>
      </vt:variant>
      <vt:variant>
        <vt:i4>5</vt:i4>
      </vt:variant>
      <vt:variant>
        <vt:lpwstr>http://eur-lex.europa.eu/LexUriServ/LexUriServ.do?uri=CONSLEG:1993R2454:20090701:LV:HTML</vt:lpwstr>
      </vt:variant>
      <vt:variant>
        <vt:lpwstr/>
      </vt:variant>
      <vt:variant>
        <vt:i4>1704006</vt:i4>
      </vt:variant>
      <vt:variant>
        <vt:i4>0</vt:i4>
      </vt:variant>
      <vt:variant>
        <vt:i4>0</vt:i4>
      </vt:variant>
      <vt:variant>
        <vt:i4>5</vt:i4>
      </vt:variant>
      <vt:variant>
        <vt:lpwstr>http://eur-lex.europa.eu/LexUriServ/LexUriServ.do?uri=CONSLEG:1992R2913:20070101:LV:HTML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projekts Grozījums Ministru kabineta 2010.gada 21.decembra noteikumos Nr.1135 „Muitas procedūras – tranzīts – piemērošanas kārtība”</dc:subject>
  <dc:creator>Jolanta Krastiņa</dc:creator>
  <cp:keywords/>
  <dc:description>Jolanta Krastiņa           jolanta.krastina@fm.gov.lv                      tālr.67095564</dc:description>
  <cp:lastModifiedBy>changeme</cp:lastModifiedBy>
  <cp:revision>2</cp:revision>
  <cp:lastPrinted>2012-06-20T09:16:00Z</cp:lastPrinted>
  <dcterms:created xsi:type="dcterms:W3CDTF">2012-06-21T11:03:00Z</dcterms:created>
  <dcterms:modified xsi:type="dcterms:W3CDTF">2012-06-21T11:03:00Z</dcterms:modified>
  <cp:category>MK noteikumu projekts</cp:category>
</cp:coreProperties>
</file>