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6B" w:rsidRPr="00EB104E" w:rsidRDefault="0022366B" w:rsidP="0022366B">
      <w:pPr>
        <w:ind w:firstLine="567"/>
        <w:jc w:val="center"/>
        <w:rPr>
          <w:b/>
          <w:sz w:val="26"/>
          <w:szCs w:val="26"/>
          <w:lang w:val="lv-LV" w:eastAsia="lv-LV"/>
        </w:rPr>
      </w:pPr>
      <w:bookmarkStart w:id="0" w:name="_GoBack"/>
      <w:bookmarkEnd w:id="0"/>
      <w:r w:rsidRPr="00EB104E">
        <w:rPr>
          <w:b/>
          <w:bCs/>
          <w:sz w:val="26"/>
          <w:szCs w:val="26"/>
          <w:lang w:val="lv-LV" w:eastAsia="lv-LV"/>
        </w:rPr>
        <w:t>Noteikumu projekta „</w:t>
      </w:r>
      <w:r w:rsidRPr="00EB104E">
        <w:rPr>
          <w:b/>
          <w:bCs/>
          <w:sz w:val="26"/>
          <w:szCs w:val="26"/>
          <w:lang w:eastAsia="lv-LV"/>
        </w:rPr>
        <w:t>Grozījumi Ministru kabineta 2006.gada 4.jūlija noteikumos Nr.556 „Likuma "Par uzņēmumu ienākuma nodokli" normu piemērošanas noteikumi”</w:t>
      </w:r>
      <w:r w:rsidRPr="00EB104E">
        <w:rPr>
          <w:b/>
          <w:bCs/>
          <w:sz w:val="26"/>
          <w:szCs w:val="26"/>
          <w:lang w:val="lv-LV" w:eastAsia="lv-LV"/>
        </w:rPr>
        <w:t>”</w:t>
      </w:r>
    </w:p>
    <w:p w:rsidR="0022366B" w:rsidRPr="00EB104E" w:rsidRDefault="0022366B" w:rsidP="0022366B">
      <w:pPr>
        <w:jc w:val="center"/>
        <w:rPr>
          <w:b/>
          <w:bCs/>
          <w:sz w:val="26"/>
          <w:szCs w:val="26"/>
          <w:lang w:val="lv-LV"/>
        </w:rPr>
      </w:pPr>
      <w:r w:rsidRPr="00EB104E">
        <w:rPr>
          <w:b/>
          <w:bCs/>
          <w:sz w:val="26"/>
          <w:szCs w:val="26"/>
          <w:lang w:val="lv-LV"/>
        </w:rPr>
        <w:t>sākotnējās ietekmes novērtējuma ziņojums (anotācija)</w:t>
      </w:r>
    </w:p>
    <w:p w:rsidR="0022366B" w:rsidRPr="00EB104E" w:rsidRDefault="0022366B" w:rsidP="0022366B">
      <w:pPr>
        <w:jc w:val="center"/>
        <w:rPr>
          <w:b/>
          <w:sz w:val="26"/>
          <w:szCs w:val="26"/>
          <w:lang w:val="lv-LV"/>
        </w:rPr>
      </w:pPr>
    </w:p>
    <w:tbl>
      <w:tblPr>
        <w:tblW w:w="510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2"/>
        <w:gridCol w:w="192"/>
        <w:gridCol w:w="2113"/>
        <w:gridCol w:w="2157"/>
        <w:gridCol w:w="4469"/>
      </w:tblGrid>
      <w:tr w:rsidR="0022366B" w:rsidRPr="00EB104E" w:rsidTr="0022366B">
        <w:tc>
          <w:tcPr>
            <w:tcW w:w="5000" w:type="pct"/>
            <w:gridSpan w:val="5"/>
            <w:tcBorders>
              <w:top w:val="single" w:sz="6" w:space="0" w:color="auto"/>
              <w:left w:val="single" w:sz="6" w:space="0" w:color="auto"/>
              <w:bottom w:val="outset" w:sz="6" w:space="0" w:color="000000"/>
              <w:right w:val="single" w:sz="6" w:space="0" w:color="auto"/>
            </w:tcBorders>
            <w:vAlign w:val="center"/>
          </w:tcPr>
          <w:p w:rsidR="0022366B" w:rsidRPr="00EB104E" w:rsidRDefault="0022366B" w:rsidP="002E2EB9">
            <w:pPr>
              <w:spacing w:before="100" w:beforeAutospacing="1" w:after="100" w:afterAutospacing="1"/>
              <w:jc w:val="both"/>
              <w:rPr>
                <w:b/>
                <w:bCs/>
                <w:sz w:val="26"/>
                <w:szCs w:val="26"/>
                <w:lang w:val="lv-LV"/>
              </w:rPr>
            </w:pPr>
            <w:r w:rsidRPr="00EB104E">
              <w:rPr>
                <w:b/>
                <w:bCs/>
                <w:sz w:val="26"/>
                <w:szCs w:val="26"/>
                <w:lang w:val="lv-LV"/>
              </w:rPr>
              <w:t>I. Tiesību akta projekta izstrādes nepieciešamība</w:t>
            </w:r>
          </w:p>
        </w:tc>
      </w:tr>
      <w:tr w:rsidR="0022366B" w:rsidRPr="00EB104E" w:rsidTr="0022366B">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1.</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Pamatojums</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numPr>
                <w:ilvl w:val="0"/>
                <w:numId w:val="2"/>
              </w:numPr>
              <w:tabs>
                <w:tab w:val="left" w:pos="252"/>
              </w:tabs>
              <w:ind w:left="0" w:firstLine="0"/>
              <w:jc w:val="both"/>
              <w:rPr>
                <w:sz w:val="26"/>
                <w:szCs w:val="26"/>
                <w:lang w:val="lv-LV"/>
              </w:rPr>
            </w:pPr>
            <w:proofErr w:type="spellStart"/>
            <w:r w:rsidRPr="00EB104E">
              <w:rPr>
                <w:sz w:val="26"/>
                <w:szCs w:val="26"/>
                <w:lang w:val="lv-LV"/>
              </w:rPr>
              <w:t>Euro</w:t>
            </w:r>
            <w:proofErr w:type="spellEnd"/>
            <w:r w:rsidRPr="00EB104E">
              <w:rPr>
                <w:sz w:val="26"/>
                <w:szCs w:val="26"/>
                <w:lang w:val="lv-LV"/>
              </w:rPr>
              <w:t xml:space="preserve"> ieviešanas kārtības likuma </w:t>
            </w:r>
            <w:r w:rsidRPr="00EB104E">
              <w:rPr>
                <w:sz w:val="26"/>
                <w:szCs w:val="26"/>
              </w:rPr>
              <w:t>(turpmāk – EIKL)</w:t>
            </w:r>
            <w:r w:rsidRPr="00EB104E">
              <w:rPr>
                <w:sz w:val="26"/>
                <w:szCs w:val="26"/>
                <w:lang w:val="lv-LV"/>
              </w:rPr>
              <w:t>30.panta pirmā daļa;</w:t>
            </w:r>
          </w:p>
          <w:p w:rsidR="0022366B" w:rsidRPr="00EB104E" w:rsidRDefault="0022366B" w:rsidP="002E2EB9">
            <w:pPr>
              <w:jc w:val="both"/>
              <w:rPr>
                <w:sz w:val="26"/>
                <w:szCs w:val="26"/>
                <w:lang w:val="lv-LV"/>
              </w:rPr>
            </w:pPr>
            <w:r w:rsidRPr="00EB104E">
              <w:rPr>
                <w:sz w:val="26"/>
                <w:szCs w:val="26"/>
                <w:lang w:val="lv-LV"/>
              </w:rPr>
              <w:t>- Noteikumu projekts „</w:t>
            </w:r>
            <w:r w:rsidRPr="00EB104E">
              <w:rPr>
                <w:bCs/>
                <w:sz w:val="26"/>
                <w:szCs w:val="26"/>
                <w:lang w:eastAsia="lv-LV"/>
              </w:rPr>
              <w:t>Grozījumi Ministru kabineta 2006.gada 4.jūlija noteikumos Nr.556 „Likuma "Par uzņēmumu ienākuma nodokli" normu piemērošanas noteikumi”</w:t>
            </w:r>
            <w:r w:rsidRPr="00EB104E">
              <w:rPr>
                <w:bCs/>
                <w:sz w:val="26"/>
                <w:szCs w:val="26"/>
                <w:lang w:val="lv-LV" w:eastAsia="lv-LV"/>
              </w:rPr>
              <w:t>”</w:t>
            </w:r>
            <w:r w:rsidRPr="00EB104E">
              <w:rPr>
                <w:sz w:val="26"/>
                <w:szCs w:val="26"/>
                <w:lang w:val="lv-LV"/>
              </w:rPr>
              <w:t xml:space="preserve"> (turpmāk – noteikumu projekts) izstrādāts atbilstoši Ministru kabineta 2012.gada 27.jūnija rīkojuma Nr.282 „Par „Koncepciju par normatīvo aktu sakārtošanu saistībā ar </w:t>
            </w:r>
            <w:proofErr w:type="spellStart"/>
            <w:r w:rsidRPr="00EB104E">
              <w:rPr>
                <w:sz w:val="26"/>
                <w:szCs w:val="26"/>
                <w:lang w:val="lv-LV"/>
              </w:rPr>
              <w:t>euro</w:t>
            </w:r>
            <w:proofErr w:type="spellEnd"/>
            <w:r w:rsidRPr="00EB104E">
              <w:rPr>
                <w:sz w:val="26"/>
                <w:szCs w:val="26"/>
                <w:lang w:val="lv-LV"/>
              </w:rPr>
              <w:t xml:space="preserve"> ieviešanu Latvijā”” 3.pielikuma 517.punktam.</w:t>
            </w:r>
          </w:p>
        </w:tc>
      </w:tr>
      <w:tr w:rsidR="0022366B" w:rsidRPr="00EB104E" w:rsidTr="0022366B">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2.</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Pašreizējā situācija un problēmas</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ind w:hanging="31"/>
              <w:jc w:val="both"/>
              <w:rPr>
                <w:sz w:val="26"/>
                <w:szCs w:val="26"/>
                <w:lang w:val="lv-LV"/>
              </w:rPr>
            </w:pPr>
            <w:r w:rsidRPr="00EB104E">
              <w:rPr>
                <w:sz w:val="26"/>
                <w:szCs w:val="26"/>
                <w:lang w:val="lv-LV"/>
              </w:rPr>
              <w:t xml:space="preserve">Šobrīd </w:t>
            </w:r>
            <w:r w:rsidRPr="00EB104E">
              <w:rPr>
                <w:bCs/>
                <w:sz w:val="26"/>
                <w:szCs w:val="26"/>
                <w:lang w:eastAsia="lv-LV"/>
              </w:rPr>
              <w:t>Ministru kabineta 2006.gada 4.jūlija noteikumos Nr.556 „Likuma "Par uzņēmumu ienākuma nodokli" normu piemērošanas noteikumi”</w:t>
            </w:r>
            <w:r w:rsidRPr="00EB104E">
              <w:rPr>
                <w:bCs/>
                <w:sz w:val="26"/>
                <w:szCs w:val="26"/>
                <w:lang w:val="lv-LV" w:eastAsia="lv-LV"/>
              </w:rPr>
              <w:t>”</w:t>
            </w:r>
            <w:r w:rsidRPr="00EB104E">
              <w:rPr>
                <w:sz w:val="26"/>
                <w:szCs w:val="26"/>
                <w:lang w:val="lv-LV"/>
              </w:rPr>
              <w:t xml:space="preserve"> (turpmāk – noteikumi) tekstā visas summas ir noteiktas latos vai tās satur atsauci uz latiem.</w:t>
            </w:r>
          </w:p>
          <w:p w:rsidR="0022366B" w:rsidRPr="00EB104E" w:rsidRDefault="0022366B" w:rsidP="002E2EB9">
            <w:pPr>
              <w:jc w:val="both"/>
              <w:rPr>
                <w:sz w:val="26"/>
                <w:szCs w:val="26"/>
                <w:lang w:val="lv-LV"/>
              </w:rPr>
            </w:pPr>
            <w:r w:rsidRPr="00EB104E">
              <w:rPr>
                <w:bCs/>
                <w:sz w:val="26"/>
                <w:szCs w:val="26"/>
              </w:rPr>
              <w:t>Deklarācijas par Valda Dombrovska vadītā Ministru kabineta iecerēto darbību II sadaļas 1.punkts paredz, ka Latvija plāno iekļauties e</w:t>
            </w:r>
            <w:r w:rsidRPr="00EB104E">
              <w:rPr>
                <w:bCs/>
                <w:sz w:val="26"/>
                <w:szCs w:val="26"/>
                <w:lang w:val="lv-LV"/>
              </w:rPr>
              <w:t>u</w:t>
            </w:r>
            <w:r w:rsidRPr="00EB104E">
              <w:rPr>
                <w:bCs/>
                <w:sz w:val="26"/>
                <w:szCs w:val="26"/>
              </w:rPr>
              <w:t xml:space="preserve">ro zonā jau 2014.gadā. </w:t>
            </w:r>
            <w:r w:rsidRPr="00EB104E">
              <w:rPr>
                <w:bCs/>
                <w:sz w:val="26"/>
                <w:szCs w:val="26"/>
                <w:lang w:val="lv-LV"/>
              </w:rPr>
              <w:t xml:space="preserve">Ņemot vērā, ka pēc iestāšanās </w:t>
            </w:r>
            <w:proofErr w:type="spellStart"/>
            <w:r w:rsidRPr="00EB104E">
              <w:rPr>
                <w:bCs/>
                <w:sz w:val="26"/>
                <w:szCs w:val="26"/>
                <w:lang w:val="lv-LV"/>
              </w:rPr>
              <w:t>euro</w:t>
            </w:r>
            <w:proofErr w:type="spellEnd"/>
            <w:r w:rsidRPr="00EB104E">
              <w:rPr>
                <w:bCs/>
                <w:sz w:val="26"/>
                <w:szCs w:val="26"/>
                <w:lang w:val="lv-LV"/>
              </w:rPr>
              <w:t xml:space="preserve"> zonā, likumīgais maksāšanas līdzeklis būs nevis lats, bet </w:t>
            </w:r>
            <w:proofErr w:type="spellStart"/>
            <w:r w:rsidRPr="00EB104E">
              <w:rPr>
                <w:bCs/>
                <w:sz w:val="26"/>
                <w:szCs w:val="26"/>
                <w:lang w:val="lv-LV"/>
              </w:rPr>
              <w:t>euro</w:t>
            </w:r>
            <w:proofErr w:type="spellEnd"/>
            <w:r w:rsidRPr="00EB104E">
              <w:rPr>
                <w:bCs/>
                <w:sz w:val="26"/>
                <w:szCs w:val="26"/>
                <w:lang w:val="lv-LV"/>
              </w:rPr>
              <w:t xml:space="preserve">, ir nepieciešams nodrošināt tiesību aktu pielāgošanu </w:t>
            </w:r>
            <w:proofErr w:type="spellStart"/>
            <w:r w:rsidRPr="00EB104E">
              <w:rPr>
                <w:bCs/>
                <w:sz w:val="26"/>
                <w:szCs w:val="26"/>
                <w:lang w:val="lv-LV"/>
              </w:rPr>
              <w:t>euro</w:t>
            </w:r>
            <w:proofErr w:type="spellEnd"/>
            <w:r w:rsidRPr="00EB104E">
              <w:rPr>
                <w:bCs/>
                <w:sz w:val="26"/>
                <w:szCs w:val="26"/>
                <w:lang w:val="lv-LV"/>
              </w:rPr>
              <w:t xml:space="preserve"> ieviešanai Latvijā.</w:t>
            </w:r>
          </w:p>
        </w:tc>
      </w:tr>
      <w:tr w:rsidR="0022366B" w:rsidRPr="00EB104E" w:rsidTr="0022366B">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 xml:space="preserve"> 3.</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Saistītie politikas ietekmes novērtējumi un pētījumi</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4.</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Tiesiskā regulējuma mērķis un būtība</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jc w:val="both"/>
              <w:rPr>
                <w:sz w:val="26"/>
                <w:szCs w:val="26"/>
                <w:lang w:val="lv-LV"/>
              </w:rPr>
            </w:pPr>
            <w:r w:rsidRPr="00EB104E">
              <w:rPr>
                <w:sz w:val="26"/>
                <w:szCs w:val="26"/>
                <w:lang w:val="lv-LV"/>
              </w:rPr>
              <w:t xml:space="preserve">Noteikumu projekta mērķis ir ar 2014.gada 1.janvāri noteikumos, ņemot vērā Eiropas Savienības apstiprināto </w:t>
            </w:r>
            <w:proofErr w:type="spellStart"/>
            <w:r w:rsidRPr="00EB104E">
              <w:rPr>
                <w:sz w:val="26"/>
                <w:szCs w:val="26"/>
                <w:lang w:val="lv-LV"/>
              </w:rPr>
              <w:t>euro</w:t>
            </w:r>
            <w:proofErr w:type="spellEnd"/>
            <w:r w:rsidRPr="00EB104E">
              <w:rPr>
                <w:sz w:val="26"/>
                <w:szCs w:val="26"/>
                <w:lang w:val="lv-LV"/>
              </w:rPr>
              <w:t xml:space="preserve"> maiņas kursu (1 EUR ir 0,702804 LVL), izteikt </w:t>
            </w:r>
            <w:proofErr w:type="spellStart"/>
            <w:r w:rsidRPr="00EB104E">
              <w:rPr>
                <w:sz w:val="26"/>
                <w:szCs w:val="26"/>
                <w:lang w:val="lv-LV"/>
              </w:rPr>
              <w:t>euro</w:t>
            </w:r>
            <w:proofErr w:type="spellEnd"/>
            <w:r w:rsidRPr="00EB104E">
              <w:rPr>
                <w:sz w:val="26"/>
                <w:szCs w:val="26"/>
                <w:lang w:val="lv-LV"/>
              </w:rPr>
              <w:t xml:space="preserve"> tās summas, kas šobrīd ir noteiktas latos, lai saskaņā ar 2013.gada 4.aprīļa Ministru kabineta rīkojuma Nr.136 „Par Latvijas Nacionālo </w:t>
            </w:r>
            <w:proofErr w:type="spellStart"/>
            <w:r w:rsidRPr="00EB104E">
              <w:rPr>
                <w:sz w:val="26"/>
                <w:szCs w:val="26"/>
                <w:lang w:val="lv-LV"/>
              </w:rPr>
              <w:t>euro</w:t>
            </w:r>
            <w:proofErr w:type="spellEnd"/>
            <w:r w:rsidRPr="00EB104E">
              <w:rPr>
                <w:sz w:val="26"/>
                <w:szCs w:val="26"/>
                <w:lang w:val="lv-LV"/>
              </w:rPr>
              <w:t xml:space="preserve"> ieviešanas plānu” 6.punktu Latvija iekļautos </w:t>
            </w:r>
            <w:proofErr w:type="spellStart"/>
            <w:r w:rsidRPr="00EB104E">
              <w:rPr>
                <w:i/>
                <w:sz w:val="26"/>
                <w:szCs w:val="26"/>
                <w:lang w:val="lv-LV"/>
              </w:rPr>
              <w:t>euro</w:t>
            </w:r>
            <w:proofErr w:type="spellEnd"/>
            <w:r w:rsidRPr="00EB104E">
              <w:rPr>
                <w:sz w:val="26"/>
                <w:szCs w:val="26"/>
                <w:lang w:val="lv-LV"/>
              </w:rPr>
              <w:t xml:space="preserve"> zonā no 2014.gada.</w:t>
            </w:r>
          </w:p>
          <w:p w:rsidR="0022366B" w:rsidRPr="00EB104E" w:rsidRDefault="0022366B" w:rsidP="002E2EB9">
            <w:pPr>
              <w:jc w:val="both"/>
              <w:rPr>
                <w:sz w:val="26"/>
                <w:szCs w:val="26"/>
                <w:lang w:val="lv-LV"/>
              </w:rPr>
            </w:pPr>
            <w:r w:rsidRPr="00EB104E">
              <w:rPr>
                <w:sz w:val="26"/>
                <w:szCs w:val="26"/>
                <w:lang w:val="lv-LV"/>
              </w:rPr>
              <w:t>Noteikumu 54</w:t>
            </w:r>
            <w:r w:rsidRPr="00EB104E">
              <w:rPr>
                <w:sz w:val="26"/>
                <w:szCs w:val="26"/>
              </w:rPr>
              <w:t xml:space="preserve">.punktā norādītā </w:t>
            </w:r>
            <w:r w:rsidRPr="00EB104E">
              <w:rPr>
                <w:sz w:val="26"/>
                <w:szCs w:val="26"/>
                <w:lang w:val="lv-LV"/>
              </w:rPr>
              <w:t xml:space="preserve">summa latos tiek dalīta ar 0,702804., pielietojot </w:t>
            </w:r>
            <w:proofErr w:type="spellStart"/>
            <w:r w:rsidRPr="00EB104E">
              <w:rPr>
                <w:i/>
                <w:sz w:val="26"/>
                <w:szCs w:val="26"/>
                <w:lang w:val="lv-LV"/>
              </w:rPr>
              <w:t>Euro</w:t>
            </w:r>
            <w:proofErr w:type="spellEnd"/>
            <w:r w:rsidRPr="00EB104E">
              <w:rPr>
                <w:sz w:val="26"/>
                <w:szCs w:val="26"/>
                <w:lang w:val="lv-LV"/>
              </w:rPr>
              <w:t xml:space="preserve"> ieviešanas kārtības likuma 32.panta otro daļu.</w:t>
            </w:r>
          </w:p>
          <w:p w:rsidR="0022366B" w:rsidRPr="00EB104E" w:rsidRDefault="0022366B" w:rsidP="002E2EB9">
            <w:pPr>
              <w:pStyle w:val="BodyText"/>
              <w:ind w:left="23" w:hanging="23"/>
              <w:jc w:val="both"/>
              <w:rPr>
                <w:sz w:val="26"/>
                <w:szCs w:val="26"/>
              </w:rPr>
            </w:pPr>
            <w:r w:rsidRPr="00EB104E">
              <w:rPr>
                <w:sz w:val="26"/>
                <w:szCs w:val="26"/>
              </w:rPr>
              <w:t xml:space="preserve">Noteikumu 54.punktā minētā summa tiek noapaļota un noteikta tikai </w:t>
            </w:r>
            <w:proofErr w:type="spellStart"/>
            <w:r w:rsidRPr="00EB104E">
              <w:rPr>
                <w:i/>
                <w:sz w:val="26"/>
                <w:szCs w:val="26"/>
              </w:rPr>
              <w:t>euro</w:t>
            </w:r>
            <w:proofErr w:type="spellEnd"/>
            <w:r w:rsidRPr="00EB104E">
              <w:rPr>
                <w:sz w:val="26"/>
                <w:szCs w:val="26"/>
              </w:rPr>
              <w:t>, jo šādas izmaiņas neradīs negatīvu ietekmi uz budžeta ieņēmumiem ņemot vērā, ka noteikumu 54.punkts paredz katra darījuma izvērtēšanu (regulējums nemainās arī tad, ja reklamējamās preces vērtība pārsniedz 50 latu, tomēr tās vērtība ir samērīga pret reklamējamo preci).</w:t>
            </w:r>
            <w:r w:rsidR="00CB5EF6" w:rsidRPr="00EB104E">
              <w:rPr>
                <w:sz w:val="26"/>
                <w:szCs w:val="26"/>
              </w:rPr>
              <w:t xml:space="preserve"> Papildus tam, tā kā pieļaujamā summa ir noapaļota uz augšu, tad nodokļu </w:t>
            </w:r>
            <w:r w:rsidR="00CB5EF6" w:rsidRPr="00EB104E">
              <w:rPr>
                <w:sz w:val="26"/>
                <w:szCs w:val="26"/>
              </w:rPr>
              <w:lastRenderedPageBreak/>
              <w:t>maksātājam tā ir labvēlīgāka.</w:t>
            </w:r>
          </w:p>
          <w:p w:rsidR="0022366B" w:rsidRPr="00EB104E" w:rsidRDefault="0022366B" w:rsidP="002E2EB9">
            <w:pPr>
              <w:pStyle w:val="BodyText"/>
              <w:ind w:left="23" w:hanging="23"/>
              <w:jc w:val="both"/>
              <w:rPr>
                <w:sz w:val="26"/>
                <w:szCs w:val="26"/>
              </w:rPr>
            </w:pPr>
            <w:r w:rsidRPr="00EB104E">
              <w:rPr>
                <w:sz w:val="26"/>
                <w:szCs w:val="26"/>
              </w:rPr>
              <w:t>Noteikumu 54.punktā noteiktā sliekšņa summa:</w:t>
            </w:r>
          </w:p>
          <w:p w:rsidR="00CB5EF6" w:rsidRPr="00EB104E" w:rsidRDefault="0022366B" w:rsidP="002E2EB9">
            <w:pPr>
              <w:jc w:val="both"/>
              <w:rPr>
                <w:sz w:val="26"/>
                <w:szCs w:val="26"/>
                <w:lang w:val="lv-LV"/>
              </w:rPr>
            </w:pPr>
            <w:r w:rsidRPr="00EB104E">
              <w:rPr>
                <w:sz w:val="26"/>
                <w:szCs w:val="26"/>
              </w:rPr>
              <w:t>LVL 50 =  EUR 71,143591 ≈  EUR 72</w:t>
            </w:r>
          </w:p>
          <w:p w:rsidR="0022366B" w:rsidRPr="00EB104E" w:rsidRDefault="0022366B" w:rsidP="002E2EB9">
            <w:pPr>
              <w:jc w:val="both"/>
              <w:rPr>
                <w:sz w:val="26"/>
                <w:szCs w:val="26"/>
                <w:lang w:val="lv-LV"/>
              </w:rPr>
            </w:pPr>
            <w:r w:rsidRPr="00EB104E">
              <w:rPr>
                <w:sz w:val="26"/>
                <w:szCs w:val="26"/>
                <w:lang w:val="lv-LV"/>
              </w:rPr>
              <w:t xml:space="preserve">Noteikumu </w:t>
            </w:r>
            <w:r w:rsidRPr="00EB104E">
              <w:rPr>
                <w:sz w:val="26"/>
                <w:szCs w:val="26"/>
              </w:rPr>
              <w:t xml:space="preserve">131.3. apakšpunktā norādītā </w:t>
            </w:r>
            <w:r w:rsidRPr="00EB104E">
              <w:rPr>
                <w:sz w:val="26"/>
                <w:szCs w:val="26"/>
                <w:lang w:val="lv-LV"/>
              </w:rPr>
              <w:t xml:space="preserve">summa latos tiek dalīta ar 0,702804., pielietojot </w:t>
            </w:r>
            <w:proofErr w:type="spellStart"/>
            <w:r w:rsidRPr="00EB104E">
              <w:rPr>
                <w:i/>
                <w:sz w:val="26"/>
                <w:szCs w:val="26"/>
                <w:lang w:val="lv-LV"/>
              </w:rPr>
              <w:t>Euro</w:t>
            </w:r>
            <w:proofErr w:type="spellEnd"/>
            <w:r w:rsidRPr="00EB104E">
              <w:rPr>
                <w:sz w:val="26"/>
                <w:szCs w:val="26"/>
                <w:lang w:val="lv-LV"/>
              </w:rPr>
              <w:t xml:space="preserve"> ieviešanas kārtības likuma 32.panta otro daļu.</w:t>
            </w:r>
          </w:p>
          <w:p w:rsidR="00CB5EF6" w:rsidRPr="00EB104E" w:rsidRDefault="0022366B" w:rsidP="002E2EB9">
            <w:pPr>
              <w:jc w:val="both"/>
              <w:rPr>
                <w:sz w:val="26"/>
                <w:szCs w:val="26"/>
                <w:lang w:val="lv-LV"/>
              </w:rPr>
            </w:pPr>
            <w:r w:rsidRPr="00EB104E">
              <w:rPr>
                <w:sz w:val="26"/>
                <w:szCs w:val="26"/>
              </w:rPr>
              <w:t xml:space="preserve">Ņemot vērā, ka uzņēmumu ienākuma nodokļa taksācijas perioda deklarācijā un uzņēmumu ienākuma nodokļa avansa maksājumu aprēķinā summas norāda </w:t>
            </w:r>
            <w:r w:rsidRPr="00EB104E">
              <w:rPr>
                <w:sz w:val="26"/>
                <w:szCs w:val="26"/>
                <w:lang w:val="lv-LV"/>
              </w:rPr>
              <w:t xml:space="preserve">tikai latos, tad 131.3.apakšpunktā noteiktā summa tiek konvertēta līdz pilniem </w:t>
            </w:r>
            <w:proofErr w:type="spellStart"/>
            <w:r w:rsidRPr="00EB104E">
              <w:rPr>
                <w:i/>
                <w:sz w:val="26"/>
                <w:szCs w:val="26"/>
                <w:lang w:val="lv-LV"/>
              </w:rPr>
              <w:t>euro</w:t>
            </w:r>
            <w:proofErr w:type="spellEnd"/>
            <w:r w:rsidRPr="00EB104E">
              <w:rPr>
                <w:i/>
                <w:sz w:val="26"/>
                <w:szCs w:val="26"/>
                <w:lang w:val="lv-LV"/>
              </w:rPr>
              <w:t>.</w:t>
            </w:r>
            <w:r w:rsidRPr="00EB104E">
              <w:rPr>
                <w:sz w:val="26"/>
                <w:szCs w:val="26"/>
                <w:lang w:val="lv-LV"/>
              </w:rPr>
              <w:t xml:space="preserve"> Tā kā galīgo uzņēmumu ienākuma nodokli nodokļa maksātājs maksā pamatojoties uz deklarāciju, tad avansa maksājumu noapaļošana neietekmē kopējo nodokļa maksātāja budžetā maksājamo nodokli par attiecīgo taksācijas periodu. </w:t>
            </w:r>
            <w:r w:rsidR="00CB5EF6" w:rsidRPr="00EB104E">
              <w:rPr>
                <w:sz w:val="26"/>
                <w:szCs w:val="26"/>
                <w:lang w:val="lv-LV"/>
              </w:rPr>
              <w:t>Savukārt, ņemot vērā, ka avansa maksājuma summa arī latos tika noapaļota, līdz pilniem latiem, tad šādas izmaiņas nav nelabvēlīgas nodokļa maksātājam.</w:t>
            </w:r>
          </w:p>
          <w:p w:rsidR="0022366B" w:rsidRPr="00EB104E" w:rsidRDefault="0022366B" w:rsidP="002E2EB9">
            <w:pPr>
              <w:jc w:val="both"/>
              <w:rPr>
                <w:sz w:val="26"/>
                <w:szCs w:val="26"/>
                <w:lang w:val="lv-LV"/>
              </w:rPr>
            </w:pPr>
            <w:r w:rsidRPr="00EB104E">
              <w:rPr>
                <w:sz w:val="26"/>
                <w:szCs w:val="26"/>
                <w:lang w:val="lv-LV"/>
              </w:rPr>
              <w:t xml:space="preserve">Noteikumu 131.3.apakšpunktā noteiktā sliekšņa summa: </w:t>
            </w:r>
          </w:p>
          <w:p w:rsidR="0022366B" w:rsidRPr="00EB104E" w:rsidRDefault="0022366B" w:rsidP="002E2EB9">
            <w:pPr>
              <w:jc w:val="both"/>
              <w:rPr>
                <w:sz w:val="26"/>
                <w:szCs w:val="26"/>
                <w:lang w:val="lv-LV"/>
              </w:rPr>
            </w:pPr>
            <w:r w:rsidRPr="00EB104E">
              <w:rPr>
                <w:sz w:val="26"/>
                <w:szCs w:val="26"/>
                <w:lang w:val="lv-LV"/>
              </w:rPr>
              <w:t>LVL 500 = 711,435905 ≈ EUR 711</w:t>
            </w:r>
          </w:p>
          <w:p w:rsidR="0022366B" w:rsidRPr="00EB104E" w:rsidRDefault="0022366B" w:rsidP="002E2EB9">
            <w:pPr>
              <w:jc w:val="both"/>
              <w:rPr>
                <w:sz w:val="26"/>
                <w:szCs w:val="26"/>
                <w:lang w:val="lv-LV"/>
              </w:rPr>
            </w:pPr>
            <w:r w:rsidRPr="00EB104E">
              <w:rPr>
                <w:sz w:val="26"/>
                <w:szCs w:val="26"/>
                <w:lang w:val="lv-LV"/>
              </w:rPr>
              <w:t xml:space="preserve">Noteikumu projekts paredz veikt tehniskos precizējumus, lai nodrošinātu, ka normas nesatur vārdiskās atsauces uz latiem. </w:t>
            </w:r>
          </w:p>
          <w:p w:rsidR="0022366B" w:rsidRPr="00EB104E" w:rsidRDefault="0022366B" w:rsidP="002E2EB9">
            <w:pPr>
              <w:jc w:val="both"/>
              <w:rPr>
                <w:sz w:val="26"/>
                <w:szCs w:val="26"/>
                <w:lang w:val="lv-LV"/>
              </w:rPr>
            </w:pPr>
            <w:r w:rsidRPr="00EB104E">
              <w:rPr>
                <w:sz w:val="26"/>
                <w:szCs w:val="26"/>
                <w:lang w:val="lv-LV"/>
              </w:rPr>
              <w:t xml:space="preserve">Ņemot vērā, ka saskaņā ar esošajiem tiesiskajiem aktiem Latvija plāno ieviest </w:t>
            </w:r>
            <w:proofErr w:type="spellStart"/>
            <w:r w:rsidRPr="00EB104E">
              <w:rPr>
                <w:i/>
                <w:sz w:val="26"/>
                <w:szCs w:val="26"/>
                <w:lang w:val="lv-LV"/>
              </w:rPr>
              <w:t>euro</w:t>
            </w:r>
            <w:proofErr w:type="spellEnd"/>
            <w:r w:rsidRPr="00EB104E">
              <w:rPr>
                <w:sz w:val="26"/>
                <w:szCs w:val="26"/>
                <w:lang w:val="lv-LV"/>
              </w:rPr>
              <w:t xml:space="preserve"> no 2014.gada 1.janvāra, tad ir paredzēts, ka noteikumu projektā sagatavotais grozījums stāsies spēkā </w:t>
            </w:r>
            <w:proofErr w:type="spellStart"/>
            <w:r w:rsidRPr="00EB104E">
              <w:rPr>
                <w:i/>
                <w:sz w:val="26"/>
                <w:szCs w:val="26"/>
                <w:lang w:val="lv-LV"/>
              </w:rPr>
              <w:t>euro</w:t>
            </w:r>
            <w:proofErr w:type="spellEnd"/>
            <w:r w:rsidRPr="00EB104E">
              <w:rPr>
                <w:sz w:val="26"/>
                <w:szCs w:val="26"/>
                <w:lang w:val="lv-LV"/>
              </w:rPr>
              <w:t xml:space="preserve"> ieviešanas dienā.</w:t>
            </w:r>
          </w:p>
        </w:tc>
      </w:tr>
      <w:tr w:rsidR="0022366B" w:rsidRPr="00EB104E" w:rsidTr="0022366B">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lastRenderedPageBreak/>
              <w:t>5.</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Projekta izstrādē iesaistītās institūcijas</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rPr>
          <w:trHeight w:val="1193"/>
        </w:trPr>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6.</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Iemesli, kādēļ netika nodrošināta sabiedrības līdzdalība</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 xml:space="preserve">Sabiedrība tika informēta pieņemot </w:t>
            </w:r>
            <w:proofErr w:type="spellStart"/>
            <w:r w:rsidRPr="00EB104E">
              <w:rPr>
                <w:sz w:val="26"/>
                <w:szCs w:val="26"/>
                <w:lang w:val="lv-LV"/>
              </w:rPr>
              <w:t>Euro</w:t>
            </w:r>
            <w:proofErr w:type="spellEnd"/>
            <w:r w:rsidRPr="00EB104E">
              <w:rPr>
                <w:sz w:val="26"/>
                <w:szCs w:val="26"/>
                <w:lang w:val="lv-LV"/>
              </w:rPr>
              <w:t xml:space="preserve"> ieviešanas kārtības likumu.</w:t>
            </w:r>
          </w:p>
        </w:tc>
      </w:tr>
      <w:tr w:rsidR="0022366B" w:rsidRPr="00EB104E" w:rsidTr="0022366B">
        <w:trPr>
          <w:trHeight w:val="488"/>
        </w:trPr>
        <w:tc>
          <w:tcPr>
            <w:tcW w:w="210"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7.</w:t>
            </w:r>
          </w:p>
        </w:tc>
        <w:tc>
          <w:tcPr>
            <w:tcW w:w="1236"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Cita informācija</w:t>
            </w:r>
          </w:p>
        </w:tc>
        <w:tc>
          <w:tcPr>
            <w:tcW w:w="3554"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240" w:lineRule="atLeast"/>
              <w:jc w:val="both"/>
              <w:rPr>
                <w:sz w:val="26"/>
                <w:szCs w:val="26"/>
                <w:lang w:val="lv-LV"/>
              </w:rPr>
            </w:pPr>
            <w:r w:rsidRPr="00EB104E">
              <w:rPr>
                <w:sz w:val="26"/>
                <w:szCs w:val="26"/>
                <w:lang w:val="lv-LV"/>
              </w:rPr>
              <w:t xml:space="preserve"> Nav</w:t>
            </w:r>
          </w:p>
        </w:tc>
      </w:tr>
      <w:tr w:rsidR="0022366B" w:rsidRPr="00EB104E" w:rsidTr="0022366B">
        <w:tc>
          <w:tcPr>
            <w:tcW w:w="5000" w:type="pct"/>
            <w:gridSpan w:val="5"/>
            <w:tcBorders>
              <w:top w:val="single" w:sz="6" w:space="0" w:color="auto"/>
              <w:left w:val="single" w:sz="6" w:space="0" w:color="auto"/>
              <w:bottom w:val="outset" w:sz="6" w:space="0" w:color="000000"/>
              <w:right w:val="single" w:sz="6" w:space="0" w:color="auto"/>
            </w:tcBorders>
            <w:vAlign w:val="center"/>
          </w:tcPr>
          <w:p w:rsidR="0022366B" w:rsidRPr="00EB104E" w:rsidRDefault="0022366B" w:rsidP="002E2EB9">
            <w:pPr>
              <w:spacing w:before="100" w:beforeAutospacing="1" w:after="100" w:afterAutospacing="1"/>
              <w:jc w:val="both"/>
              <w:rPr>
                <w:b/>
                <w:bCs/>
                <w:sz w:val="26"/>
                <w:szCs w:val="26"/>
                <w:lang w:val="lv-LV"/>
              </w:rPr>
            </w:pPr>
            <w:r w:rsidRPr="00EB104E">
              <w:rPr>
                <w:sz w:val="26"/>
                <w:szCs w:val="26"/>
                <w:lang w:val="lv-LV"/>
              </w:rPr>
              <w:t> </w:t>
            </w:r>
            <w:r w:rsidRPr="00EB104E">
              <w:rPr>
                <w:b/>
                <w:bCs/>
                <w:sz w:val="26"/>
                <w:szCs w:val="26"/>
                <w:lang w:val="lv-LV"/>
              </w:rPr>
              <w:t>II. Tiesību akta projekta ietekme uz sabiedrību</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1.</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 xml:space="preserve">Sabiedrības </w:t>
            </w:r>
            <w:proofErr w:type="spellStart"/>
            <w:r w:rsidRPr="00EB104E">
              <w:rPr>
                <w:sz w:val="26"/>
                <w:szCs w:val="26"/>
                <w:lang w:val="lv-LV"/>
              </w:rPr>
              <w:t>mērķgrupa</w:t>
            </w:r>
            <w:proofErr w:type="spellEnd"/>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tabs>
                <w:tab w:val="left" w:pos="927"/>
                <w:tab w:val="left" w:pos="3222"/>
              </w:tabs>
              <w:jc w:val="both"/>
              <w:rPr>
                <w:sz w:val="26"/>
                <w:szCs w:val="26"/>
                <w:lang w:val="lv-LV"/>
              </w:rPr>
            </w:pPr>
            <w:r w:rsidRPr="00EB104E">
              <w:rPr>
                <w:sz w:val="26"/>
                <w:szCs w:val="26"/>
                <w:lang w:val="lv-LV"/>
              </w:rPr>
              <w:t>Uzņēmumu ienākuma nodokļa maksātāji</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2.</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 xml:space="preserve">Citas sabiedrības grupas (bez </w:t>
            </w:r>
            <w:proofErr w:type="spellStart"/>
            <w:r w:rsidRPr="00EB104E">
              <w:rPr>
                <w:sz w:val="26"/>
                <w:szCs w:val="26"/>
                <w:lang w:val="lv-LV"/>
              </w:rPr>
              <w:t>mērķgrupas</w:t>
            </w:r>
            <w:proofErr w:type="spellEnd"/>
            <w:r w:rsidRPr="00EB104E">
              <w:rPr>
                <w:sz w:val="26"/>
                <w:szCs w:val="26"/>
                <w:lang w:val="lv-LV"/>
              </w:rPr>
              <w:t>), kuras tiesiskais regulējums arī ietekmē vai varētu ietekmēt</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3.</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Tiesiskā regulējuma finansiālā ietekme</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4.</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Tiesiskā regulējuma nefinansiālā ietekme</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5.</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Administratīvās procedūras raksturojums</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lastRenderedPageBreak/>
              <w:t>6.</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Administratīvo izmaksu monetārs novērtējums</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2366B">
        <w:tc>
          <w:tcPr>
            <w:tcW w:w="313"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2366B">
            <w:pPr>
              <w:contextualSpacing/>
              <w:jc w:val="both"/>
              <w:rPr>
                <w:sz w:val="26"/>
                <w:szCs w:val="26"/>
                <w:lang w:val="lv-LV"/>
              </w:rPr>
            </w:pPr>
            <w:r w:rsidRPr="00EB104E">
              <w:rPr>
                <w:sz w:val="26"/>
                <w:szCs w:val="26"/>
                <w:lang w:val="lv-LV"/>
              </w:rPr>
              <w:t>7.</w:t>
            </w:r>
          </w:p>
        </w:tc>
        <w:tc>
          <w:tcPr>
            <w:tcW w:w="2290" w:type="pct"/>
            <w:gridSpan w:val="2"/>
            <w:tcBorders>
              <w:top w:val="outset" w:sz="6" w:space="0" w:color="000000"/>
              <w:left w:val="outset" w:sz="6" w:space="0" w:color="000000"/>
              <w:bottom w:val="outset" w:sz="6" w:space="0" w:color="000000"/>
              <w:right w:val="outset" w:sz="6" w:space="0" w:color="000000"/>
            </w:tcBorders>
          </w:tcPr>
          <w:p w:rsidR="0022366B" w:rsidRPr="00EB104E" w:rsidRDefault="0022366B" w:rsidP="0022366B">
            <w:pPr>
              <w:contextualSpacing/>
              <w:jc w:val="both"/>
              <w:rPr>
                <w:sz w:val="26"/>
                <w:szCs w:val="26"/>
                <w:lang w:val="lv-LV"/>
              </w:rPr>
            </w:pPr>
            <w:r w:rsidRPr="00EB104E">
              <w:rPr>
                <w:sz w:val="26"/>
                <w:szCs w:val="26"/>
                <w:lang w:val="lv-LV"/>
              </w:rPr>
              <w:t>Cita informācija</w:t>
            </w:r>
          </w:p>
        </w:tc>
        <w:tc>
          <w:tcPr>
            <w:tcW w:w="2397" w:type="pct"/>
            <w:tcBorders>
              <w:top w:val="outset" w:sz="6" w:space="0" w:color="000000"/>
              <w:left w:val="outset" w:sz="6" w:space="0" w:color="000000"/>
              <w:bottom w:val="outset" w:sz="6" w:space="0" w:color="000000"/>
              <w:right w:val="outset" w:sz="6" w:space="0" w:color="000000"/>
            </w:tcBorders>
          </w:tcPr>
          <w:p w:rsidR="0022366B" w:rsidRPr="00EB104E" w:rsidRDefault="0022366B" w:rsidP="0022366B">
            <w:pPr>
              <w:contextualSpacing/>
              <w:jc w:val="both"/>
              <w:rPr>
                <w:sz w:val="26"/>
                <w:szCs w:val="26"/>
                <w:lang w:val="lv-LV"/>
              </w:rPr>
            </w:pPr>
            <w:r w:rsidRPr="00EB104E">
              <w:rPr>
                <w:sz w:val="26"/>
                <w:szCs w:val="26"/>
                <w:lang w:val="lv-LV"/>
              </w:rPr>
              <w:t xml:space="preserve"> Nav</w:t>
            </w:r>
          </w:p>
          <w:p w:rsidR="0022366B" w:rsidRPr="00EB104E" w:rsidRDefault="0022366B" w:rsidP="0022366B">
            <w:pPr>
              <w:contextualSpacing/>
              <w:jc w:val="both"/>
              <w:rPr>
                <w:sz w:val="26"/>
                <w:szCs w:val="26"/>
                <w:lang w:val="lv-LV"/>
              </w:rPr>
            </w:pPr>
          </w:p>
        </w:tc>
      </w:tr>
    </w:tbl>
    <w:p w:rsidR="0022366B" w:rsidRPr="00EB104E" w:rsidRDefault="0022366B" w:rsidP="0022366B">
      <w:pPr>
        <w:contextualSpacing/>
        <w:rPr>
          <w:vanish/>
          <w:sz w:val="26"/>
          <w:szCs w:val="26"/>
          <w:lang w:val="lv-LV"/>
        </w:rPr>
      </w:pPr>
    </w:p>
    <w:tbl>
      <w:tblPr>
        <w:tblpPr w:leftFromText="180" w:rightFromText="180" w:vertAnchor="text" w:tblpX="-112" w:tblpY="348"/>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87"/>
        <w:gridCol w:w="1331"/>
        <w:gridCol w:w="1461"/>
        <w:gridCol w:w="1355"/>
        <w:gridCol w:w="1355"/>
        <w:gridCol w:w="1498"/>
      </w:tblGrid>
      <w:tr w:rsidR="0022366B" w:rsidRPr="00EB104E" w:rsidTr="002E2EB9">
        <w:tc>
          <w:tcPr>
            <w:tcW w:w="5000" w:type="pct"/>
            <w:gridSpan w:val="6"/>
            <w:tcBorders>
              <w:top w:val="outset" w:sz="6" w:space="0" w:color="000000"/>
              <w:left w:val="outset" w:sz="6" w:space="0" w:color="000000"/>
              <w:bottom w:val="outset" w:sz="6" w:space="0" w:color="000000"/>
              <w:right w:val="outset" w:sz="6" w:space="0" w:color="000000"/>
            </w:tcBorders>
          </w:tcPr>
          <w:p w:rsidR="0022366B" w:rsidRPr="00EB104E" w:rsidRDefault="0022366B" w:rsidP="0022366B">
            <w:pPr>
              <w:contextualSpacing/>
              <w:jc w:val="both"/>
              <w:rPr>
                <w:b/>
                <w:bCs/>
                <w:sz w:val="26"/>
                <w:szCs w:val="26"/>
                <w:lang w:val="lv-LV"/>
              </w:rPr>
            </w:pPr>
            <w:r w:rsidRPr="00EB104E">
              <w:rPr>
                <w:b/>
                <w:bCs/>
                <w:sz w:val="26"/>
                <w:szCs w:val="26"/>
                <w:lang w:val="lv-LV"/>
              </w:rPr>
              <w:t>III. Tiesību akta projekta ietekme uz valsts budžetu un pašvaldību budžetiem</w:t>
            </w:r>
          </w:p>
        </w:tc>
      </w:tr>
      <w:tr w:rsidR="0022366B" w:rsidRPr="00EB104E" w:rsidTr="002E2EB9">
        <w:tc>
          <w:tcPr>
            <w:tcW w:w="1271" w:type="pct"/>
            <w:vMerge w:val="restar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both"/>
              <w:rPr>
                <w:b/>
                <w:bCs/>
                <w:sz w:val="26"/>
                <w:szCs w:val="26"/>
                <w:lang w:val="lv-LV"/>
              </w:rPr>
            </w:pPr>
            <w:r w:rsidRPr="00EB104E">
              <w:rPr>
                <w:b/>
                <w:bCs/>
                <w:sz w:val="26"/>
                <w:szCs w:val="26"/>
                <w:lang w:val="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b/>
                <w:bCs/>
                <w:sz w:val="26"/>
                <w:szCs w:val="26"/>
                <w:lang w:val="lv-LV"/>
              </w:rPr>
            </w:pPr>
            <w:r w:rsidRPr="00EB104E">
              <w:rPr>
                <w:b/>
                <w:bCs/>
                <w:sz w:val="26"/>
                <w:szCs w:val="26"/>
                <w:lang w:val="lv-LV"/>
              </w:rPr>
              <w:t>2013</w:t>
            </w:r>
          </w:p>
        </w:tc>
        <w:tc>
          <w:tcPr>
            <w:tcW w:w="2241" w:type="pct"/>
            <w:gridSpan w:val="3"/>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Turpmākie trīs gadi (</w:t>
            </w:r>
            <w:proofErr w:type="spellStart"/>
            <w:r w:rsidRPr="00EB104E">
              <w:rPr>
                <w:sz w:val="26"/>
                <w:szCs w:val="26"/>
                <w:lang w:val="lv-LV"/>
              </w:rPr>
              <w:t>tūkst</w:t>
            </w:r>
            <w:proofErr w:type="spellEnd"/>
            <w:r w:rsidRPr="00EB104E">
              <w:rPr>
                <w:sz w:val="26"/>
                <w:szCs w:val="26"/>
                <w:lang w:val="lv-LV"/>
              </w:rPr>
              <w:t>. latu)</w:t>
            </w:r>
          </w:p>
        </w:tc>
      </w:tr>
      <w:tr w:rsidR="0022366B" w:rsidRPr="00EB104E" w:rsidTr="002E2EB9">
        <w:tc>
          <w:tcPr>
            <w:tcW w:w="1271"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both"/>
              <w:rPr>
                <w:b/>
                <w:bCs/>
                <w:sz w:val="26"/>
                <w:szCs w:val="26"/>
                <w:lang w:val="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both"/>
              <w:rPr>
                <w:b/>
                <w:bCs/>
                <w:sz w:val="26"/>
                <w:szCs w:val="26"/>
                <w:lang w:val="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b/>
                <w:bCs/>
                <w:sz w:val="26"/>
                <w:szCs w:val="26"/>
                <w:lang w:val="lv-LV"/>
              </w:rPr>
            </w:pPr>
            <w:r w:rsidRPr="00EB104E">
              <w:rPr>
                <w:b/>
                <w:bCs/>
                <w:sz w:val="26"/>
                <w:szCs w:val="26"/>
                <w:lang w:val="lv-LV"/>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b/>
                <w:bCs/>
                <w:sz w:val="26"/>
                <w:szCs w:val="26"/>
                <w:lang w:val="lv-LV"/>
              </w:rPr>
            </w:pPr>
            <w:r w:rsidRPr="00EB104E">
              <w:rPr>
                <w:b/>
                <w:bCs/>
                <w:sz w:val="26"/>
                <w:szCs w:val="26"/>
                <w:lang w:val="lv-LV"/>
              </w:rPr>
              <w:t>2015</w:t>
            </w:r>
          </w:p>
        </w:tc>
        <w:tc>
          <w:tcPr>
            <w:tcW w:w="798"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b/>
                <w:bCs/>
                <w:sz w:val="26"/>
                <w:szCs w:val="26"/>
                <w:lang w:val="lv-LV"/>
              </w:rPr>
            </w:pPr>
            <w:r w:rsidRPr="00EB104E">
              <w:rPr>
                <w:b/>
                <w:bCs/>
                <w:sz w:val="26"/>
                <w:szCs w:val="26"/>
                <w:lang w:val="lv-LV"/>
              </w:rPr>
              <w:t>2016</w:t>
            </w:r>
          </w:p>
        </w:tc>
      </w:tr>
      <w:tr w:rsidR="0022366B" w:rsidRPr="00EB104E" w:rsidTr="002E2EB9">
        <w:tc>
          <w:tcPr>
            <w:tcW w:w="1271"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both"/>
              <w:rPr>
                <w:b/>
                <w:bCs/>
                <w:sz w:val="26"/>
                <w:szCs w:val="26"/>
                <w:lang w:val="lv-LV"/>
              </w:rPr>
            </w:pPr>
          </w:p>
        </w:tc>
        <w:tc>
          <w:tcPr>
            <w:tcW w:w="709"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rPr>
                <w:sz w:val="26"/>
                <w:szCs w:val="26"/>
                <w:lang w:val="lv-LV"/>
              </w:rPr>
            </w:pPr>
            <w:r w:rsidRPr="00EB104E">
              <w:rPr>
                <w:sz w:val="26"/>
                <w:szCs w:val="26"/>
                <w:lang w:val="lv-LV"/>
              </w:rPr>
              <w:t>Saskaņā ar valsts budžetu kārtējam gadam</w:t>
            </w:r>
          </w:p>
        </w:tc>
        <w:tc>
          <w:tcPr>
            <w:tcW w:w="778"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rPr>
                <w:sz w:val="26"/>
                <w:szCs w:val="26"/>
                <w:lang w:val="lv-LV"/>
              </w:rPr>
            </w:pPr>
            <w:r w:rsidRPr="00EB104E">
              <w:rPr>
                <w:sz w:val="26"/>
                <w:szCs w:val="26"/>
                <w:lang w:val="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rPr>
                <w:sz w:val="26"/>
                <w:szCs w:val="26"/>
                <w:lang w:val="lv-LV"/>
              </w:rPr>
            </w:pPr>
            <w:r w:rsidRPr="00EB104E">
              <w:rPr>
                <w:sz w:val="26"/>
                <w:szCs w:val="26"/>
                <w:lang w:val="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rPr>
                <w:sz w:val="26"/>
                <w:szCs w:val="26"/>
                <w:lang w:val="lv-LV"/>
              </w:rPr>
            </w:pPr>
            <w:r w:rsidRPr="00EB104E">
              <w:rPr>
                <w:sz w:val="26"/>
                <w:szCs w:val="26"/>
                <w:lang w:val="lv-LV"/>
              </w:rPr>
              <w:t>Izmaiņas, salīdzinot ar kārtējo (n) gadu</w:t>
            </w:r>
          </w:p>
        </w:tc>
        <w:tc>
          <w:tcPr>
            <w:tcW w:w="798"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rPr>
                <w:sz w:val="26"/>
                <w:szCs w:val="26"/>
                <w:lang w:val="lv-LV"/>
              </w:rPr>
            </w:pPr>
            <w:r w:rsidRPr="00EB104E">
              <w:rPr>
                <w:sz w:val="26"/>
                <w:szCs w:val="26"/>
                <w:lang w:val="lv-LV"/>
              </w:rPr>
              <w:t>Izmaiņas, salīdzinot ar kārtējo (n) gadu</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1</w:t>
            </w:r>
          </w:p>
        </w:tc>
        <w:tc>
          <w:tcPr>
            <w:tcW w:w="709"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2</w:t>
            </w:r>
          </w:p>
        </w:tc>
        <w:tc>
          <w:tcPr>
            <w:tcW w:w="778"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5</w:t>
            </w:r>
          </w:p>
        </w:tc>
        <w:tc>
          <w:tcPr>
            <w:tcW w:w="798"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6</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1. Budžeta ieņēmumi:</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1.1. valsts pamatbudžets, tai skaitā ieņēmumi no maksas pakalpojumiem un citi pašu ieņēmumi</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1.2. valsts speciālais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1.3. pašvaldību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2. Budžeta izdevumi:</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ind w:left="95" w:hanging="27"/>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2.1. valsts pamatbudžets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2.2. valsts speciālais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2.3. pašvaldību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3. Finansiālā ietekme:</w:t>
            </w:r>
          </w:p>
        </w:tc>
        <w:tc>
          <w:tcPr>
            <w:tcW w:w="709" w:type="pct"/>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3.1. valsts pamatbudžets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3.2. speciālais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3.3. pašvaldību budžets</w:t>
            </w:r>
          </w:p>
        </w:tc>
        <w:tc>
          <w:tcPr>
            <w:tcW w:w="709"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vMerge w:val="restar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lastRenderedPageBreak/>
              <w:t>4. Finanšu līdzekļi papildu izde</w:t>
            </w:r>
            <w:r w:rsidRPr="00EB104E">
              <w:rPr>
                <w:sz w:val="26"/>
                <w:szCs w:val="26"/>
                <w:lang w:val="lv-LV"/>
              </w:rPr>
              <w:softHyphen/>
              <w:t>vumu finansēšanai (kompensējošu izdevumu samazinājumu norāda ar "+" zīmi)</w:t>
            </w:r>
          </w:p>
        </w:tc>
        <w:tc>
          <w:tcPr>
            <w:tcW w:w="709" w:type="pct"/>
            <w:vMerge w:val="restar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X</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rPr>
                <w:sz w:val="26"/>
                <w:szCs w:val="26"/>
                <w:lang w:val="lv-LV"/>
              </w:rPr>
            </w:pPr>
          </w:p>
        </w:tc>
        <w:tc>
          <w:tcPr>
            <w:tcW w:w="709"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center"/>
              <w:rPr>
                <w:sz w:val="26"/>
                <w:szCs w:val="26"/>
                <w:lang w:val="lv-LV"/>
              </w:rPr>
            </w:pP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rPr>
                <w:sz w:val="26"/>
                <w:szCs w:val="26"/>
                <w:lang w:val="lv-LV"/>
              </w:rPr>
            </w:pPr>
          </w:p>
        </w:tc>
        <w:tc>
          <w:tcPr>
            <w:tcW w:w="709"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center"/>
              <w:rPr>
                <w:sz w:val="26"/>
                <w:szCs w:val="26"/>
                <w:lang w:val="lv-LV"/>
              </w:rPr>
            </w:pP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center"/>
              <w:rPr>
                <w:sz w:val="26"/>
                <w:szCs w:val="26"/>
                <w:lang w:val="lv-LV"/>
              </w:rPr>
            </w:pPr>
            <w:r w:rsidRPr="00EB104E">
              <w:rPr>
                <w:sz w:val="26"/>
                <w:szCs w:val="26"/>
                <w:lang w:val="lv-LV"/>
              </w:rPr>
              <w:t>X</w:t>
            </w: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5.1. valsts pamatbudžets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center"/>
              <w:rPr>
                <w:sz w:val="26"/>
                <w:szCs w:val="26"/>
                <w:lang w:val="lv-LV"/>
              </w:rPr>
            </w:pP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5.2. speciālais 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center"/>
              <w:rPr>
                <w:sz w:val="26"/>
                <w:szCs w:val="26"/>
                <w:lang w:val="lv-LV"/>
              </w:rPr>
            </w:pP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5.3. pašvaldību budžets</w:t>
            </w:r>
          </w:p>
        </w:tc>
        <w:tc>
          <w:tcPr>
            <w:tcW w:w="709" w:type="pct"/>
            <w:vMerge/>
            <w:tcBorders>
              <w:top w:val="outset" w:sz="6" w:space="0" w:color="000000"/>
              <w:left w:val="outset" w:sz="6" w:space="0" w:color="000000"/>
              <w:bottom w:val="outset" w:sz="6" w:space="0" w:color="000000"/>
              <w:right w:val="outset" w:sz="6" w:space="0" w:color="000000"/>
            </w:tcBorders>
            <w:vAlign w:val="center"/>
          </w:tcPr>
          <w:p w:rsidR="0022366B" w:rsidRPr="00EB104E" w:rsidRDefault="0022366B" w:rsidP="002E2EB9">
            <w:pPr>
              <w:jc w:val="center"/>
              <w:rPr>
                <w:sz w:val="26"/>
                <w:szCs w:val="26"/>
                <w:lang w:val="lv-LV"/>
              </w:rPr>
            </w:pPr>
          </w:p>
        </w:tc>
        <w:tc>
          <w:tcPr>
            <w:tcW w:w="77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0" w:type="auto"/>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c>
          <w:tcPr>
            <w:tcW w:w="798"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line="360" w:lineRule="auto"/>
              <w:jc w:val="center"/>
              <w:rPr>
                <w:sz w:val="26"/>
                <w:szCs w:val="26"/>
                <w:lang w:val="lv-LV"/>
              </w:rPr>
            </w:pPr>
            <w:r w:rsidRPr="00EB104E">
              <w:rPr>
                <w:sz w:val="26"/>
                <w:szCs w:val="26"/>
                <w:lang w:val="lv-LV"/>
              </w:rPr>
              <w:t>0</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6. Detalizēts ieņēmumu un izdevu</w:t>
            </w:r>
            <w:r w:rsidRPr="00EB104E">
              <w:rPr>
                <w:sz w:val="26"/>
                <w:szCs w:val="26"/>
                <w:lang w:val="lv-LV"/>
              </w:rPr>
              <w:softHyphen/>
              <w:t>mu aprēķins (ja nepieciešams, detalizētu ieņēmumu un izdevumu aprēķinu var pievienot anotācijas pielikumā):</w:t>
            </w:r>
          </w:p>
        </w:tc>
        <w:tc>
          <w:tcPr>
            <w:tcW w:w="3729" w:type="pct"/>
            <w:gridSpan w:val="5"/>
            <w:vMerge w:val="restart"/>
            <w:tcBorders>
              <w:top w:val="outset" w:sz="6" w:space="0" w:color="000000"/>
              <w:left w:val="outset" w:sz="6" w:space="0" w:color="000000"/>
              <w:right w:val="outset" w:sz="6" w:space="0" w:color="000000"/>
            </w:tcBorders>
            <w:vAlign w:val="center"/>
          </w:tcPr>
          <w:p w:rsidR="0022366B" w:rsidRPr="00EB104E" w:rsidRDefault="0022366B" w:rsidP="002E2EB9">
            <w:pPr>
              <w:pStyle w:val="ListParagraph"/>
              <w:ind w:left="0"/>
              <w:jc w:val="both"/>
              <w:rPr>
                <w:rFonts w:ascii="Times New Roman" w:hAnsi="Times New Roman" w:cs="Times New Roman"/>
                <w:sz w:val="26"/>
                <w:szCs w:val="26"/>
              </w:rPr>
            </w:pPr>
            <w:r w:rsidRPr="00EB104E">
              <w:rPr>
                <w:rFonts w:ascii="Times New Roman" w:hAnsi="Times New Roman" w:cs="Times New Roman"/>
                <w:sz w:val="26"/>
                <w:szCs w:val="26"/>
              </w:rPr>
              <w:t>Summas latos tiek dalītas ar 0,702804.</w:t>
            </w:r>
          </w:p>
          <w:p w:rsidR="0022366B" w:rsidRPr="00EB104E" w:rsidRDefault="0022366B" w:rsidP="002E2EB9">
            <w:pPr>
              <w:pStyle w:val="ListParagraph"/>
              <w:ind w:left="0"/>
              <w:jc w:val="both"/>
              <w:rPr>
                <w:rFonts w:ascii="Times New Roman" w:hAnsi="Times New Roman" w:cs="Times New Roman"/>
                <w:sz w:val="26"/>
                <w:szCs w:val="26"/>
                <w:u w:val="single"/>
              </w:rPr>
            </w:pPr>
            <w:r w:rsidRPr="00EB104E">
              <w:rPr>
                <w:rFonts w:ascii="Times New Roman" w:hAnsi="Times New Roman" w:cs="Times New Roman"/>
                <w:sz w:val="26"/>
                <w:szCs w:val="26"/>
                <w:u w:val="single"/>
              </w:rPr>
              <w:t>Neitrāla fiskālā ietekme noteikumu:</w:t>
            </w:r>
          </w:p>
          <w:p w:rsidR="0022366B" w:rsidRPr="00EB104E" w:rsidRDefault="0022366B" w:rsidP="002E2EB9">
            <w:pPr>
              <w:pStyle w:val="BodyText"/>
              <w:numPr>
                <w:ilvl w:val="0"/>
                <w:numId w:val="1"/>
              </w:numPr>
              <w:tabs>
                <w:tab w:val="left" w:pos="993"/>
              </w:tabs>
              <w:jc w:val="both"/>
              <w:rPr>
                <w:sz w:val="26"/>
                <w:szCs w:val="26"/>
                <w:u w:val="single"/>
              </w:rPr>
            </w:pPr>
            <w:r w:rsidRPr="00EB104E">
              <w:rPr>
                <w:sz w:val="26"/>
                <w:szCs w:val="26"/>
                <w:u w:val="single"/>
              </w:rPr>
              <w:t>54.punkts</w:t>
            </w:r>
          </w:p>
          <w:p w:rsidR="0022366B" w:rsidRPr="00EB104E" w:rsidRDefault="0022366B" w:rsidP="002E2EB9">
            <w:pPr>
              <w:pStyle w:val="BodyText"/>
              <w:tabs>
                <w:tab w:val="left" w:pos="993"/>
              </w:tabs>
              <w:jc w:val="both"/>
              <w:rPr>
                <w:sz w:val="26"/>
                <w:szCs w:val="26"/>
              </w:rPr>
            </w:pPr>
            <w:r w:rsidRPr="00EB104E">
              <w:rPr>
                <w:sz w:val="26"/>
                <w:szCs w:val="26"/>
              </w:rPr>
              <w:t>LVL 50 =  LVL 50/0,702804 = EUR 71,143591 =  EUR 72</w:t>
            </w:r>
          </w:p>
          <w:p w:rsidR="0022366B" w:rsidRPr="00EB104E" w:rsidRDefault="0022366B" w:rsidP="002E2EB9">
            <w:pPr>
              <w:pStyle w:val="BodyText"/>
              <w:tabs>
                <w:tab w:val="left" w:pos="993"/>
              </w:tabs>
              <w:ind w:left="23"/>
              <w:jc w:val="both"/>
              <w:rPr>
                <w:sz w:val="26"/>
                <w:szCs w:val="26"/>
              </w:rPr>
            </w:pPr>
          </w:p>
          <w:p w:rsidR="0022366B" w:rsidRPr="00EB104E" w:rsidRDefault="0022366B" w:rsidP="002E2EB9">
            <w:pPr>
              <w:pStyle w:val="BodyText"/>
              <w:numPr>
                <w:ilvl w:val="0"/>
                <w:numId w:val="1"/>
              </w:numPr>
              <w:tabs>
                <w:tab w:val="left" w:pos="993"/>
              </w:tabs>
              <w:jc w:val="both"/>
              <w:rPr>
                <w:sz w:val="26"/>
                <w:szCs w:val="26"/>
                <w:u w:val="single"/>
              </w:rPr>
            </w:pPr>
            <w:r w:rsidRPr="00EB104E">
              <w:rPr>
                <w:sz w:val="26"/>
                <w:szCs w:val="26"/>
                <w:u w:val="single"/>
              </w:rPr>
              <w:t>131.3. apakšpunkts</w:t>
            </w:r>
          </w:p>
          <w:p w:rsidR="0022366B" w:rsidRPr="00EB104E" w:rsidRDefault="0022366B" w:rsidP="002E2EB9">
            <w:pPr>
              <w:pStyle w:val="BodyText"/>
              <w:tabs>
                <w:tab w:val="left" w:pos="993"/>
              </w:tabs>
              <w:ind w:left="23"/>
              <w:jc w:val="both"/>
              <w:rPr>
                <w:sz w:val="26"/>
                <w:szCs w:val="26"/>
              </w:rPr>
            </w:pPr>
            <w:r w:rsidRPr="00EB104E">
              <w:rPr>
                <w:sz w:val="26"/>
                <w:szCs w:val="26"/>
              </w:rPr>
              <w:t>LVL 500 =  LVL 500/ 0,702804 = EUR 711,435905 =  EUR 711</w:t>
            </w: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6.1. detalizēts ieņēmumu aprēķins</w:t>
            </w:r>
          </w:p>
        </w:tc>
        <w:tc>
          <w:tcPr>
            <w:tcW w:w="3729" w:type="pct"/>
            <w:gridSpan w:val="5"/>
            <w:vMerge/>
            <w:tcBorders>
              <w:left w:val="outset" w:sz="6" w:space="0" w:color="000000"/>
              <w:right w:val="outset" w:sz="6" w:space="0" w:color="000000"/>
            </w:tcBorders>
            <w:vAlign w:val="center"/>
          </w:tcPr>
          <w:p w:rsidR="0022366B" w:rsidRPr="00EB104E" w:rsidRDefault="0022366B" w:rsidP="002E2EB9">
            <w:pPr>
              <w:jc w:val="both"/>
              <w:rPr>
                <w:sz w:val="26"/>
                <w:szCs w:val="26"/>
                <w:lang w:val="lv-LV"/>
              </w:rPr>
            </w:pP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6.2. detalizēts izdevumu aprēķins</w:t>
            </w:r>
          </w:p>
        </w:tc>
        <w:tc>
          <w:tcPr>
            <w:tcW w:w="3729" w:type="pct"/>
            <w:gridSpan w:val="5"/>
            <w:vMerge/>
            <w:tcBorders>
              <w:left w:val="outset" w:sz="6" w:space="0" w:color="000000"/>
              <w:bottom w:val="outset" w:sz="6" w:space="0" w:color="000000"/>
              <w:right w:val="outset" w:sz="6" w:space="0" w:color="000000"/>
            </w:tcBorders>
            <w:vAlign w:val="center"/>
          </w:tcPr>
          <w:p w:rsidR="0022366B" w:rsidRPr="00EB104E" w:rsidRDefault="0022366B" w:rsidP="002E2EB9">
            <w:pPr>
              <w:jc w:val="both"/>
              <w:rPr>
                <w:sz w:val="26"/>
                <w:szCs w:val="26"/>
                <w:lang w:val="lv-LV"/>
              </w:rPr>
            </w:pPr>
          </w:p>
        </w:tc>
      </w:tr>
      <w:tr w:rsidR="0022366B" w:rsidRPr="00EB104E" w:rsidTr="002E2EB9">
        <w:tc>
          <w:tcPr>
            <w:tcW w:w="127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rPr>
                <w:sz w:val="26"/>
                <w:szCs w:val="26"/>
                <w:lang w:val="lv-LV"/>
              </w:rPr>
            </w:pPr>
            <w:r w:rsidRPr="00EB104E">
              <w:rPr>
                <w:sz w:val="26"/>
                <w:szCs w:val="26"/>
                <w:lang w:val="lv-LV"/>
              </w:rPr>
              <w:t>7. Cita informācija</w:t>
            </w:r>
          </w:p>
        </w:tc>
        <w:tc>
          <w:tcPr>
            <w:tcW w:w="3729" w:type="pct"/>
            <w:gridSpan w:val="5"/>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pStyle w:val="BodyText"/>
              <w:ind w:left="23" w:firstLine="337"/>
              <w:jc w:val="both"/>
              <w:rPr>
                <w:sz w:val="26"/>
                <w:szCs w:val="26"/>
              </w:rPr>
            </w:pPr>
            <w:r w:rsidRPr="00EB104E">
              <w:rPr>
                <w:sz w:val="26"/>
                <w:szCs w:val="26"/>
              </w:rPr>
              <w:t xml:space="preserve">Noteikumu 54.punktā minētā summa tiek noapaļota un noteikta tikai </w:t>
            </w:r>
            <w:proofErr w:type="spellStart"/>
            <w:r w:rsidRPr="00EB104E">
              <w:rPr>
                <w:sz w:val="26"/>
                <w:szCs w:val="26"/>
              </w:rPr>
              <w:t>euro</w:t>
            </w:r>
            <w:proofErr w:type="spellEnd"/>
            <w:r w:rsidRPr="00EB104E">
              <w:rPr>
                <w:sz w:val="26"/>
                <w:szCs w:val="26"/>
              </w:rPr>
              <w:t>, jo šādas izmaiņas neradīs negatīvu ietekmi uz budžeta ieņēmumiem ņemot vērā, ka noteikumu 54.punkts paredz katra darījuma izvērtēšanu (regulējums nemainās arī tad, ja reklamējamās preces vērtība pārsniedz 50 latu, tomēr tās vērtība ir samērīga pret reklamējamo preci).</w:t>
            </w:r>
          </w:p>
          <w:p w:rsidR="0022366B" w:rsidRPr="00EB104E" w:rsidRDefault="0022366B" w:rsidP="002E2EB9">
            <w:pPr>
              <w:pStyle w:val="BodyText"/>
              <w:ind w:left="23" w:firstLine="337"/>
              <w:jc w:val="both"/>
              <w:rPr>
                <w:sz w:val="26"/>
                <w:szCs w:val="26"/>
                <w:u w:val="single"/>
              </w:rPr>
            </w:pPr>
            <w:r w:rsidRPr="00EB104E">
              <w:rPr>
                <w:sz w:val="26"/>
                <w:szCs w:val="26"/>
              </w:rPr>
              <w:t xml:space="preserve">Ņemot vērā, ka uzņēmumu ienākuma nodokļa taksācijas perioda deklarācijā un uzņēmumu ienākuma nodokļa avansa maksājumu aprēķinā summas norāda tikai </w:t>
            </w:r>
            <w:proofErr w:type="spellStart"/>
            <w:r w:rsidRPr="00EB104E">
              <w:rPr>
                <w:sz w:val="26"/>
                <w:szCs w:val="26"/>
              </w:rPr>
              <w:t>euro</w:t>
            </w:r>
            <w:proofErr w:type="spellEnd"/>
            <w:r w:rsidRPr="00EB104E">
              <w:rPr>
                <w:sz w:val="26"/>
                <w:szCs w:val="26"/>
              </w:rPr>
              <w:t xml:space="preserve">, tad 131.3. apakšpunktā norādītā summa ir noapaļota līdz pilniem </w:t>
            </w:r>
            <w:proofErr w:type="spellStart"/>
            <w:r w:rsidRPr="00EB104E">
              <w:rPr>
                <w:sz w:val="26"/>
                <w:szCs w:val="26"/>
              </w:rPr>
              <w:t>euro</w:t>
            </w:r>
            <w:proofErr w:type="spellEnd"/>
            <w:r w:rsidRPr="00EB104E">
              <w:rPr>
                <w:sz w:val="26"/>
                <w:szCs w:val="26"/>
              </w:rPr>
              <w:t>.</w:t>
            </w:r>
          </w:p>
        </w:tc>
      </w:tr>
    </w:tbl>
    <w:p w:rsidR="0022366B" w:rsidRPr="00EB104E" w:rsidRDefault="0022366B" w:rsidP="0022366B">
      <w:pPr>
        <w:rPr>
          <w:sz w:val="26"/>
          <w:szCs w:val="26"/>
          <w:lang w:val="lv-LV"/>
        </w:rPr>
      </w:pPr>
      <w:r w:rsidRPr="00EB104E">
        <w:rPr>
          <w:sz w:val="26"/>
          <w:szCs w:val="26"/>
          <w:lang w:eastAsia="lv-LV"/>
        </w:rPr>
        <w:t xml:space="preserve">Anotācijas </w:t>
      </w:r>
      <w:r w:rsidRPr="00EB104E">
        <w:rPr>
          <w:sz w:val="26"/>
          <w:szCs w:val="26"/>
          <w:lang w:val="lv-LV" w:eastAsia="lv-LV"/>
        </w:rPr>
        <w:t>IV, V</w:t>
      </w:r>
      <w:r w:rsidRPr="00EB104E">
        <w:rPr>
          <w:sz w:val="26"/>
          <w:szCs w:val="26"/>
          <w:lang w:eastAsia="lv-LV"/>
        </w:rPr>
        <w:t xml:space="preserve"> un </w:t>
      </w:r>
      <w:r w:rsidRPr="00EB104E">
        <w:rPr>
          <w:sz w:val="26"/>
          <w:szCs w:val="26"/>
          <w:lang w:val="lv-LV" w:eastAsia="lv-LV"/>
        </w:rPr>
        <w:t xml:space="preserve">VI </w:t>
      </w:r>
      <w:r w:rsidRPr="00EB104E">
        <w:rPr>
          <w:sz w:val="26"/>
          <w:szCs w:val="26"/>
          <w:lang w:eastAsia="lv-LV"/>
        </w:rPr>
        <w:t>sadaļa - projekts šo jomu neskar.</w:t>
      </w:r>
    </w:p>
    <w:p w:rsidR="0022366B" w:rsidRPr="00EB104E" w:rsidRDefault="0022366B" w:rsidP="0022366B">
      <w:pPr>
        <w:rPr>
          <w:vanish/>
          <w:sz w:val="26"/>
          <w:szCs w:val="26"/>
          <w:lang w:val="lv-LV"/>
        </w:rPr>
      </w:pPr>
    </w:p>
    <w:tbl>
      <w:tblPr>
        <w:tblpPr w:leftFromText="180" w:rightFromText="180" w:vertAnchor="text" w:horzAnchor="margin" w:tblpX="-112" w:tblpY="212"/>
        <w:tblW w:w="506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53"/>
        <w:gridCol w:w="4466"/>
        <w:gridCol w:w="4423"/>
      </w:tblGrid>
      <w:tr w:rsidR="0022366B" w:rsidRPr="00EB104E" w:rsidTr="002E2EB9">
        <w:tc>
          <w:tcPr>
            <w:tcW w:w="5000" w:type="pct"/>
            <w:gridSpan w:val="3"/>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b/>
                <w:bCs/>
                <w:sz w:val="26"/>
                <w:szCs w:val="26"/>
                <w:lang w:val="lv-LV"/>
              </w:rPr>
            </w:pPr>
            <w:r w:rsidRPr="00EB104E">
              <w:rPr>
                <w:b/>
                <w:bCs/>
                <w:sz w:val="26"/>
                <w:szCs w:val="26"/>
                <w:lang w:val="lv-LV"/>
              </w:rPr>
              <w:t>VII. Tiesību akta projekta izpildes nodrošināšana un tās ietekme uz institūcijām</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1.</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Projekta izpildē iesaistītās institūcijas</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Valsts ieņēmumu dienests</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2.</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Projekta izpildes ietekme uz pārvaldes funkcijām</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3.</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 xml:space="preserve">Projekta izpildes ietekme uz pārvaldes </w:t>
            </w:r>
            <w:r w:rsidRPr="00EB104E">
              <w:rPr>
                <w:sz w:val="26"/>
                <w:szCs w:val="26"/>
                <w:lang w:val="lv-LV"/>
              </w:rPr>
              <w:lastRenderedPageBreak/>
              <w:t>institucionālo struktūru</w:t>
            </w:r>
          </w:p>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Jaunu institūciju izveide</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lastRenderedPageBreak/>
              <w:t>Projekts šo jomu neskar</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lastRenderedPageBreak/>
              <w:t>4.</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Projekta izpildes ietekme uz pārvaldes institucionālo struktūru</w:t>
            </w:r>
          </w:p>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Esošu institūciju likvidācija</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5.</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Projekta izpildes ietekme uz pārvaldes institucionālo struktūru</w:t>
            </w:r>
          </w:p>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Esošu institūciju reorganizācija</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Projekts šo jomu neskar</w:t>
            </w:r>
          </w:p>
        </w:tc>
      </w:tr>
      <w:tr w:rsidR="0022366B" w:rsidRPr="00EB104E" w:rsidTr="002E2EB9">
        <w:tc>
          <w:tcPr>
            <w:tcW w:w="191"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6.</w:t>
            </w:r>
          </w:p>
        </w:tc>
        <w:tc>
          <w:tcPr>
            <w:tcW w:w="2416"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Cita informācija</w:t>
            </w:r>
          </w:p>
        </w:tc>
        <w:tc>
          <w:tcPr>
            <w:tcW w:w="2393" w:type="pct"/>
            <w:tcBorders>
              <w:top w:val="outset" w:sz="6" w:space="0" w:color="000000"/>
              <w:left w:val="outset" w:sz="6" w:space="0" w:color="000000"/>
              <w:bottom w:val="outset" w:sz="6" w:space="0" w:color="000000"/>
              <w:right w:val="outset" w:sz="6" w:space="0" w:color="000000"/>
            </w:tcBorders>
          </w:tcPr>
          <w:p w:rsidR="0022366B" w:rsidRPr="00EB104E" w:rsidRDefault="0022366B" w:rsidP="002E2EB9">
            <w:pPr>
              <w:spacing w:before="100" w:beforeAutospacing="1" w:after="100" w:afterAutospacing="1"/>
              <w:jc w:val="both"/>
              <w:rPr>
                <w:sz w:val="26"/>
                <w:szCs w:val="26"/>
                <w:lang w:val="lv-LV"/>
              </w:rPr>
            </w:pPr>
            <w:r w:rsidRPr="00EB104E">
              <w:rPr>
                <w:sz w:val="26"/>
                <w:szCs w:val="26"/>
                <w:lang w:val="lv-LV"/>
              </w:rPr>
              <w:t>Nav</w:t>
            </w:r>
          </w:p>
        </w:tc>
      </w:tr>
    </w:tbl>
    <w:p w:rsidR="0022366B" w:rsidRPr="00EB104E" w:rsidRDefault="0022366B" w:rsidP="0022366B">
      <w:pPr>
        <w:jc w:val="both"/>
        <w:rPr>
          <w:sz w:val="26"/>
          <w:szCs w:val="26"/>
          <w:lang w:val="lv-LV"/>
        </w:rPr>
      </w:pPr>
    </w:p>
    <w:p w:rsidR="0022366B" w:rsidRPr="00EB104E" w:rsidRDefault="0022366B" w:rsidP="0022366B">
      <w:pPr>
        <w:pStyle w:val="Footer"/>
        <w:rPr>
          <w:sz w:val="26"/>
          <w:szCs w:val="26"/>
        </w:rPr>
      </w:pPr>
      <w:r w:rsidRPr="00EB104E">
        <w:rPr>
          <w:sz w:val="26"/>
          <w:szCs w:val="26"/>
        </w:rPr>
        <w:t xml:space="preserve">      </w:t>
      </w:r>
      <w:r w:rsidRPr="00EB104E">
        <w:rPr>
          <w:sz w:val="26"/>
          <w:szCs w:val="26"/>
        </w:rPr>
        <w:tab/>
      </w:r>
    </w:p>
    <w:p w:rsidR="004E3B9B" w:rsidRDefault="0022366B" w:rsidP="004E3B9B">
      <w:r w:rsidRPr="00EB104E">
        <w:rPr>
          <w:sz w:val="26"/>
          <w:szCs w:val="26"/>
        </w:rPr>
        <w:tab/>
      </w:r>
      <w:r w:rsidR="00EB5080" w:rsidRPr="00EB104E">
        <w:rPr>
          <w:sz w:val="26"/>
          <w:szCs w:val="26"/>
        </w:rPr>
        <w:t>Finanšu ministr</w:t>
      </w:r>
      <w:r w:rsidR="004E3B9B">
        <w:rPr>
          <w:sz w:val="26"/>
          <w:szCs w:val="26"/>
          <w:lang w:val="lv-LV"/>
        </w:rPr>
        <w:t>s                                                                                    A.Vilks</w:t>
      </w: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Default="004E3B9B" w:rsidP="0022366B">
      <w:pPr>
        <w:pStyle w:val="Footer"/>
      </w:pPr>
    </w:p>
    <w:p w:rsidR="004E3B9B" w:rsidRPr="003653EC" w:rsidRDefault="004E3B9B" w:rsidP="0022366B">
      <w:pPr>
        <w:pStyle w:val="Footer"/>
      </w:pPr>
    </w:p>
    <w:p w:rsidR="0022366B" w:rsidRDefault="0022366B" w:rsidP="0022366B">
      <w:pPr>
        <w:pStyle w:val="BodyText"/>
        <w:rPr>
          <w:sz w:val="22"/>
          <w:szCs w:val="22"/>
        </w:rPr>
      </w:pPr>
    </w:p>
    <w:p w:rsidR="0022366B" w:rsidRDefault="0022366B" w:rsidP="0022366B">
      <w:pPr>
        <w:pStyle w:val="BodyText"/>
        <w:rPr>
          <w:sz w:val="22"/>
          <w:szCs w:val="22"/>
        </w:rPr>
      </w:pPr>
    </w:p>
    <w:p w:rsidR="0022366B" w:rsidRDefault="0022366B" w:rsidP="0022366B">
      <w:pPr>
        <w:pStyle w:val="BodyText"/>
        <w:rPr>
          <w:sz w:val="22"/>
          <w:szCs w:val="22"/>
        </w:rPr>
      </w:pPr>
      <w:r>
        <w:rPr>
          <w:sz w:val="22"/>
          <w:szCs w:val="22"/>
        </w:rPr>
        <w:t>15.08.2013</w:t>
      </w:r>
    </w:p>
    <w:p w:rsidR="0022366B" w:rsidRDefault="0022366B" w:rsidP="0022366B">
      <w:pPr>
        <w:pStyle w:val="BodyText"/>
        <w:rPr>
          <w:sz w:val="22"/>
          <w:szCs w:val="22"/>
        </w:rPr>
      </w:pPr>
      <w:r w:rsidRPr="009801BC">
        <w:rPr>
          <w:sz w:val="22"/>
          <w:szCs w:val="22"/>
        </w:rPr>
        <w:fldChar w:fldCharType="begin"/>
      </w:r>
      <w:r w:rsidRPr="009801BC">
        <w:rPr>
          <w:sz w:val="22"/>
          <w:szCs w:val="22"/>
        </w:rPr>
        <w:instrText xml:space="preserve"> NUMWORDS   \* MERGEFORMAT </w:instrText>
      </w:r>
      <w:r w:rsidRPr="009801BC">
        <w:rPr>
          <w:sz w:val="22"/>
          <w:szCs w:val="22"/>
        </w:rPr>
        <w:fldChar w:fldCharType="separate"/>
      </w:r>
      <w:r w:rsidR="004E3B9B">
        <w:rPr>
          <w:noProof/>
          <w:sz w:val="22"/>
          <w:szCs w:val="22"/>
        </w:rPr>
        <w:t>1035</w:t>
      </w:r>
      <w:r w:rsidRPr="009801BC">
        <w:rPr>
          <w:sz w:val="22"/>
          <w:szCs w:val="22"/>
        </w:rPr>
        <w:fldChar w:fldCharType="end"/>
      </w:r>
    </w:p>
    <w:p w:rsidR="0022366B" w:rsidRDefault="0022366B" w:rsidP="0022366B">
      <w:pPr>
        <w:tabs>
          <w:tab w:val="left" w:pos="5475"/>
        </w:tabs>
        <w:contextualSpacing/>
        <w:rPr>
          <w:lang w:val="lv-LV"/>
        </w:rPr>
      </w:pPr>
      <w:r w:rsidRPr="00E731CE">
        <w:t>S.Mačivka 67095630,</w:t>
      </w:r>
    </w:p>
    <w:p w:rsidR="0022366B" w:rsidRDefault="00A234B7" w:rsidP="0022366B">
      <w:pPr>
        <w:tabs>
          <w:tab w:val="left" w:pos="5475"/>
        </w:tabs>
        <w:contextualSpacing/>
      </w:pPr>
      <w:hyperlink r:id="rId8" w:history="1">
        <w:r w:rsidR="0022366B" w:rsidRPr="00E731CE">
          <w:rPr>
            <w:rStyle w:val="Hyperlink"/>
          </w:rPr>
          <w:t>sandra.macivka@fm.gov.lv</w:t>
        </w:r>
      </w:hyperlink>
    </w:p>
    <w:p w:rsidR="00D86C10" w:rsidRDefault="00D86C10"/>
    <w:sectPr w:rsidR="00D86C10" w:rsidSect="007047D3">
      <w:headerReference w:type="even" r:id="rId9"/>
      <w:headerReference w:type="default" r:id="rId10"/>
      <w:footerReference w:type="default" r:id="rId11"/>
      <w:footerReference w:type="first" r:id="rId12"/>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B7" w:rsidRDefault="00A234B7" w:rsidP="000B2609">
      <w:r>
        <w:separator/>
      </w:r>
    </w:p>
  </w:endnote>
  <w:endnote w:type="continuationSeparator" w:id="0">
    <w:p w:rsidR="00A234B7" w:rsidRDefault="00A234B7" w:rsidP="000B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D" w:rsidRPr="00C679C3" w:rsidRDefault="000B2609" w:rsidP="007047D3">
    <w:pPr>
      <w:pStyle w:val="Footer"/>
      <w:rPr>
        <w:sz w:val="16"/>
        <w:szCs w:val="16"/>
        <w:lang w:val="pt-BR"/>
      </w:rPr>
    </w:pPr>
    <w:r w:rsidRPr="00C679C3">
      <w:rPr>
        <w:sz w:val="16"/>
        <w:szCs w:val="16"/>
      </w:rPr>
      <w:fldChar w:fldCharType="begin"/>
    </w:r>
    <w:r w:rsidRPr="00C679C3">
      <w:rPr>
        <w:sz w:val="16"/>
        <w:szCs w:val="16"/>
      </w:rPr>
      <w:instrText xml:space="preserve"> FILENAME   \* MERGEFORMAT </w:instrText>
    </w:r>
    <w:r w:rsidRPr="00C679C3">
      <w:rPr>
        <w:sz w:val="16"/>
        <w:szCs w:val="16"/>
      </w:rPr>
      <w:fldChar w:fldCharType="separate"/>
    </w:r>
    <w:r w:rsidR="00EB104E">
      <w:rPr>
        <w:noProof/>
        <w:sz w:val="16"/>
        <w:szCs w:val="16"/>
      </w:rPr>
      <w:t>FMAnot_150813_NotEuro</w:t>
    </w:r>
    <w:r w:rsidRPr="00C679C3">
      <w:rPr>
        <w:sz w:val="16"/>
        <w:szCs w:val="16"/>
      </w:rPr>
      <w:fldChar w:fldCharType="end"/>
    </w:r>
    <w:r w:rsidRPr="00C679C3">
      <w:rPr>
        <w:sz w:val="16"/>
        <w:szCs w:val="16"/>
      </w:rPr>
      <w:t>;Noteikumu projekta „</w:t>
    </w:r>
    <w:r w:rsidRPr="00C679C3">
      <w:rPr>
        <w:bCs/>
        <w:sz w:val="16"/>
        <w:szCs w:val="16"/>
      </w:rPr>
      <w:t>Grozījumi Ministru kabineta 2006.gada 4.jūlija noteikumos Nr.556 „Likuma "Par uzņēmumu ienākuma nodokli" normu piemērošanas noteikumi””</w:t>
    </w:r>
    <w:r w:rsidRPr="00C679C3">
      <w:rPr>
        <w:sz w:val="16"/>
        <w:szCs w:val="16"/>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D" w:rsidRPr="00170D64" w:rsidRDefault="000B2609" w:rsidP="007047D3">
    <w:pPr>
      <w:pStyle w:val="Footer"/>
    </w:pPr>
    <w:r w:rsidRPr="00C679C3">
      <w:rPr>
        <w:sz w:val="16"/>
        <w:szCs w:val="16"/>
      </w:rPr>
      <w:fldChar w:fldCharType="begin"/>
    </w:r>
    <w:r w:rsidRPr="00C679C3">
      <w:rPr>
        <w:sz w:val="16"/>
        <w:szCs w:val="16"/>
      </w:rPr>
      <w:instrText xml:space="preserve"> FILENAME   \* MERGEFORMAT </w:instrText>
    </w:r>
    <w:r w:rsidRPr="00C679C3">
      <w:rPr>
        <w:sz w:val="16"/>
        <w:szCs w:val="16"/>
      </w:rPr>
      <w:fldChar w:fldCharType="separate"/>
    </w:r>
    <w:r w:rsidR="00EB104E">
      <w:rPr>
        <w:noProof/>
        <w:sz w:val="16"/>
        <w:szCs w:val="16"/>
      </w:rPr>
      <w:t>FMAnot_150813_NotEuro</w:t>
    </w:r>
    <w:r w:rsidRPr="00C679C3">
      <w:rPr>
        <w:sz w:val="16"/>
        <w:szCs w:val="16"/>
      </w:rPr>
      <w:fldChar w:fldCharType="end"/>
    </w:r>
    <w:r w:rsidRPr="00C679C3">
      <w:rPr>
        <w:sz w:val="16"/>
        <w:szCs w:val="16"/>
      </w:rPr>
      <w:t>;Noteikumu projekta „</w:t>
    </w:r>
    <w:r w:rsidRPr="00C679C3">
      <w:rPr>
        <w:bCs/>
        <w:sz w:val="16"/>
        <w:szCs w:val="16"/>
      </w:rPr>
      <w:t>Grozījumi Ministru kabineta 2006.gada 4.jūlija noteikumos Nr.556 „Likuma "Par uzņēmumu ienākuma nodokli" normu piemērošanas noteikumi””</w:t>
    </w:r>
    <w:r w:rsidRPr="00C679C3">
      <w:rPr>
        <w:sz w:val="16"/>
        <w:szCs w:val="16"/>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B7" w:rsidRDefault="00A234B7" w:rsidP="000B2609">
      <w:r>
        <w:separator/>
      </w:r>
    </w:p>
  </w:footnote>
  <w:footnote w:type="continuationSeparator" w:id="0">
    <w:p w:rsidR="00A234B7" w:rsidRDefault="00A234B7" w:rsidP="000B2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D" w:rsidRDefault="000B2609" w:rsidP="00704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49D" w:rsidRDefault="00A23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9D" w:rsidRDefault="000B2609" w:rsidP="00704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F6C">
      <w:rPr>
        <w:rStyle w:val="PageNumber"/>
        <w:noProof/>
      </w:rPr>
      <w:t>5</w:t>
    </w:r>
    <w:r>
      <w:rPr>
        <w:rStyle w:val="PageNumber"/>
      </w:rPr>
      <w:fldChar w:fldCharType="end"/>
    </w:r>
  </w:p>
  <w:p w:rsidR="002D249D" w:rsidRDefault="00A2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0E54"/>
    <w:multiLevelType w:val="hybridMultilevel"/>
    <w:tmpl w:val="0EA87FBE"/>
    <w:lvl w:ilvl="0" w:tplc="541AC1AA">
      <w:start w:val="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646D3F"/>
    <w:multiLevelType w:val="hybridMultilevel"/>
    <w:tmpl w:val="C86EDE56"/>
    <w:lvl w:ilvl="0" w:tplc="AC2EDBF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6B"/>
    <w:rsid w:val="000B2609"/>
    <w:rsid w:val="00136870"/>
    <w:rsid w:val="0022366B"/>
    <w:rsid w:val="004E3B9B"/>
    <w:rsid w:val="008C7DC5"/>
    <w:rsid w:val="00A234B7"/>
    <w:rsid w:val="00B93F6C"/>
    <w:rsid w:val="00CB5EF6"/>
    <w:rsid w:val="00CE1E1B"/>
    <w:rsid w:val="00D86C10"/>
    <w:rsid w:val="00EB104E"/>
    <w:rsid w:val="00EB5080"/>
    <w:rsid w:val="00F7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6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66B"/>
    <w:pPr>
      <w:tabs>
        <w:tab w:val="center" w:pos="4677"/>
        <w:tab w:val="right" w:pos="9355"/>
      </w:tabs>
    </w:pPr>
  </w:style>
  <w:style w:type="character" w:customStyle="1" w:styleId="HeaderChar">
    <w:name w:val="Header Char"/>
    <w:basedOn w:val="DefaultParagraphFont"/>
    <w:link w:val="Header"/>
    <w:rsid w:val="0022366B"/>
    <w:rPr>
      <w:rFonts w:ascii="Times New Roman" w:eastAsia="Times New Roman" w:hAnsi="Times New Roman" w:cs="Times New Roman"/>
      <w:sz w:val="24"/>
      <w:szCs w:val="24"/>
      <w:lang w:val="ru-RU" w:eastAsia="ru-RU"/>
    </w:rPr>
  </w:style>
  <w:style w:type="character" w:styleId="PageNumber">
    <w:name w:val="page number"/>
    <w:basedOn w:val="DefaultParagraphFont"/>
    <w:rsid w:val="0022366B"/>
  </w:style>
  <w:style w:type="paragraph" w:styleId="Footer">
    <w:name w:val="footer"/>
    <w:basedOn w:val="Normal"/>
    <w:link w:val="FooterChar"/>
    <w:uiPriority w:val="99"/>
    <w:rsid w:val="0022366B"/>
    <w:pPr>
      <w:tabs>
        <w:tab w:val="center" w:pos="4153"/>
        <w:tab w:val="right" w:pos="8306"/>
      </w:tabs>
    </w:pPr>
    <w:rPr>
      <w:lang w:val="lv-LV" w:eastAsia="lv-LV"/>
    </w:rPr>
  </w:style>
  <w:style w:type="character" w:customStyle="1" w:styleId="FooterChar">
    <w:name w:val="Footer Char"/>
    <w:basedOn w:val="DefaultParagraphFont"/>
    <w:link w:val="Footer"/>
    <w:uiPriority w:val="99"/>
    <w:rsid w:val="0022366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2366B"/>
    <w:pPr>
      <w:ind w:left="720"/>
    </w:pPr>
    <w:rPr>
      <w:rFonts w:ascii="Calibri" w:eastAsia="Calibri" w:hAnsi="Calibri" w:cs="Calibri"/>
      <w:sz w:val="22"/>
      <w:szCs w:val="22"/>
      <w:lang w:val="lv-LV" w:eastAsia="lv-LV"/>
    </w:rPr>
  </w:style>
  <w:style w:type="paragraph" w:styleId="BodyText">
    <w:name w:val="Body Text"/>
    <w:basedOn w:val="Normal"/>
    <w:link w:val="BodyTextChar"/>
    <w:rsid w:val="0022366B"/>
    <w:rPr>
      <w:sz w:val="28"/>
      <w:szCs w:val="20"/>
      <w:lang w:val="lv-LV" w:eastAsia="en-US"/>
    </w:rPr>
  </w:style>
  <w:style w:type="character" w:customStyle="1" w:styleId="BodyTextChar">
    <w:name w:val="Body Text Char"/>
    <w:basedOn w:val="DefaultParagraphFont"/>
    <w:link w:val="BodyText"/>
    <w:rsid w:val="0022366B"/>
    <w:rPr>
      <w:rFonts w:ascii="Times New Roman" w:eastAsia="Times New Roman" w:hAnsi="Times New Roman" w:cs="Times New Roman"/>
      <w:sz w:val="28"/>
      <w:szCs w:val="20"/>
    </w:rPr>
  </w:style>
  <w:style w:type="character" w:styleId="Hyperlink">
    <w:name w:val="Hyperlink"/>
    <w:uiPriority w:val="99"/>
    <w:unhideWhenUsed/>
    <w:rsid w:val="0022366B"/>
    <w:rPr>
      <w:color w:val="0000FF"/>
      <w:u w:val="single"/>
    </w:rPr>
  </w:style>
  <w:style w:type="paragraph" w:styleId="BalloonText">
    <w:name w:val="Balloon Text"/>
    <w:basedOn w:val="Normal"/>
    <w:link w:val="BalloonTextChar"/>
    <w:uiPriority w:val="99"/>
    <w:semiHidden/>
    <w:unhideWhenUsed/>
    <w:rsid w:val="000B2609"/>
    <w:rPr>
      <w:rFonts w:ascii="Tahoma" w:hAnsi="Tahoma" w:cs="Tahoma"/>
      <w:sz w:val="16"/>
      <w:szCs w:val="16"/>
    </w:rPr>
  </w:style>
  <w:style w:type="character" w:customStyle="1" w:styleId="BalloonTextChar">
    <w:name w:val="Balloon Text Char"/>
    <w:basedOn w:val="DefaultParagraphFont"/>
    <w:link w:val="BalloonText"/>
    <w:uiPriority w:val="99"/>
    <w:semiHidden/>
    <w:rsid w:val="000B2609"/>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6B"/>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66B"/>
    <w:pPr>
      <w:tabs>
        <w:tab w:val="center" w:pos="4677"/>
        <w:tab w:val="right" w:pos="9355"/>
      </w:tabs>
    </w:pPr>
  </w:style>
  <w:style w:type="character" w:customStyle="1" w:styleId="HeaderChar">
    <w:name w:val="Header Char"/>
    <w:basedOn w:val="DefaultParagraphFont"/>
    <w:link w:val="Header"/>
    <w:rsid w:val="0022366B"/>
    <w:rPr>
      <w:rFonts w:ascii="Times New Roman" w:eastAsia="Times New Roman" w:hAnsi="Times New Roman" w:cs="Times New Roman"/>
      <w:sz w:val="24"/>
      <w:szCs w:val="24"/>
      <w:lang w:val="ru-RU" w:eastAsia="ru-RU"/>
    </w:rPr>
  </w:style>
  <w:style w:type="character" w:styleId="PageNumber">
    <w:name w:val="page number"/>
    <w:basedOn w:val="DefaultParagraphFont"/>
    <w:rsid w:val="0022366B"/>
  </w:style>
  <w:style w:type="paragraph" w:styleId="Footer">
    <w:name w:val="footer"/>
    <w:basedOn w:val="Normal"/>
    <w:link w:val="FooterChar"/>
    <w:uiPriority w:val="99"/>
    <w:rsid w:val="0022366B"/>
    <w:pPr>
      <w:tabs>
        <w:tab w:val="center" w:pos="4153"/>
        <w:tab w:val="right" w:pos="8306"/>
      </w:tabs>
    </w:pPr>
    <w:rPr>
      <w:lang w:val="lv-LV" w:eastAsia="lv-LV"/>
    </w:rPr>
  </w:style>
  <w:style w:type="character" w:customStyle="1" w:styleId="FooterChar">
    <w:name w:val="Footer Char"/>
    <w:basedOn w:val="DefaultParagraphFont"/>
    <w:link w:val="Footer"/>
    <w:uiPriority w:val="99"/>
    <w:rsid w:val="0022366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2366B"/>
    <w:pPr>
      <w:ind w:left="720"/>
    </w:pPr>
    <w:rPr>
      <w:rFonts w:ascii="Calibri" w:eastAsia="Calibri" w:hAnsi="Calibri" w:cs="Calibri"/>
      <w:sz w:val="22"/>
      <w:szCs w:val="22"/>
      <w:lang w:val="lv-LV" w:eastAsia="lv-LV"/>
    </w:rPr>
  </w:style>
  <w:style w:type="paragraph" w:styleId="BodyText">
    <w:name w:val="Body Text"/>
    <w:basedOn w:val="Normal"/>
    <w:link w:val="BodyTextChar"/>
    <w:rsid w:val="0022366B"/>
    <w:rPr>
      <w:sz w:val="28"/>
      <w:szCs w:val="20"/>
      <w:lang w:val="lv-LV" w:eastAsia="en-US"/>
    </w:rPr>
  </w:style>
  <w:style w:type="character" w:customStyle="1" w:styleId="BodyTextChar">
    <w:name w:val="Body Text Char"/>
    <w:basedOn w:val="DefaultParagraphFont"/>
    <w:link w:val="BodyText"/>
    <w:rsid w:val="0022366B"/>
    <w:rPr>
      <w:rFonts w:ascii="Times New Roman" w:eastAsia="Times New Roman" w:hAnsi="Times New Roman" w:cs="Times New Roman"/>
      <w:sz w:val="28"/>
      <w:szCs w:val="20"/>
    </w:rPr>
  </w:style>
  <w:style w:type="character" w:styleId="Hyperlink">
    <w:name w:val="Hyperlink"/>
    <w:uiPriority w:val="99"/>
    <w:unhideWhenUsed/>
    <w:rsid w:val="0022366B"/>
    <w:rPr>
      <w:color w:val="0000FF"/>
      <w:u w:val="single"/>
    </w:rPr>
  </w:style>
  <w:style w:type="paragraph" w:styleId="BalloonText">
    <w:name w:val="Balloon Text"/>
    <w:basedOn w:val="Normal"/>
    <w:link w:val="BalloonTextChar"/>
    <w:uiPriority w:val="99"/>
    <w:semiHidden/>
    <w:unhideWhenUsed/>
    <w:rsid w:val="000B2609"/>
    <w:rPr>
      <w:rFonts w:ascii="Tahoma" w:hAnsi="Tahoma" w:cs="Tahoma"/>
      <w:sz w:val="16"/>
      <w:szCs w:val="16"/>
    </w:rPr>
  </w:style>
  <w:style w:type="character" w:customStyle="1" w:styleId="BalloonTextChar">
    <w:name w:val="Balloon Text Char"/>
    <w:basedOn w:val="DefaultParagraphFont"/>
    <w:link w:val="BalloonText"/>
    <w:uiPriority w:val="99"/>
    <w:semiHidden/>
    <w:rsid w:val="000B2609"/>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civka@f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970</Words>
  <Characters>6562</Characters>
  <Application>Microsoft Office Word</Application>
  <DocSecurity>0</DocSecurity>
  <Lines>187</Lines>
  <Paragraphs>63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2006.gada 4.jūlija noteikumos Nr.556 „Likuma "Par uzņēmumu ienākuma nodokli" normu piemērošanas noteikumi””anotācija</dc:title>
  <dc:subject>Noteikumu projekta par UIN anotācija</dc:subject>
  <dc:creator>S.macivka</dc:creator>
  <cp:keywords/>
  <dc:description>sandra.macivka@fm.gov.lv; tālr:67095630</dc:description>
  <cp:lastModifiedBy>Finanšu Ministrija</cp:lastModifiedBy>
  <cp:revision>11</cp:revision>
  <cp:lastPrinted>2013-09-13T12:52:00Z</cp:lastPrinted>
  <dcterms:created xsi:type="dcterms:W3CDTF">2013-08-20T10:40:00Z</dcterms:created>
  <dcterms:modified xsi:type="dcterms:W3CDTF">2013-09-19T11:40:00Z</dcterms:modified>
</cp:coreProperties>
</file>