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76" w:rsidRPr="00740C41" w:rsidRDefault="00324976" w:rsidP="00324976">
      <w:pPr>
        <w:contextualSpacing/>
        <w:jc w:val="center"/>
        <w:rPr>
          <w:rFonts w:eastAsia="Times New Roman" w:cs="Times New Roman"/>
          <w:b/>
          <w:bCs/>
          <w:sz w:val="26"/>
          <w:szCs w:val="26"/>
          <w:lang w:eastAsia="lv-LV"/>
        </w:rPr>
      </w:pPr>
      <w:bookmarkStart w:id="0" w:name="_GoBack"/>
      <w:bookmarkEnd w:id="0"/>
      <w:r>
        <w:rPr>
          <w:rFonts w:eastAsia="Times New Roman" w:cs="Times New Roman"/>
          <w:b/>
          <w:sz w:val="26"/>
          <w:szCs w:val="26"/>
          <w:lang w:eastAsia="lv-LV"/>
        </w:rPr>
        <w:t>Ministru kabineta n</w:t>
      </w:r>
      <w:r w:rsidRPr="00740C41">
        <w:rPr>
          <w:rFonts w:eastAsia="Times New Roman" w:cs="Times New Roman"/>
          <w:b/>
          <w:sz w:val="26"/>
          <w:szCs w:val="26"/>
          <w:lang w:eastAsia="lv-LV"/>
        </w:rPr>
        <w:t>oteikumu projekta „</w:t>
      </w:r>
      <w:r w:rsidRPr="00740C41">
        <w:rPr>
          <w:rFonts w:eastAsia="Times New Roman" w:cs="Times New Roman"/>
          <w:b/>
          <w:bCs/>
          <w:sz w:val="26"/>
          <w:szCs w:val="26"/>
          <w:lang w:eastAsia="lv-LV"/>
        </w:rPr>
        <w:t>Grozījumi Ministru kabineta 2006.gada 4.jūlija noteikumos Nr.556 „Likuma „Par uzņēmumu ienākuma nodokli" normu piemērošanas noteikumi””</w:t>
      </w:r>
      <w:r w:rsidRPr="00740C41">
        <w:rPr>
          <w:rFonts w:eastAsia="Times New Roman" w:cs="Times New Roman"/>
          <w:bCs/>
          <w:sz w:val="26"/>
          <w:szCs w:val="26"/>
          <w:lang w:eastAsia="lv-LV"/>
        </w:rPr>
        <w:t xml:space="preserve"> </w:t>
      </w:r>
      <w:r w:rsidRPr="00740C41">
        <w:rPr>
          <w:rFonts w:eastAsia="Times New Roman" w:cs="Times New Roman"/>
          <w:b/>
          <w:bCs/>
          <w:sz w:val="26"/>
          <w:szCs w:val="26"/>
          <w:lang w:eastAsia="lv-LV"/>
        </w:rPr>
        <w:t>sākotnējās ietekmes novērtējuma ziņojums (anotācija)</w:t>
      </w:r>
    </w:p>
    <w:p w:rsidR="00324976" w:rsidRPr="00740C41" w:rsidRDefault="00324976" w:rsidP="00324976">
      <w:pPr>
        <w:rPr>
          <w:rFonts w:cs="Times New Roman"/>
          <w:sz w:val="26"/>
          <w:szCs w:val="26"/>
        </w:rPr>
      </w:pP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
        <w:gridCol w:w="494"/>
        <w:gridCol w:w="8"/>
        <w:gridCol w:w="3935"/>
        <w:gridCol w:w="415"/>
        <w:gridCol w:w="4221"/>
      </w:tblGrid>
      <w:tr w:rsidR="00324976" w:rsidRPr="00740C41" w:rsidTr="00314070">
        <w:trPr>
          <w:tblCellSpacing w:w="0" w:type="dxa"/>
        </w:trPr>
        <w:tc>
          <w:tcPr>
            <w:tcW w:w="9087" w:type="dxa"/>
            <w:gridSpan w:val="6"/>
            <w:tcBorders>
              <w:top w:val="outset" w:sz="6" w:space="0" w:color="auto"/>
              <w:left w:val="outset" w:sz="6" w:space="0" w:color="auto"/>
              <w:bottom w:val="outset" w:sz="6" w:space="0" w:color="auto"/>
              <w:right w:val="outset" w:sz="6" w:space="0" w:color="auto"/>
            </w:tcBorders>
            <w:vAlign w:val="center"/>
            <w:hideMark/>
          </w:tcPr>
          <w:p w:rsidR="00324976" w:rsidRPr="00740C41" w:rsidRDefault="00324976" w:rsidP="00300B75">
            <w:pPr>
              <w:spacing w:before="100" w:beforeAutospacing="1" w:after="100" w:afterAutospacing="1"/>
              <w:rPr>
                <w:rFonts w:eastAsia="Times New Roman" w:cs="Times New Roman"/>
                <w:sz w:val="26"/>
                <w:szCs w:val="26"/>
                <w:lang w:eastAsia="lv-LV"/>
              </w:rPr>
            </w:pPr>
            <w:r w:rsidRPr="00740C41">
              <w:rPr>
                <w:rFonts w:eastAsia="Times New Roman" w:cs="Times New Roman"/>
                <w:b/>
                <w:bCs/>
                <w:sz w:val="26"/>
                <w:szCs w:val="26"/>
                <w:lang w:eastAsia="lv-LV"/>
              </w:rPr>
              <w:t xml:space="preserve">  I. Tiesību akta projekta izstrādes nepieciešamība</w:t>
            </w:r>
          </w:p>
        </w:tc>
      </w:tr>
      <w:tr w:rsidR="00324976" w:rsidRPr="00740C41" w:rsidTr="00314070">
        <w:trPr>
          <w:trHeight w:val="630"/>
          <w:tblCellSpacing w:w="0" w:type="dxa"/>
        </w:trPr>
        <w:tc>
          <w:tcPr>
            <w:tcW w:w="516" w:type="dxa"/>
            <w:gridSpan w:val="3"/>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1.</w:t>
            </w:r>
          </w:p>
        </w:tc>
        <w:tc>
          <w:tcPr>
            <w:tcW w:w="3935" w:type="dxa"/>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Pamatojums</w:t>
            </w:r>
          </w:p>
        </w:tc>
        <w:tc>
          <w:tcPr>
            <w:tcW w:w="4636" w:type="dxa"/>
            <w:gridSpan w:val="2"/>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jc w:val="both"/>
              <w:rPr>
                <w:rFonts w:eastAsia="Times New Roman" w:cs="Times New Roman"/>
                <w:bCs/>
                <w:sz w:val="24"/>
                <w:szCs w:val="24"/>
                <w:lang w:eastAsia="lv-LV"/>
              </w:rPr>
            </w:pPr>
            <w:r w:rsidRPr="00BE4C3E">
              <w:rPr>
                <w:rFonts w:eastAsia="Times New Roman" w:cs="Times New Roman"/>
                <w:sz w:val="24"/>
                <w:szCs w:val="24"/>
                <w:lang w:eastAsia="lv-LV"/>
              </w:rPr>
              <w:t>Ministru kabineta noteikumu projekts „</w:t>
            </w:r>
            <w:r w:rsidRPr="00BE4C3E">
              <w:rPr>
                <w:rFonts w:eastAsia="Times New Roman" w:cs="Times New Roman"/>
                <w:bCs/>
                <w:sz w:val="24"/>
                <w:szCs w:val="24"/>
                <w:lang w:eastAsia="lv-LV"/>
              </w:rPr>
              <w:t>Grozījumi Ministru kabineta 2006.gada 4.jūlija noteikumos Nr.556 „Likuma "Par uzņēmumu ienākuma nodokli" normu piemērošanas noteikumi”” (turpmāk – noteikumu projekts) izstrādāts, ņemot vērā grozījumus likumā „Par uzņēmumu ienākuma nodokli” (turpmāk – likums), lai skaidrotu pretrunīgi traktētās normas attiecībā uz nedrošo parādu norakstīšanas kārtību, ja uzkrājumi veidoti saskaņā ar likuma 7.panta noteikumiem</w:t>
            </w:r>
            <w:r w:rsidR="00CF43EF">
              <w:rPr>
                <w:rFonts w:eastAsia="Times New Roman" w:cs="Times New Roman"/>
                <w:bCs/>
                <w:sz w:val="24"/>
                <w:szCs w:val="24"/>
                <w:lang w:eastAsia="lv-LV"/>
              </w:rPr>
              <w:t>,</w:t>
            </w:r>
            <w:r w:rsidRPr="00BE4C3E">
              <w:rPr>
                <w:rFonts w:eastAsia="Times New Roman" w:cs="Times New Roman"/>
                <w:bCs/>
                <w:sz w:val="24"/>
                <w:szCs w:val="24"/>
                <w:lang w:eastAsia="lv-LV"/>
              </w:rPr>
              <w:t xml:space="preserve"> </w:t>
            </w:r>
            <w:proofErr w:type="spellStart"/>
            <w:r w:rsidRPr="00BE4C3E">
              <w:rPr>
                <w:rFonts w:eastAsia="Times New Roman" w:cs="Times New Roman"/>
                <w:bCs/>
                <w:sz w:val="24"/>
                <w:szCs w:val="24"/>
                <w:lang w:eastAsia="lv-LV"/>
              </w:rPr>
              <w:t>u.c</w:t>
            </w:r>
            <w:proofErr w:type="spellEnd"/>
            <w:r w:rsidRPr="00BE4C3E">
              <w:rPr>
                <w:rFonts w:eastAsia="Times New Roman" w:cs="Times New Roman"/>
                <w:bCs/>
                <w:sz w:val="24"/>
                <w:szCs w:val="24"/>
                <w:lang w:eastAsia="lv-LV"/>
              </w:rPr>
              <w:t>. likuma normas.</w:t>
            </w:r>
            <w:r w:rsidRPr="00BE4C3E">
              <w:rPr>
                <w:sz w:val="24"/>
                <w:szCs w:val="24"/>
              </w:rPr>
              <w:t xml:space="preserve"> Nepieciešams izpildīt  apņemšanos, ko Latvija ir apņēmusies 2010. gada 5.jūlijā, parakstot </w:t>
            </w:r>
            <w:r w:rsidRPr="00BE4C3E">
              <w:rPr>
                <w:rFonts w:eastAsia="Times New Roman" w:cs="Times New Roman"/>
                <w:bCs/>
                <w:sz w:val="24"/>
                <w:szCs w:val="24"/>
                <w:lang w:eastAsia="lv-LV"/>
              </w:rPr>
              <w:t>nodomu vēstuli Starptautiskajam Valūtas fondam (26. punkts).</w:t>
            </w:r>
          </w:p>
        </w:tc>
      </w:tr>
      <w:tr w:rsidR="00324976" w:rsidRPr="00740C41" w:rsidTr="00314070">
        <w:trPr>
          <w:trHeight w:val="472"/>
          <w:tblCellSpacing w:w="0" w:type="dxa"/>
        </w:trPr>
        <w:tc>
          <w:tcPr>
            <w:tcW w:w="516" w:type="dxa"/>
            <w:gridSpan w:val="3"/>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2.</w:t>
            </w:r>
          </w:p>
        </w:tc>
        <w:tc>
          <w:tcPr>
            <w:tcW w:w="3935" w:type="dxa"/>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Pašreizējā situācija un problēmas</w:t>
            </w:r>
          </w:p>
        </w:tc>
        <w:tc>
          <w:tcPr>
            <w:tcW w:w="4636" w:type="dxa"/>
            <w:gridSpan w:val="2"/>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pStyle w:val="Heading4"/>
              <w:spacing w:before="0" w:beforeAutospacing="0" w:after="0" w:afterAutospacing="0"/>
              <w:contextualSpacing/>
              <w:jc w:val="both"/>
              <w:rPr>
                <w:b w:val="0"/>
                <w:u w:val="single"/>
              </w:rPr>
            </w:pPr>
            <w:r w:rsidRPr="00BE4C3E">
              <w:rPr>
                <w:b w:val="0"/>
                <w:u w:val="single"/>
              </w:rPr>
              <w:t>Tonnāžas nodokļa aprēķins</w:t>
            </w:r>
          </w:p>
          <w:p w:rsidR="00324976" w:rsidRPr="00BE4C3E" w:rsidRDefault="00324976" w:rsidP="00300B75">
            <w:pPr>
              <w:pStyle w:val="Heading4"/>
              <w:spacing w:before="0" w:beforeAutospacing="0" w:after="0" w:afterAutospacing="0"/>
              <w:contextualSpacing/>
              <w:jc w:val="both"/>
              <w:rPr>
                <w:b w:val="0"/>
              </w:rPr>
            </w:pPr>
            <w:r w:rsidRPr="00BE4C3E">
              <w:rPr>
                <w:b w:val="0"/>
              </w:rPr>
              <w:t xml:space="preserve"> Likuma 6.</w:t>
            </w:r>
            <w:r w:rsidRPr="00BE4C3E">
              <w:rPr>
                <w:b w:val="0"/>
                <w:vertAlign w:val="superscript"/>
              </w:rPr>
              <w:t>1</w:t>
            </w:r>
            <w:r w:rsidRPr="00BE4C3E">
              <w:rPr>
                <w:b w:val="0"/>
              </w:rPr>
              <w:t xml:space="preserve">panta trešā daļa paredz tonnāžas nodokļa maksātāja ienākuma koeficienta piemērošanu atkarībā no kuģa tilpuma, </w:t>
            </w:r>
            <w:proofErr w:type="spellStart"/>
            <w:r w:rsidRPr="00BE4C3E">
              <w:rPr>
                <w:b w:val="0"/>
              </w:rPr>
              <w:t>t.i</w:t>
            </w:r>
            <w:proofErr w:type="spellEnd"/>
            <w:r w:rsidRPr="00BE4C3E">
              <w:rPr>
                <w:b w:val="0"/>
              </w:rPr>
              <w:t>., jo lielāks kuģa tilpums, jo mazāks koeficents, kā rezultātā arī mazāks tonnāžas nodoklis. Ienākuma koeficienti ir noteikti tonnāžai, sākot ar 100 tilpuma vienībām. Tādējādi par kuģiem ar mazāku tilpuma vienību par 100, tonnāžas nodokli nevar piemērot un uzņēmumu ienākuma nodoklis ir jāmaksā vispārējā kārtībā.</w:t>
            </w:r>
          </w:p>
          <w:p w:rsidR="00324976" w:rsidRPr="00BE4C3E" w:rsidRDefault="00324976" w:rsidP="00300B75">
            <w:pPr>
              <w:pStyle w:val="Heading4"/>
              <w:spacing w:before="0" w:beforeAutospacing="0" w:after="0" w:afterAutospacing="0"/>
              <w:contextualSpacing/>
              <w:jc w:val="both"/>
              <w:rPr>
                <w:b w:val="0"/>
                <w:u w:val="single"/>
              </w:rPr>
            </w:pPr>
            <w:r w:rsidRPr="00BE4C3E">
              <w:rPr>
                <w:b w:val="0"/>
                <w:u w:val="single"/>
              </w:rPr>
              <w:t>Procentu maksājumi</w:t>
            </w:r>
          </w:p>
          <w:p w:rsidR="00324976" w:rsidRPr="00BE4C3E" w:rsidRDefault="00324976" w:rsidP="00300B75">
            <w:pPr>
              <w:pStyle w:val="Heading4"/>
              <w:spacing w:before="0" w:beforeAutospacing="0" w:after="0" w:afterAutospacing="0"/>
              <w:contextualSpacing/>
              <w:jc w:val="both"/>
              <w:rPr>
                <w:b w:val="0"/>
              </w:rPr>
            </w:pPr>
            <w:r w:rsidRPr="00BE4C3E">
              <w:rPr>
                <w:b w:val="0"/>
              </w:rPr>
              <w:t>- Likuma normu (6.</w:t>
            </w:r>
            <w:r w:rsidRPr="00BE4C3E">
              <w:rPr>
                <w:b w:val="0"/>
                <w:vertAlign w:val="superscript"/>
              </w:rPr>
              <w:t>4</w:t>
            </w:r>
            <w:r w:rsidRPr="00BE4C3E">
              <w:rPr>
                <w:b w:val="0"/>
              </w:rPr>
              <w:t>panta) piemērošanai nepieciešams skaidrojums – kas ir finanšu uzraudzības institūcija.</w:t>
            </w:r>
          </w:p>
          <w:p w:rsidR="00324976" w:rsidRPr="00BE4C3E" w:rsidRDefault="00324976" w:rsidP="00300B75">
            <w:pPr>
              <w:pStyle w:val="Heading4"/>
              <w:spacing w:before="0" w:beforeAutospacing="0" w:after="0" w:afterAutospacing="0"/>
              <w:contextualSpacing/>
              <w:jc w:val="both"/>
              <w:rPr>
                <w:b w:val="0"/>
              </w:rPr>
            </w:pPr>
            <w:r w:rsidRPr="00BE4C3E">
              <w:rPr>
                <w:b w:val="0"/>
              </w:rPr>
              <w:t>- Gan likuma 6.</w:t>
            </w:r>
            <w:r w:rsidRPr="00BE4C3E">
              <w:rPr>
                <w:b w:val="0"/>
                <w:vertAlign w:val="superscript"/>
              </w:rPr>
              <w:t>4</w:t>
            </w:r>
            <w:r w:rsidRPr="00BE4C3E">
              <w:rPr>
                <w:b w:val="0"/>
              </w:rPr>
              <w:t>panta normas, gan arī 12.panta normas paredz apliekamā ienākuma palielināšanu par procentu maksājumiem, ja darījums veikts starp saistītiem uzņēmumiem. Tā kā vienu un to pašu ienākumu nevar aplikt ar nodokli divas reizes, tad noteikumos jāparedz, kuru no normām nodokļu maksātājam jāpiemēro attiecīgajā situācijā.</w:t>
            </w:r>
          </w:p>
          <w:p w:rsidR="00324976" w:rsidRPr="00BE4C3E" w:rsidRDefault="00324976" w:rsidP="00300B75">
            <w:pPr>
              <w:pStyle w:val="Heading4"/>
              <w:spacing w:before="0" w:beforeAutospacing="0" w:after="0" w:afterAutospacing="0"/>
              <w:contextualSpacing/>
              <w:jc w:val="both"/>
              <w:rPr>
                <w:b w:val="0"/>
                <w:u w:val="single"/>
              </w:rPr>
            </w:pPr>
            <w:r w:rsidRPr="00BE4C3E">
              <w:rPr>
                <w:b w:val="0"/>
                <w:u w:val="single"/>
              </w:rPr>
              <w:t>Nedrošo parādu norakstīšana</w:t>
            </w:r>
          </w:p>
          <w:p w:rsidR="00324976" w:rsidRPr="00BE4C3E" w:rsidRDefault="00324976" w:rsidP="00300B75">
            <w:pPr>
              <w:pStyle w:val="Heading4"/>
              <w:numPr>
                <w:ilvl w:val="0"/>
                <w:numId w:val="2"/>
              </w:numPr>
              <w:spacing w:before="0" w:beforeAutospacing="0" w:after="0" w:afterAutospacing="0"/>
              <w:ind w:left="0" w:firstLine="0"/>
              <w:contextualSpacing/>
              <w:jc w:val="both"/>
              <w:rPr>
                <w:b w:val="0"/>
              </w:rPr>
            </w:pPr>
            <w:r w:rsidRPr="00BE4C3E">
              <w:rPr>
                <w:b w:val="0"/>
              </w:rPr>
              <w:t xml:space="preserve">Ņemot vērā, ka nodokļu maksātāji dažādi interpretē 7.panta un 9.panta normu piemērošanu attiecībā uz banku norakstīto debitoru parādu summu, par kurām izveidoti uzkrājumi saskaņā ar Finanšu un kapitāla tirgus komisijas normatīvajos noteikumos paredzēto </w:t>
            </w:r>
            <w:r w:rsidRPr="00BE4C3E">
              <w:rPr>
                <w:b w:val="0"/>
              </w:rPr>
              <w:lastRenderedPageBreak/>
              <w:t>uzkrājumu veidošanas kārtību, nepieciešams skaidrojums.</w:t>
            </w:r>
          </w:p>
          <w:p w:rsidR="00324976" w:rsidRPr="00BE4C3E" w:rsidRDefault="00324976" w:rsidP="00300B75">
            <w:pPr>
              <w:pStyle w:val="Heading4"/>
              <w:numPr>
                <w:ilvl w:val="0"/>
                <w:numId w:val="2"/>
              </w:numPr>
              <w:spacing w:before="0" w:beforeAutospacing="0" w:after="0" w:afterAutospacing="0"/>
              <w:ind w:left="0" w:firstLine="0"/>
              <w:contextualSpacing/>
              <w:jc w:val="both"/>
              <w:rPr>
                <w:b w:val="0"/>
              </w:rPr>
            </w:pPr>
            <w:r w:rsidRPr="00BE4C3E">
              <w:rPr>
                <w:b w:val="0"/>
              </w:rPr>
              <w:t>Tā kā saņemamā pievienotās vērtības nodokļa parāda norakstīšanu regulē likuma „Par pievienotās vērtības nodokli” normas, par šīm parāda summām nevar samazināt ar uzņēmumu ienākuma nodokli apliekamo ienākumu un šis princips ir jāpaskaidro Ministru kabineta noteikumos.</w:t>
            </w:r>
          </w:p>
          <w:p w:rsidR="00324976" w:rsidRPr="00BE4C3E" w:rsidRDefault="00324976" w:rsidP="00300B75">
            <w:pPr>
              <w:pStyle w:val="Heading4"/>
              <w:numPr>
                <w:ilvl w:val="0"/>
                <w:numId w:val="2"/>
              </w:numPr>
              <w:spacing w:before="0" w:beforeAutospacing="0" w:after="0" w:afterAutospacing="0"/>
              <w:ind w:left="0" w:firstLine="0"/>
              <w:contextualSpacing/>
              <w:jc w:val="both"/>
              <w:rPr>
                <w:b w:val="0"/>
              </w:rPr>
            </w:pPr>
            <w:r w:rsidRPr="00BE4C3E">
              <w:rPr>
                <w:b w:val="0"/>
              </w:rPr>
              <w:t>Debitoru parāda summā tiek iekļauti arī neatgūtie aizdevumi. Tā kā aizdevumi tiek izsniegti no līdzekļiem, kas ir uzņēmējsabiedrības rīcībā pēc uzņēmumu ienākuma nodokļa nomaksas, tad par šādiem neatgūstamajiem parādiem uzņēmējsabiedrībai būtu tiesības samazināt ar nodokli apliekamo ienākumu.</w:t>
            </w:r>
          </w:p>
          <w:p w:rsidR="00324976" w:rsidRPr="00BE4C3E" w:rsidRDefault="00324976" w:rsidP="00300B75">
            <w:pPr>
              <w:pStyle w:val="Heading4"/>
              <w:spacing w:before="0" w:beforeAutospacing="0" w:after="0" w:afterAutospacing="0"/>
              <w:contextualSpacing/>
              <w:jc w:val="both"/>
              <w:rPr>
                <w:b w:val="0"/>
                <w:u w:val="single"/>
              </w:rPr>
            </w:pPr>
            <w:r w:rsidRPr="00BE4C3E">
              <w:rPr>
                <w:b w:val="0"/>
                <w:u w:val="single"/>
              </w:rPr>
              <w:t>Zaudējumu pārnešana</w:t>
            </w:r>
          </w:p>
          <w:p w:rsidR="00324976" w:rsidRPr="00BE4C3E" w:rsidRDefault="00324976" w:rsidP="00300B75">
            <w:pPr>
              <w:pStyle w:val="Heading4"/>
              <w:spacing w:before="0" w:beforeAutospacing="0" w:after="0" w:afterAutospacing="0"/>
              <w:contextualSpacing/>
              <w:jc w:val="both"/>
              <w:rPr>
                <w:b w:val="0"/>
              </w:rPr>
            </w:pPr>
            <w:r w:rsidRPr="00BE4C3E">
              <w:rPr>
                <w:b w:val="0"/>
              </w:rPr>
              <w:t>Likuma 14.</w:t>
            </w:r>
            <w:r w:rsidRPr="00BE4C3E">
              <w:rPr>
                <w:b w:val="0"/>
                <w:vertAlign w:val="superscript"/>
              </w:rPr>
              <w:t>1</w:t>
            </w:r>
            <w:r w:rsidRPr="00BE4C3E">
              <w:rPr>
                <w:b w:val="0"/>
              </w:rPr>
              <w:t>pantā noteikts, ka gadījumā, kad tiek pārnesti zaudējumi abiem grupas uzņēmumiem taksācijas periodam jābeidzas vienā un tajā pašā datumā. Uzņēmējsabiedrības likvidācijas gadījumā šis nosacījums var neizpildīties, ja uzņēmējsabiedrība tiek likvidēta pirms taksācijas gada beigām. Savukārt, ja uzņēmējsabiedrības rezidences valstī uzņēmējsabiedrība var segt radušos zaudējumus, bet šāda iespēja zūd tikai gadījumā, kad tā veic likvidāciju, tad šīs uzņēmējsabiedrības zaudējumus var pārnest uz citu grupas uzņēmumu tikai likvidācijas (izslēgšanas no nodokļu maksātāju reģistra) gadā.</w:t>
            </w:r>
          </w:p>
          <w:p w:rsidR="00324976" w:rsidRPr="00BE4C3E" w:rsidRDefault="00324976" w:rsidP="00300B75">
            <w:pPr>
              <w:pStyle w:val="Heading4"/>
              <w:spacing w:before="0" w:beforeAutospacing="0" w:after="0" w:afterAutospacing="0"/>
              <w:contextualSpacing/>
              <w:jc w:val="both"/>
              <w:rPr>
                <w:b w:val="0"/>
                <w:u w:val="single"/>
              </w:rPr>
            </w:pPr>
            <w:r w:rsidRPr="00BE4C3E">
              <w:rPr>
                <w:b w:val="0"/>
                <w:u w:val="single"/>
              </w:rPr>
              <w:t>Ziedojumi</w:t>
            </w:r>
          </w:p>
          <w:p w:rsidR="00324976" w:rsidRPr="00BE4C3E" w:rsidRDefault="00324976" w:rsidP="00E90435">
            <w:pPr>
              <w:pStyle w:val="Heading4"/>
              <w:spacing w:before="0" w:beforeAutospacing="0" w:after="0" w:afterAutospacing="0"/>
              <w:contextualSpacing/>
              <w:jc w:val="both"/>
              <w:rPr>
                <w:b w:val="0"/>
              </w:rPr>
            </w:pPr>
            <w:r w:rsidRPr="00BE4C3E">
              <w:rPr>
                <w:b w:val="0"/>
              </w:rPr>
              <w:t>Likuma 20.</w:t>
            </w:r>
            <w:r w:rsidRPr="00BE4C3E">
              <w:rPr>
                <w:b w:val="0"/>
                <w:vertAlign w:val="superscript"/>
              </w:rPr>
              <w:t>1</w:t>
            </w:r>
            <w:r w:rsidRPr="00BE4C3E">
              <w:rPr>
                <w:b w:val="0"/>
              </w:rPr>
              <w:t>pantā noteikts, ka nodokļu maksātājam, kurš piemēro nodokļa atlaidi ziedotājiem, nedrīkst būt uzņēmumu ienākuma nodokļa parādu taksācijas perioda otrā mēneša pirmajā datumā. Nodokļu maksātājam ir tiesības veikt nodokļa deklarācijas precizējumus par iepriekšējiem trijiem taksācijas periodiem, kā rezultātā tam var veidoties nodokļa parāds. Ministru kabineta 2006.gada 4.jūlija noteikumos Nr.556 „Likuma "Par uzņēmumu ienākuma nodokli" normu piemērošanas noteikumi”</w:t>
            </w:r>
            <w:r w:rsidRPr="00BE4C3E">
              <w:rPr>
                <w:b w:val="0"/>
                <w:bCs w:val="0"/>
              </w:rPr>
              <w:t xml:space="preserve"> </w:t>
            </w:r>
            <w:r w:rsidRPr="00BE4C3E">
              <w:rPr>
                <w:b w:val="0"/>
              </w:rPr>
              <w:t>nepieciešams skaidrojums, ka šādi veidojies parāds netiek ņemts vērā, piemērojot likuma 20.</w:t>
            </w:r>
            <w:r w:rsidRPr="00BE4C3E">
              <w:rPr>
                <w:b w:val="0"/>
                <w:vertAlign w:val="superscript"/>
              </w:rPr>
              <w:t>1</w:t>
            </w:r>
            <w:r w:rsidRPr="00BE4C3E">
              <w:rPr>
                <w:b w:val="0"/>
              </w:rPr>
              <w:t xml:space="preserve">panta normas. Ziedojums pēc savas būtības ir bezatlīdzības darījums ar mērķi ziedojumu izmantot labdarībai. Ja ziedojuma saņēmējs </w:t>
            </w:r>
            <w:r w:rsidRPr="00BE4C3E">
              <w:rPr>
                <w:b w:val="0"/>
              </w:rPr>
              <w:lastRenderedPageBreak/>
              <w:t xml:space="preserve">sevis rīkotajos pasākumos izmanto ziedotāja </w:t>
            </w:r>
            <w:r w:rsidR="00E90435" w:rsidRPr="00BE4C3E">
              <w:rPr>
                <w:b w:val="0"/>
              </w:rPr>
              <w:t>logo</w:t>
            </w:r>
            <w:r w:rsidRPr="00BE4C3E">
              <w:rPr>
                <w:b w:val="0"/>
              </w:rPr>
              <w:t xml:space="preserve">, tādā veidā pēc ekonomiskās būtības tiek reklamēts ziedotājs. Līdz ar to par veikto darījumu tā veicējs ir saņēmis materiāla rakstura atlīdzību, pamatojoties uz ko veiktos maksājumus nevar uzskatīt par ziedojumu. </w:t>
            </w:r>
          </w:p>
        </w:tc>
      </w:tr>
      <w:tr w:rsidR="00324976" w:rsidRPr="00740C41" w:rsidTr="00314070">
        <w:trPr>
          <w:trHeight w:val="1071"/>
          <w:tblCellSpacing w:w="0" w:type="dxa"/>
        </w:trPr>
        <w:tc>
          <w:tcPr>
            <w:tcW w:w="516" w:type="dxa"/>
            <w:gridSpan w:val="3"/>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lastRenderedPageBreak/>
              <w:t> 3.</w:t>
            </w:r>
          </w:p>
        </w:tc>
        <w:tc>
          <w:tcPr>
            <w:tcW w:w="3935" w:type="dxa"/>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Saistītie politikas ietekmes novērtējumi un pētījumi</w:t>
            </w:r>
          </w:p>
        </w:tc>
        <w:tc>
          <w:tcPr>
            <w:tcW w:w="4636" w:type="dxa"/>
            <w:gridSpan w:val="2"/>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Nav attiecināms.</w:t>
            </w:r>
          </w:p>
        </w:tc>
      </w:tr>
      <w:tr w:rsidR="00324976" w:rsidRPr="00740C41" w:rsidTr="00314070">
        <w:trPr>
          <w:trHeight w:val="384"/>
          <w:tblCellSpacing w:w="0" w:type="dxa"/>
        </w:trPr>
        <w:tc>
          <w:tcPr>
            <w:tcW w:w="516" w:type="dxa"/>
            <w:gridSpan w:val="3"/>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4.</w:t>
            </w:r>
          </w:p>
        </w:tc>
        <w:tc>
          <w:tcPr>
            <w:tcW w:w="3935" w:type="dxa"/>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Tiesiskā regulējuma mērķis un būtība</w:t>
            </w:r>
          </w:p>
        </w:tc>
        <w:tc>
          <w:tcPr>
            <w:tcW w:w="4636" w:type="dxa"/>
            <w:gridSpan w:val="2"/>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pStyle w:val="Heading4"/>
              <w:spacing w:before="0" w:beforeAutospacing="0" w:after="0" w:afterAutospacing="0"/>
              <w:contextualSpacing/>
              <w:jc w:val="both"/>
              <w:rPr>
                <w:b w:val="0"/>
                <w:u w:val="single"/>
              </w:rPr>
            </w:pPr>
            <w:r w:rsidRPr="00BE4C3E">
              <w:rPr>
                <w:b w:val="0"/>
                <w:u w:val="single"/>
              </w:rPr>
              <w:t>Tonnāžas nodokļa aprēķins</w:t>
            </w:r>
          </w:p>
          <w:p w:rsidR="00324976" w:rsidRPr="00BE4C3E" w:rsidRDefault="00324976" w:rsidP="00300B75">
            <w:pPr>
              <w:pStyle w:val="Heading4"/>
              <w:spacing w:before="0" w:beforeAutospacing="0" w:after="0" w:afterAutospacing="0"/>
              <w:contextualSpacing/>
              <w:jc w:val="both"/>
              <w:rPr>
                <w:b w:val="0"/>
              </w:rPr>
            </w:pPr>
            <w:r w:rsidRPr="00BE4C3E">
              <w:rPr>
                <w:b w:val="0"/>
              </w:rPr>
              <w:t>Lai nodrošinātu vienveidīgu normu piemērošanu noteikumu projekts paredz, ka par kuģi ar neto tilpību mazāku par 100, tonnāžas nodokli nevar piemērot un uzņēmumu ienākuma nodoklis ir jāmaksā vispārējā kārtībā.</w:t>
            </w:r>
          </w:p>
          <w:p w:rsidR="00324976" w:rsidRPr="00BE4C3E" w:rsidRDefault="00324976" w:rsidP="00300B75">
            <w:pPr>
              <w:pStyle w:val="Heading4"/>
              <w:spacing w:before="0" w:beforeAutospacing="0" w:after="0" w:afterAutospacing="0"/>
              <w:contextualSpacing/>
              <w:jc w:val="both"/>
              <w:rPr>
                <w:b w:val="0"/>
                <w:u w:val="single"/>
              </w:rPr>
            </w:pPr>
            <w:r w:rsidRPr="00BE4C3E">
              <w:rPr>
                <w:b w:val="0"/>
                <w:u w:val="single"/>
              </w:rPr>
              <w:t>Procentu maksājumi</w:t>
            </w:r>
          </w:p>
          <w:p w:rsidR="00324976" w:rsidRPr="00BE4C3E" w:rsidRDefault="00324976" w:rsidP="00300B75">
            <w:pPr>
              <w:pStyle w:val="Heading4"/>
              <w:spacing w:before="0" w:beforeAutospacing="0" w:after="0" w:afterAutospacing="0"/>
              <w:contextualSpacing/>
              <w:jc w:val="both"/>
              <w:rPr>
                <w:b w:val="0"/>
              </w:rPr>
            </w:pPr>
            <w:r w:rsidRPr="00BE4C3E">
              <w:rPr>
                <w:b w:val="0"/>
              </w:rPr>
              <w:t xml:space="preserve">- Noteikumu projekts paredz, ka finanšu uzraudzības institūcija ir arī institūcija, kas veic speciālo atļauju (licences) izsniegšanu </w:t>
            </w:r>
            <w:proofErr w:type="spellStart"/>
            <w:r w:rsidRPr="00BE4C3E">
              <w:rPr>
                <w:b w:val="0"/>
              </w:rPr>
              <w:t>nebanku</w:t>
            </w:r>
            <w:proofErr w:type="spellEnd"/>
            <w:r w:rsidRPr="00BE4C3E">
              <w:rPr>
                <w:b w:val="0"/>
              </w:rPr>
              <w:t xml:space="preserve"> sektoram. Latvijas Republikā šo darbību veic saskaņā ar Patērētāju tiesību aizsardzības likumu.</w:t>
            </w:r>
          </w:p>
          <w:p w:rsidR="00324976" w:rsidRPr="00BE4C3E" w:rsidRDefault="00324976" w:rsidP="00300B75">
            <w:pPr>
              <w:pStyle w:val="Heading4"/>
              <w:spacing w:before="0" w:beforeAutospacing="0" w:after="0" w:afterAutospacing="0"/>
              <w:contextualSpacing/>
              <w:jc w:val="both"/>
              <w:rPr>
                <w:b w:val="0"/>
              </w:rPr>
            </w:pPr>
            <w:r w:rsidRPr="00BE4C3E">
              <w:rPr>
                <w:b w:val="0"/>
              </w:rPr>
              <w:t>- Lai novērstu divkāršu viena un tā paša ienākuma aplikšanu ar nodokli, noteikumu projekts paredz, ka ar nodokli apliekamo ienākumu palielina tikai par lielāko no 6.</w:t>
            </w:r>
            <w:r w:rsidRPr="00BE4C3E">
              <w:rPr>
                <w:b w:val="0"/>
                <w:vertAlign w:val="superscript"/>
              </w:rPr>
              <w:t>4</w:t>
            </w:r>
            <w:r w:rsidRPr="00BE4C3E">
              <w:rPr>
                <w:b w:val="0"/>
              </w:rPr>
              <w:t xml:space="preserve">pantā vai 12.pantā aprēķinātajiem ar nodokli apliekamajiem procentu maksājumiem. </w:t>
            </w:r>
          </w:p>
          <w:p w:rsidR="00324976" w:rsidRPr="00BE4C3E" w:rsidRDefault="00324976" w:rsidP="00300B75">
            <w:pPr>
              <w:pStyle w:val="Heading4"/>
              <w:spacing w:before="0" w:beforeAutospacing="0" w:after="0" w:afterAutospacing="0"/>
              <w:contextualSpacing/>
              <w:jc w:val="both"/>
              <w:rPr>
                <w:b w:val="0"/>
                <w:u w:val="single"/>
              </w:rPr>
            </w:pPr>
            <w:r w:rsidRPr="00BE4C3E">
              <w:rPr>
                <w:b w:val="0"/>
                <w:u w:val="single"/>
              </w:rPr>
              <w:t>Nedrošo parādu norakstīšana</w:t>
            </w:r>
          </w:p>
          <w:p w:rsidR="00324976" w:rsidRPr="00BE4C3E" w:rsidRDefault="00324976" w:rsidP="00300B75">
            <w:pPr>
              <w:pStyle w:val="Heading4"/>
              <w:spacing w:before="0" w:beforeAutospacing="0" w:after="0" w:afterAutospacing="0"/>
              <w:contextualSpacing/>
              <w:jc w:val="both"/>
              <w:rPr>
                <w:b w:val="0"/>
              </w:rPr>
            </w:pPr>
            <w:r w:rsidRPr="00BE4C3E">
              <w:rPr>
                <w:b w:val="0"/>
              </w:rPr>
              <w:t>Noteikumu projekts paredz, ka likuma 9.panta normas neattiecas uz:</w:t>
            </w:r>
          </w:p>
          <w:p w:rsidR="00324976" w:rsidRPr="00BE4C3E" w:rsidRDefault="00324976" w:rsidP="00300B75">
            <w:pPr>
              <w:pStyle w:val="Heading4"/>
              <w:spacing w:before="0" w:beforeAutospacing="0" w:after="0" w:afterAutospacing="0"/>
              <w:contextualSpacing/>
              <w:jc w:val="both"/>
              <w:rPr>
                <w:b w:val="0"/>
              </w:rPr>
            </w:pPr>
            <w:r w:rsidRPr="00BE4C3E">
              <w:rPr>
                <w:b w:val="0"/>
              </w:rPr>
              <w:t xml:space="preserve">- debitoru parādu summām, par kurām izveidoti uzkrājumi saskaņā ar Finanšu un kapitāla tirgus komisijas normatīvajos noteikumos paredzēto uzkrājumu veidošanas kārtību; </w:t>
            </w:r>
          </w:p>
          <w:p w:rsidR="00324976" w:rsidRPr="00BE4C3E" w:rsidRDefault="00324976" w:rsidP="00300B75">
            <w:pPr>
              <w:pStyle w:val="Heading4"/>
              <w:spacing w:before="0" w:beforeAutospacing="0" w:after="0" w:afterAutospacing="0"/>
              <w:contextualSpacing/>
              <w:jc w:val="both"/>
              <w:rPr>
                <w:b w:val="0"/>
              </w:rPr>
            </w:pPr>
            <w:r w:rsidRPr="00BE4C3E">
              <w:rPr>
                <w:b w:val="0"/>
              </w:rPr>
              <w:t>- neatgūstamajām pievienotās vērtības nodokļa parāda summām.</w:t>
            </w:r>
          </w:p>
          <w:p w:rsidR="00324976" w:rsidRPr="00BE4C3E" w:rsidRDefault="00324976" w:rsidP="00300B75">
            <w:pPr>
              <w:pStyle w:val="Heading4"/>
              <w:spacing w:before="0" w:beforeAutospacing="0" w:after="0" w:afterAutospacing="0"/>
              <w:contextualSpacing/>
              <w:jc w:val="both"/>
              <w:rPr>
                <w:b w:val="0"/>
              </w:rPr>
            </w:pPr>
            <w:r w:rsidRPr="00BE4C3E">
              <w:rPr>
                <w:b w:val="0"/>
              </w:rPr>
              <w:t xml:space="preserve">Savukārt uzņēmējsabiedrībai ir tiesības samazināt ar uzņēmumu ienākuma nodokli apliekamo ienākumu saskaņā ar likuma 9.pantu par neatgūto aizdevumu summu. </w:t>
            </w:r>
          </w:p>
          <w:p w:rsidR="00324976" w:rsidRPr="00BE4C3E" w:rsidRDefault="00324976" w:rsidP="00300B75">
            <w:pPr>
              <w:pStyle w:val="Heading4"/>
              <w:spacing w:before="0" w:beforeAutospacing="0" w:after="0" w:afterAutospacing="0"/>
              <w:contextualSpacing/>
              <w:jc w:val="both"/>
              <w:rPr>
                <w:b w:val="0"/>
                <w:u w:val="single"/>
              </w:rPr>
            </w:pPr>
            <w:r w:rsidRPr="00BE4C3E">
              <w:rPr>
                <w:b w:val="0"/>
                <w:u w:val="single"/>
              </w:rPr>
              <w:t>Zaudējumu pārnešana</w:t>
            </w:r>
          </w:p>
          <w:p w:rsidR="00324976" w:rsidRPr="00BE4C3E" w:rsidRDefault="00324976" w:rsidP="00300B75">
            <w:pPr>
              <w:pStyle w:val="Heading4"/>
              <w:spacing w:before="0" w:beforeAutospacing="0" w:after="0" w:afterAutospacing="0"/>
              <w:contextualSpacing/>
              <w:jc w:val="both"/>
              <w:rPr>
                <w:b w:val="0"/>
              </w:rPr>
            </w:pPr>
            <w:r w:rsidRPr="00BE4C3E">
              <w:rPr>
                <w:b w:val="0"/>
              </w:rPr>
              <w:t xml:space="preserve">Ņemot vērā, ka uzņēmējsabiedrības likvidācijas gadījumā, pārnesot zaudējumus uzņēmumu grupā, ne vienmēr var nodrošināt nosacījumu, ka abiem grupas uzņēmumiem taksācijas periodam beidzas vienā un tajā pašā datumā, tad noteikumu projekts paredz, ka uzņēmējsabiedrības likvidācijas gadījumā </w:t>
            </w:r>
            <w:r w:rsidRPr="00BE4C3E">
              <w:rPr>
                <w:b w:val="0"/>
              </w:rPr>
              <w:lastRenderedPageBreak/>
              <w:t>taksācijas gada beigas likvidējamam uzņēmumam var nesakrist ar otru grupas uzņēmumu. Savukārt, likvidējamās uzņēmējsabiedrības zaudējumus var pārnest uz citu grupas uzņēmumu tikai likvidācijas (izslēgšanas no nodokļu maksātāju reģistra) gadā.</w:t>
            </w:r>
          </w:p>
          <w:p w:rsidR="00324976" w:rsidRPr="00BE4C3E" w:rsidRDefault="00324976" w:rsidP="00300B75">
            <w:pPr>
              <w:pStyle w:val="Heading4"/>
              <w:spacing w:before="0" w:beforeAutospacing="0" w:after="0" w:afterAutospacing="0"/>
              <w:contextualSpacing/>
              <w:jc w:val="both"/>
              <w:rPr>
                <w:b w:val="0"/>
                <w:u w:val="single"/>
              </w:rPr>
            </w:pPr>
            <w:r w:rsidRPr="00BE4C3E">
              <w:rPr>
                <w:b w:val="0"/>
                <w:u w:val="single"/>
              </w:rPr>
              <w:t>Ziedojumi</w:t>
            </w:r>
          </w:p>
          <w:p w:rsidR="00324976" w:rsidRPr="00BE4C3E" w:rsidRDefault="00324976" w:rsidP="00300B75">
            <w:pPr>
              <w:pStyle w:val="Heading4"/>
              <w:numPr>
                <w:ilvl w:val="0"/>
                <w:numId w:val="2"/>
              </w:numPr>
              <w:spacing w:before="0" w:beforeAutospacing="0" w:after="0" w:afterAutospacing="0"/>
              <w:ind w:left="0" w:firstLine="0"/>
              <w:contextualSpacing/>
              <w:jc w:val="both"/>
              <w:rPr>
                <w:b w:val="0"/>
              </w:rPr>
            </w:pPr>
            <w:r w:rsidRPr="00BE4C3E">
              <w:rPr>
                <w:b w:val="0"/>
              </w:rPr>
              <w:t>Tā kā nodokļu maksātājam ir tiesības veikt nodokļa deklarācijas precizējumus par iepriekšējiem trijiem taksācijas periodiem, kā rezultātā tam var veidoties nodokļa parāds, tad noteikumu projekts paredz, ka šādi veidojušies parādi nav uzskatāmi par nodokļu parādiem likuma 20.</w:t>
            </w:r>
            <w:r w:rsidRPr="00BE4C3E">
              <w:rPr>
                <w:b w:val="0"/>
                <w:vertAlign w:val="superscript"/>
              </w:rPr>
              <w:t>1</w:t>
            </w:r>
            <w:r w:rsidRPr="00BE4C3E">
              <w:rPr>
                <w:b w:val="0"/>
              </w:rPr>
              <w:t>panta izpratnē.</w:t>
            </w:r>
          </w:p>
          <w:p w:rsidR="00324976" w:rsidRPr="00BE4C3E" w:rsidRDefault="00324976" w:rsidP="00827D2C">
            <w:pPr>
              <w:pStyle w:val="ListParagraph"/>
              <w:numPr>
                <w:ilvl w:val="0"/>
                <w:numId w:val="1"/>
              </w:numPr>
              <w:ind w:left="0" w:firstLine="0"/>
              <w:jc w:val="both"/>
              <w:rPr>
                <w:rFonts w:eastAsia="Times New Roman" w:cs="Times New Roman"/>
                <w:sz w:val="24"/>
                <w:szCs w:val="24"/>
                <w:lang w:eastAsia="lv-LV"/>
              </w:rPr>
            </w:pPr>
            <w:r w:rsidRPr="00BE4C3E">
              <w:rPr>
                <w:sz w:val="24"/>
                <w:szCs w:val="24"/>
              </w:rPr>
              <w:t xml:space="preserve">Noteikumu projekts paredz, ka ja ziedojuma saņēmējs savos pasākumos izmanto ziedotāja </w:t>
            </w:r>
            <w:r w:rsidR="00E90435" w:rsidRPr="00BE4C3E">
              <w:rPr>
                <w:sz w:val="24"/>
                <w:szCs w:val="24"/>
              </w:rPr>
              <w:t>logo</w:t>
            </w:r>
            <w:r w:rsidRPr="00BE4C3E">
              <w:rPr>
                <w:sz w:val="24"/>
                <w:szCs w:val="24"/>
              </w:rPr>
              <w:t>, ka tas pēc ekonomiskās būtības reklamē ziedotāju, šādam darījumam ir atlīdzības raksturs, pamatojoties uz ko  veiktos maksājumus nevar uzskatīt par ziedojumu likuma izpratnē.</w:t>
            </w:r>
          </w:p>
        </w:tc>
      </w:tr>
      <w:tr w:rsidR="00324976" w:rsidRPr="00740C41" w:rsidTr="00314070">
        <w:trPr>
          <w:trHeight w:val="476"/>
          <w:tblCellSpacing w:w="0" w:type="dxa"/>
        </w:trPr>
        <w:tc>
          <w:tcPr>
            <w:tcW w:w="516" w:type="dxa"/>
            <w:gridSpan w:val="3"/>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lastRenderedPageBreak/>
              <w:t> 5.</w:t>
            </w:r>
          </w:p>
        </w:tc>
        <w:tc>
          <w:tcPr>
            <w:tcW w:w="3935" w:type="dxa"/>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Projekta izstrādē iesaistītās institūcijas</w:t>
            </w:r>
          </w:p>
        </w:tc>
        <w:tc>
          <w:tcPr>
            <w:tcW w:w="4636" w:type="dxa"/>
            <w:gridSpan w:val="2"/>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Projekta izstrādē iesaistīts Valsts ieņēmumu dienests.</w:t>
            </w:r>
          </w:p>
        </w:tc>
      </w:tr>
      <w:tr w:rsidR="00324976" w:rsidRPr="00740C41" w:rsidTr="00314070">
        <w:trPr>
          <w:trHeight w:val="972"/>
          <w:tblCellSpacing w:w="0" w:type="dxa"/>
        </w:trPr>
        <w:tc>
          <w:tcPr>
            <w:tcW w:w="516" w:type="dxa"/>
            <w:gridSpan w:val="3"/>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6.</w:t>
            </w:r>
          </w:p>
        </w:tc>
        <w:tc>
          <w:tcPr>
            <w:tcW w:w="3935" w:type="dxa"/>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Iemesli, kādēļ netika nodrošināta sabiedrības līdzdalība</w:t>
            </w:r>
          </w:p>
        </w:tc>
        <w:tc>
          <w:tcPr>
            <w:tcW w:w="4636" w:type="dxa"/>
            <w:gridSpan w:val="2"/>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contextualSpacing/>
              <w:jc w:val="both"/>
              <w:rPr>
                <w:rFonts w:eastAsia="Times New Roman" w:cs="Times New Roman"/>
                <w:sz w:val="24"/>
                <w:szCs w:val="24"/>
                <w:lang w:eastAsia="lv-LV"/>
              </w:rPr>
            </w:pPr>
            <w:r w:rsidRPr="00BE4C3E">
              <w:rPr>
                <w:rFonts w:eastAsia="Times New Roman" w:cs="Times New Roman"/>
                <w:sz w:val="24"/>
                <w:szCs w:val="24"/>
                <w:lang w:eastAsia="lv-LV"/>
              </w:rPr>
              <w:t>Ņemot vērā, ka noteikumu projekts ir izstrādāts, balstoties uz likuma normām, tad sabiedrības līdzdalība nav nepieciešama.</w:t>
            </w:r>
          </w:p>
        </w:tc>
      </w:tr>
      <w:tr w:rsidR="00324976" w:rsidRPr="00740C41" w:rsidTr="00314070">
        <w:trPr>
          <w:tblCellSpacing w:w="0" w:type="dxa"/>
        </w:trPr>
        <w:tc>
          <w:tcPr>
            <w:tcW w:w="516" w:type="dxa"/>
            <w:gridSpan w:val="3"/>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7.</w:t>
            </w:r>
          </w:p>
        </w:tc>
        <w:tc>
          <w:tcPr>
            <w:tcW w:w="3935" w:type="dxa"/>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Cita informācija</w:t>
            </w:r>
          </w:p>
        </w:tc>
        <w:tc>
          <w:tcPr>
            <w:tcW w:w="4636" w:type="dxa"/>
            <w:gridSpan w:val="2"/>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jc w:val="both"/>
              <w:rPr>
                <w:rFonts w:eastAsia="Times New Roman" w:cs="Times New Roman"/>
                <w:sz w:val="24"/>
                <w:szCs w:val="24"/>
                <w:lang w:eastAsia="lv-LV"/>
              </w:rPr>
            </w:pPr>
            <w:r w:rsidRPr="00BE4C3E">
              <w:rPr>
                <w:rFonts w:eastAsia="Times New Roman" w:cs="Times New Roman"/>
                <w:sz w:val="24"/>
                <w:szCs w:val="24"/>
                <w:lang w:eastAsia="lv-LV"/>
              </w:rPr>
              <w:t>Nav saistošs</w:t>
            </w:r>
          </w:p>
        </w:tc>
      </w:tr>
      <w:tr w:rsidR="00324976" w:rsidRPr="00740C41" w:rsidTr="00314070">
        <w:trPr>
          <w:tblCellSpacing w:w="0" w:type="dxa"/>
        </w:trPr>
        <w:tc>
          <w:tcPr>
            <w:tcW w:w="9087" w:type="dxa"/>
            <w:gridSpan w:val="6"/>
            <w:tcBorders>
              <w:top w:val="outset" w:sz="6" w:space="0" w:color="auto"/>
              <w:left w:val="outset" w:sz="6" w:space="0" w:color="auto"/>
              <w:bottom w:val="outset" w:sz="6" w:space="0" w:color="auto"/>
              <w:right w:val="outset" w:sz="6" w:space="0" w:color="auto"/>
            </w:tcBorders>
            <w:vAlign w:val="center"/>
            <w:hideMark/>
          </w:tcPr>
          <w:p w:rsidR="00324976" w:rsidRPr="00740C41" w:rsidRDefault="00324976" w:rsidP="00300B75">
            <w:pPr>
              <w:spacing w:before="100" w:beforeAutospacing="1" w:after="100" w:afterAutospacing="1"/>
              <w:rPr>
                <w:rFonts w:eastAsia="Times New Roman" w:cs="Times New Roman"/>
                <w:b/>
                <w:sz w:val="26"/>
                <w:szCs w:val="26"/>
                <w:lang w:eastAsia="lv-LV"/>
              </w:rPr>
            </w:pPr>
            <w:r w:rsidRPr="00740C41">
              <w:rPr>
                <w:rFonts w:eastAsia="Times New Roman" w:cs="Times New Roman"/>
                <w:b/>
                <w:sz w:val="26"/>
                <w:szCs w:val="26"/>
                <w:lang w:eastAsia="lv-LV"/>
              </w:rPr>
              <w:t xml:space="preserve">  II. Tiesību akta projekta ietekme uz sabiedrību</w:t>
            </w:r>
          </w:p>
        </w:tc>
      </w:tr>
      <w:tr w:rsidR="00324976" w:rsidRPr="00740C41" w:rsidTr="00314070">
        <w:trPr>
          <w:trHeight w:val="467"/>
          <w:tblCellSpacing w:w="0" w:type="dxa"/>
        </w:trPr>
        <w:tc>
          <w:tcPr>
            <w:tcW w:w="508" w:type="dxa"/>
            <w:gridSpan w:val="2"/>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1.</w:t>
            </w:r>
          </w:p>
        </w:tc>
        <w:tc>
          <w:tcPr>
            <w:tcW w:w="4358" w:type="dxa"/>
            <w:gridSpan w:val="3"/>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xml:space="preserve"> Sabiedrības </w:t>
            </w:r>
            <w:proofErr w:type="spellStart"/>
            <w:r w:rsidRPr="00BE4C3E">
              <w:rPr>
                <w:rFonts w:eastAsia="Times New Roman" w:cs="Times New Roman"/>
                <w:sz w:val="24"/>
                <w:szCs w:val="24"/>
                <w:lang w:eastAsia="lv-LV"/>
              </w:rPr>
              <w:t>mērķgrupa</w:t>
            </w:r>
            <w:proofErr w:type="spellEnd"/>
          </w:p>
        </w:tc>
        <w:tc>
          <w:tcPr>
            <w:tcW w:w="4221" w:type="dxa"/>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jc w:val="both"/>
              <w:rPr>
                <w:rFonts w:eastAsia="Times New Roman" w:cs="Times New Roman"/>
                <w:sz w:val="24"/>
                <w:szCs w:val="24"/>
                <w:lang w:eastAsia="lv-LV"/>
              </w:rPr>
            </w:pPr>
            <w:r w:rsidRPr="00BE4C3E">
              <w:rPr>
                <w:rFonts w:eastAsia="Times New Roman" w:cs="Times New Roman"/>
                <w:sz w:val="24"/>
                <w:szCs w:val="24"/>
                <w:lang w:eastAsia="lv-LV"/>
              </w:rPr>
              <w:t>Noteikumu projekta normas attiecas uz tiem uzņēmumu ienākuma nodokļa maksātājiem, kuri nodarbojas ar aizdevumu izsniegšanu,  noraksta debitoru parādus, pārnes zaudējumus uzņēmumu grupā, veic ziedojumus, kā arī uz kredītiestādēm, kuras noraksta speciālos uzkrājumus.</w:t>
            </w:r>
          </w:p>
        </w:tc>
      </w:tr>
      <w:tr w:rsidR="00324976" w:rsidRPr="00740C41" w:rsidTr="00314070">
        <w:trPr>
          <w:trHeight w:val="523"/>
          <w:tblCellSpacing w:w="0" w:type="dxa"/>
        </w:trPr>
        <w:tc>
          <w:tcPr>
            <w:tcW w:w="508" w:type="dxa"/>
            <w:gridSpan w:val="2"/>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2.</w:t>
            </w:r>
          </w:p>
        </w:tc>
        <w:tc>
          <w:tcPr>
            <w:tcW w:w="4358" w:type="dxa"/>
            <w:gridSpan w:val="3"/>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xml:space="preserve"> Citas sabiedrības grupas (bez </w:t>
            </w:r>
            <w:proofErr w:type="spellStart"/>
            <w:r w:rsidRPr="00BE4C3E">
              <w:rPr>
                <w:rFonts w:eastAsia="Times New Roman" w:cs="Times New Roman"/>
                <w:sz w:val="24"/>
                <w:szCs w:val="24"/>
                <w:lang w:eastAsia="lv-LV"/>
              </w:rPr>
              <w:t>mērķgrupas</w:t>
            </w:r>
            <w:proofErr w:type="spellEnd"/>
            <w:r w:rsidRPr="00BE4C3E">
              <w:rPr>
                <w:rFonts w:eastAsia="Times New Roman" w:cs="Times New Roman"/>
                <w:sz w:val="24"/>
                <w:szCs w:val="24"/>
                <w:lang w:eastAsia="lv-LV"/>
              </w:rPr>
              <w:t>), kuras tiesiskais regulējums arī ietekmē vai varētu ietekmēt</w:t>
            </w:r>
          </w:p>
        </w:tc>
        <w:tc>
          <w:tcPr>
            <w:tcW w:w="4221" w:type="dxa"/>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jc w:val="both"/>
              <w:rPr>
                <w:rFonts w:eastAsia="Times New Roman" w:cs="Times New Roman"/>
                <w:sz w:val="24"/>
                <w:szCs w:val="24"/>
                <w:lang w:eastAsia="lv-LV"/>
              </w:rPr>
            </w:pPr>
            <w:r w:rsidRPr="00BE4C3E">
              <w:rPr>
                <w:rFonts w:eastAsia="Times New Roman" w:cs="Times New Roman"/>
                <w:sz w:val="24"/>
                <w:szCs w:val="24"/>
                <w:lang w:eastAsia="lv-LV"/>
              </w:rPr>
              <w:t>Nav attiecināms</w:t>
            </w:r>
          </w:p>
        </w:tc>
      </w:tr>
      <w:tr w:rsidR="00324976" w:rsidRPr="00740C41" w:rsidTr="00314070">
        <w:trPr>
          <w:trHeight w:val="517"/>
          <w:tblCellSpacing w:w="0" w:type="dxa"/>
        </w:trPr>
        <w:tc>
          <w:tcPr>
            <w:tcW w:w="508" w:type="dxa"/>
            <w:gridSpan w:val="2"/>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3.</w:t>
            </w:r>
          </w:p>
        </w:tc>
        <w:tc>
          <w:tcPr>
            <w:tcW w:w="4358" w:type="dxa"/>
            <w:gridSpan w:val="3"/>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Tiesiskā regulējuma finansiālā ietekme</w:t>
            </w:r>
          </w:p>
        </w:tc>
        <w:tc>
          <w:tcPr>
            <w:tcW w:w="4221" w:type="dxa"/>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jc w:val="both"/>
              <w:rPr>
                <w:rFonts w:eastAsia="Times New Roman" w:cs="Times New Roman"/>
                <w:sz w:val="24"/>
                <w:szCs w:val="24"/>
                <w:lang w:eastAsia="lv-LV"/>
              </w:rPr>
            </w:pPr>
            <w:r w:rsidRPr="00BE4C3E">
              <w:rPr>
                <w:rFonts w:eastAsia="Times New Roman" w:cs="Times New Roman"/>
                <w:sz w:val="24"/>
                <w:szCs w:val="24"/>
                <w:lang w:eastAsia="lv-LV"/>
              </w:rPr>
              <w:t> Ņemot vērā, ka noteikumu projekta normas tikai skaidro likuma normas, tad papildus finansējums nav nepieciešams.</w:t>
            </w:r>
          </w:p>
        </w:tc>
      </w:tr>
      <w:tr w:rsidR="00324976" w:rsidRPr="00740C41" w:rsidTr="00314070">
        <w:trPr>
          <w:trHeight w:val="517"/>
          <w:tblCellSpacing w:w="0" w:type="dxa"/>
        </w:trPr>
        <w:tc>
          <w:tcPr>
            <w:tcW w:w="508" w:type="dxa"/>
            <w:gridSpan w:val="2"/>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4.</w:t>
            </w:r>
          </w:p>
        </w:tc>
        <w:tc>
          <w:tcPr>
            <w:tcW w:w="4358" w:type="dxa"/>
            <w:gridSpan w:val="3"/>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Tiesiskā regulējuma nefinansiālā ietekme</w:t>
            </w:r>
          </w:p>
        </w:tc>
        <w:tc>
          <w:tcPr>
            <w:tcW w:w="4221" w:type="dxa"/>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jc w:val="both"/>
              <w:rPr>
                <w:rFonts w:eastAsia="Times New Roman" w:cs="Times New Roman"/>
                <w:sz w:val="24"/>
                <w:szCs w:val="24"/>
                <w:lang w:eastAsia="lv-LV"/>
              </w:rPr>
            </w:pPr>
            <w:r w:rsidRPr="00BE4C3E">
              <w:rPr>
                <w:rFonts w:eastAsia="Times New Roman" w:cs="Times New Roman"/>
                <w:sz w:val="24"/>
                <w:szCs w:val="24"/>
                <w:lang w:eastAsia="lv-LV"/>
              </w:rPr>
              <w:t xml:space="preserve"> Noteikumu projekts nodrošina viennozīmīgu likuma izpratni par kredītiestāžu uzkrājumu norakstīšanu. </w:t>
            </w:r>
          </w:p>
        </w:tc>
      </w:tr>
      <w:tr w:rsidR="00324976" w:rsidRPr="00740C41" w:rsidTr="00314070">
        <w:trPr>
          <w:trHeight w:val="531"/>
          <w:tblCellSpacing w:w="0" w:type="dxa"/>
        </w:trPr>
        <w:tc>
          <w:tcPr>
            <w:tcW w:w="508" w:type="dxa"/>
            <w:gridSpan w:val="2"/>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5.</w:t>
            </w:r>
          </w:p>
        </w:tc>
        <w:tc>
          <w:tcPr>
            <w:tcW w:w="4358" w:type="dxa"/>
            <w:gridSpan w:val="3"/>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Administratīvās procedūras raksturojums</w:t>
            </w:r>
          </w:p>
        </w:tc>
        <w:tc>
          <w:tcPr>
            <w:tcW w:w="4221" w:type="dxa"/>
            <w:tcBorders>
              <w:top w:val="outset" w:sz="6" w:space="0" w:color="auto"/>
              <w:left w:val="outset" w:sz="6" w:space="0" w:color="auto"/>
              <w:bottom w:val="outset" w:sz="6" w:space="0" w:color="auto"/>
              <w:right w:val="outset" w:sz="6" w:space="0" w:color="auto"/>
            </w:tcBorders>
            <w:hideMark/>
          </w:tcPr>
          <w:p w:rsidR="00324976" w:rsidRPr="00BE4C3E" w:rsidRDefault="00324976" w:rsidP="00CF43EF">
            <w:pPr>
              <w:spacing w:before="100" w:beforeAutospacing="1" w:after="100" w:afterAutospacing="1"/>
              <w:jc w:val="both"/>
              <w:rPr>
                <w:rFonts w:eastAsia="Times New Roman" w:cs="Times New Roman"/>
                <w:sz w:val="24"/>
                <w:szCs w:val="24"/>
                <w:lang w:eastAsia="lv-LV"/>
              </w:rPr>
            </w:pPr>
            <w:r w:rsidRPr="00BE4C3E">
              <w:rPr>
                <w:rFonts w:eastAsia="Times New Roman" w:cs="Times New Roman"/>
                <w:sz w:val="24"/>
                <w:szCs w:val="24"/>
                <w:lang w:eastAsia="lv-LV"/>
              </w:rPr>
              <w:t xml:space="preserve"> </w:t>
            </w:r>
            <w:r w:rsidR="00CF43EF">
              <w:rPr>
                <w:rFonts w:eastAsia="Times New Roman" w:cs="Times New Roman"/>
                <w:sz w:val="24"/>
                <w:szCs w:val="24"/>
                <w:lang w:eastAsia="lv-LV"/>
              </w:rPr>
              <w:t>Nav.</w:t>
            </w:r>
          </w:p>
        </w:tc>
      </w:tr>
      <w:tr w:rsidR="00324976" w:rsidRPr="00740C41" w:rsidTr="00314070">
        <w:trPr>
          <w:trHeight w:val="357"/>
          <w:tblCellSpacing w:w="0" w:type="dxa"/>
        </w:trPr>
        <w:tc>
          <w:tcPr>
            <w:tcW w:w="508" w:type="dxa"/>
            <w:gridSpan w:val="2"/>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6.</w:t>
            </w:r>
          </w:p>
        </w:tc>
        <w:tc>
          <w:tcPr>
            <w:tcW w:w="4358" w:type="dxa"/>
            <w:gridSpan w:val="3"/>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xml:space="preserve"> Administratīvo izmaksu monetārs </w:t>
            </w:r>
            <w:r w:rsidRPr="00BE4C3E">
              <w:rPr>
                <w:rFonts w:eastAsia="Times New Roman" w:cs="Times New Roman"/>
                <w:sz w:val="24"/>
                <w:szCs w:val="24"/>
                <w:lang w:eastAsia="lv-LV"/>
              </w:rPr>
              <w:lastRenderedPageBreak/>
              <w:t>novērtējums</w:t>
            </w:r>
          </w:p>
        </w:tc>
        <w:tc>
          <w:tcPr>
            <w:tcW w:w="4221" w:type="dxa"/>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lastRenderedPageBreak/>
              <w:t> Nav.</w:t>
            </w:r>
          </w:p>
        </w:tc>
      </w:tr>
      <w:tr w:rsidR="00324976" w:rsidRPr="00740C41" w:rsidTr="00314070">
        <w:trPr>
          <w:tblCellSpacing w:w="0" w:type="dxa"/>
        </w:trPr>
        <w:tc>
          <w:tcPr>
            <w:tcW w:w="508" w:type="dxa"/>
            <w:gridSpan w:val="2"/>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lastRenderedPageBreak/>
              <w:t> 7.</w:t>
            </w:r>
          </w:p>
        </w:tc>
        <w:tc>
          <w:tcPr>
            <w:tcW w:w="4358" w:type="dxa"/>
            <w:gridSpan w:val="3"/>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Cita informācija</w:t>
            </w:r>
          </w:p>
        </w:tc>
        <w:tc>
          <w:tcPr>
            <w:tcW w:w="4221" w:type="dxa"/>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rPr>
                <w:rFonts w:eastAsia="Times New Roman" w:cs="Times New Roman"/>
                <w:sz w:val="24"/>
                <w:szCs w:val="24"/>
                <w:lang w:eastAsia="lv-LV"/>
              </w:rPr>
            </w:pPr>
            <w:r w:rsidRPr="00BE4C3E">
              <w:rPr>
                <w:rFonts w:eastAsia="Times New Roman" w:cs="Times New Roman"/>
                <w:sz w:val="24"/>
                <w:szCs w:val="24"/>
                <w:lang w:eastAsia="lv-LV"/>
              </w:rPr>
              <w:t> Nav.</w:t>
            </w:r>
          </w:p>
        </w:tc>
      </w:tr>
      <w:tr w:rsidR="00324976" w:rsidRPr="00740C41" w:rsidTr="00314070">
        <w:trPr>
          <w:trHeight w:val="652"/>
          <w:tblCellSpacing w:w="0" w:type="dxa"/>
        </w:trPr>
        <w:tc>
          <w:tcPr>
            <w:tcW w:w="9087" w:type="dxa"/>
            <w:gridSpan w:val="6"/>
            <w:tcBorders>
              <w:top w:val="outset" w:sz="6" w:space="0" w:color="auto"/>
              <w:left w:val="outset" w:sz="6" w:space="0" w:color="auto"/>
              <w:bottom w:val="outset" w:sz="6" w:space="0" w:color="auto"/>
              <w:right w:val="outset" w:sz="6" w:space="0" w:color="auto"/>
            </w:tcBorders>
            <w:hideMark/>
          </w:tcPr>
          <w:p w:rsidR="00324976" w:rsidRPr="00740C41" w:rsidRDefault="00324976" w:rsidP="00300B75">
            <w:pPr>
              <w:spacing w:before="100" w:beforeAutospacing="1" w:after="100" w:afterAutospacing="1"/>
              <w:rPr>
                <w:rFonts w:eastAsia="Times New Roman" w:cs="Times New Roman"/>
                <w:b/>
                <w:sz w:val="26"/>
                <w:szCs w:val="26"/>
                <w:lang w:eastAsia="lv-LV"/>
              </w:rPr>
            </w:pPr>
            <w:r w:rsidRPr="00740C41">
              <w:rPr>
                <w:rFonts w:eastAsia="Times New Roman" w:cs="Times New Roman"/>
                <w:b/>
                <w:sz w:val="26"/>
                <w:szCs w:val="26"/>
                <w:lang w:eastAsia="lv-LV"/>
              </w:rPr>
              <w:t xml:space="preserve">  III. Tiesību akta projekta ietekme uz valsts budžetu un pašvaldību budžetiem</w:t>
            </w:r>
          </w:p>
        </w:tc>
      </w:tr>
      <w:tr w:rsidR="00324976" w:rsidRPr="00740C41" w:rsidTr="00314070">
        <w:trPr>
          <w:trHeight w:val="652"/>
          <w:tblCellSpacing w:w="0" w:type="dxa"/>
        </w:trPr>
        <w:tc>
          <w:tcPr>
            <w:tcW w:w="9087" w:type="dxa"/>
            <w:gridSpan w:val="6"/>
            <w:tcBorders>
              <w:top w:val="outset" w:sz="6" w:space="0" w:color="auto"/>
              <w:left w:val="outset" w:sz="6" w:space="0" w:color="auto"/>
              <w:bottom w:val="outset" w:sz="6" w:space="0" w:color="auto"/>
              <w:right w:val="outset" w:sz="6" w:space="0" w:color="auto"/>
            </w:tcBorders>
          </w:tcPr>
          <w:p w:rsidR="00324976" w:rsidRPr="00BE4C3E" w:rsidRDefault="00324976" w:rsidP="00300B75">
            <w:pPr>
              <w:spacing w:before="100" w:beforeAutospacing="1" w:after="100" w:afterAutospacing="1"/>
              <w:jc w:val="center"/>
              <w:rPr>
                <w:rFonts w:eastAsia="Times New Roman" w:cs="Times New Roman"/>
                <w:b/>
                <w:sz w:val="24"/>
                <w:szCs w:val="24"/>
                <w:lang w:eastAsia="lv-LV"/>
              </w:rPr>
            </w:pPr>
            <w:r w:rsidRPr="00BE4C3E">
              <w:rPr>
                <w:rFonts w:eastAsia="Times New Roman" w:cs="Times New Roman"/>
                <w:sz w:val="24"/>
                <w:szCs w:val="24"/>
                <w:lang w:eastAsia="lv-LV"/>
              </w:rPr>
              <w:t>Nav attiecināms.</w:t>
            </w:r>
          </w:p>
        </w:tc>
      </w:tr>
      <w:tr w:rsidR="00324976" w:rsidRPr="00740C41" w:rsidTr="00314070">
        <w:trPr>
          <w:tblCellSpacing w:w="0" w:type="dxa"/>
        </w:trPr>
        <w:tc>
          <w:tcPr>
            <w:tcW w:w="9087" w:type="dxa"/>
            <w:gridSpan w:val="6"/>
            <w:tcBorders>
              <w:top w:val="outset" w:sz="6" w:space="0" w:color="auto"/>
              <w:left w:val="outset" w:sz="6" w:space="0" w:color="auto"/>
              <w:bottom w:val="outset" w:sz="6" w:space="0" w:color="auto"/>
              <w:right w:val="outset" w:sz="6" w:space="0" w:color="auto"/>
            </w:tcBorders>
            <w:hideMark/>
          </w:tcPr>
          <w:p w:rsidR="00324976" w:rsidRPr="00740C41" w:rsidRDefault="00324976" w:rsidP="00300B75">
            <w:pPr>
              <w:spacing w:before="100" w:beforeAutospacing="1" w:after="100" w:afterAutospacing="1"/>
              <w:rPr>
                <w:rFonts w:eastAsia="Times New Roman" w:cs="Times New Roman"/>
                <w:b/>
                <w:sz w:val="26"/>
                <w:szCs w:val="26"/>
                <w:lang w:eastAsia="lv-LV"/>
              </w:rPr>
            </w:pPr>
            <w:r w:rsidRPr="00740C41">
              <w:rPr>
                <w:rFonts w:eastAsia="Times New Roman" w:cs="Times New Roman"/>
                <w:b/>
                <w:sz w:val="26"/>
                <w:szCs w:val="26"/>
                <w:lang w:eastAsia="lv-LV"/>
              </w:rPr>
              <w:t xml:space="preserve">  IV. Tiesību akta projekta ietekme uz spēkā esošo tiesību normu sistēmu</w:t>
            </w:r>
          </w:p>
        </w:tc>
      </w:tr>
      <w:tr w:rsidR="00324976" w:rsidRPr="00740C41" w:rsidTr="00314070">
        <w:trPr>
          <w:tblCellSpacing w:w="0" w:type="dxa"/>
        </w:trPr>
        <w:tc>
          <w:tcPr>
            <w:tcW w:w="9087" w:type="dxa"/>
            <w:gridSpan w:val="6"/>
            <w:tcBorders>
              <w:top w:val="outset" w:sz="6" w:space="0" w:color="auto"/>
              <w:left w:val="outset" w:sz="6" w:space="0" w:color="auto"/>
              <w:bottom w:val="outset" w:sz="6" w:space="0" w:color="auto"/>
              <w:right w:val="outset" w:sz="6" w:space="0" w:color="auto"/>
            </w:tcBorders>
            <w:hideMark/>
          </w:tcPr>
          <w:p w:rsidR="00324976" w:rsidRPr="00BE4C3E" w:rsidRDefault="00324976" w:rsidP="00300B75">
            <w:pPr>
              <w:spacing w:before="100" w:beforeAutospacing="1" w:after="100" w:afterAutospacing="1"/>
              <w:jc w:val="center"/>
              <w:rPr>
                <w:rFonts w:eastAsia="Times New Roman" w:cs="Times New Roman"/>
                <w:sz w:val="24"/>
                <w:szCs w:val="24"/>
                <w:lang w:eastAsia="lv-LV"/>
              </w:rPr>
            </w:pPr>
            <w:r w:rsidRPr="00BE4C3E">
              <w:rPr>
                <w:rFonts w:eastAsia="Times New Roman" w:cs="Times New Roman"/>
                <w:sz w:val="24"/>
                <w:szCs w:val="24"/>
                <w:lang w:eastAsia="lv-LV"/>
              </w:rPr>
              <w:t>Nav attiecināms.</w:t>
            </w:r>
          </w:p>
        </w:tc>
      </w:tr>
      <w:tr w:rsidR="00324976" w:rsidRPr="00740C41" w:rsidTr="00314070">
        <w:trPr>
          <w:tblCellSpacing w:w="0" w:type="dxa"/>
        </w:trPr>
        <w:tc>
          <w:tcPr>
            <w:tcW w:w="9087" w:type="dxa"/>
            <w:gridSpan w:val="6"/>
            <w:tcBorders>
              <w:top w:val="outset" w:sz="6" w:space="0" w:color="auto"/>
              <w:left w:val="outset" w:sz="6" w:space="0" w:color="auto"/>
              <w:bottom w:val="outset" w:sz="6" w:space="0" w:color="auto"/>
              <w:right w:val="outset" w:sz="6" w:space="0" w:color="auto"/>
            </w:tcBorders>
            <w:hideMark/>
          </w:tcPr>
          <w:p w:rsidR="00324976" w:rsidRPr="00740C41" w:rsidRDefault="00324976" w:rsidP="00300B75">
            <w:pPr>
              <w:spacing w:before="100" w:beforeAutospacing="1" w:after="100" w:afterAutospacing="1"/>
              <w:rPr>
                <w:rFonts w:eastAsia="Times New Roman" w:cs="Times New Roman"/>
                <w:b/>
                <w:sz w:val="26"/>
                <w:szCs w:val="26"/>
                <w:lang w:eastAsia="lv-LV"/>
              </w:rPr>
            </w:pPr>
            <w:r w:rsidRPr="00740C41">
              <w:rPr>
                <w:rFonts w:eastAsia="Times New Roman" w:cs="Times New Roman"/>
                <w:b/>
                <w:sz w:val="26"/>
                <w:szCs w:val="26"/>
                <w:lang w:eastAsia="lv-LV"/>
              </w:rPr>
              <w:t xml:space="preserve">  V. Tiesību akta projekta atbilstība Latvijas Republikas starptautiskajām saistībām</w:t>
            </w:r>
          </w:p>
        </w:tc>
      </w:tr>
      <w:tr w:rsidR="00324976" w:rsidRPr="00740C41" w:rsidTr="00314070">
        <w:trPr>
          <w:tblCellSpacing w:w="0" w:type="dxa"/>
        </w:trPr>
        <w:tc>
          <w:tcPr>
            <w:tcW w:w="9087" w:type="dxa"/>
            <w:gridSpan w:val="6"/>
            <w:tcBorders>
              <w:top w:val="outset" w:sz="6" w:space="0" w:color="auto"/>
              <w:left w:val="outset" w:sz="6" w:space="0" w:color="auto"/>
              <w:bottom w:val="outset" w:sz="6" w:space="0" w:color="auto"/>
              <w:right w:val="outset" w:sz="6" w:space="0" w:color="auto"/>
            </w:tcBorders>
          </w:tcPr>
          <w:p w:rsidR="00324976" w:rsidRPr="00BE4C3E" w:rsidRDefault="00324976" w:rsidP="00300B75">
            <w:pPr>
              <w:spacing w:before="100" w:beforeAutospacing="1" w:after="100" w:afterAutospacing="1"/>
              <w:jc w:val="center"/>
              <w:rPr>
                <w:rFonts w:eastAsia="Times New Roman" w:cs="Times New Roman"/>
                <w:b/>
                <w:sz w:val="24"/>
                <w:szCs w:val="24"/>
                <w:lang w:eastAsia="lv-LV"/>
              </w:rPr>
            </w:pPr>
            <w:r w:rsidRPr="00BE4C3E">
              <w:rPr>
                <w:rFonts w:eastAsia="Times New Roman" w:cs="Times New Roman"/>
                <w:sz w:val="24"/>
                <w:szCs w:val="24"/>
                <w:lang w:eastAsia="lv-LV"/>
              </w:rPr>
              <w:t>Nav attiecināms.</w:t>
            </w:r>
          </w:p>
        </w:tc>
      </w:tr>
      <w:tr w:rsidR="00324976" w:rsidRPr="00740C41" w:rsidTr="00314070">
        <w:tblPrEx>
          <w:tblLook w:val="00A0" w:firstRow="1" w:lastRow="0" w:firstColumn="1" w:lastColumn="0" w:noHBand="0" w:noVBand="0"/>
        </w:tblPrEx>
        <w:trPr>
          <w:tblCellSpacing w:w="0" w:type="dxa"/>
        </w:trPr>
        <w:tc>
          <w:tcPr>
            <w:tcW w:w="9087" w:type="dxa"/>
            <w:gridSpan w:val="6"/>
            <w:tcBorders>
              <w:top w:val="outset" w:sz="6" w:space="0" w:color="auto"/>
              <w:bottom w:val="outset" w:sz="6" w:space="0" w:color="auto"/>
            </w:tcBorders>
          </w:tcPr>
          <w:p w:rsidR="00324976" w:rsidRPr="00740C41" w:rsidRDefault="00324976" w:rsidP="00300B75">
            <w:pPr>
              <w:rPr>
                <w:rFonts w:cs="Times New Roman"/>
                <w:sz w:val="26"/>
                <w:szCs w:val="26"/>
                <w:lang w:eastAsia="lv-LV"/>
              </w:rPr>
            </w:pPr>
            <w:r w:rsidRPr="00740C41">
              <w:rPr>
                <w:rFonts w:cs="Times New Roman"/>
                <w:b/>
                <w:bCs/>
                <w:sz w:val="26"/>
                <w:szCs w:val="26"/>
                <w:lang w:eastAsia="lv-LV"/>
              </w:rPr>
              <w:t xml:space="preserve">  VI. Sabiedrības līdzdalība un šīs līdzdalības rezultāti</w:t>
            </w:r>
          </w:p>
        </w:tc>
      </w:tr>
      <w:tr w:rsidR="00324976" w:rsidRPr="00740C41" w:rsidTr="00314070">
        <w:tblPrEx>
          <w:tblLook w:val="00A0" w:firstRow="1" w:lastRow="0" w:firstColumn="1" w:lastColumn="0" w:noHBand="0" w:noVBand="0"/>
        </w:tblPrEx>
        <w:trPr>
          <w:tblCellSpacing w:w="0" w:type="dxa"/>
        </w:trPr>
        <w:tc>
          <w:tcPr>
            <w:tcW w:w="9087" w:type="dxa"/>
            <w:gridSpan w:val="6"/>
            <w:tcBorders>
              <w:top w:val="outset" w:sz="6" w:space="0" w:color="auto"/>
              <w:bottom w:val="outset" w:sz="6" w:space="0" w:color="auto"/>
            </w:tcBorders>
          </w:tcPr>
          <w:p w:rsidR="00324976" w:rsidRPr="00BE4C3E" w:rsidRDefault="00324976" w:rsidP="00300B75">
            <w:pPr>
              <w:jc w:val="center"/>
              <w:rPr>
                <w:rFonts w:cs="Times New Roman"/>
                <w:sz w:val="24"/>
                <w:szCs w:val="24"/>
                <w:lang w:eastAsia="lv-LV"/>
              </w:rPr>
            </w:pPr>
            <w:r w:rsidRPr="00BE4C3E">
              <w:rPr>
                <w:rFonts w:cs="Times New Roman"/>
                <w:sz w:val="24"/>
                <w:szCs w:val="24"/>
                <w:lang w:eastAsia="lv-LV"/>
              </w:rPr>
              <w:t>Nav attiecināms.</w:t>
            </w:r>
          </w:p>
        </w:tc>
      </w:tr>
      <w:tr w:rsidR="00324976" w:rsidRPr="00740C41" w:rsidTr="00314070">
        <w:tblPrEx>
          <w:tblLook w:val="00A0" w:firstRow="1" w:lastRow="0" w:firstColumn="1" w:lastColumn="0" w:noHBand="0" w:noVBand="0"/>
        </w:tblPrEx>
        <w:trPr>
          <w:gridBefore w:val="1"/>
          <w:wBefore w:w="14" w:type="dxa"/>
          <w:tblCellSpacing w:w="0" w:type="dxa"/>
        </w:trPr>
        <w:tc>
          <w:tcPr>
            <w:tcW w:w="9073" w:type="dxa"/>
            <w:gridSpan w:val="5"/>
            <w:tcBorders>
              <w:top w:val="outset" w:sz="6" w:space="0" w:color="auto"/>
              <w:bottom w:val="outset" w:sz="6" w:space="0" w:color="auto"/>
            </w:tcBorders>
          </w:tcPr>
          <w:p w:rsidR="00324976" w:rsidRPr="00740C41" w:rsidRDefault="00324976" w:rsidP="00300B75">
            <w:pPr>
              <w:rPr>
                <w:rFonts w:cs="Times New Roman"/>
                <w:sz w:val="26"/>
                <w:szCs w:val="26"/>
                <w:lang w:eastAsia="lv-LV"/>
              </w:rPr>
            </w:pPr>
            <w:r w:rsidRPr="00740C41">
              <w:rPr>
                <w:rFonts w:cs="Times New Roman"/>
                <w:b/>
                <w:bCs/>
                <w:sz w:val="26"/>
                <w:szCs w:val="26"/>
                <w:lang w:eastAsia="lv-LV"/>
              </w:rPr>
              <w:t xml:space="preserve">  VII. Tiesību akta projekta izpildes nodrošināšana un tās ietekme uz institūcijām</w:t>
            </w:r>
          </w:p>
        </w:tc>
      </w:tr>
      <w:tr w:rsidR="00324976" w:rsidRPr="00740C41" w:rsidTr="00314070">
        <w:tblPrEx>
          <w:tblLook w:val="00A0" w:firstRow="1" w:lastRow="0" w:firstColumn="1" w:lastColumn="0" w:noHBand="0" w:noVBand="0"/>
        </w:tblPrEx>
        <w:trPr>
          <w:gridBefore w:val="1"/>
          <w:wBefore w:w="14" w:type="dxa"/>
          <w:tblCellSpacing w:w="0" w:type="dxa"/>
        </w:trPr>
        <w:tc>
          <w:tcPr>
            <w:tcW w:w="9073" w:type="dxa"/>
            <w:gridSpan w:val="5"/>
            <w:tcBorders>
              <w:top w:val="outset" w:sz="6" w:space="0" w:color="auto"/>
              <w:bottom w:val="outset" w:sz="6" w:space="0" w:color="auto"/>
            </w:tcBorders>
          </w:tcPr>
          <w:p w:rsidR="00324976" w:rsidRPr="00BE4C3E" w:rsidRDefault="00324976" w:rsidP="00300B75">
            <w:pPr>
              <w:jc w:val="center"/>
              <w:rPr>
                <w:rFonts w:cs="Times New Roman"/>
                <w:bCs/>
                <w:sz w:val="24"/>
                <w:szCs w:val="24"/>
                <w:lang w:eastAsia="lv-LV"/>
              </w:rPr>
            </w:pPr>
            <w:r w:rsidRPr="00BE4C3E">
              <w:rPr>
                <w:rFonts w:cs="Times New Roman"/>
                <w:bCs/>
                <w:sz w:val="24"/>
                <w:szCs w:val="24"/>
                <w:lang w:eastAsia="lv-LV"/>
              </w:rPr>
              <w:t>Nav attiecināms.</w:t>
            </w:r>
          </w:p>
        </w:tc>
      </w:tr>
    </w:tbl>
    <w:p w:rsidR="00324976" w:rsidRPr="00D715F0" w:rsidRDefault="00324976" w:rsidP="00324976">
      <w:pPr>
        <w:pStyle w:val="NormalWeb"/>
        <w:tabs>
          <w:tab w:val="left" w:pos="6663"/>
        </w:tabs>
        <w:rPr>
          <w:sz w:val="28"/>
          <w:szCs w:val="28"/>
        </w:rPr>
      </w:pPr>
      <w:r w:rsidRPr="00D715F0">
        <w:rPr>
          <w:sz w:val="28"/>
          <w:szCs w:val="28"/>
        </w:rPr>
        <w:t>Ministrs                                                                                     A.Vilks</w:t>
      </w:r>
    </w:p>
    <w:p w:rsidR="00662B23" w:rsidRDefault="00662B23" w:rsidP="00324976">
      <w:pPr>
        <w:contextualSpacing/>
        <w:rPr>
          <w:sz w:val="20"/>
          <w:szCs w:val="20"/>
        </w:rPr>
      </w:pPr>
    </w:p>
    <w:p w:rsidR="00662B23" w:rsidRDefault="00662B23" w:rsidP="00324976">
      <w:pPr>
        <w:contextualSpacing/>
        <w:rPr>
          <w:sz w:val="20"/>
          <w:szCs w:val="20"/>
        </w:rPr>
      </w:pPr>
    </w:p>
    <w:p w:rsidR="00662B23" w:rsidRDefault="00662B23" w:rsidP="00324976">
      <w:pPr>
        <w:contextualSpacing/>
        <w:rPr>
          <w:sz w:val="20"/>
          <w:szCs w:val="20"/>
        </w:rPr>
      </w:pPr>
    </w:p>
    <w:p w:rsidR="00662B23" w:rsidRDefault="00662B23" w:rsidP="00324976">
      <w:pPr>
        <w:contextualSpacing/>
        <w:rPr>
          <w:sz w:val="20"/>
          <w:szCs w:val="20"/>
        </w:rPr>
      </w:pPr>
    </w:p>
    <w:p w:rsidR="00662B23" w:rsidRDefault="00662B23" w:rsidP="00324976">
      <w:pPr>
        <w:contextualSpacing/>
        <w:rPr>
          <w:sz w:val="20"/>
          <w:szCs w:val="20"/>
        </w:rPr>
      </w:pPr>
    </w:p>
    <w:p w:rsidR="00662B23" w:rsidRDefault="00662B23" w:rsidP="00324976">
      <w:pPr>
        <w:contextualSpacing/>
        <w:rPr>
          <w:sz w:val="20"/>
          <w:szCs w:val="20"/>
        </w:rPr>
      </w:pPr>
    </w:p>
    <w:p w:rsidR="00662B23" w:rsidRDefault="00662B23" w:rsidP="00324976">
      <w:pPr>
        <w:contextualSpacing/>
        <w:rPr>
          <w:sz w:val="20"/>
          <w:szCs w:val="20"/>
        </w:rPr>
      </w:pPr>
    </w:p>
    <w:p w:rsidR="00662B23" w:rsidRDefault="00662B23" w:rsidP="00324976">
      <w:pPr>
        <w:contextualSpacing/>
        <w:rPr>
          <w:sz w:val="20"/>
          <w:szCs w:val="20"/>
        </w:rPr>
      </w:pPr>
    </w:p>
    <w:p w:rsidR="00662B23" w:rsidRDefault="00662B23" w:rsidP="00324976">
      <w:pPr>
        <w:contextualSpacing/>
        <w:rPr>
          <w:sz w:val="20"/>
          <w:szCs w:val="20"/>
        </w:rPr>
      </w:pPr>
    </w:p>
    <w:p w:rsidR="00324976" w:rsidRPr="006F715E" w:rsidRDefault="0070168D" w:rsidP="00324976">
      <w:pPr>
        <w:contextualSpacing/>
        <w:rPr>
          <w:sz w:val="20"/>
          <w:szCs w:val="20"/>
        </w:rPr>
      </w:pPr>
      <w:r>
        <w:rPr>
          <w:sz w:val="20"/>
          <w:szCs w:val="20"/>
        </w:rPr>
        <w:t>15</w:t>
      </w:r>
      <w:r w:rsidR="00324976">
        <w:rPr>
          <w:sz w:val="20"/>
          <w:szCs w:val="20"/>
        </w:rPr>
        <w:t>.12.</w:t>
      </w:r>
      <w:r w:rsidR="00324976" w:rsidRPr="006F715E">
        <w:rPr>
          <w:sz w:val="20"/>
          <w:szCs w:val="20"/>
        </w:rPr>
        <w:t>2010. 1</w:t>
      </w:r>
      <w:r w:rsidR="00324976">
        <w:rPr>
          <w:sz w:val="20"/>
          <w:szCs w:val="20"/>
        </w:rPr>
        <w:t>0</w:t>
      </w:r>
      <w:r w:rsidR="00324976" w:rsidRPr="006F715E">
        <w:rPr>
          <w:sz w:val="20"/>
          <w:szCs w:val="20"/>
        </w:rPr>
        <w:t>:09</w:t>
      </w:r>
    </w:p>
    <w:p w:rsidR="00324976" w:rsidRPr="006F715E" w:rsidRDefault="001E10C6" w:rsidP="00324976">
      <w:pPr>
        <w:contextualSpacing/>
        <w:rPr>
          <w:sz w:val="20"/>
          <w:szCs w:val="20"/>
        </w:rPr>
      </w:pPr>
      <w:fldSimple w:instr=" NUMWORDS   \* MERGEFORMAT ">
        <w:r w:rsidRPr="001E10C6">
          <w:rPr>
            <w:noProof/>
            <w:sz w:val="20"/>
            <w:szCs w:val="20"/>
          </w:rPr>
          <w:t>1074</w:t>
        </w:r>
      </w:fldSimple>
    </w:p>
    <w:p w:rsidR="00324976" w:rsidRPr="006F715E" w:rsidRDefault="00324976" w:rsidP="00324976">
      <w:pPr>
        <w:contextualSpacing/>
        <w:rPr>
          <w:sz w:val="20"/>
          <w:szCs w:val="20"/>
        </w:rPr>
      </w:pPr>
      <w:r w:rsidRPr="006F715E">
        <w:rPr>
          <w:sz w:val="20"/>
          <w:szCs w:val="20"/>
        </w:rPr>
        <w:t>S.Mačivka</w:t>
      </w:r>
    </w:p>
    <w:p w:rsidR="001F6A7B" w:rsidRPr="00324976" w:rsidRDefault="00324976" w:rsidP="00324976">
      <w:pPr>
        <w:contextualSpacing/>
      </w:pPr>
      <w:r w:rsidRPr="006F715E">
        <w:rPr>
          <w:sz w:val="20"/>
          <w:szCs w:val="20"/>
        </w:rPr>
        <w:t xml:space="preserve">67095493, </w:t>
      </w:r>
      <w:hyperlink r:id="rId8" w:history="1">
        <w:r w:rsidRPr="006F715E">
          <w:rPr>
            <w:rStyle w:val="Hyperlink"/>
            <w:sz w:val="20"/>
            <w:szCs w:val="20"/>
          </w:rPr>
          <w:t>sandra.macivka@fm.gov.lv</w:t>
        </w:r>
      </w:hyperlink>
    </w:p>
    <w:sectPr w:rsidR="001F6A7B" w:rsidRPr="00324976" w:rsidSect="00662B2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920" w:rsidRDefault="008F7920">
      <w:r>
        <w:separator/>
      </w:r>
    </w:p>
  </w:endnote>
  <w:endnote w:type="continuationSeparator" w:id="0">
    <w:p w:rsidR="008F7920" w:rsidRDefault="008F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F3" w:rsidRDefault="00213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F3" w:rsidRPr="00C9533A" w:rsidRDefault="002139F3" w:rsidP="00BE4C3E">
    <w:pPr>
      <w:jc w:val="both"/>
      <w:rPr>
        <w:rFonts w:eastAsia="Times New Roman" w:cs="Times New Roman"/>
        <w:sz w:val="16"/>
        <w:szCs w:val="16"/>
        <w:lang w:eastAsia="lv-LV"/>
      </w:rPr>
    </w:pPr>
    <w:r w:rsidRPr="0027461D">
      <w:rPr>
        <w:sz w:val="16"/>
        <w:szCs w:val="16"/>
      </w:rPr>
      <w:fldChar w:fldCharType="begin"/>
    </w:r>
    <w:r w:rsidRPr="0027461D">
      <w:rPr>
        <w:sz w:val="16"/>
        <w:szCs w:val="16"/>
      </w:rPr>
      <w:instrText xml:space="preserve"> FILENAME   \* MERGEFORMAT </w:instrText>
    </w:r>
    <w:r w:rsidRPr="0027461D">
      <w:rPr>
        <w:sz w:val="16"/>
        <w:szCs w:val="16"/>
      </w:rPr>
      <w:fldChar w:fldCharType="separate"/>
    </w:r>
    <w:r>
      <w:rPr>
        <w:noProof/>
        <w:sz w:val="16"/>
        <w:szCs w:val="16"/>
      </w:rPr>
      <w:t>FMAnot_151210_Not</w:t>
    </w:r>
    <w:r w:rsidRPr="0027461D">
      <w:rPr>
        <w:noProof/>
        <w:sz w:val="16"/>
        <w:szCs w:val="16"/>
      </w:rPr>
      <w:fldChar w:fldCharType="end"/>
    </w:r>
    <w:r w:rsidRPr="005A0884">
      <w:rPr>
        <w:sz w:val="16"/>
        <w:szCs w:val="16"/>
      </w:rPr>
      <w:t xml:space="preserve">; Noteikumu projekts “Grozījumi </w:t>
    </w:r>
    <w:r w:rsidRPr="005A0884">
      <w:rPr>
        <w:rFonts w:eastAsia="Times New Roman" w:cs="Times New Roman"/>
        <w:bCs/>
        <w:sz w:val="16"/>
        <w:szCs w:val="16"/>
        <w:lang w:eastAsia="lv-LV"/>
      </w:rPr>
      <w:t>Ministru kabineta 2006.gada 4.jūlija noteikumos Nr.556 „</w:t>
    </w:r>
    <w:r w:rsidRPr="00E44501">
      <w:rPr>
        <w:rFonts w:eastAsia="Times New Roman" w:cs="Times New Roman"/>
        <w:bCs/>
        <w:sz w:val="16"/>
        <w:szCs w:val="16"/>
        <w:lang w:eastAsia="lv-LV"/>
      </w:rPr>
      <w:t>Likuma "Par uzņēmumu ienākuma nodokli" normu piemērošanas noteikumi</w:t>
    </w:r>
    <w:r w:rsidRPr="005A0884">
      <w:rPr>
        <w:rFonts w:eastAsia="Times New Roman" w:cs="Times New Roman"/>
        <w:bCs/>
        <w:sz w:val="16"/>
        <w:szCs w:val="16"/>
        <w:lang w:eastAsia="lv-LV"/>
      </w:rPr>
      <w:t>””</w:t>
    </w:r>
  </w:p>
  <w:p w:rsidR="002139F3" w:rsidRPr="00760E48" w:rsidRDefault="002139F3" w:rsidP="007E206B">
    <w:pPr>
      <w:pStyle w:val="Footer"/>
      <w:jc w:val="both"/>
      <w:rPr>
        <w:sz w:val="22"/>
      </w:rPr>
    </w:pPr>
  </w:p>
  <w:p w:rsidR="002139F3" w:rsidRDefault="002139F3" w:rsidP="00662B23">
    <w:pPr>
      <w:pStyle w:val="Footer"/>
      <w:ind w:firstLine="720"/>
    </w:pPr>
  </w:p>
  <w:p w:rsidR="002139F3" w:rsidRDefault="002139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F3" w:rsidRPr="00C9533A" w:rsidRDefault="002139F3" w:rsidP="00C04084">
    <w:pPr>
      <w:jc w:val="both"/>
      <w:rPr>
        <w:rFonts w:eastAsia="Times New Roman" w:cs="Times New Roman"/>
        <w:sz w:val="16"/>
        <w:szCs w:val="16"/>
        <w:lang w:eastAsia="lv-LV"/>
      </w:rPr>
    </w:pPr>
    <w:r w:rsidRPr="0027461D">
      <w:rPr>
        <w:sz w:val="16"/>
        <w:szCs w:val="16"/>
      </w:rPr>
      <w:fldChar w:fldCharType="begin"/>
    </w:r>
    <w:r w:rsidRPr="0027461D">
      <w:rPr>
        <w:sz w:val="16"/>
        <w:szCs w:val="16"/>
      </w:rPr>
      <w:instrText xml:space="preserve"> FILENAME   \* MERGEFORMAT </w:instrText>
    </w:r>
    <w:r w:rsidRPr="0027461D">
      <w:rPr>
        <w:sz w:val="16"/>
        <w:szCs w:val="16"/>
      </w:rPr>
      <w:fldChar w:fldCharType="separate"/>
    </w:r>
    <w:r>
      <w:rPr>
        <w:noProof/>
        <w:sz w:val="16"/>
        <w:szCs w:val="16"/>
      </w:rPr>
      <w:t>FMAnot_151210_Not</w:t>
    </w:r>
    <w:r w:rsidRPr="0027461D">
      <w:rPr>
        <w:noProof/>
        <w:sz w:val="16"/>
        <w:szCs w:val="16"/>
      </w:rPr>
      <w:fldChar w:fldCharType="end"/>
    </w:r>
    <w:r w:rsidRPr="005A0884">
      <w:rPr>
        <w:sz w:val="16"/>
        <w:szCs w:val="16"/>
      </w:rPr>
      <w:t xml:space="preserve">; Noteikumu projekts “Grozījumi </w:t>
    </w:r>
    <w:r w:rsidRPr="005A0884">
      <w:rPr>
        <w:rFonts w:eastAsia="Times New Roman" w:cs="Times New Roman"/>
        <w:bCs/>
        <w:sz w:val="16"/>
        <w:szCs w:val="16"/>
        <w:lang w:eastAsia="lv-LV"/>
      </w:rPr>
      <w:t>Ministru kabineta 2006.gada 4.jūlija noteikumos Nr.556 „</w:t>
    </w:r>
    <w:r w:rsidRPr="00E44501">
      <w:rPr>
        <w:rFonts w:eastAsia="Times New Roman" w:cs="Times New Roman"/>
        <w:bCs/>
        <w:sz w:val="16"/>
        <w:szCs w:val="16"/>
        <w:lang w:eastAsia="lv-LV"/>
      </w:rPr>
      <w:t>Likuma "Par uzņēmumu ienākuma nodokli" normu piemērošanas noteikumi</w:t>
    </w:r>
    <w:r w:rsidRPr="005A0884">
      <w:rPr>
        <w:rFonts w:eastAsia="Times New Roman" w:cs="Times New Roman"/>
        <w:bCs/>
        <w:sz w:val="16"/>
        <w:szCs w:val="16"/>
        <w:lang w:eastAsia="lv-LV"/>
      </w:rPr>
      <w:t>””</w:t>
    </w:r>
  </w:p>
  <w:p w:rsidR="002139F3" w:rsidRDefault="00213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920" w:rsidRDefault="008F7920">
      <w:r>
        <w:separator/>
      </w:r>
    </w:p>
  </w:footnote>
  <w:footnote w:type="continuationSeparator" w:id="0">
    <w:p w:rsidR="008F7920" w:rsidRDefault="008F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F3" w:rsidRDefault="002139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047"/>
      <w:docPartObj>
        <w:docPartGallery w:val="Page Numbers (Top of Page)"/>
        <w:docPartUnique/>
      </w:docPartObj>
    </w:sdtPr>
    <w:sdtEndPr/>
    <w:sdtContent>
      <w:p w:rsidR="002139F3" w:rsidRDefault="002139F3">
        <w:pPr>
          <w:pStyle w:val="Header"/>
          <w:jc w:val="center"/>
        </w:pPr>
        <w:r>
          <w:fldChar w:fldCharType="begin"/>
        </w:r>
        <w:r>
          <w:instrText xml:space="preserve"> PAGE   \* MERGEFORMAT </w:instrText>
        </w:r>
        <w:r>
          <w:fldChar w:fldCharType="separate"/>
        </w:r>
        <w:r w:rsidR="00C07303">
          <w:rPr>
            <w:noProof/>
          </w:rPr>
          <w:t>5</w:t>
        </w:r>
        <w:r>
          <w:fldChar w:fldCharType="end"/>
        </w:r>
      </w:p>
    </w:sdtContent>
  </w:sdt>
  <w:p w:rsidR="002139F3" w:rsidRDefault="002139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F3" w:rsidRDefault="002139F3" w:rsidP="007E206B">
    <w:pPr>
      <w:pStyle w:val="Header"/>
      <w:jc w:val="right"/>
    </w:pPr>
    <w:r>
      <w:t>Projekts</w:t>
    </w:r>
  </w:p>
  <w:p w:rsidR="002139F3" w:rsidRDefault="00213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F58F0"/>
    <w:multiLevelType w:val="hybridMultilevel"/>
    <w:tmpl w:val="1914676E"/>
    <w:lvl w:ilvl="0" w:tplc="313E7CCC">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80B1D66"/>
    <w:multiLevelType w:val="hybridMultilevel"/>
    <w:tmpl w:val="0178A4B8"/>
    <w:lvl w:ilvl="0" w:tplc="1FC4F3BC">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0F"/>
    <w:rsid w:val="000448F1"/>
    <w:rsid w:val="0009056F"/>
    <w:rsid w:val="000E09D2"/>
    <w:rsid w:val="001E10C6"/>
    <w:rsid w:val="001F6A7B"/>
    <w:rsid w:val="002139F3"/>
    <w:rsid w:val="0027461D"/>
    <w:rsid w:val="002B7A5D"/>
    <w:rsid w:val="00300B75"/>
    <w:rsid w:val="00314070"/>
    <w:rsid w:val="00324976"/>
    <w:rsid w:val="003716FE"/>
    <w:rsid w:val="003D5864"/>
    <w:rsid w:val="005332E3"/>
    <w:rsid w:val="00560FDC"/>
    <w:rsid w:val="00662B23"/>
    <w:rsid w:val="006B4B1C"/>
    <w:rsid w:val="0070168D"/>
    <w:rsid w:val="007E206B"/>
    <w:rsid w:val="00827D2C"/>
    <w:rsid w:val="008F7920"/>
    <w:rsid w:val="009E250F"/>
    <w:rsid w:val="009F49F6"/>
    <w:rsid w:val="00BE4C3E"/>
    <w:rsid w:val="00C04084"/>
    <w:rsid w:val="00C07303"/>
    <w:rsid w:val="00CB6637"/>
    <w:rsid w:val="00CF43EF"/>
    <w:rsid w:val="00E904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50F"/>
    <w:pPr>
      <w:spacing w:after="0" w:line="240" w:lineRule="auto"/>
    </w:pPr>
    <w:rPr>
      <w:rFonts w:ascii="Times New Roman" w:hAnsi="Times New Roman"/>
      <w:sz w:val="28"/>
    </w:rPr>
  </w:style>
  <w:style w:type="paragraph" w:styleId="Heading4">
    <w:name w:val="heading 4"/>
    <w:basedOn w:val="Normal"/>
    <w:link w:val="Heading4Char"/>
    <w:uiPriority w:val="9"/>
    <w:qFormat/>
    <w:rsid w:val="009E250F"/>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E250F"/>
    <w:rPr>
      <w:rFonts w:ascii="Times New Roman" w:eastAsia="Times New Roman" w:hAnsi="Times New Roman" w:cs="Times New Roman"/>
      <w:b/>
      <w:bCs/>
      <w:sz w:val="24"/>
      <w:szCs w:val="24"/>
      <w:lang w:eastAsia="lv-LV"/>
    </w:rPr>
  </w:style>
  <w:style w:type="paragraph" w:styleId="Header">
    <w:name w:val="header"/>
    <w:basedOn w:val="Normal"/>
    <w:link w:val="HeaderChar"/>
    <w:uiPriority w:val="99"/>
    <w:unhideWhenUsed/>
    <w:rsid w:val="009E250F"/>
    <w:pPr>
      <w:tabs>
        <w:tab w:val="center" w:pos="4153"/>
        <w:tab w:val="right" w:pos="8306"/>
      </w:tabs>
    </w:pPr>
  </w:style>
  <w:style w:type="character" w:customStyle="1" w:styleId="HeaderChar">
    <w:name w:val="Header Char"/>
    <w:basedOn w:val="DefaultParagraphFont"/>
    <w:link w:val="Header"/>
    <w:uiPriority w:val="99"/>
    <w:rsid w:val="009E250F"/>
    <w:rPr>
      <w:rFonts w:ascii="Times New Roman" w:hAnsi="Times New Roman"/>
      <w:sz w:val="28"/>
    </w:rPr>
  </w:style>
  <w:style w:type="paragraph" w:styleId="Footer">
    <w:name w:val="footer"/>
    <w:basedOn w:val="Normal"/>
    <w:link w:val="FooterChar"/>
    <w:uiPriority w:val="99"/>
    <w:unhideWhenUsed/>
    <w:rsid w:val="009E250F"/>
    <w:pPr>
      <w:tabs>
        <w:tab w:val="center" w:pos="4153"/>
        <w:tab w:val="right" w:pos="8306"/>
      </w:tabs>
    </w:pPr>
  </w:style>
  <w:style w:type="character" w:customStyle="1" w:styleId="FooterChar">
    <w:name w:val="Footer Char"/>
    <w:basedOn w:val="DefaultParagraphFont"/>
    <w:link w:val="Footer"/>
    <w:uiPriority w:val="99"/>
    <w:rsid w:val="009E250F"/>
    <w:rPr>
      <w:rFonts w:ascii="Times New Roman" w:hAnsi="Times New Roman"/>
      <w:sz w:val="28"/>
    </w:rPr>
  </w:style>
  <w:style w:type="paragraph" w:styleId="ListParagraph">
    <w:name w:val="List Paragraph"/>
    <w:basedOn w:val="Normal"/>
    <w:uiPriority w:val="34"/>
    <w:qFormat/>
    <w:rsid w:val="009E250F"/>
    <w:pPr>
      <w:ind w:left="720"/>
      <w:contextualSpacing/>
    </w:pPr>
  </w:style>
  <w:style w:type="character" w:styleId="Hyperlink">
    <w:name w:val="Hyperlink"/>
    <w:basedOn w:val="DefaultParagraphFont"/>
    <w:rsid w:val="009E250F"/>
    <w:rPr>
      <w:color w:val="0000FF"/>
      <w:u w:val="single"/>
    </w:rPr>
  </w:style>
  <w:style w:type="paragraph" w:styleId="NormalWeb">
    <w:name w:val="Normal (Web)"/>
    <w:basedOn w:val="Normal"/>
    <w:rsid w:val="009E250F"/>
    <w:pPr>
      <w:widowControl w:val="0"/>
      <w:adjustRightInd w:val="0"/>
      <w:spacing w:before="100" w:beforeAutospacing="1" w:after="100" w:afterAutospacing="1" w:line="360" w:lineRule="atLeast"/>
      <w:jc w:val="both"/>
      <w:textAlignment w:val="baseline"/>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300B75"/>
    <w:rPr>
      <w:rFonts w:ascii="Tahoma" w:hAnsi="Tahoma" w:cs="Tahoma"/>
      <w:sz w:val="16"/>
      <w:szCs w:val="16"/>
    </w:rPr>
  </w:style>
  <w:style w:type="character" w:customStyle="1" w:styleId="BalloonTextChar">
    <w:name w:val="Balloon Text Char"/>
    <w:basedOn w:val="DefaultParagraphFont"/>
    <w:link w:val="BalloonText"/>
    <w:uiPriority w:val="99"/>
    <w:semiHidden/>
    <w:rsid w:val="00300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50F"/>
    <w:pPr>
      <w:spacing w:after="0" w:line="240" w:lineRule="auto"/>
    </w:pPr>
    <w:rPr>
      <w:rFonts w:ascii="Times New Roman" w:hAnsi="Times New Roman"/>
      <w:sz w:val="28"/>
    </w:rPr>
  </w:style>
  <w:style w:type="paragraph" w:styleId="Heading4">
    <w:name w:val="heading 4"/>
    <w:basedOn w:val="Normal"/>
    <w:link w:val="Heading4Char"/>
    <w:uiPriority w:val="9"/>
    <w:qFormat/>
    <w:rsid w:val="009E250F"/>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E250F"/>
    <w:rPr>
      <w:rFonts w:ascii="Times New Roman" w:eastAsia="Times New Roman" w:hAnsi="Times New Roman" w:cs="Times New Roman"/>
      <w:b/>
      <w:bCs/>
      <w:sz w:val="24"/>
      <w:szCs w:val="24"/>
      <w:lang w:eastAsia="lv-LV"/>
    </w:rPr>
  </w:style>
  <w:style w:type="paragraph" w:styleId="Header">
    <w:name w:val="header"/>
    <w:basedOn w:val="Normal"/>
    <w:link w:val="HeaderChar"/>
    <w:uiPriority w:val="99"/>
    <w:unhideWhenUsed/>
    <w:rsid w:val="009E250F"/>
    <w:pPr>
      <w:tabs>
        <w:tab w:val="center" w:pos="4153"/>
        <w:tab w:val="right" w:pos="8306"/>
      </w:tabs>
    </w:pPr>
  </w:style>
  <w:style w:type="character" w:customStyle="1" w:styleId="HeaderChar">
    <w:name w:val="Header Char"/>
    <w:basedOn w:val="DefaultParagraphFont"/>
    <w:link w:val="Header"/>
    <w:uiPriority w:val="99"/>
    <w:rsid w:val="009E250F"/>
    <w:rPr>
      <w:rFonts w:ascii="Times New Roman" w:hAnsi="Times New Roman"/>
      <w:sz w:val="28"/>
    </w:rPr>
  </w:style>
  <w:style w:type="paragraph" w:styleId="Footer">
    <w:name w:val="footer"/>
    <w:basedOn w:val="Normal"/>
    <w:link w:val="FooterChar"/>
    <w:uiPriority w:val="99"/>
    <w:unhideWhenUsed/>
    <w:rsid w:val="009E250F"/>
    <w:pPr>
      <w:tabs>
        <w:tab w:val="center" w:pos="4153"/>
        <w:tab w:val="right" w:pos="8306"/>
      </w:tabs>
    </w:pPr>
  </w:style>
  <w:style w:type="character" w:customStyle="1" w:styleId="FooterChar">
    <w:name w:val="Footer Char"/>
    <w:basedOn w:val="DefaultParagraphFont"/>
    <w:link w:val="Footer"/>
    <w:uiPriority w:val="99"/>
    <w:rsid w:val="009E250F"/>
    <w:rPr>
      <w:rFonts w:ascii="Times New Roman" w:hAnsi="Times New Roman"/>
      <w:sz w:val="28"/>
    </w:rPr>
  </w:style>
  <w:style w:type="paragraph" w:styleId="ListParagraph">
    <w:name w:val="List Paragraph"/>
    <w:basedOn w:val="Normal"/>
    <w:uiPriority w:val="34"/>
    <w:qFormat/>
    <w:rsid w:val="009E250F"/>
    <w:pPr>
      <w:ind w:left="720"/>
      <w:contextualSpacing/>
    </w:pPr>
  </w:style>
  <w:style w:type="character" w:styleId="Hyperlink">
    <w:name w:val="Hyperlink"/>
    <w:basedOn w:val="DefaultParagraphFont"/>
    <w:rsid w:val="009E250F"/>
    <w:rPr>
      <w:color w:val="0000FF"/>
      <w:u w:val="single"/>
    </w:rPr>
  </w:style>
  <w:style w:type="paragraph" w:styleId="NormalWeb">
    <w:name w:val="Normal (Web)"/>
    <w:basedOn w:val="Normal"/>
    <w:rsid w:val="009E250F"/>
    <w:pPr>
      <w:widowControl w:val="0"/>
      <w:adjustRightInd w:val="0"/>
      <w:spacing w:before="100" w:beforeAutospacing="1" w:after="100" w:afterAutospacing="1" w:line="360" w:lineRule="atLeast"/>
      <w:jc w:val="both"/>
      <w:textAlignment w:val="baseline"/>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300B75"/>
    <w:rPr>
      <w:rFonts w:ascii="Tahoma" w:hAnsi="Tahoma" w:cs="Tahoma"/>
      <w:sz w:val="16"/>
      <w:szCs w:val="16"/>
    </w:rPr>
  </w:style>
  <w:style w:type="character" w:customStyle="1" w:styleId="BalloonTextChar">
    <w:name w:val="Balloon Text Char"/>
    <w:basedOn w:val="DefaultParagraphFont"/>
    <w:link w:val="BalloonText"/>
    <w:uiPriority w:val="99"/>
    <w:semiHidden/>
    <w:rsid w:val="00300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acivka@f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5599</Words>
  <Characters>3192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2006.gada 4.jūlija noteikumos Nr.556 „Likuma "Par uzņēmumu ienākuma nodokli" normu piemērošanas noteikumi””</dc:title>
  <dc:subject>anotācija</dc:subject>
  <dc:creator>S.macivka</dc:creator>
  <cp:keywords/>
  <dc:description>S.Mačivka,t.67095493,e-pasts: Sandra.Macivka@fm.gov.lv</dc:description>
  <cp:lastModifiedBy>kc-sprug</cp:lastModifiedBy>
  <cp:revision>26</cp:revision>
  <cp:lastPrinted>2010-12-16T06:41:00Z</cp:lastPrinted>
  <dcterms:created xsi:type="dcterms:W3CDTF">2010-12-06T13:56:00Z</dcterms:created>
  <dcterms:modified xsi:type="dcterms:W3CDTF">2010-12-17T09:11:00Z</dcterms:modified>
</cp:coreProperties>
</file>