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26D" w:rsidRPr="003557D1" w:rsidRDefault="00D35AE5" w:rsidP="003557D1">
      <w:pPr>
        <w:pStyle w:val="Heading2"/>
        <w:rPr>
          <w:i/>
          <w:sz w:val="26"/>
          <w:szCs w:val="26"/>
        </w:rPr>
      </w:pPr>
      <w:bookmarkStart w:id="0" w:name="OLE_LINK1"/>
      <w:bookmarkStart w:id="1" w:name="OLE_LINK2"/>
      <w:r w:rsidRPr="00B862F9">
        <w:rPr>
          <w:sz w:val="26"/>
          <w:szCs w:val="26"/>
        </w:rPr>
        <w:t xml:space="preserve">Likumprojekta „Grozījumi likumā „Par valsts un pašvaldību kapitāla daļām un kapitālsabiedrībām”” </w:t>
      </w:r>
      <w:bookmarkEnd w:id="0"/>
      <w:bookmarkEnd w:id="1"/>
      <w:r w:rsidR="002B5BA9" w:rsidRPr="00B862F9">
        <w:rPr>
          <w:sz w:val="26"/>
          <w:szCs w:val="26"/>
        </w:rPr>
        <w:t>anotācija</w:t>
      </w:r>
    </w:p>
    <w:p w:rsidR="005C1B70" w:rsidRPr="001513F9" w:rsidRDefault="005C1B70" w:rsidP="00CE2F5A">
      <w:pPr>
        <w:rPr>
          <w:rFonts w:eastAsia="Times New Roman" w:cs="Times New Roman"/>
          <w:szCs w:val="28"/>
          <w:lang w:eastAsia="lv-LV"/>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1"/>
        <w:gridCol w:w="7"/>
        <w:gridCol w:w="2322"/>
        <w:gridCol w:w="851"/>
        <w:gridCol w:w="1281"/>
        <w:gridCol w:w="4119"/>
      </w:tblGrid>
      <w:tr w:rsidR="0070526D" w:rsidRPr="001513F9" w:rsidTr="00EF3296">
        <w:trPr>
          <w:tblCellSpacing w:w="0" w:type="dxa"/>
        </w:trPr>
        <w:tc>
          <w:tcPr>
            <w:tcW w:w="9101" w:type="dxa"/>
            <w:gridSpan w:val="6"/>
            <w:tcBorders>
              <w:top w:val="outset" w:sz="6" w:space="0" w:color="auto"/>
              <w:left w:val="outset" w:sz="6" w:space="0" w:color="auto"/>
              <w:bottom w:val="outset" w:sz="6" w:space="0" w:color="auto"/>
              <w:right w:val="outset" w:sz="6" w:space="0" w:color="auto"/>
            </w:tcBorders>
            <w:vAlign w:val="center"/>
            <w:hideMark/>
          </w:tcPr>
          <w:p w:rsidR="00CE6434" w:rsidRDefault="00CE6434" w:rsidP="003557D1">
            <w:pPr>
              <w:jc w:val="center"/>
              <w:rPr>
                <w:rFonts w:eastAsia="Times New Roman" w:cs="Times New Roman"/>
                <w:b/>
                <w:bCs/>
                <w:sz w:val="24"/>
                <w:szCs w:val="24"/>
                <w:lang w:eastAsia="lv-LV"/>
              </w:rPr>
            </w:pPr>
          </w:p>
          <w:p w:rsidR="005C1B70" w:rsidRPr="003557D1" w:rsidRDefault="0070526D" w:rsidP="003557D1">
            <w:pPr>
              <w:jc w:val="center"/>
              <w:rPr>
                <w:rFonts w:eastAsia="Times New Roman" w:cs="Times New Roman"/>
                <w:b/>
                <w:bCs/>
                <w:sz w:val="24"/>
                <w:szCs w:val="24"/>
                <w:lang w:eastAsia="lv-LV"/>
              </w:rPr>
            </w:pPr>
            <w:r w:rsidRPr="001513F9">
              <w:rPr>
                <w:rFonts w:eastAsia="Times New Roman" w:cs="Times New Roman"/>
                <w:b/>
                <w:bCs/>
                <w:sz w:val="24"/>
                <w:szCs w:val="24"/>
                <w:lang w:eastAsia="lv-LV"/>
              </w:rPr>
              <w:t>I. Tiesību akta projekta izstrādes nepieciešamība</w:t>
            </w:r>
          </w:p>
        </w:tc>
      </w:tr>
      <w:tr w:rsidR="0070526D" w:rsidRPr="001513F9" w:rsidTr="008D75D8">
        <w:trPr>
          <w:trHeight w:val="630"/>
          <w:tblCellSpacing w:w="0" w:type="dxa"/>
        </w:trPr>
        <w:tc>
          <w:tcPr>
            <w:tcW w:w="528" w:type="dxa"/>
            <w:gridSpan w:val="2"/>
            <w:tcBorders>
              <w:top w:val="outset" w:sz="6" w:space="0" w:color="auto"/>
              <w:left w:val="outset" w:sz="6" w:space="0" w:color="auto"/>
              <w:bottom w:val="outset" w:sz="6" w:space="0" w:color="auto"/>
              <w:right w:val="outset" w:sz="6" w:space="0" w:color="auto"/>
            </w:tcBorders>
            <w:hideMark/>
          </w:tcPr>
          <w:p w:rsidR="0070526D" w:rsidRPr="001513F9" w:rsidRDefault="0070526D" w:rsidP="00CE2F5A">
            <w:pPr>
              <w:rPr>
                <w:rFonts w:eastAsia="Times New Roman" w:cs="Times New Roman"/>
                <w:sz w:val="24"/>
                <w:szCs w:val="24"/>
                <w:lang w:eastAsia="lv-LV"/>
              </w:rPr>
            </w:pPr>
            <w:r w:rsidRPr="001513F9">
              <w:rPr>
                <w:rFonts w:eastAsia="Times New Roman" w:cs="Times New Roman"/>
                <w:sz w:val="24"/>
                <w:szCs w:val="24"/>
                <w:lang w:eastAsia="lv-LV"/>
              </w:rPr>
              <w:t> 1.</w:t>
            </w:r>
          </w:p>
        </w:tc>
        <w:tc>
          <w:tcPr>
            <w:tcW w:w="2322" w:type="dxa"/>
            <w:tcBorders>
              <w:top w:val="outset" w:sz="6" w:space="0" w:color="auto"/>
              <w:left w:val="outset" w:sz="6" w:space="0" w:color="auto"/>
              <w:bottom w:val="outset" w:sz="6" w:space="0" w:color="auto"/>
              <w:right w:val="outset" w:sz="6" w:space="0" w:color="auto"/>
            </w:tcBorders>
            <w:hideMark/>
          </w:tcPr>
          <w:p w:rsidR="0070526D" w:rsidRPr="001513F9" w:rsidRDefault="0070526D" w:rsidP="00CE2F5A">
            <w:pPr>
              <w:rPr>
                <w:rFonts w:eastAsia="Times New Roman" w:cs="Times New Roman"/>
                <w:sz w:val="24"/>
                <w:szCs w:val="24"/>
                <w:lang w:eastAsia="lv-LV"/>
              </w:rPr>
            </w:pPr>
            <w:r w:rsidRPr="001513F9">
              <w:rPr>
                <w:rFonts w:eastAsia="Times New Roman" w:cs="Times New Roman"/>
                <w:sz w:val="24"/>
                <w:szCs w:val="24"/>
                <w:lang w:eastAsia="lv-LV"/>
              </w:rPr>
              <w:t> Pamatojums</w:t>
            </w:r>
          </w:p>
        </w:tc>
        <w:tc>
          <w:tcPr>
            <w:tcW w:w="6251" w:type="dxa"/>
            <w:gridSpan w:val="3"/>
            <w:tcBorders>
              <w:top w:val="outset" w:sz="6" w:space="0" w:color="auto"/>
              <w:left w:val="outset" w:sz="6" w:space="0" w:color="auto"/>
              <w:bottom w:val="outset" w:sz="6" w:space="0" w:color="auto"/>
              <w:right w:val="outset" w:sz="6" w:space="0" w:color="auto"/>
            </w:tcBorders>
            <w:hideMark/>
          </w:tcPr>
          <w:p w:rsidR="0070526D" w:rsidRPr="007B79D9" w:rsidRDefault="00D35AE5" w:rsidP="007B79D9">
            <w:pPr>
              <w:pStyle w:val="naisf"/>
              <w:spacing w:before="0" w:beforeAutospacing="0" w:after="0" w:afterAutospacing="0"/>
              <w:jc w:val="both"/>
            </w:pPr>
            <w:r w:rsidRPr="007B79D9">
              <w:t xml:space="preserve">Likumprojekts </w:t>
            </w:r>
            <w:r w:rsidR="00DF27CD" w:rsidRPr="007B79D9">
              <w:t>izstrādāts atbilstoši Ministru kabineta 2011.gada 1.novembra sēdē nolemtajam (protokols Nr</w:t>
            </w:r>
            <w:r w:rsidR="007B79D9" w:rsidRPr="007B79D9">
              <w:t>.62.</w:t>
            </w:r>
            <w:bookmarkStart w:id="2" w:name="bkm69"/>
            <w:r w:rsidR="00F845D3">
              <w:t xml:space="preserve"> 64.§</w:t>
            </w:r>
            <w:r w:rsidR="007B79D9" w:rsidRPr="007B79D9">
              <w:t>)</w:t>
            </w:r>
            <w:bookmarkEnd w:id="2"/>
            <w:r w:rsidR="007B79D9">
              <w:t>.</w:t>
            </w:r>
          </w:p>
        </w:tc>
      </w:tr>
      <w:tr w:rsidR="0070526D" w:rsidRPr="001513F9" w:rsidTr="008D75D8">
        <w:trPr>
          <w:trHeight w:val="472"/>
          <w:tblCellSpacing w:w="0" w:type="dxa"/>
        </w:trPr>
        <w:tc>
          <w:tcPr>
            <w:tcW w:w="528" w:type="dxa"/>
            <w:gridSpan w:val="2"/>
            <w:tcBorders>
              <w:top w:val="outset" w:sz="6" w:space="0" w:color="auto"/>
              <w:left w:val="outset" w:sz="6" w:space="0" w:color="auto"/>
              <w:bottom w:val="outset" w:sz="6" w:space="0" w:color="auto"/>
              <w:right w:val="outset" w:sz="6" w:space="0" w:color="auto"/>
            </w:tcBorders>
            <w:hideMark/>
          </w:tcPr>
          <w:p w:rsidR="0070526D" w:rsidRPr="001513F9" w:rsidRDefault="0070526D" w:rsidP="0070526D">
            <w:pPr>
              <w:spacing w:before="100" w:beforeAutospacing="1" w:after="100" w:afterAutospacing="1"/>
              <w:rPr>
                <w:rFonts w:eastAsia="Times New Roman" w:cs="Times New Roman"/>
                <w:sz w:val="24"/>
                <w:szCs w:val="24"/>
                <w:lang w:eastAsia="lv-LV"/>
              </w:rPr>
            </w:pPr>
            <w:r w:rsidRPr="001513F9">
              <w:rPr>
                <w:rFonts w:eastAsia="Times New Roman" w:cs="Times New Roman"/>
                <w:sz w:val="24"/>
                <w:szCs w:val="24"/>
                <w:lang w:eastAsia="lv-LV"/>
              </w:rPr>
              <w:t> 2.</w:t>
            </w:r>
          </w:p>
        </w:tc>
        <w:tc>
          <w:tcPr>
            <w:tcW w:w="2322" w:type="dxa"/>
            <w:tcBorders>
              <w:top w:val="outset" w:sz="6" w:space="0" w:color="auto"/>
              <w:left w:val="outset" w:sz="6" w:space="0" w:color="auto"/>
              <w:bottom w:val="outset" w:sz="6" w:space="0" w:color="auto"/>
              <w:right w:val="outset" w:sz="6" w:space="0" w:color="auto"/>
            </w:tcBorders>
            <w:hideMark/>
          </w:tcPr>
          <w:p w:rsidR="0070526D" w:rsidRPr="001513F9" w:rsidRDefault="0070526D" w:rsidP="0070526D">
            <w:pPr>
              <w:spacing w:before="100" w:beforeAutospacing="1" w:after="100" w:afterAutospacing="1"/>
              <w:rPr>
                <w:rFonts w:eastAsia="Times New Roman" w:cs="Times New Roman"/>
                <w:sz w:val="24"/>
                <w:szCs w:val="24"/>
                <w:lang w:eastAsia="lv-LV"/>
              </w:rPr>
            </w:pPr>
            <w:r w:rsidRPr="001513F9">
              <w:rPr>
                <w:rFonts w:eastAsia="Times New Roman" w:cs="Times New Roman"/>
                <w:sz w:val="24"/>
                <w:szCs w:val="24"/>
                <w:lang w:eastAsia="lv-LV"/>
              </w:rPr>
              <w:t> Pašreizējā situācija un problēmas</w:t>
            </w:r>
          </w:p>
        </w:tc>
        <w:tc>
          <w:tcPr>
            <w:tcW w:w="6251" w:type="dxa"/>
            <w:gridSpan w:val="3"/>
            <w:tcBorders>
              <w:top w:val="outset" w:sz="6" w:space="0" w:color="auto"/>
              <w:left w:val="outset" w:sz="6" w:space="0" w:color="auto"/>
              <w:bottom w:val="outset" w:sz="6" w:space="0" w:color="auto"/>
              <w:right w:val="outset" w:sz="6" w:space="0" w:color="auto"/>
            </w:tcBorders>
            <w:hideMark/>
          </w:tcPr>
          <w:p w:rsidR="00951EB7" w:rsidRDefault="00BB4042" w:rsidP="00B771F7">
            <w:pPr>
              <w:jc w:val="both"/>
              <w:rPr>
                <w:rFonts w:eastAsia="Times New Roman" w:cs="Times New Roman"/>
                <w:sz w:val="24"/>
                <w:szCs w:val="24"/>
                <w:lang w:eastAsia="lv-LV"/>
              </w:rPr>
            </w:pPr>
            <w:r>
              <w:rPr>
                <w:rFonts w:eastAsia="Times New Roman" w:cs="Times New Roman"/>
                <w:sz w:val="24"/>
                <w:szCs w:val="24"/>
                <w:lang w:eastAsia="lv-LV"/>
              </w:rPr>
              <w:t xml:space="preserve">Latvijas Republikas Ministru kabineta </w:t>
            </w:r>
            <w:r w:rsidR="00557E4F">
              <w:rPr>
                <w:rFonts w:eastAsia="Times New Roman" w:cs="Times New Roman"/>
                <w:sz w:val="24"/>
                <w:szCs w:val="24"/>
                <w:lang w:eastAsia="lv-LV"/>
              </w:rPr>
              <w:t>l</w:t>
            </w:r>
            <w:r w:rsidR="00951EB7" w:rsidRPr="00951EB7">
              <w:rPr>
                <w:rFonts w:eastAsia="Times New Roman" w:cs="Times New Roman"/>
                <w:sz w:val="24"/>
                <w:szCs w:val="24"/>
                <w:lang w:eastAsia="lv-LV"/>
              </w:rPr>
              <w:t>ēmum</w:t>
            </w:r>
            <w:r w:rsidR="00557E4F">
              <w:rPr>
                <w:rFonts w:eastAsia="Times New Roman" w:cs="Times New Roman"/>
                <w:sz w:val="24"/>
                <w:szCs w:val="24"/>
                <w:lang w:eastAsia="lv-LV"/>
              </w:rPr>
              <w:t>u</w:t>
            </w:r>
            <w:r w:rsidR="00951EB7" w:rsidRPr="00951EB7">
              <w:rPr>
                <w:rFonts w:eastAsia="Times New Roman" w:cs="Times New Roman"/>
                <w:sz w:val="24"/>
                <w:szCs w:val="24"/>
                <w:lang w:eastAsia="lv-LV"/>
              </w:rPr>
              <w:t xml:space="preserve"> par valsts akciju sabiedrīb</w:t>
            </w:r>
            <w:r w:rsidR="00557E4F">
              <w:rPr>
                <w:rFonts w:eastAsia="Times New Roman" w:cs="Times New Roman"/>
                <w:sz w:val="24"/>
                <w:szCs w:val="24"/>
                <w:lang w:eastAsia="lv-LV"/>
              </w:rPr>
              <w:t>u</w:t>
            </w:r>
            <w:r w:rsidR="00951EB7" w:rsidRPr="00951EB7">
              <w:rPr>
                <w:rFonts w:eastAsia="Times New Roman" w:cs="Times New Roman"/>
                <w:sz w:val="24"/>
                <w:szCs w:val="24"/>
                <w:lang w:eastAsia="lv-LV"/>
              </w:rPr>
              <w:t xml:space="preserve"> „Latvijas Hipotēku un zemes banka” (turpmāk tekstā - Hipotēku banka)</w:t>
            </w:r>
            <w:r>
              <w:rPr>
                <w:rFonts w:eastAsia="Times New Roman" w:cs="Times New Roman"/>
                <w:sz w:val="24"/>
                <w:szCs w:val="24"/>
                <w:lang w:eastAsia="lv-LV"/>
              </w:rPr>
              <w:t xml:space="preserve"> </w:t>
            </w:r>
            <w:r w:rsidR="00557E4F">
              <w:rPr>
                <w:rFonts w:eastAsia="Times New Roman" w:cs="Times New Roman"/>
                <w:sz w:val="24"/>
                <w:szCs w:val="24"/>
                <w:lang w:eastAsia="lv-LV"/>
              </w:rPr>
              <w:t>īstenošana, kā arī aktīvais darbs pie Hipotēku bankas</w:t>
            </w:r>
            <w:r>
              <w:rPr>
                <w:rFonts w:eastAsia="Times New Roman" w:cs="Times New Roman"/>
                <w:sz w:val="24"/>
                <w:szCs w:val="24"/>
                <w:lang w:eastAsia="lv-LV"/>
              </w:rPr>
              <w:t xml:space="preserve"> </w:t>
            </w:r>
            <w:r w:rsidR="00951EB7" w:rsidRPr="00951EB7">
              <w:rPr>
                <w:rFonts w:eastAsia="Times New Roman" w:cs="Times New Roman"/>
                <w:sz w:val="24"/>
                <w:szCs w:val="24"/>
                <w:lang w:eastAsia="lv-LV"/>
              </w:rPr>
              <w:t xml:space="preserve"> </w:t>
            </w:r>
            <w:proofErr w:type="spellStart"/>
            <w:r>
              <w:rPr>
                <w:rFonts w:eastAsia="Times New Roman" w:cs="Times New Roman"/>
                <w:sz w:val="24"/>
                <w:szCs w:val="24"/>
                <w:lang w:eastAsia="lv-LV"/>
              </w:rPr>
              <w:t>komercdaļas</w:t>
            </w:r>
            <w:proofErr w:type="spellEnd"/>
            <w:r>
              <w:rPr>
                <w:rFonts w:eastAsia="Times New Roman" w:cs="Times New Roman"/>
                <w:sz w:val="24"/>
                <w:szCs w:val="24"/>
                <w:lang w:eastAsia="lv-LV"/>
              </w:rPr>
              <w:t xml:space="preserve"> pārdošanas stratēģijas </w:t>
            </w:r>
            <w:r w:rsidR="00557E4F">
              <w:rPr>
                <w:rFonts w:eastAsia="Times New Roman" w:cs="Times New Roman"/>
                <w:sz w:val="24"/>
                <w:szCs w:val="24"/>
                <w:lang w:eastAsia="lv-LV"/>
              </w:rPr>
              <w:t>realizēšanas</w:t>
            </w:r>
            <w:r>
              <w:rPr>
                <w:rFonts w:eastAsia="Times New Roman" w:cs="Times New Roman"/>
                <w:sz w:val="24"/>
                <w:szCs w:val="24"/>
                <w:lang w:eastAsia="lv-LV"/>
              </w:rPr>
              <w:t xml:space="preserve"> </w:t>
            </w:r>
            <w:r w:rsidR="00557E4F">
              <w:rPr>
                <w:rFonts w:eastAsia="Times New Roman" w:cs="Times New Roman"/>
                <w:sz w:val="24"/>
                <w:szCs w:val="24"/>
                <w:lang w:eastAsia="lv-LV"/>
              </w:rPr>
              <w:t xml:space="preserve">valdes locekļiem un </w:t>
            </w:r>
            <w:r w:rsidR="00951EB7" w:rsidRPr="00951EB7">
              <w:rPr>
                <w:rFonts w:eastAsia="Times New Roman" w:cs="Times New Roman"/>
                <w:sz w:val="24"/>
                <w:szCs w:val="24"/>
                <w:lang w:eastAsia="lv-LV"/>
              </w:rPr>
              <w:t xml:space="preserve">daļai darbinieku (līdz 30) uzliek būtisku papildus noslodzi, apzinoties Hipotēku bankas pārveides procesa nozīmīgumu, </w:t>
            </w:r>
            <w:r w:rsidR="00084859">
              <w:rPr>
                <w:rFonts w:eastAsia="Times New Roman" w:cs="Times New Roman"/>
                <w:sz w:val="24"/>
                <w:szCs w:val="24"/>
                <w:lang w:eastAsia="lv-LV"/>
              </w:rPr>
              <w:t xml:space="preserve">tajā skaitā ņemot vērā valdības apņemšanos starptautiskajiem aizdevējiem, </w:t>
            </w:r>
            <w:r w:rsidR="00951EB7" w:rsidRPr="00951EB7">
              <w:rPr>
                <w:rFonts w:eastAsia="Times New Roman" w:cs="Times New Roman"/>
                <w:sz w:val="24"/>
                <w:szCs w:val="24"/>
                <w:lang w:eastAsia="lv-LV"/>
              </w:rPr>
              <w:t>gan veicot ievērojamu darbu pie iekšējiem bankas un  meitas sabiedrību pārveides procesiem, gan aktīvi skaidrojot situāciju medijiem un Hipotēku bankas klientiem, tostarp pārliecinot par drošu noguldījumu saglabāšanu Hipotēku bankā, kas ir ļoti svarīga bankas likviditātes stabilitātes nodrošināšanai</w:t>
            </w:r>
            <w:r w:rsidR="006C31E6">
              <w:rPr>
                <w:rFonts w:eastAsia="Times New Roman" w:cs="Times New Roman"/>
                <w:sz w:val="24"/>
                <w:szCs w:val="24"/>
                <w:lang w:eastAsia="lv-LV"/>
              </w:rPr>
              <w:t>, kā arī pastāvīgi strādājot ar Hipotēku bankas kreditoriem</w:t>
            </w:r>
            <w:r w:rsidR="00E87D6E">
              <w:rPr>
                <w:rFonts w:eastAsia="Times New Roman" w:cs="Times New Roman"/>
                <w:sz w:val="24"/>
                <w:szCs w:val="24"/>
                <w:lang w:eastAsia="lv-LV"/>
              </w:rPr>
              <w:t>, t</w:t>
            </w:r>
            <w:r w:rsidR="00084859">
              <w:rPr>
                <w:rFonts w:eastAsia="Times New Roman" w:cs="Times New Roman"/>
                <w:sz w:val="24"/>
                <w:szCs w:val="24"/>
                <w:lang w:eastAsia="lv-LV"/>
              </w:rPr>
              <w:t>ostarp</w:t>
            </w:r>
            <w:r w:rsidR="00E87D6E">
              <w:rPr>
                <w:rFonts w:eastAsia="Times New Roman" w:cs="Times New Roman"/>
                <w:sz w:val="24"/>
                <w:szCs w:val="24"/>
                <w:lang w:eastAsia="lv-LV"/>
              </w:rPr>
              <w:t xml:space="preserve"> institucionālajiem</w:t>
            </w:r>
            <w:r w:rsidR="00951EB7" w:rsidRPr="00951EB7">
              <w:rPr>
                <w:rFonts w:eastAsia="Times New Roman" w:cs="Times New Roman"/>
                <w:sz w:val="24"/>
                <w:szCs w:val="24"/>
                <w:lang w:eastAsia="lv-LV"/>
              </w:rPr>
              <w:t xml:space="preserve">. </w:t>
            </w:r>
            <w:r w:rsidR="00E87D6E">
              <w:rPr>
                <w:rFonts w:eastAsia="Times New Roman" w:cs="Times New Roman"/>
                <w:sz w:val="24"/>
                <w:szCs w:val="24"/>
                <w:lang w:eastAsia="lv-LV"/>
              </w:rPr>
              <w:t>Neskaidrība par Hipotēku bankas nākotnes perspektīvu, n</w:t>
            </w:r>
            <w:r w:rsidR="00951EB7" w:rsidRPr="00951EB7">
              <w:rPr>
                <w:rFonts w:eastAsia="Times New Roman" w:cs="Times New Roman"/>
                <w:sz w:val="24"/>
                <w:szCs w:val="24"/>
                <w:lang w:eastAsia="lv-LV"/>
              </w:rPr>
              <w:t>elīdzvērtīgais atalgojums</w:t>
            </w:r>
            <w:r w:rsidR="00E87D6E">
              <w:rPr>
                <w:rFonts w:eastAsia="Times New Roman" w:cs="Times New Roman"/>
                <w:sz w:val="24"/>
                <w:szCs w:val="24"/>
                <w:lang w:eastAsia="lv-LV"/>
              </w:rPr>
              <w:t xml:space="preserve">, kā arī </w:t>
            </w:r>
            <w:r w:rsidR="00951EB7" w:rsidRPr="00951EB7">
              <w:rPr>
                <w:rFonts w:eastAsia="Times New Roman" w:cs="Times New Roman"/>
                <w:sz w:val="24"/>
                <w:szCs w:val="24"/>
                <w:lang w:eastAsia="lv-LV"/>
              </w:rPr>
              <w:t xml:space="preserve"> sociālās garantijas ar citiem finanšu sektorā strādājošajiem arvien vairāk stratēģiski svarīgus darbiniekus, tostarp augsta līmeņa speciālistus mudina pārtraukt darba tiesiskās attiecības ar </w:t>
            </w:r>
            <w:r w:rsidR="00084859">
              <w:rPr>
                <w:rFonts w:eastAsia="Times New Roman" w:cs="Times New Roman"/>
                <w:sz w:val="24"/>
                <w:szCs w:val="24"/>
                <w:lang w:eastAsia="lv-LV"/>
              </w:rPr>
              <w:t xml:space="preserve">Hipotēku </w:t>
            </w:r>
            <w:r w:rsidR="00951EB7" w:rsidRPr="00951EB7">
              <w:rPr>
                <w:rFonts w:eastAsia="Times New Roman" w:cs="Times New Roman"/>
                <w:sz w:val="24"/>
                <w:szCs w:val="24"/>
                <w:lang w:eastAsia="lv-LV"/>
              </w:rPr>
              <w:t xml:space="preserve">banku un bankas meitas sabiedrībām, meklējot darbu stabilos uzņēmumos ar darba noslodzei un specifikai atbilstošu atlīdzību. </w:t>
            </w:r>
            <w:r w:rsidR="00951EB7" w:rsidRPr="00B528FB">
              <w:rPr>
                <w:rFonts w:eastAsia="Times New Roman" w:cs="Times New Roman"/>
                <w:sz w:val="24"/>
                <w:szCs w:val="24"/>
                <w:u w:val="single"/>
                <w:lang w:eastAsia="lv-LV"/>
              </w:rPr>
              <w:t xml:space="preserve">Identiskas indikācijas šobrīd tiek paustas no </w:t>
            </w:r>
            <w:r w:rsidR="00951EB7" w:rsidRPr="00C5091C">
              <w:rPr>
                <w:rFonts w:eastAsia="Times New Roman" w:cs="Times New Roman"/>
                <w:sz w:val="24"/>
                <w:szCs w:val="24"/>
                <w:u w:val="single"/>
                <w:lang w:eastAsia="lv-LV"/>
              </w:rPr>
              <w:t>Hipotēku bankas valdes locekļu puses.</w:t>
            </w:r>
            <w:r w:rsidR="00951EB7" w:rsidRPr="00951EB7">
              <w:rPr>
                <w:rFonts w:eastAsia="Times New Roman" w:cs="Times New Roman"/>
                <w:sz w:val="24"/>
                <w:szCs w:val="24"/>
                <w:lang w:eastAsia="lv-LV"/>
              </w:rPr>
              <w:t xml:space="preserve"> </w:t>
            </w:r>
            <w:r w:rsidR="00557E4F">
              <w:rPr>
                <w:rFonts w:eastAsia="Times New Roman" w:cs="Times New Roman"/>
                <w:sz w:val="24"/>
                <w:szCs w:val="24"/>
                <w:lang w:eastAsia="lv-LV"/>
              </w:rPr>
              <w:t xml:space="preserve">Hipotēku bankas kā valsts kapitālsabiedrības, kas darbojas kā kredītiestāde, valdes locekļu atalgojums, salīdzinot ar citu kredītiestāžu un finanšu sektora kapitālsabiedrību valdes locekļu atalgojumu, ir vismaz trīs reizes zemāks, tajā skaitā, salīdzinot ar AS „Parex banka” vai AS „Citadele banka” valdes locekļu atalgojumu, neskatoties uz to, ka šajās kapitālsabiedrībās valstij ir būtiska </w:t>
            </w:r>
            <w:r w:rsidR="00E87D6E">
              <w:rPr>
                <w:rFonts w:eastAsia="Times New Roman" w:cs="Times New Roman"/>
                <w:sz w:val="24"/>
                <w:szCs w:val="24"/>
                <w:lang w:eastAsia="lv-LV"/>
              </w:rPr>
              <w:t xml:space="preserve">netieša </w:t>
            </w:r>
            <w:r w:rsidR="00557E4F">
              <w:rPr>
                <w:rFonts w:eastAsia="Times New Roman" w:cs="Times New Roman"/>
                <w:sz w:val="24"/>
                <w:szCs w:val="24"/>
                <w:lang w:eastAsia="lv-LV"/>
              </w:rPr>
              <w:t>līdzdalība</w:t>
            </w:r>
            <w:r w:rsidR="00D33603">
              <w:rPr>
                <w:rFonts w:eastAsia="Times New Roman" w:cs="Times New Roman"/>
                <w:sz w:val="24"/>
                <w:szCs w:val="24"/>
                <w:lang w:eastAsia="lv-LV"/>
              </w:rPr>
              <w:t>, bet citāds tiesisks regulējums</w:t>
            </w:r>
            <w:r w:rsidR="00557E4F">
              <w:rPr>
                <w:rFonts w:eastAsia="Times New Roman" w:cs="Times New Roman"/>
                <w:sz w:val="24"/>
                <w:szCs w:val="24"/>
                <w:lang w:eastAsia="lv-LV"/>
              </w:rPr>
              <w:t>. Turklāt atbilstoši likumam „Par interešu konflikta novēršanu valsts amatpersonu darbībā” Hipotēku bankas valdes locekļiem ir ierobežotas iespējas gūt ienākumus</w:t>
            </w:r>
            <w:r w:rsidR="00E87D6E">
              <w:rPr>
                <w:rFonts w:eastAsia="Times New Roman" w:cs="Times New Roman"/>
                <w:sz w:val="24"/>
                <w:szCs w:val="24"/>
                <w:lang w:eastAsia="lv-LV"/>
              </w:rPr>
              <w:t>,</w:t>
            </w:r>
            <w:r w:rsidR="00557E4F">
              <w:rPr>
                <w:rFonts w:eastAsia="Times New Roman" w:cs="Times New Roman"/>
                <w:sz w:val="24"/>
                <w:szCs w:val="24"/>
                <w:lang w:eastAsia="lv-LV"/>
              </w:rPr>
              <w:t xml:space="preserve"> savieno</w:t>
            </w:r>
            <w:r w:rsidR="006C31E6">
              <w:rPr>
                <w:rFonts w:eastAsia="Times New Roman" w:cs="Times New Roman"/>
                <w:sz w:val="24"/>
                <w:szCs w:val="24"/>
                <w:lang w:eastAsia="lv-LV"/>
              </w:rPr>
              <w:t>jot</w:t>
            </w:r>
            <w:r w:rsidR="00557E4F">
              <w:rPr>
                <w:rFonts w:eastAsia="Times New Roman" w:cs="Times New Roman"/>
                <w:sz w:val="24"/>
                <w:szCs w:val="24"/>
                <w:lang w:eastAsia="lv-LV"/>
              </w:rPr>
              <w:t xml:space="preserve"> savu valsts amatpersonu amatu ar citiem, ko lielā darba apjoma dēļ Hipotēku bankā, nav iespējams realizēt arī praktiski.  </w:t>
            </w:r>
          </w:p>
          <w:p w:rsidR="006F11D9" w:rsidRDefault="006F11D9" w:rsidP="00B771F7">
            <w:pPr>
              <w:jc w:val="both"/>
              <w:rPr>
                <w:rFonts w:eastAsia="Times New Roman" w:cs="Times New Roman"/>
                <w:sz w:val="24"/>
                <w:szCs w:val="24"/>
                <w:lang w:eastAsia="lv-LV"/>
              </w:rPr>
            </w:pPr>
            <w:r w:rsidRPr="006F11D9">
              <w:rPr>
                <w:rFonts w:eastAsia="Times New Roman" w:cs="Times New Roman"/>
                <w:sz w:val="24"/>
                <w:szCs w:val="24"/>
                <w:lang w:eastAsia="lv-LV"/>
              </w:rPr>
              <w:t xml:space="preserve">Papildus tam jāņem vērā, ka </w:t>
            </w:r>
            <w:r w:rsidR="00E87D6E">
              <w:rPr>
                <w:rFonts w:eastAsia="Times New Roman" w:cs="Times New Roman"/>
                <w:sz w:val="24"/>
                <w:szCs w:val="24"/>
                <w:lang w:eastAsia="lv-LV"/>
              </w:rPr>
              <w:t>lielāka</w:t>
            </w:r>
            <w:r w:rsidR="00D33603">
              <w:rPr>
                <w:rFonts w:eastAsia="Times New Roman" w:cs="Times New Roman"/>
                <w:sz w:val="24"/>
                <w:szCs w:val="24"/>
                <w:lang w:eastAsia="lv-LV"/>
              </w:rPr>
              <w:t>ja</w:t>
            </w:r>
            <w:r w:rsidR="00E87D6E">
              <w:rPr>
                <w:rFonts w:eastAsia="Times New Roman" w:cs="Times New Roman"/>
                <w:sz w:val="24"/>
                <w:szCs w:val="24"/>
                <w:lang w:eastAsia="lv-LV"/>
              </w:rPr>
              <w:t xml:space="preserve">i daļai </w:t>
            </w:r>
            <w:r w:rsidRPr="006F11D9">
              <w:rPr>
                <w:rFonts w:eastAsia="Times New Roman" w:cs="Times New Roman"/>
                <w:sz w:val="24"/>
                <w:szCs w:val="24"/>
                <w:lang w:eastAsia="lv-LV"/>
              </w:rPr>
              <w:t>valdes locekļiem šajā pārveides procesā</w:t>
            </w:r>
            <w:r w:rsidR="00E87D6E">
              <w:rPr>
                <w:rFonts w:eastAsia="Times New Roman" w:cs="Times New Roman"/>
                <w:sz w:val="24"/>
                <w:szCs w:val="24"/>
                <w:lang w:eastAsia="lv-LV"/>
              </w:rPr>
              <w:t>, tas ir 2012. gadā</w:t>
            </w:r>
            <w:r w:rsidRPr="006F11D9">
              <w:rPr>
                <w:rFonts w:eastAsia="Times New Roman" w:cs="Times New Roman"/>
                <w:sz w:val="24"/>
                <w:szCs w:val="24"/>
                <w:lang w:eastAsia="lv-LV"/>
              </w:rPr>
              <w:t xml:space="preserve">, kad jo īpaši ir nepieciešama pieredze un bankas vadības vēsturiskā „bagāža”, beidzas valdes pilnvaru termiņš, kura pagarināšanai esošajā atalgojuma reglamentācijā valdes locekļi no savas puses var atteikties </w:t>
            </w:r>
            <w:r w:rsidR="00D33603">
              <w:rPr>
                <w:rFonts w:eastAsia="Times New Roman" w:cs="Times New Roman"/>
                <w:sz w:val="24"/>
                <w:szCs w:val="24"/>
                <w:lang w:eastAsia="lv-LV"/>
              </w:rPr>
              <w:t>piekrist</w:t>
            </w:r>
            <w:r w:rsidRPr="006F11D9">
              <w:rPr>
                <w:rFonts w:eastAsia="Times New Roman" w:cs="Times New Roman"/>
                <w:sz w:val="24"/>
                <w:szCs w:val="24"/>
                <w:lang w:eastAsia="lv-LV"/>
              </w:rPr>
              <w:t xml:space="preserve">. Ņemot vērā ar pārveides procesiem saistītās </w:t>
            </w:r>
            <w:r w:rsidRPr="006F11D9">
              <w:rPr>
                <w:rFonts w:eastAsia="Times New Roman" w:cs="Times New Roman"/>
                <w:sz w:val="24"/>
                <w:szCs w:val="24"/>
                <w:lang w:eastAsia="lv-LV"/>
              </w:rPr>
              <w:lastRenderedPageBreak/>
              <w:t xml:space="preserve">pārmaiņas </w:t>
            </w:r>
            <w:r w:rsidR="00E87D6E">
              <w:rPr>
                <w:rFonts w:eastAsia="Times New Roman" w:cs="Times New Roman"/>
                <w:sz w:val="24"/>
                <w:szCs w:val="24"/>
                <w:lang w:eastAsia="lv-LV"/>
              </w:rPr>
              <w:t>Hipotēku b</w:t>
            </w:r>
            <w:r w:rsidRPr="006F11D9">
              <w:rPr>
                <w:rFonts w:eastAsia="Times New Roman" w:cs="Times New Roman"/>
                <w:sz w:val="24"/>
                <w:szCs w:val="24"/>
                <w:lang w:eastAsia="lv-LV"/>
              </w:rPr>
              <w:t xml:space="preserve">ankā, </w:t>
            </w:r>
            <w:r w:rsidR="00E87D6E">
              <w:rPr>
                <w:rFonts w:eastAsia="Times New Roman" w:cs="Times New Roman"/>
                <w:sz w:val="24"/>
                <w:szCs w:val="24"/>
                <w:lang w:eastAsia="lv-LV"/>
              </w:rPr>
              <w:t xml:space="preserve">iespējamās </w:t>
            </w:r>
            <w:r w:rsidRPr="006F11D9">
              <w:rPr>
                <w:rFonts w:eastAsia="Times New Roman" w:cs="Times New Roman"/>
                <w:sz w:val="24"/>
                <w:szCs w:val="24"/>
                <w:lang w:eastAsia="lv-LV"/>
              </w:rPr>
              <w:t xml:space="preserve">izmaiņas </w:t>
            </w:r>
            <w:r w:rsidR="00E87D6E">
              <w:rPr>
                <w:rFonts w:eastAsia="Times New Roman" w:cs="Times New Roman"/>
                <w:sz w:val="24"/>
                <w:szCs w:val="24"/>
                <w:lang w:eastAsia="lv-LV"/>
              </w:rPr>
              <w:t>tās</w:t>
            </w:r>
            <w:r w:rsidRPr="006F11D9">
              <w:rPr>
                <w:rFonts w:eastAsia="Times New Roman" w:cs="Times New Roman"/>
                <w:sz w:val="24"/>
                <w:szCs w:val="24"/>
                <w:lang w:eastAsia="lv-LV"/>
              </w:rPr>
              <w:t xml:space="preserve"> vadībā (2 no valdes locekļiem ir ilggadēji </w:t>
            </w:r>
            <w:r w:rsidR="00E87D6E">
              <w:rPr>
                <w:rFonts w:eastAsia="Times New Roman" w:cs="Times New Roman"/>
                <w:sz w:val="24"/>
                <w:szCs w:val="24"/>
                <w:lang w:eastAsia="lv-LV"/>
              </w:rPr>
              <w:t>Hipotēku bankas</w:t>
            </w:r>
            <w:r w:rsidR="00E87D6E" w:rsidRPr="006F11D9">
              <w:rPr>
                <w:rFonts w:eastAsia="Times New Roman" w:cs="Times New Roman"/>
                <w:sz w:val="24"/>
                <w:szCs w:val="24"/>
                <w:lang w:eastAsia="lv-LV"/>
              </w:rPr>
              <w:t xml:space="preserve"> </w:t>
            </w:r>
            <w:r w:rsidRPr="006F11D9">
              <w:rPr>
                <w:rFonts w:eastAsia="Times New Roman" w:cs="Times New Roman"/>
                <w:sz w:val="24"/>
                <w:szCs w:val="24"/>
                <w:lang w:eastAsia="lv-LV"/>
              </w:rPr>
              <w:t xml:space="preserve">valdes locekļi ar lielu pieredzi </w:t>
            </w:r>
            <w:r w:rsidR="00E87D6E">
              <w:rPr>
                <w:rFonts w:eastAsia="Times New Roman" w:cs="Times New Roman"/>
                <w:sz w:val="24"/>
                <w:szCs w:val="24"/>
                <w:lang w:eastAsia="lv-LV"/>
              </w:rPr>
              <w:t>bankas</w:t>
            </w:r>
            <w:r w:rsidR="00E87D6E" w:rsidRPr="006F11D9">
              <w:rPr>
                <w:rFonts w:eastAsia="Times New Roman" w:cs="Times New Roman"/>
                <w:sz w:val="24"/>
                <w:szCs w:val="24"/>
                <w:lang w:eastAsia="lv-LV"/>
              </w:rPr>
              <w:t xml:space="preserve"> </w:t>
            </w:r>
            <w:r w:rsidRPr="006F11D9">
              <w:rPr>
                <w:rFonts w:eastAsia="Times New Roman" w:cs="Times New Roman"/>
                <w:sz w:val="24"/>
                <w:szCs w:val="24"/>
                <w:lang w:eastAsia="lv-LV"/>
              </w:rPr>
              <w:t>darbībā un vadībā, kas ir iemantojoši kolektīva uzticību un cieņu) var radīt būtiskus riskus sekmīgai pārveides procesa realizēšanai un uzņēmuma sekmīgai vadībai pārmaiņu procesā.</w:t>
            </w:r>
            <w:r w:rsidR="006C31E6">
              <w:rPr>
                <w:rFonts w:eastAsia="Times New Roman" w:cs="Times New Roman"/>
                <w:sz w:val="24"/>
                <w:szCs w:val="24"/>
                <w:lang w:eastAsia="lv-LV"/>
              </w:rPr>
              <w:t xml:space="preserve"> Turklāt, lai noturētu kompetentus darbiniekus, tiem ir jānosaka atlīdzība apmērā, kas ir konkurētspējīga ar citām kredītiestādēm vai finanšu</w:t>
            </w:r>
            <w:r w:rsidR="00D33603">
              <w:rPr>
                <w:rFonts w:eastAsia="Times New Roman" w:cs="Times New Roman"/>
                <w:sz w:val="24"/>
                <w:szCs w:val="24"/>
                <w:lang w:eastAsia="lv-LV"/>
              </w:rPr>
              <w:t xml:space="preserve"> sektorā </w:t>
            </w:r>
            <w:proofErr w:type="spellStart"/>
            <w:r w:rsidR="00D33603">
              <w:rPr>
                <w:rFonts w:eastAsia="Times New Roman" w:cs="Times New Roman"/>
                <w:sz w:val="24"/>
                <w:szCs w:val="24"/>
                <w:lang w:eastAsia="lv-LV"/>
              </w:rPr>
              <w:t>darbojošām</w:t>
            </w:r>
            <w:proofErr w:type="spellEnd"/>
            <w:r w:rsidR="00D33603">
              <w:rPr>
                <w:rFonts w:eastAsia="Times New Roman" w:cs="Times New Roman"/>
                <w:sz w:val="24"/>
                <w:szCs w:val="24"/>
                <w:lang w:eastAsia="lv-LV"/>
              </w:rPr>
              <w:t xml:space="preserve"> kapitālsabiedrībām</w:t>
            </w:r>
            <w:r w:rsidR="006C31E6">
              <w:rPr>
                <w:rFonts w:eastAsia="Times New Roman" w:cs="Times New Roman"/>
                <w:sz w:val="24"/>
                <w:szCs w:val="24"/>
                <w:lang w:eastAsia="lv-LV"/>
              </w:rPr>
              <w:t xml:space="preserve"> Latvijas Republikā, taču jāatzīmē, ka </w:t>
            </w:r>
            <w:r w:rsidR="001E6648">
              <w:rPr>
                <w:rFonts w:eastAsia="Times New Roman" w:cs="Times New Roman"/>
                <w:sz w:val="24"/>
                <w:szCs w:val="24"/>
                <w:lang w:eastAsia="lv-LV"/>
              </w:rPr>
              <w:t xml:space="preserve">šobrīd </w:t>
            </w:r>
            <w:r w:rsidR="006C31E6" w:rsidRPr="001E6648">
              <w:rPr>
                <w:rFonts w:eastAsia="Times New Roman" w:cs="Times New Roman"/>
                <w:sz w:val="24"/>
                <w:szCs w:val="24"/>
                <w:lang w:eastAsia="lv-LV"/>
              </w:rPr>
              <w:t xml:space="preserve">Hipotēku </w:t>
            </w:r>
            <w:r w:rsidR="006C31E6">
              <w:rPr>
                <w:rFonts w:eastAsia="Times New Roman" w:cs="Times New Roman"/>
                <w:sz w:val="24"/>
                <w:szCs w:val="24"/>
                <w:lang w:eastAsia="lv-LV"/>
              </w:rPr>
              <w:t>bankas atsevišķu darbinieku atlīdzība ir lielāka kā valdes locekļu ikmēneša atlīdzība.</w:t>
            </w:r>
          </w:p>
          <w:p w:rsidR="00B771F7" w:rsidRPr="00B771F7" w:rsidRDefault="00B771F7" w:rsidP="00B771F7">
            <w:pPr>
              <w:jc w:val="both"/>
              <w:rPr>
                <w:rFonts w:eastAsia="Times New Roman" w:cs="Times New Roman"/>
                <w:sz w:val="24"/>
                <w:szCs w:val="24"/>
                <w:lang w:eastAsia="lv-LV"/>
              </w:rPr>
            </w:pPr>
            <w:r w:rsidRPr="00B771F7">
              <w:rPr>
                <w:rFonts w:eastAsia="Times New Roman" w:cs="Times New Roman"/>
                <w:sz w:val="24"/>
                <w:szCs w:val="24"/>
                <w:lang w:eastAsia="lv-LV"/>
              </w:rPr>
              <w:t xml:space="preserve">2011.gada </w:t>
            </w:r>
            <w:r w:rsidR="00E87D6E">
              <w:rPr>
                <w:rFonts w:eastAsia="Times New Roman" w:cs="Times New Roman"/>
                <w:sz w:val="24"/>
                <w:szCs w:val="24"/>
                <w:lang w:eastAsia="lv-LV"/>
              </w:rPr>
              <w:t>11</w:t>
            </w:r>
            <w:r w:rsidRPr="00B771F7">
              <w:rPr>
                <w:rFonts w:eastAsia="Times New Roman" w:cs="Times New Roman"/>
                <w:sz w:val="24"/>
                <w:szCs w:val="24"/>
                <w:lang w:eastAsia="lv-LV"/>
              </w:rPr>
              <w:t xml:space="preserve"> mēnešos 3</w:t>
            </w:r>
            <w:r w:rsidR="0042337F">
              <w:rPr>
                <w:rFonts w:eastAsia="Times New Roman" w:cs="Times New Roman"/>
                <w:sz w:val="24"/>
                <w:szCs w:val="24"/>
                <w:lang w:eastAsia="lv-LV"/>
              </w:rPr>
              <w:t>5</w:t>
            </w:r>
            <w:r w:rsidRPr="00B771F7">
              <w:rPr>
                <w:rFonts w:eastAsia="Times New Roman" w:cs="Times New Roman"/>
                <w:sz w:val="24"/>
                <w:szCs w:val="24"/>
                <w:lang w:eastAsia="lv-LV"/>
              </w:rPr>
              <w:t xml:space="preserve"> darbinieki ir pārtraukuši darba tiesiskās attiecības ar</w:t>
            </w:r>
            <w:r w:rsidR="00513388">
              <w:rPr>
                <w:rFonts w:eastAsia="Times New Roman" w:cs="Times New Roman"/>
                <w:sz w:val="24"/>
                <w:szCs w:val="24"/>
                <w:lang w:eastAsia="lv-LV"/>
              </w:rPr>
              <w:t xml:space="preserve"> </w:t>
            </w:r>
            <w:r w:rsidR="00E87D6E">
              <w:rPr>
                <w:rFonts w:eastAsia="Times New Roman" w:cs="Times New Roman"/>
                <w:sz w:val="24"/>
                <w:szCs w:val="24"/>
                <w:lang w:eastAsia="lv-LV"/>
              </w:rPr>
              <w:t xml:space="preserve"> </w:t>
            </w:r>
            <w:r w:rsidR="00513388">
              <w:rPr>
                <w:rFonts w:eastAsia="Times New Roman" w:cs="Times New Roman"/>
                <w:sz w:val="24"/>
                <w:szCs w:val="24"/>
                <w:lang w:eastAsia="lv-LV"/>
              </w:rPr>
              <w:t xml:space="preserve"> Hipotēku bank</w:t>
            </w:r>
            <w:r w:rsidR="00E87D6E">
              <w:rPr>
                <w:rFonts w:eastAsia="Times New Roman" w:cs="Times New Roman"/>
                <w:sz w:val="24"/>
                <w:szCs w:val="24"/>
                <w:lang w:eastAsia="lv-LV"/>
              </w:rPr>
              <w:t>u</w:t>
            </w:r>
            <w:r w:rsidRPr="00B771F7">
              <w:rPr>
                <w:rFonts w:eastAsia="Times New Roman" w:cs="Times New Roman"/>
                <w:sz w:val="24"/>
                <w:szCs w:val="24"/>
                <w:lang w:eastAsia="lv-LV"/>
              </w:rPr>
              <w:t xml:space="preserve"> pēc savas iniciatīvas, jo ir saņēmuši izdevīgāku piedāvājumu (atalgojums un labumi, karjeras izaugsmes iespējas ilgtermiņā, darba vietas stabilitāte) no citām finanšu pakalpojumu sniedzošām kapitālsabiedrībām vai darba devējiem privātajā sektorā (t.sk. starptautiskiem uzņēmumiem). Tā piemēram, 1</w:t>
            </w:r>
            <w:r w:rsidR="0042337F">
              <w:rPr>
                <w:rFonts w:eastAsia="Times New Roman" w:cs="Times New Roman"/>
                <w:sz w:val="24"/>
                <w:szCs w:val="24"/>
                <w:lang w:eastAsia="lv-LV"/>
              </w:rPr>
              <w:t>8</w:t>
            </w:r>
            <w:r w:rsidRPr="00B771F7">
              <w:rPr>
                <w:rFonts w:eastAsia="Times New Roman" w:cs="Times New Roman"/>
                <w:sz w:val="24"/>
                <w:szCs w:val="24"/>
                <w:lang w:eastAsia="lv-LV"/>
              </w:rPr>
              <w:t xml:space="preserve"> no 3</w:t>
            </w:r>
            <w:r w:rsidR="0042337F">
              <w:rPr>
                <w:rFonts w:eastAsia="Times New Roman" w:cs="Times New Roman"/>
                <w:sz w:val="24"/>
                <w:szCs w:val="24"/>
                <w:lang w:eastAsia="lv-LV"/>
              </w:rPr>
              <w:t>5</w:t>
            </w:r>
            <w:r w:rsidRPr="00B771F7">
              <w:rPr>
                <w:rFonts w:eastAsia="Times New Roman" w:cs="Times New Roman"/>
                <w:sz w:val="24"/>
                <w:szCs w:val="24"/>
                <w:lang w:eastAsia="lv-LV"/>
              </w:rPr>
              <w:t xml:space="preserve"> darbiniekiem par darba attiecību pārtraukšanas iemeslu ir minējuši darba piedāvājumu kādā no Latvijas komercbankām ar salīdzinoši lielu darba algas pieaugumu – līdz pat 20 – 30% no esošās darba samaksas attiecīgā amatu grupā Hipotēku bankā šobrīd. Būtiski, ka 2</w:t>
            </w:r>
            <w:r w:rsidR="0042337F">
              <w:rPr>
                <w:rFonts w:eastAsia="Times New Roman" w:cs="Times New Roman"/>
                <w:sz w:val="24"/>
                <w:szCs w:val="24"/>
                <w:lang w:eastAsia="lv-LV"/>
              </w:rPr>
              <w:t>3</w:t>
            </w:r>
            <w:r w:rsidRPr="00B771F7">
              <w:rPr>
                <w:rFonts w:eastAsia="Times New Roman" w:cs="Times New Roman"/>
                <w:sz w:val="24"/>
                <w:szCs w:val="24"/>
                <w:lang w:eastAsia="lv-LV"/>
              </w:rPr>
              <w:t xml:space="preserve"> no 3</w:t>
            </w:r>
            <w:r w:rsidR="0042337F">
              <w:rPr>
                <w:rFonts w:eastAsia="Times New Roman" w:cs="Times New Roman"/>
                <w:sz w:val="24"/>
                <w:szCs w:val="24"/>
                <w:lang w:eastAsia="lv-LV"/>
              </w:rPr>
              <w:t>5</w:t>
            </w:r>
            <w:r w:rsidRPr="00B771F7">
              <w:rPr>
                <w:rFonts w:eastAsia="Times New Roman" w:cs="Times New Roman"/>
                <w:sz w:val="24"/>
                <w:szCs w:val="24"/>
                <w:lang w:eastAsia="lv-LV"/>
              </w:rPr>
              <w:t xml:space="preserve"> darbiniekiem, kuri ir pārtraukuši darba attiecības ar Hipotēku banku, ir bijuši augstas kompetences darbinieki ar ilgstošu darba stāžu bankā, kas ir t.s. riska amatu grupu pārstāvji jeb t.s. atslēgas darbinieki – kredītdarbinieki, riska analītiķi, augstas kompetences IT speciālisti, vadošie darbinieki – struktūrvienību un apakšstruktūru vadītāji. Hipotēku banka iepriekšējo gadu gaitā ir ieguldījusi līdzekļus personāla attīstībā (kursi, semināri u.c. kvalifikācijas uzlabošanas pasākumi), kas tiek zaudēti gadījumos, kad kvalificēti speciālisti tiek pārvilināti uz citiem finanšu nozares uzņēmumiem. Jau šobrīd šādu darbinieku aiziešana rada draudus sekmīgas Hipotēku bankas komercdaļas atsavināšanas procesa realizēšanai.</w:t>
            </w:r>
          </w:p>
          <w:p w:rsidR="00B771F7" w:rsidRPr="00B771F7" w:rsidRDefault="00B771F7" w:rsidP="00B771F7">
            <w:pPr>
              <w:jc w:val="both"/>
              <w:rPr>
                <w:rFonts w:eastAsia="Times New Roman" w:cs="Times New Roman"/>
                <w:sz w:val="24"/>
                <w:szCs w:val="24"/>
                <w:lang w:eastAsia="lv-LV"/>
              </w:rPr>
            </w:pPr>
            <w:r w:rsidRPr="00B771F7">
              <w:rPr>
                <w:rFonts w:eastAsia="Times New Roman" w:cs="Times New Roman"/>
                <w:sz w:val="24"/>
                <w:szCs w:val="24"/>
                <w:lang w:eastAsia="lv-LV"/>
              </w:rPr>
              <w:t>Hipotēku bankai ir problēmas piesaistīt augstas kompetences un atbilstošas darba pieredzes jaunos darbiniekus, jo kvalificētu darbinieku ar pieredzi finanšu/banku sektorā darba samaksas prasības visbiežāk ir augstākā līmenī nekā esošais attiecīgā amata veicēju (ar līdzvērtīgu vai pat augstāku kompetenci) Hipotēku bankā.</w:t>
            </w:r>
            <w:r w:rsidR="006C31E6">
              <w:rPr>
                <w:rFonts w:eastAsia="Times New Roman" w:cs="Times New Roman"/>
                <w:sz w:val="24"/>
                <w:szCs w:val="24"/>
                <w:lang w:eastAsia="lv-LV"/>
              </w:rPr>
              <w:t xml:space="preserve"> Minētais risks pastāv arī gadījumā, ja Hipotēku bankas valdē būtu jāievēl jauni valdes locekļi</w:t>
            </w:r>
            <w:r w:rsidR="00E87D6E">
              <w:rPr>
                <w:rFonts w:eastAsia="Times New Roman" w:cs="Times New Roman"/>
                <w:sz w:val="24"/>
                <w:szCs w:val="24"/>
                <w:lang w:eastAsia="lv-LV"/>
              </w:rPr>
              <w:t xml:space="preserve"> vai jāpārvēl esošie, jo finansiāli daudz </w:t>
            </w:r>
            <w:proofErr w:type="spellStart"/>
            <w:r w:rsidR="00E87D6E">
              <w:rPr>
                <w:rFonts w:eastAsia="Times New Roman" w:cs="Times New Roman"/>
                <w:sz w:val="24"/>
                <w:szCs w:val="24"/>
                <w:lang w:eastAsia="lv-LV"/>
              </w:rPr>
              <w:t>motivētāk</w:t>
            </w:r>
            <w:proofErr w:type="spellEnd"/>
            <w:r w:rsidR="00E87D6E">
              <w:rPr>
                <w:rFonts w:eastAsia="Times New Roman" w:cs="Times New Roman"/>
                <w:sz w:val="24"/>
                <w:szCs w:val="24"/>
                <w:lang w:eastAsia="lv-LV"/>
              </w:rPr>
              <w:t xml:space="preserve"> ir strādāt Hipotēku bankā kā darbiniekam, nevis valdes loceklim, turklāt arī Hipotēku bankas valdes locekļi nopietni apsver </w:t>
            </w:r>
            <w:r w:rsidR="0042337F">
              <w:rPr>
                <w:rFonts w:eastAsia="Times New Roman" w:cs="Times New Roman"/>
                <w:sz w:val="24"/>
                <w:szCs w:val="24"/>
                <w:lang w:eastAsia="lv-LV"/>
              </w:rPr>
              <w:t>iespēju neturpināt savu darbu Hipotēku bankas valdē</w:t>
            </w:r>
            <w:r w:rsidR="00E87D6E">
              <w:rPr>
                <w:rFonts w:eastAsia="Times New Roman" w:cs="Times New Roman"/>
                <w:sz w:val="24"/>
                <w:szCs w:val="24"/>
                <w:lang w:eastAsia="lv-LV"/>
              </w:rPr>
              <w:t xml:space="preserve">. </w:t>
            </w:r>
          </w:p>
          <w:p w:rsidR="00B771F7" w:rsidRPr="00B771F7" w:rsidRDefault="00B771F7" w:rsidP="00B771F7">
            <w:pPr>
              <w:jc w:val="both"/>
              <w:rPr>
                <w:rFonts w:eastAsia="Times New Roman" w:cs="Times New Roman"/>
                <w:sz w:val="24"/>
                <w:szCs w:val="24"/>
                <w:lang w:eastAsia="lv-LV"/>
              </w:rPr>
            </w:pPr>
            <w:r w:rsidRPr="00B771F7">
              <w:rPr>
                <w:rFonts w:eastAsia="Times New Roman" w:cs="Times New Roman"/>
                <w:sz w:val="24"/>
                <w:szCs w:val="24"/>
                <w:lang w:eastAsia="lv-LV"/>
              </w:rPr>
              <w:t xml:space="preserve">           Līdz ar to Hipotēku bankai tik svarīgajā pārveides procesā ir būtiski nezaudēt </w:t>
            </w:r>
            <w:r w:rsidR="0042337F">
              <w:rPr>
                <w:rFonts w:eastAsia="Times New Roman" w:cs="Times New Roman"/>
                <w:sz w:val="24"/>
                <w:szCs w:val="24"/>
                <w:lang w:eastAsia="lv-LV"/>
              </w:rPr>
              <w:t xml:space="preserve">ne vien </w:t>
            </w:r>
            <w:r w:rsidRPr="00B771F7">
              <w:rPr>
                <w:rFonts w:eastAsia="Times New Roman" w:cs="Times New Roman"/>
                <w:sz w:val="24"/>
                <w:szCs w:val="24"/>
                <w:lang w:eastAsia="lv-LV"/>
              </w:rPr>
              <w:t>stratēģiski svarīgus, augstas kompetences un pieredzes bagātus darbiniekus</w:t>
            </w:r>
            <w:r w:rsidR="006C31E6">
              <w:rPr>
                <w:rFonts w:eastAsia="Times New Roman" w:cs="Times New Roman"/>
                <w:sz w:val="24"/>
                <w:szCs w:val="24"/>
                <w:lang w:eastAsia="lv-LV"/>
              </w:rPr>
              <w:t xml:space="preserve">, </w:t>
            </w:r>
            <w:r w:rsidR="0042337F">
              <w:rPr>
                <w:rFonts w:eastAsia="Times New Roman" w:cs="Times New Roman"/>
                <w:sz w:val="24"/>
                <w:szCs w:val="24"/>
                <w:lang w:eastAsia="lv-LV"/>
              </w:rPr>
              <w:t>bet arī</w:t>
            </w:r>
            <w:r w:rsidR="006C31E6">
              <w:rPr>
                <w:rFonts w:eastAsia="Times New Roman" w:cs="Times New Roman"/>
                <w:sz w:val="24"/>
                <w:szCs w:val="24"/>
                <w:lang w:eastAsia="lv-LV"/>
              </w:rPr>
              <w:t xml:space="preserve"> pieredzējušus un procesā </w:t>
            </w:r>
            <w:r w:rsidR="00D33603">
              <w:rPr>
                <w:rFonts w:eastAsia="Times New Roman" w:cs="Times New Roman"/>
                <w:sz w:val="24"/>
                <w:szCs w:val="24"/>
                <w:lang w:eastAsia="lv-LV"/>
              </w:rPr>
              <w:t xml:space="preserve">aktīvi </w:t>
            </w:r>
            <w:r w:rsidR="006C31E6">
              <w:rPr>
                <w:rFonts w:eastAsia="Times New Roman" w:cs="Times New Roman"/>
                <w:sz w:val="24"/>
                <w:szCs w:val="24"/>
                <w:lang w:eastAsia="lv-LV"/>
              </w:rPr>
              <w:t>iesaistītus valdes locekļus</w:t>
            </w:r>
            <w:r w:rsidRPr="00B771F7">
              <w:rPr>
                <w:rFonts w:eastAsia="Times New Roman" w:cs="Times New Roman"/>
                <w:sz w:val="24"/>
                <w:szCs w:val="24"/>
                <w:lang w:eastAsia="lv-LV"/>
              </w:rPr>
              <w:t xml:space="preserve">.  </w:t>
            </w:r>
          </w:p>
          <w:p w:rsidR="00B771F7" w:rsidRPr="00B771F7" w:rsidRDefault="00B771F7" w:rsidP="0042337F">
            <w:pPr>
              <w:jc w:val="both"/>
              <w:rPr>
                <w:rFonts w:eastAsia="Times New Roman" w:cs="Times New Roman"/>
                <w:sz w:val="24"/>
                <w:szCs w:val="24"/>
                <w:lang w:eastAsia="lv-LV"/>
              </w:rPr>
            </w:pPr>
            <w:r w:rsidRPr="00B771F7">
              <w:rPr>
                <w:rFonts w:eastAsia="Times New Roman" w:cs="Times New Roman"/>
                <w:sz w:val="24"/>
                <w:szCs w:val="24"/>
                <w:lang w:eastAsia="lv-LV"/>
              </w:rPr>
              <w:t xml:space="preserve">Tādējādi būtu steidzami nepieciešams pārskatīt valsts </w:t>
            </w:r>
            <w:r w:rsidRPr="00B771F7">
              <w:rPr>
                <w:rFonts w:eastAsia="Times New Roman" w:cs="Times New Roman"/>
                <w:sz w:val="24"/>
                <w:szCs w:val="24"/>
                <w:lang w:eastAsia="lv-LV"/>
              </w:rPr>
              <w:lastRenderedPageBreak/>
              <w:t>kapitālsabiedrībām</w:t>
            </w:r>
            <w:r w:rsidR="00E87D6E">
              <w:rPr>
                <w:rFonts w:eastAsia="Times New Roman" w:cs="Times New Roman"/>
                <w:sz w:val="24"/>
                <w:szCs w:val="24"/>
                <w:lang w:eastAsia="lv-LV"/>
              </w:rPr>
              <w:t xml:space="preserve">, kas darbojas kā kredītiestāde, </w:t>
            </w:r>
            <w:r w:rsidRPr="00B771F7">
              <w:rPr>
                <w:rFonts w:eastAsia="Times New Roman" w:cs="Times New Roman"/>
                <w:sz w:val="24"/>
                <w:szCs w:val="24"/>
                <w:lang w:eastAsia="lv-LV"/>
              </w:rPr>
              <w:t>noteiktos atalgojuma ierobežojumus attiecībā uz Hipotēku banku un tās koncerna uzņēmumiem</w:t>
            </w:r>
            <w:r w:rsidR="0042337F">
              <w:rPr>
                <w:rFonts w:eastAsia="Times New Roman" w:cs="Times New Roman"/>
                <w:sz w:val="24"/>
                <w:szCs w:val="24"/>
                <w:lang w:eastAsia="lv-LV"/>
              </w:rPr>
              <w:t xml:space="preserve">.  </w:t>
            </w:r>
          </w:p>
          <w:p w:rsidR="00B771F7" w:rsidRPr="001E4C52" w:rsidRDefault="00B771F7" w:rsidP="00B771F7">
            <w:pPr>
              <w:jc w:val="both"/>
              <w:rPr>
                <w:rFonts w:eastAsia="Times New Roman" w:cs="Times New Roman"/>
                <w:sz w:val="24"/>
                <w:szCs w:val="24"/>
                <w:u w:val="single"/>
                <w:lang w:eastAsia="lv-LV"/>
              </w:rPr>
            </w:pPr>
            <w:r w:rsidRPr="00B771F7">
              <w:rPr>
                <w:rFonts w:eastAsia="Times New Roman" w:cs="Times New Roman"/>
                <w:sz w:val="24"/>
                <w:szCs w:val="24"/>
                <w:lang w:eastAsia="lv-LV"/>
              </w:rPr>
              <w:t xml:space="preserve">Banku pakalpojumus Latvijā uz 30.04.2011. sniedza 30 komercbankas. </w:t>
            </w:r>
            <w:r w:rsidRPr="001E4C52">
              <w:rPr>
                <w:rFonts w:eastAsia="Times New Roman" w:cs="Times New Roman"/>
                <w:sz w:val="24"/>
                <w:szCs w:val="24"/>
                <w:u w:val="single"/>
                <w:lang w:eastAsia="lv-LV"/>
              </w:rPr>
              <w:t>Hipotēku bankas darbības nozare un veicamo uzdevumu specifika nosaka to, ka personālam</w:t>
            </w:r>
            <w:r w:rsidR="00D33603">
              <w:rPr>
                <w:rFonts w:eastAsia="Times New Roman" w:cs="Times New Roman"/>
                <w:sz w:val="24"/>
                <w:szCs w:val="24"/>
                <w:u w:val="single"/>
                <w:lang w:eastAsia="lv-LV"/>
              </w:rPr>
              <w:t>, tostarp valdes locekļiem,</w:t>
            </w:r>
            <w:r w:rsidRPr="001E4C52">
              <w:rPr>
                <w:rFonts w:eastAsia="Times New Roman" w:cs="Times New Roman"/>
                <w:sz w:val="24"/>
                <w:szCs w:val="24"/>
                <w:u w:val="single"/>
                <w:lang w:eastAsia="lv-LV"/>
              </w:rPr>
              <w:t xml:space="preserve"> nepieciešamās speciālās zināšanas, izglītība un pieredze ir līdzīgas kā finanšu pakalpojumu nozarē</w:t>
            </w:r>
            <w:r w:rsidR="00D33603">
              <w:rPr>
                <w:rFonts w:eastAsia="Times New Roman" w:cs="Times New Roman"/>
                <w:sz w:val="24"/>
                <w:szCs w:val="24"/>
                <w:u w:val="single"/>
                <w:lang w:eastAsia="lv-LV"/>
              </w:rPr>
              <w:t>, t</w:t>
            </w:r>
            <w:r w:rsidRPr="001E4C52">
              <w:rPr>
                <w:rFonts w:eastAsia="Times New Roman" w:cs="Times New Roman"/>
                <w:sz w:val="24"/>
                <w:szCs w:val="24"/>
                <w:u w:val="single"/>
                <w:lang w:eastAsia="lv-LV"/>
              </w:rPr>
              <w:t>ādējādi Hipotēku bankā un tās meitas sabiedrībās strādājošie darbinieki</w:t>
            </w:r>
            <w:r w:rsidR="0042337F">
              <w:rPr>
                <w:rFonts w:eastAsia="Times New Roman" w:cs="Times New Roman"/>
                <w:sz w:val="24"/>
                <w:szCs w:val="24"/>
                <w:u w:val="single"/>
                <w:lang w:eastAsia="lv-LV"/>
              </w:rPr>
              <w:t xml:space="preserve"> un valdes locekļi</w:t>
            </w:r>
            <w:r w:rsidRPr="001E4C52">
              <w:rPr>
                <w:rFonts w:eastAsia="Times New Roman" w:cs="Times New Roman"/>
                <w:sz w:val="24"/>
                <w:szCs w:val="24"/>
                <w:u w:val="single"/>
                <w:lang w:eastAsia="lv-LV"/>
              </w:rPr>
              <w:t>, kuriem ir nepieciešamā kvalifikācija, atrodas vienotā darba tirgū ar komercbankām un cit</w:t>
            </w:r>
            <w:r w:rsidR="0042337F">
              <w:rPr>
                <w:rFonts w:eastAsia="Times New Roman" w:cs="Times New Roman"/>
                <w:sz w:val="24"/>
                <w:szCs w:val="24"/>
                <w:u w:val="single"/>
                <w:lang w:eastAsia="lv-LV"/>
              </w:rPr>
              <w:t>ām</w:t>
            </w:r>
            <w:r w:rsidR="001E4C52">
              <w:rPr>
                <w:rFonts w:eastAsia="Times New Roman" w:cs="Times New Roman"/>
                <w:sz w:val="24"/>
                <w:szCs w:val="24"/>
                <w:u w:val="single"/>
                <w:lang w:eastAsia="lv-LV"/>
              </w:rPr>
              <w:t xml:space="preserve"> </w:t>
            </w:r>
            <w:r w:rsidRPr="001E4C52">
              <w:rPr>
                <w:rFonts w:eastAsia="Times New Roman" w:cs="Times New Roman"/>
                <w:sz w:val="24"/>
                <w:szCs w:val="24"/>
                <w:u w:val="single"/>
                <w:lang w:eastAsia="lv-LV"/>
              </w:rPr>
              <w:t>finanšu sektorā strādājošām kapitālsabiedrībām, kuru vairākums pārstāv privāto sektoru.  Šobrīd Hipotēku banka kā darba devējs nevar nodrošināt līdzvērtīgus nosacījumus ar citiem finanšu pakalpojumu nozares uzņēmumiem</w:t>
            </w:r>
            <w:r w:rsidR="00E87D6E">
              <w:rPr>
                <w:rFonts w:eastAsia="Times New Roman" w:cs="Times New Roman"/>
                <w:sz w:val="24"/>
                <w:szCs w:val="24"/>
                <w:u w:val="single"/>
                <w:lang w:eastAsia="lv-LV"/>
              </w:rPr>
              <w:t xml:space="preserve"> tās valdes locekļiem</w:t>
            </w:r>
            <w:r w:rsidRPr="001E4C52">
              <w:rPr>
                <w:rFonts w:eastAsia="Times New Roman" w:cs="Times New Roman"/>
                <w:sz w:val="24"/>
                <w:szCs w:val="24"/>
                <w:u w:val="single"/>
                <w:lang w:eastAsia="lv-LV"/>
              </w:rPr>
              <w:t>.</w:t>
            </w:r>
          </w:p>
          <w:p w:rsidR="00B771F7" w:rsidRPr="00B771F7" w:rsidRDefault="00B771F7" w:rsidP="00B771F7">
            <w:pPr>
              <w:jc w:val="both"/>
              <w:rPr>
                <w:rFonts w:eastAsia="Times New Roman" w:cs="Times New Roman"/>
                <w:sz w:val="24"/>
                <w:szCs w:val="24"/>
                <w:lang w:eastAsia="lv-LV"/>
              </w:rPr>
            </w:pPr>
            <w:r w:rsidRPr="00B771F7">
              <w:rPr>
                <w:rFonts w:eastAsia="Times New Roman" w:cs="Times New Roman"/>
                <w:sz w:val="24"/>
                <w:szCs w:val="24"/>
                <w:lang w:eastAsia="lv-LV"/>
              </w:rPr>
              <w:t>Lai nodrošinātu atbilstošu atlīdzību Hipotēku bankas valdes locekļiem Hipotēku bankas komercdaļas atsavināšanas procesā un attīstības bankas izveidošanā, nodrošinot līdzvērtīgu atlīdzību ar finanšu sektoru, nepieciešams veikt grozījumus likumā „Par valsts un pašvaldību kapitāla daļām un kapitālsabiedrībām”. Saskaņā ar pēdējiem pieejamiem Fontes finanšu sektora pētījuma datiem valdes priekšsēdētāja mēnešalgas līmenis kapitālsabiedrībā, kurā valdes priekšsēdētājs pārvalda arī kādu galveno biznesa funkciju un kur strādā vairāk kā 500 darbinieki, ir līdz pat 70% lielāks nekā šobrīd noteiktā Hipotēku bankas valdes priekšsēdētāja mēnešalga, līdzvērtīgas kapitālsabiedrības valdes locekļu mēnešalgas lielums – līdz 50% lielāks nekā esošais Hipotēku bankas valdes locekļu mēnešalgas lielums</w:t>
            </w:r>
            <w:r w:rsidR="0042337F">
              <w:rPr>
                <w:rFonts w:eastAsia="Times New Roman" w:cs="Times New Roman"/>
                <w:sz w:val="24"/>
                <w:szCs w:val="24"/>
                <w:lang w:eastAsia="lv-LV"/>
              </w:rPr>
              <w:t>, kas liecina par nesamērīgi zem</w:t>
            </w:r>
            <w:r w:rsidR="00D33603">
              <w:rPr>
                <w:rFonts w:eastAsia="Times New Roman" w:cs="Times New Roman"/>
                <w:sz w:val="24"/>
                <w:szCs w:val="24"/>
                <w:lang w:eastAsia="lv-LV"/>
              </w:rPr>
              <w:t>u</w:t>
            </w:r>
            <w:r w:rsidR="0042337F">
              <w:rPr>
                <w:rFonts w:eastAsia="Times New Roman" w:cs="Times New Roman"/>
                <w:sz w:val="24"/>
                <w:szCs w:val="24"/>
                <w:lang w:eastAsia="lv-LV"/>
              </w:rPr>
              <w:t xml:space="preserve"> atalgojumu Hipotēku bankas valdes locekļiem, salīdzinot ar situāciju citās kredītiestādēs vai finanšu sektorā darbojošos kapitālsabiedrību valdes locekļu atalgojumu</w:t>
            </w:r>
            <w:r w:rsidRPr="00B771F7">
              <w:rPr>
                <w:rFonts w:eastAsia="Times New Roman" w:cs="Times New Roman"/>
                <w:sz w:val="24"/>
                <w:szCs w:val="24"/>
                <w:lang w:eastAsia="lv-LV"/>
              </w:rPr>
              <w:t xml:space="preserve">. Papildus tam </w:t>
            </w:r>
            <w:r w:rsidR="0042337F">
              <w:rPr>
                <w:rFonts w:eastAsia="Times New Roman" w:cs="Times New Roman"/>
                <w:sz w:val="24"/>
                <w:szCs w:val="24"/>
                <w:lang w:eastAsia="lv-LV"/>
              </w:rPr>
              <w:t xml:space="preserve">citu kredītiestāžu </w:t>
            </w:r>
            <w:r w:rsidRPr="00B771F7">
              <w:rPr>
                <w:rFonts w:eastAsia="Times New Roman" w:cs="Times New Roman"/>
                <w:sz w:val="24"/>
                <w:szCs w:val="24"/>
                <w:lang w:eastAsia="lv-LV"/>
              </w:rPr>
              <w:t xml:space="preserve">valdes locekļu motivācijā tiek ietverti papildus materiālie labumi, kas atbilstoši </w:t>
            </w:r>
            <w:r w:rsidR="0042337F">
              <w:rPr>
                <w:rFonts w:eastAsia="Times New Roman" w:cs="Times New Roman"/>
                <w:sz w:val="24"/>
                <w:szCs w:val="24"/>
                <w:lang w:eastAsia="lv-LV"/>
              </w:rPr>
              <w:t>spēkā esošajiem normatīvajiem aktiem</w:t>
            </w:r>
            <w:r w:rsidR="0042337F" w:rsidRPr="00B771F7">
              <w:rPr>
                <w:rFonts w:eastAsia="Times New Roman" w:cs="Times New Roman"/>
                <w:sz w:val="24"/>
                <w:szCs w:val="24"/>
                <w:lang w:eastAsia="lv-LV"/>
              </w:rPr>
              <w:t xml:space="preserve"> </w:t>
            </w:r>
            <w:r w:rsidRPr="00B771F7">
              <w:rPr>
                <w:rFonts w:eastAsia="Times New Roman" w:cs="Times New Roman"/>
                <w:sz w:val="24"/>
                <w:szCs w:val="24"/>
                <w:lang w:eastAsia="lv-LV"/>
              </w:rPr>
              <w:t>nav atļaut Hipotēku bankas valdes locekļu motivācijā.</w:t>
            </w:r>
            <w:r w:rsidR="006C31E6">
              <w:rPr>
                <w:rFonts w:eastAsia="Times New Roman" w:cs="Times New Roman"/>
                <w:sz w:val="24"/>
                <w:szCs w:val="24"/>
                <w:lang w:eastAsia="lv-LV"/>
              </w:rPr>
              <w:t xml:space="preserve"> Šobrīd atbilstoši Hipotēku bankas statūtiem valde sastāv no pieciem valdes locekļiem.</w:t>
            </w:r>
          </w:p>
          <w:p w:rsidR="00C163EC" w:rsidRDefault="00EE658E" w:rsidP="00EE658E">
            <w:pPr>
              <w:jc w:val="both"/>
              <w:rPr>
                <w:rFonts w:eastAsia="Times New Roman" w:cs="Times New Roman"/>
                <w:sz w:val="24"/>
                <w:szCs w:val="24"/>
                <w:lang w:eastAsia="lv-LV"/>
              </w:rPr>
            </w:pPr>
            <w:r>
              <w:rPr>
                <w:rFonts w:eastAsia="Times New Roman" w:cs="Times New Roman"/>
                <w:sz w:val="24"/>
                <w:szCs w:val="24"/>
                <w:lang w:eastAsia="lv-LV"/>
              </w:rPr>
              <w:t>Iepriekš minētais</w:t>
            </w:r>
            <w:r w:rsidRPr="00EE658E">
              <w:rPr>
                <w:rFonts w:eastAsia="Times New Roman" w:cs="Times New Roman"/>
                <w:sz w:val="24"/>
                <w:szCs w:val="24"/>
                <w:lang w:eastAsia="lv-LV"/>
              </w:rPr>
              <w:t xml:space="preserve"> ir aktuāl</w:t>
            </w:r>
            <w:r>
              <w:rPr>
                <w:rFonts w:eastAsia="Times New Roman" w:cs="Times New Roman"/>
                <w:sz w:val="24"/>
                <w:szCs w:val="24"/>
                <w:lang w:eastAsia="lv-LV"/>
              </w:rPr>
              <w:t>s</w:t>
            </w:r>
            <w:r w:rsidRPr="00EE658E">
              <w:rPr>
                <w:rFonts w:eastAsia="Times New Roman" w:cs="Times New Roman"/>
                <w:sz w:val="24"/>
                <w:szCs w:val="24"/>
                <w:lang w:eastAsia="lv-LV"/>
              </w:rPr>
              <w:t xml:space="preserve">, jo, pirmkārt, </w:t>
            </w:r>
            <w:r>
              <w:rPr>
                <w:rFonts w:eastAsia="Times New Roman" w:cs="Times New Roman"/>
                <w:sz w:val="24"/>
                <w:szCs w:val="24"/>
                <w:lang w:eastAsia="lv-LV"/>
              </w:rPr>
              <w:t xml:space="preserve">Hipotēku </w:t>
            </w:r>
            <w:r w:rsidRPr="00EE658E">
              <w:rPr>
                <w:rFonts w:eastAsia="Times New Roman" w:cs="Times New Roman"/>
                <w:sz w:val="24"/>
                <w:szCs w:val="24"/>
                <w:lang w:eastAsia="lv-LV"/>
              </w:rPr>
              <w:t xml:space="preserve">banka darbojas finanšu jomā un darbiniekiem, tāpat kā bankas valdes locekļiem ir nepieciešamas specifiskas zināšanas un pieredze, kāda tiek pieprasīta finanšu sektorā komercdarbību veicošām privātajām bankām, tajā pat laikā valstij piederošās bankas valdes locekļu atlīdzība tiek piemērota citām valstij piederošajām kapitālsabiedrībām, skolām, slimnīcām, kas nedarbojas finanšu sektorā un tāpēc kas nevar būt pamatots un adekvāts salīdzinājums. </w:t>
            </w:r>
            <w:r w:rsidR="00D33603">
              <w:rPr>
                <w:rFonts w:eastAsia="Times New Roman" w:cs="Times New Roman"/>
                <w:sz w:val="24"/>
                <w:szCs w:val="24"/>
                <w:lang w:eastAsia="lv-LV"/>
              </w:rPr>
              <w:t>A</w:t>
            </w:r>
            <w:r w:rsidR="001E4C52">
              <w:rPr>
                <w:rFonts w:eastAsia="Times New Roman" w:cs="Times New Roman"/>
                <w:sz w:val="24"/>
                <w:szCs w:val="24"/>
                <w:lang w:eastAsia="lv-LV"/>
              </w:rPr>
              <w:t>r</w:t>
            </w:r>
            <w:r w:rsidRPr="00EE658E">
              <w:rPr>
                <w:rFonts w:eastAsia="Times New Roman" w:cs="Times New Roman"/>
                <w:sz w:val="24"/>
                <w:szCs w:val="24"/>
                <w:lang w:eastAsia="lv-LV"/>
              </w:rPr>
              <w:t xml:space="preserve">ī Latvijas Bankas un Finanšu un kapitāla tirgus komisijas locekļu atlīdzība ir noteikta atšķirīgi no citiem valstij piederošo kapitālsabiedrību valžu locekļiem. </w:t>
            </w:r>
          </w:p>
          <w:p w:rsidR="00EE658E" w:rsidRPr="00EE658E" w:rsidRDefault="00EE658E" w:rsidP="00EE658E">
            <w:pPr>
              <w:jc w:val="both"/>
              <w:rPr>
                <w:rFonts w:eastAsia="Times New Roman" w:cs="Times New Roman"/>
                <w:sz w:val="24"/>
                <w:szCs w:val="24"/>
                <w:lang w:eastAsia="lv-LV"/>
              </w:rPr>
            </w:pPr>
            <w:r w:rsidRPr="00EE658E">
              <w:rPr>
                <w:rFonts w:eastAsia="Times New Roman" w:cs="Times New Roman"/>
                <w:sz w:val="24"/>
                <w:szCs w:val="24"/>
                <w:lang w:eastAsia="lv-LV"/>
              </w:rPr>
              <w:t xml:space="preserve">Lai nodrošinātu pilnvērtīgu uzņēmuma darbību, sekmīgi īstenotu </w:t>
            </w:r>
            <w:r w:rsidRPr="00B771F7">
              <w:rPr>
                <w:rFonts w:eastAsia="Times New Roman" w:cs="Times New Roman"/>
                <w:sz w:val="24"/>
                <w:szCs w:val="24"/>
                <w:lang w:eastAsia="lv-LV"/>
              </w:rPr>
              <w:t xml:space="preserve">Hipotēku bankas </w:t>
            </w:r>
            <w:r w:rsidRPr="00EE658E">
              <w:rPr>
                <w:rFonts w:eastAsia="Times New Roman" w:cs="Times New Roman"/>
                <w:sz w:val="24"/>
                <w:szCs w:val="24"/>
                <w:lang w:eastAsia="lv-LV"/>
              </w:rPr>
              <w:t xml:space="preserve">stratēģisko mērķu sasniegšanu arī bankas un tās meitas sabiedrību valdes locekļu amatu </w:t>
            </w:r>
            <w:r w:rsidRPr="00EE658E">
              <w:rPr>
                <w:rFonts w:eastAsia="Times New Roman" w:cs="Times New Roman"/>
                <w:sz w:val="24"/>
                <w:szCs w:val="24"/>
                <w:lang w:eastAsia="lv-LV"/>
              </w:rPr>
              <w:lastRenderedPageBreak/>
              <w:t>kvalifikācijas, darba pieredzes un kompetenču prasības ir nepieciešamas specifiskas finanšu sektoram un tās būtiski atšķiras no pārējo sabiedriskā sektora līdzvērtīgu amatu izvirzītajām kvalifikācijas prasībām, darba rakstura un atbildības analīzes</w:t>
            </w:r>
            <w:r w:rsidR="00D33603">
              <w:rPr>
                <w:rFonts w:eastAsia="Times New Roman" w:cs="Times New Roman"/>
                <w:sz w:val="24"/>
                <w:szCs w:val="24"/>
                <w:lang w:eastAsia="lv-LV"/>
              </w:rPr>
              <w:t>, tāpēc nebūtu pielīdzināms valsts sektorā strādājošo atalgojuma noteikšanas principiem, turklāt Hipotēku banka ir vienīgā valsts kapitālsabiedrība, kas darbojas  kā kredītiestāde.</w:t>
            </w:r>
            <w:r w:rsidRPr="00EE658E">
              <w:rPr>
                <w:rFonts w:eastAsia="Times New Roman" w:cs="Times New Roman"/>
                <w:sz w:val="24"/>
                <w:szCs w:val="24"/>
                <w:lang w:eastAsia="lv-LV"/>
              </w:rPr>
              <w:t xml:space="preserve"> </w:t>
            </w:r>
            <w:r w:rsidRPr="00B771F7">
              <w:rPr>
                <w:rFonts w:eastAsia="Times New Roman" w:cs="Times New Roman"/>
                <w:sz w:val="24"/>
                <w:szCs w:val="24"/>
                <w:lang w:eastAsia="lv-LV"/>
              </w:rPr>
              <w:t xml:space="preserve">Hipotēku bankas </w:t>
            </w:r>
            <w:r w:rsidRPr="00EE658E">
              <w:rPr>
                <w:rFonts w:eastAsia="Times New Roman" w:cs="Times New Roman"/>
                <w:sz w:val="24"/>
                <w:szCs w:val="24"/>
                <w:lang w:eastAsia="lv-LV"/>
              </w:rPr>
              <w:t xml:space="preserve">valdes locekļu un meitas uzņēmumu vadītāju amatu grupas vērtība amatu vērtēšanas rezultātā ieņem augstāko amata relatīvo vērtību, pret ko tiek attiecinātas pārējās amatu grupas uzņēmumā.   </w:t>
            </w:r>
          </w:p>
          <w:p w:rsidR="00EE658E" w:rsidRPr="00EE658E" w:rsidRDefault="00EE658E" w:rsidP="00EE658E">
            <w:pPr>
              <w:jc w:val="both"/>
              <w:rPr>
                <w:rFonts w:eastAsia="Times New Roman" w:cs="Times New Roman"/>
                <w:sz w:val="24"/>
                <w:szCs w:val="24"/>
                <w:lang w:eastAsia="lv-LV"/>
              </w:rPr>
            </w:pPr>
            <w:r w:rsidRPr="00EE658E">
              <w:rPr>
                <w:rFonts w:eastAsia="Times New Roman" w:cs="Times New Roman"/>
                <w:sz w:val="24"/>
                <w:szCs w:val="24"/>
                <w:lang w:eastAsia="lv-LV"/>
              </w:rPr>
              <w:t>Atlīdzības noteikšanai valdes locekļiem, kas ieņem amatu valsts un pašvaldību kapitālsabiedrībās, kas darbojas kā kredītiestāde vai ieguldījumu pārvaldes sabiedrība, ņemot par pamatu finanšu un apdrošināšanas jomā strādājošo vidējo darba samaksu un citus spēkā esošos attiecīgās sabiedrības lielumu raksturojoš</w:t>
            </w:r>
            <w:r>
              <w:rPr>
                <w:rFonts w:eastAsia="Times New Roman" w:cs="Times New Roman"/>
                <w:sz w:val="24"/>
                <w:szCs w:val="24"/>
                <w:lang w:eastAsia="lv-LV"/>
              </w:rPr>
              <w:t>os</w:t>
            </w:r>
            <w:r w:rsidRPr="00EE658E">
              <w:rPr>
                <w:rFonts w:eastAsia="Times New Roman" w:cs="Times New Roman"/>
                <w:sz w:val="24"/>
                <w:szCs w:val="24"/>
                <w:lang w:eastAsia="lv-LV"/>
              </w:rPr>
              <w:t xml:space="preserve"> kritērijus, galvenais arguments ir valdes locekļu kvalifikācijas, darba pieredzes, kompetenču, darba rakstura, riska līmeņa uzņemšanās un atbildības atbilstošs novērtējums finanšu sektora darbības specifikai, kurā reāli uzņēmums strādā un ir būtības piederīgs.</w:t>
            </w:r>
          </w:p>
          <w:p w:rsidR="006D1FA7" w:rsidRPr="009323A2" w:rsidRDefault="00EE658E" w:rsidP="00EE658E">
            <w:pPr>
              <w:jc w:val="both"/>
              <w:rPr>
                <w:rFonts w:eastAsia="Times New Roman" w:cs="Times New Roman"/>
                <w:sz w:val="24"/>
                <w:szCs w:val="24"/>
                <w:lang w:eastAsia="lv-LV"/>
              </w:rPr>
            </w:pPr>
            <w:r w:rsidRPr="00EE658E">
              <w:rPr>
                <w:rFonts w:eastAsia="Times New Roman" w:cs="Times New Roman"/>
                <w:sz w:val="24"/>
                <w:szCs w:val="24"/>
                <w:lang w:eastAsia="lv-LV"/>
              </w:rPr>
              <w:t>Saskaņā ar pēdējiem pieejamiem Fontes finanšu sektora pētījuma datiem valdes priekšsēdētāja mēnešalgas līmenis kapitālsabiedrībā, kurā valdes priekšsēdētājs pārvalda arī kādu galveno biznesa funkciju un kur strādā vairāk kā 500 darbinieki, ir līdz pat 70% lielāks nekā šobrīd noteiktā Hipotēku bankas valdes priekšsēdētāja mēnešalga, līdzvērtīgas kapitālsabiedrības valdes locekļu mēnešalgas lielums – līdz 50% lielāks nekā esošais Hipotēku bankas valdes locekļu mēnešalgas lielums. Papildus tam finanšu sektora kapitālsabiedrībās valdes locekļu motivācijā tiek ietverti citi papildus materiālie labumi, kas atbilstoši likumdošanai nav atļauts Hipotēku bankas valdes locekļu motivācijā, tādējādi neļaujot īstenot FKTK noteiktos atalgojuma politikas pamatprincipus bankas un tās meitas uzņēmumu valdes locekļiem kā augsta riska amatiem un izveidot atalgojuma politiku, kas būtu balstīta uz</w:t>
            </w:r>
            <w:r w:rsidR="006F11D9">
              <w:rPr>
                <w:rFonts w:eastAsia="Times New Roman" w:cs="Times New Roman"/>
                <w:sz w:val="24"/>
                <w:szCs w:val="24"/>
                <w:lang w:eastAsia="lv-LV"/>
              </w:rPr>
              <w:t xml:space="preserve"> ilgtermiņa mērķu sasniegšanu. </w:t>
            </w:r>
          </w:p>
        </w:tc>
      </w:tr>
      <w:tr w:rsidR="0070526D" w:rsidRPr="001513F9" w:rsidTr="008D75D8">
        <w:trPr>
          <w:trHeight w:val="725"/>
          <w:tblCellSpacing w:w="0" w:type="dxa"/>
        </w:trPr>
        <w:tc>
          <w:tcPr>
            <w:tcW w:w="528" w:type="dxa"/>
            <w:gridSpan w:val="2"/>
            <w:tcBorders>
              <w:top w:val="outset" w:sz="6" w:space="0" w:color="auto"/>
              <w:left w:val="outset" w:sz="6" w:space="0" w:color="auto"/>
              <w:bottom w:val="outset" w:sz="6" w:space="0" w:color="auto"/>
              <w:right w:val="outset" w:sz="6" w:space="0" w:color="auto"/>
            </w:tcBorders>
            <w:hideMark/>
          </w:tcPr>
          <w:p w:rsidR="0070526D" w:rsidRPr="001513F9" w:rsidRDefault="0070526D" w:rsidP="0070526D">
            <w:pPr>
              <w:spacing w:before="100" w:beforeAutospacing="1" w:after="100" w:afterAutospacing="1"/>
              <w:rPr>
                <w:rFonts w:eastAsia="Times New Roman" w:cs="Times New Roman"/>
                <w:sz w:val="24"/>
                <w:szCs w:val="24"/>
                <w:lang w:eastAsia="lv-LV"/>
              </w:rPr>
            </w:pPr>
            <w:r w:rsidRPr="001513F9">
              <w:rPr>
                <w:rFonts w:eastAsia="Times New Roman" w:cs="Times New Roman"/>
                <w:sz w:val="24"/>
                <w:szCs w:val="24"/>
                <w:lang w:eastAsia="lv-LV"/>
              </w:rPr>
              <w:lastRenderedPageBreak/>
              <w:t> 3.</w:t>
            </w:r>
          </w:p>
        </w:tc>
        <w:tc>
          <w:tcPr>
            <w:tcW w:w="2322" w:type="dxa"/>
            <w:tcBorders>
              <w:top w:val="outset" w:sz="6" w:space="0" w:color="auto"/>
              <w:left w:val="outset" w:sz="6" w:space="0" w:color="auto"/>
              <w:bottom w:val="outset" w:sz="6" w:space="0" w:color="auto"/>
              <w:right w:val="outset" w:sz="6" w:space="0" w:color="auto"/>
            </w:tcBorders>
            <w:hideMark/>
          </w:tcPr>
          <w:p w:rsidR="0070526D" w:rsidRPr="001513F9" w:rsidRDefault="0070526D" w:rsidP="0070526D">
            <w:pPr>
              <w:spacing w:before="100" w:beforeAutospacing="1" w:after="100" w:afterAutospacing="1"/>
              <w:rPr>
                <w:rFonts w:eastAsia="Times New Roman" w:cs="Times New Roman"/>
                <w:sz w:val="24"/>
                <w:szCs w:val="24"/>
                <w:lang w:eastAsia="lv-LV"/>
              </w:rPr>
            </w:pPr>
            <w:r w:rsidRPr="001513F9">
              <w:rPr>
                <w:rFonts w:eastAsia="Times New Roman" w:cs="Times New Roman"/>
                <w:sz w:val="24"/>
                <w:szCs w:val="24"/>
                <w:lang w:eastAsia="lv-LV"/>
              </w:rPr>
              <w:t> Saistītie politikas ietekmes novērtējumi un pētījumi</w:t>
            </w:r>
          </w:p>
        </w:tc>
        <w:tc>
          <w:tcPr>
            <w:tcW w:w="6251" w:type="dxa"/>
            <w:gridSpan w:val="3"/>
            <w:tcBorders>
              <w:top w:val="outset" w:sz="6" w:space="0" w:color="auto"/>
              <w:left w:val="outset" w:sz="6" w:space="0" w:color="auto"/>
              <w:bottom w:val="outset" w:sz="6" w:space="0" w:color="auto"/>
              <w:right w:val="outset" w:sz="6" w:space="0" w:color="auto"/>
            </w:tcBorders>
            <w:hideMark/>
          </w:tcPr>
          <w:p w:rsidR="0070526D" w:rsidRPr="001513F9" w:rsidRDefault="0093409E" w:rsidP="0070526D">
            <w:pPr>
              <w:spacing w:before="100" w:beforeAutospacing="1" w:after="100" w:afterAutospacing="1"/>
              <w:rPr>
                <w:rFonts w:eastAsia="Times New Roman" w:cs="Times New Roman"/>
                <w:sz w:val="24"/>
                <w:szCs w:val="24"/>
                <w:lang w:eastAsia="lv-LV"/>
              </w:rPr>
            </w:pPr>
            <w:r w:rsidRPr="001513F9">
              <w:rPr>
                <w:rFonts w:eastAsia="Times New Roman" w:cs="Times New Roman"/>
                <w:sz w:val="24"/>
                <w:szCs w:val="24"/>
                <w:lang w:eastAsia="lv-LV"/>
              </w:rPr>
              <w:t>Nav</w:t>
            </w:r>
            <w:r w:rsidR="00076A9C" w:rsidRPr="001513F9">
              <w:rPr>
                <w:rFonts w:eastAsia="Times New Roman" w:cs="Times New Roman"/>
                <w:sz w:val="24"/>
                <w:szCs w:val="24"/>
                <w:lang w:eastAsia="lv-LV"/>
              </w:rPr>
              <w:t xml:space="preserve"> attiecināms</w:t>
            </w:r>
          </w:p>
        </w:tc>
      </w:tr>
      <w:tr w:rsidR="0070526D" w:rsidRPr="001513F9" w:rsidTr="008D75D8">
        <w:trPr>
          <w:trHeight w:val="384"/>
          <w:tblCellSpacing w:w="0" w:type="dxa"/>
        </w:trPr>
        <w:tc>
          <w:tcPr>
            <w:tcW w:w="528" w:type="dxa"/>
            <w:gridSpan w:val="2"/>
            <w:tcBorders>
              <w:top w:val="outset" w:sz="6" w:space="0" w:color="auto"/>
              <w:left w:val="outset" w:sz="6" w:space="0" w:color="auto"/>
              <w:bottom w:val="outset" w:sz="6" w:space="0" w:color="auto"/>
              <w:right w:val="outset" w:sz="6" w:space="0" w:color="auto"/>
            </w:tcBorders>
            <w:hideMark/>
          </w:tcPr>
          <w:p w:rsidR="0070526D" w:rsidRPr="001513F9" w:rsidRDefault="0070526D" w:rsidP="0070526D">
            <w:pPr>
              <w:spacing w:before="100" w:beforeAutospacing="1" w:after="100" w:afterAutospacing="1"/>
              <w:rPr>
                <w:rFonts w:eastAsia="Times New Roman" w:cs="Times New Roman"/>
                <w:sz w:val="24"/>
                <w:szCs w:val="24"/>
                <w:lang w:eastAsia="lv-LV"/>
              </w:rPr>
            </w:pPr>
            <w:r w:rsidRPr="001513F9">
              <w:rPr>
                <w:rFonts w:eastAsia="Times New Roman" w:cs="Times New Roman"/>
                <w:sz w:val="24"/>
                <w:szCs w:val="24"/>
                <w:lang w:eastAsia="lv-LV"/>
              </w:rPr>
              <w:t> 4.</w:t>
            </w:r>
          </w:p>
        </w:tc>
        <w:tc>
          <w:tcPr>
            <w:tcW w:w="2322" w:type="dxa"/>
            <w:tcBorders>
              <w:top w:val="outset" w:sz="6" w:space="0" w:color="auto"/>
              <w:left w:val="outset" w:sz="6" w:space="0" w:color="auto"/>
              <w:bottom w:val="outset" w:sz="6" w:space="0" w:color="auto"/>
              <w:right w:val="outset" w:sz="6" w:space="0" w:color="auto"/>
            </w:tcBorders>
            <w:hideMark/>
          </w:tcPr>
          <w:p w:rsidR="0070526D" w:rsidRPr="001513F9" w:rsidRDefault="0070526D" w:rsidP="0070526D">
            <w:pPr>
              <w:spacing w:before="100" w:beforeAutospacing="1" w:after="100" w:afterAutospacing="1"/>
              <w:rPr>
                <w:rFonts w:eastAsia="Times New Roman" w:cs="Times New Roman"/>
                <w:sz w:val="24"/>
                <w:szCs w:val="24"/>
                <w:lang w:eastAsia="lv-LV"/>
              </w:rPr>
            </w:pPr>
            <w:r w:rsidRPr="001513F9">
              <w:rPr>
                <w:rFonts w:eastAsia="Times New Roman" w:cs="Times New Roman"/>
                <w:sz w:val="24"/>
                <w:szCs w:val="24"/>
                <w:lang w:eastAsia="lv-LV"/>
              </w:rPr>
              <w:t> Tiesiskā regulējuma mērķis un būtība</w:t>
            </w:r>
          </w:p>
        </w:tc>
        <w:tc>
          <w:tcPr>
            <w:tcW w:w="6251" w:type="dxa"/>
            <w:gridSpan w:val="3"/>
            <w:tcBorders>
              <w:top w:val="outset" w:sz="6" w:space="0" w:color="auto"/>
              <w:left w:val="outset" w:sz="6" w:space="0" w:color="auto"/>
              <w:bottom w:val="outset" w:sz="6" w:space="0" w:color="auto"/>
              <w:right w:val="outset" w:sz="6" w:space="0" w:color="auto"/>
            </w:tcBorders>
            <w:hideMark/>
          </w:tcPr>
          <w:p w:rsidR="0070526D" w:rsidRPr="00647FBE" w:rsidRDefault="00D35AE5" w:rsidP="00356DAC">
            <w:pPr>
              <w:jc w:val="both"/>
              <w:rPr>
                <w:sz w:val="24"/>
                <w:szCs w:val="24"/>
              </w:rPr>
            </w:pPr>
            <w:r w:rsidRPr="00647FBE">
              <w:rPr>
                <w:sz w:val="24"/>
                <w:szCs w:val="24"/>
                <w:lang w:eastAsia="lv-LV"/>
              </w:rPr>
              <w:t xml:space="preserve">Likumprojekts paredz </w:t>
            </w:r>
            <w:r w:rsidR="00DF27CD">
              <w:rPr>
                <w:sz w:val="24"/>
                <w:szCs w:val="24"/>
                <w:lang w:eastAsia="lv-LV"/>
              </w:rPr>
              <w:t>v</w:t>
            </w:r>
            <w:r w:rsidR="00DF27CD" w:rsidRPr="00DF27CD">
              <w:rPr>
                <w:sz w:val="24"/>
                <w:szCs w:val="24"/>
                <w:lang w:eastAsia="lv-LV"/>
              </w:rPr>
              <w:t>alsts</w:t>
            </w:r>
            <w:r w:rsidR="00DF27CD">
              <w:rPr>
                <w:sz w:val="24"/>
                <w:szCs w:val="24"/>
                <w:lang w:eastAsia="lv-LV"/>
              </w:rPr>
              <w:t xml:space="preserve"> un pašvaldību kapitālsabiedrībām</w:t>
            </w:r>
            <w:r w:rsidR="00DF27CD" w:rsidRPr="00DF27CD">
              <w:rPr>
                <w:sz w:val="24"/>
                <w:szCs w:val="24"/>
                <w:lang w:eastAsia="lv-LV"/>
              </w:rPr>
              <w:t>, kuras darbojas kā kredītiestāde</w:t>
            </w:r>
            <w:r w:rsidR="00DF27CD">
              <w:rPr>
                <w:sz w:val="24"/>
                <w:szCs w:val="24"/>
                <w:lang w:eastAsia="lv-LV"/>
              </w:rPr>
              <w:t>s</w:t>
            </w:r>
            <w:r w:rsidR="00DF27CD" w:rsidRPr="00DF27CD">
              <w:rPr>
                <w:sz w:val="24"/>
                <w:szCs w:val="24"/>
                <w:lang w:eastAsia="lv-LV"/>
              </w:rPr>
              <w:t xml:space="preserve"> vai ieguldījumu pārvaldes sabiedrība</w:t>
            </w:r>
            <w:r w:rsidR="00DF27CD">
              <w:rPr>
                <w:sz w:val="24"/>
                <w:szCs w:val="24"/>
                <w:lang w:eastAsia="lv-LV"/>
              </w:rPr>
              <w:t xml:space="preserve">s noteikt atsevišķu mēnešalgas noteikšanas kritēriju un tam piemērojamo koeficientu, paredzot, ka mēnešalgas noteikšanā tiek izmantots </w:t>
            </w:r>
            <w:r w:rsidR="00DF27CD" w:rsidRPr="00DF27CD">
              <w:rPr>
                <w:sz w:val="24"/>
                <w:szCs w:val="24"/>
                <w:lang w:eastAsia="lv-LV"/>
              </w:rPr>
              <w:t>Centrālās statistikas pārvaldes oficiālajā statistikas paziņojumā publicēta</w:t>
            </w:r>
            <w:r w:rsidR="00356DAC">
              <w:rPr>
                <w:sz w:val="24"/>
                <w:szCs w:val="24"/>
                <w:lang w:eastAsia="lv-LV"/>
              </w:rPr>
              <w:t>is</w:t>
            </w:r>
            <w:r w:rsidR="00DF27CD" w:rsidRPr="00DF27CD">
              <w:rPr>
                <w:sz w:val="24"/>
                <w:szCs w:val="24"/>
                <w:lang w:eastAsia="lv-LV"/>
              </w:rPr>
              <w:t xml:space="preserve"> finanšu un apdrošināšanas jomā strādājošo iepriekšējā gada mēne</w:t>
            </w:r>
            <w:r w:rsidR="00DF27CD">
              <w:rPr>
                <w:sz w:val="24"/>
                <w:szCs w:val="24"/>
                <w:lang w:eastAsia="lv-LV"/>
              </w:rPr>
              <w:t>ša vidējās darba samaksas apmērs</w:t>
            </w:r>
            <w:r w:rsidR="00DF27CD" w:rsidRPr="00DF27CD">
              <w:rPr>
                <w:sz w:val="24"/>
                <w:szCs w:val="24"/>
                <w:lang w:eastAsia="lv-LV"/>
              </w:rPr>
              <w:t>, kas noapaļots</w:t>
            </w:r>
            <w:bookmarkStart w:id="3" w:name="_GoBack"/>
            <w:bookmarkEnd w:id="3"/>
            <w:r w:rsidR="00DF27CD" w:rsidRPr="00DF27CD">
              <w:rPr>
                <w:sz w:val="24"/>
                <w:szCs w:val="24"/>
                <w:lang w:eastAsia="lv-LV"/>
              </w:rPr>
              <w:t xml:space="preserve"> pilnos latos un kam atbilstoši sabiedrības lielumu raksturojošiem kritērijiem piemēro koeficientu,</w:t>
            </w:r>
            <w:r w:rsidR="00DF27CD">
              <w:rPr>
                <w:sz w:val="24"/>
                <w:szCs w:val="24"/>
                <w:lang w:eastAsia="lv-LV"/>
              </w:rPr>
              <w:t xml:space="preserve"> kas nedrīkst būt lielāks par 6, kā arī paredz, ka </w:t>
            </w:r>
            <w:r w:rsidR="00816C72">
              <w:rPr>
                <w:sz w:val="24"/>
                <w:szCs w:val="24"/>
                <w:lang w:eastAsia="lv-LV"/>
              </w:rPr>
              <w:lastRenderedPageBreak/>
              <w:t xml:space="preserve">jaunā kārtība tiek piemērota ar </w:t>
            </w:r>
            <w:r w:rsidR="000D3D6A" w:rsidRPr="000D3D6A">
              <w:rPr>
                <w:sz w:val="24"/>
                <w:szCs w:val="24"/>
                <w:lang w:eastAsia="lv-LV"/>
              </w:rPr>
              <w:t>izmaksāt ar nākošā kalendāra mēneša 1. datumu pēc likuma grozījumu spēkā stāšanās</w:t>
            </w:r>
            <w:r w:rsidR="00816C72">
              <w:rPr>
                <w:sz w:val="24"/>
                <w:szCs w:val="24"/>
                <w:lang w:eastAsia="lv-LV"/>
              </w:rPr>
              <w:t xml:space="preserve">. </w:t>
            </w:r>
          </w:p>
        </w:tc>
      </w:tr>
      <w:tr w:rsidR="0070526D" w:rsidRPr="001513F9" w:rsidTr="008D75D8">
        <w:trPr>
          <w:trHeight w:val="476"/>
          <w:tblCellSpacing w:w="0" w:type="dxa"/>
        </w:trPr>
        <w:tc>
          <w:tcPr>
            <w:tcW w:w="528" w:type="dxa"/>
            <w:gridSpan w:val="2"/>
            <w:tcBorders>
              <w:top w:val="outset" w:sz="6" w:space="0" w:color="auto"/>
              <w:left w:val="outset" w:sz="6" w:space="0" w:color="auto"/>
              <w:bottom w:val="outset" w:sz="6" w:space="0" w:color="auto"/>
              <w:right w:val="outset" w:sz="6" w:space="0" w:color="auto"/>
            </w:tcBorders>
            <w:hideMark/>
          </w:tcPr>
          <w:p w:rsidR="0070526D" w:rsidRPr="001513F9" w:rsidRDefault="0070526D" w:rsidP="0070526D">
            <w:pPr>
              <w:spacing w:before="100" w:beforeAutospacing="1" w:after="100" w:afterAutospacing="1"/>
              <w:rPr>
                <w:rFonts w:eastAsia="Times New Roman" w:cs="Times New Roman"/>
                <w:sz w:val="24"/>
                <w:szCs w:val="24"/>
                <w:lang w:eastAsia="lv-LV"/>
              </w:rPr>
            </w:pPr>
            <w:r w:rsidRPr="001513F9">
              <w:rPr>
                <w:rFonts w:eastAsia="Times New Roman" w:cs="Times New Roman"/>
                <w:sz w:val="24"/>
                <w:szCs w:val="24"/>
                <w:lang w:eastAsia="lv-LV"/>
              </w:rPr>
              <w:lastRenderedPageBreak/>
              <w:t> 5.</w:t>
            </w:r>
          </w:p>
        </w:tc>
        <w:tc>
          <w:tcPr>
            <w:tcW w:w="2322" w:type="dxa"/>
            <w:tcBorders>
              <w:top w:val="outset" w:sz="6" w:space="0" w:color="auto"/>
              <w:left w:val="outset" w:sz="6" w:space="0" w:color="auto"/>
              <w:bottom w:val="outset" w:sz="6" w:space="0" w:color="auto"/>
              <w:right w:val="outset" w:sz="6" w:space="0" w:color="auto"/>
            </w:tcBorders>
            <w:hideMark/>
          </w:tcPr>
          <w:p w:rsidR="0070526D" w:rsidRPr="001513F9" w:rsidRDefault="0070526D" w:rsidP="0070526D">
            <w:pPr>
              <w:spacing w:before="100" w:beforeAutospacing="1" w:after="100" w:afterAutospacing="1"/>
              <w:rPr>
                <w:rFonts w:eastAsia="Times New Roman" w:cs="Times New Roman"/>
                <w:sz w:val="24"/>
                <w:szCs w:val="24"/>
                <w:lang w:eastAsia="lv-LV"/>
              </w:rPr>
            </w:pPr>
            <w:r w:rsidRPr="001513F9">
              <w:rPr>
                <w:rFonts w:eastAsia="Times New Roman" w:cs="Times New Roman"/>
                <w:sz w:val="24"/>
                <w:szCs w:val="24"/>
                <w:lang w:eastAsia="lv-LV"/>
              </w:rPr>
              <w:t> Projekta izstrādē iesaistītās institūcijas</w:t>
            </w:r>
          </w:p>
        </w:tc>
        <w:tc>
          <w:tcPr>
            <w:tcW w:w="6251" w:type="dxa"/>
            <w:gridSpan w:val="3"/>
            <w:tcBorders>
              <w:top w:val="outset" w:sz="6" w:space="0" w:color="auto"/>
              <w:left w:val="outset" w:sz="6" w:space="0" w:color="auto"/>
              <w:bottom w:val="outset" w:sz="6" w:space="0" w:color="auto"/>
              <w:right w:val="outset" w:sz="6" w:space="0" w:color="auto"/>
            </w:tcBorders>
            <w:hideMark/>
          </w:tcPr>
          <w:p w:rsidR="0070526D" w:rsidRPr="001513F9" w:rsidRDefault="00F3682F" w:rsidP="0093409E">
            <w:pPr>
              <w:spacing w:before="100" w:beforeAutospacing="1" w:after="100" w:afterAutospacing="1"/>
              <w:rPr>
                <w:rFonts w:eastAsia="Times New Roman" w:cs="Times New Roman"/>
                <w:sz w:val="24"/>
                <w:szCs w:val="24"/>
                <w:lang w:eastAsia="lv-LV"/>
              </w:rPr>
            </w:pPr>
            <w:r w:rsidRPr="001513F9">
              <w:rPr>
                <w:rFonts w:eastAsia="Times New Roman" w:cs="Times New Roman"/>
                <w:sz w:val="24"/>
                <w:szCs w:val="24"/>
                <w:lang w:eastAsia="lv-LV"/>
              </w:rPr>
              <w:t>Nav</w:t>
            </w:r>
          </w:p>
        </w:tc>
      </w:tr>
      <w:tr w:rsidR="0070526D" w:rsidRPr="001513F9" w:rsidTr="008D75D8">
        <w:trPr>
          <w:trHeight w:val="915"/>
          <w:tblCellSpacing w:w="0" w:type="dxa"/>
        </w:trPr>
        <w:tc>
          <w:tcPr>
            <w:tcW w:w="528" w:type="dxa"/>
            <w:gridSpan w:val="2"/>
            <w:tcBorders>
              <w:top w:val="outset" w:sz="6" w:space="0" w:color="auto"/>
              <w:left w:val="outset" w:sz="6" w:space="0" w:color="auto"/>
              <w:bottom w:val="outset" w:sz="6" w:space="0" w:color="auto"/>
              <w:right w:val="outset" w:sz="6" w:space="0" w:color="auto"/>
            </w:tcBorders>
            <w:hideMark/>
          </w:tcPr>
          <w:p w:rsidR="0070526D" w:rsidRPr="001513F9" w:rsidRDefault="0070526D" w:rsidP="0070526D">
            <w:pPr>
              <w:spacing w:before="100" w:beforeAutospacing="1" w:after="100" w:afterAutospacing="1"/>
              <w:rPr>
                <w:rFonts w:eastAsia="Times New Roman" w:cs="Times New Roman"/>
                <w:sz w:val="24"/>
                <w:szCs w:val="24"/>
                <w:lang w:eastAsia="lv-LV"/>
              </w:rPr>
            </w:pPr>
            <w:r w:rsidRPr="001513F9">
              <w:rPr>
                <w:rFonts w:eastAsia="Times New Roman" w:cs="Times New Roman"/>
                <w:sz w:val="24"/>
                <w:szCs w:val="24"/>
                <w:lang w:eastAsia="lv-LV"/>
              </w:rPr>
              <w:t> 6.</w:t>
            </w:r>
          </w:p>
        </w:tc>
        <w:tc>
          <w:tcPr>
            <w:tcW w:w="2322" w:type="dxa"/>
            <w:tcBorders>
              <w:top w:val="outset" w:sz="6" w:space="0" w:color="auto"/>
              <w:left w:val="outset" w:sz="6" w:space="0" w:color="auto"/>
              <w:bottom w:val="outset" w:sz="6" w:space="0" w:color="auto"/>
              <w:right w:val="outset" w:sz="6" w:space="0" w:color="auto"/>
            </w:tcBorders>
            <w:hideMark/>
          </w:tcPr>
          <w:p w:rsidR="0070526D" w:rsidRPr="001513F9" w:rsidRDefault="0070526D" w:rsidP="0070526D">
            <w:pPr>
              <w:spacing w:before="100" w:beforeAutospacing="1" w:after="100" w:afterAutospacing="1"/>
              <w:rPr>
                <w:rFonts w:eastAsia="Times New Roman" w:cs="Times New Roman"/>
                <w:sz w:val="24"/>
                <w:szCs w:val="24"/>
                <w:lang w:eastAsia="lv-LV"/>
              </w:rPr>
            </w:pPr>
            <w:r w:rsidRPr="001513F9">
              <w:rPr>
                <w:rFonts w:eastAsia="Times New Roman" w:cs="Times New Roman"/>
                <w:sz w:val="24"/>
                <w:szCs w:val="24"/>
                <w:lang w:eastAsia="lv-LV"/>
              </w:rPr>
              <w:t> Iemesli, kādēļ netika nodrošināta sabiedrības līdzdalība</w:t>
            </w:r>
          </w:p>
        </w:tc>
        <w:tc>
          <w:tcPr>
            <w:tcW w:w="6251" w:type="dxa"/>
            <w:gridSpan w:val="3"/>
            <w:tcBorders>
              <w:top w:val="outset" w:sz="6" w:space="0" w:color="auto"/>
              <w:left w:val="outset" w:sz="6" w:space="0" w:color="auto"/>
              <w:bottom w:val="outset" w:sz="6" w:space="0" w:color="auto"/>
              <w:right w:val="outset" w:sz="6" w:space="0" w:color="auto"/>
            </w:tcBorders>
            <w:hideMark/>
          </w:tcPr>
          <w:p w:rsidR="0070526D" w:rsidRPr="00F605F5" w:rsidRDefault="00095CD7" w:rsidP="008E1522">
            <w:pPr>
              <w:spacing w:before="100" w:beforeAutospacing="1" w:after="100" w:afterAutospacing="1"/>
              <w:jc w:val="both"/>
              <w:rPr>
                <w:sz w:val="24"/>
                <w:szCs w:val="24"/>
              </w:rPr>
            </w:pPr>
            <w:r>
              <w:rPr>
                <w:sz w:val="24"/>
                <w:szCs w:val="24"/>
              </w:rPr>
              <w:t xml:space="preserve">Likumprojekts attiecas tikai uz </w:t>
            </w:r>
            <w:r w:rsidR="00DF27CD" w:rsidRPr="00DF27CD">
              <w:rPr>
                <w:sz w:val="24"/>
                <w:szCs w:val="24"/>
              </w:rPr>
              <w:t>vienu kapitālsabiedrību grupu, tādēļ sabiedrības līdzdalība noteikumu projekta izstrādē nebija nepieciešama.</w:t>
            </w:r>
          </w:p>
        </w:tc>
      </w:tr>
      <w:tr w:rsidR="0070526D" w:rsidRPr="001513F9" w:rsidTr="008D75D8">
        <w:trPr>
          <w:tblCellSpacing w:w="0" w:type="dxa"/>
        </w:trPr>
        <w:tc>
          <w:tcPr>
            <w:tcW w:w="528" w:type="dxa"/>
            <w:gridSpan w:val="2"/>
            <w:tcBorders>
              <w:top w:val="outset" w:sz="6" w:space="0" w:color="auto"/>
              <w:left w:val="outset" w:sz="6" w:space="0" w:color="auto"/>
              <w:bottom w:val="outset" w:sz="6" w:space="0" w:color="auto"/>
              <w:right w:val="outset" w:sz="6" w:space="0" w:color="auto"/>
            </w:tcBorders>
            <w:hideMark/>
          </w:tcPr>
          <w:p w:rsidR="0070526D" w:rsidRPr="001513F9" w:rsidRDefault="0070526D" w:rsidP="0070526D">
            <w:pPr>
              <w:spacing w:before="100" w:beforeAutospacing="1" w:after="100" w:afterAutospacing="1"/>
              <w:rPr>
                <w:rFonts w:eastAsia="Times New Roman" w:cs="Times New Roman"/>
                <w:sz w:val="24"/>
                <w:szCs w:val="24"/>
                <w:lang w:eastAsia="lv-LV"/>
              </w:rPr>
            </w:pPr>
            <w:r w:rsidRPr="001513F9">
              <w:rPr>
                <w:rFonts w:eastAsia="Times New Roman" w:cs="Times New Roman"/>
                <w:sz w:val="24"/>
                <w:szCs w:val="24"/>
                <w:lang w:eastAsia="lv-LV"/>
              </w:rPr>
              <w:t> 7.</w:t>
            </w:r>
          </w:p>
        </w:tc>
        <w:tc>
          <w:tcPr>
            <w:tcW w:w="2322" w:type="dxa"/>
            <w:tcBorders>
              <w:top w:val="outset" w:sz="6" w:space="0" w:color="auto"/>
              <w:left w:val="outset" w:sz="6" w:space="0" w:color="auto"/>
              <w:bottom w:val="outset" w:sz="6" w:space="0" w:color="auto"/>
              <w:right w:val="outset" w:sz="6" w:space="0" w:color="auto"/>
            </w:tcBorders>
            <w:hideMark/>
          </w:tcPr>
          <w:p w:rsidR="0070526D" w:rsidRPr="001513F9" w:rsidRDefault="0070526D" w:rsidP="0070526D">
            <w:pPr>
              <w:spacing w:before="100" w:beforeAutospacing="1" w:after="100" w:afterAutospacing="1"/>
              <w:rPr>
                <w:rFonts w:eastAsia="Times New Roman" w:cs="Times New Roman"/>
                <w:sz w:val="24"/>
                <w:szCs w:val="24"/>
                <w:lang w:eastAsia="lv-LV"/>
              </w:rPr>
            </w:pPr>
            <w:r w:rsidRPr="001513F9">
              <w:rPr>
                <w:rFonts w:eastAsia="Times New Roman" w:cs="Times New Roman"/>
                <w:sz w:val="24"/>
                <w:szCs w:val="24"/>
                <w:lang w:eastAsia="lv-LV"/>
              </w:rPr>
              <w:t> Cita informācija</w:t>
            </w:r>
          </w:p>
        </w:tc>
        <w:tc>
          <w:tcPr>
            <w:tcW w:w="6251" w:type="dxa"/>
            <w:gridSpan w:val="3"/>
            <w:tcBorders>
              <w:top w:val="outset" w:sz="6" w:space="0" w:color="auto"/>
              <w:left w:val="outset" w:sz="6" w:space="0" w:color="auto"/>
              <w:bottom w:val="outset" w:sz="6" w:space="0" w:color="auto"/>
              <w:right w:val="outset" w:sz="6" w:space="0" w:color="auto"/>
            </w:tcBorders>
            <w:hideMark/>
          </w:tcPr>
          <w:p w:rsidR="0070526D" w:rsidRPr="001513F9" w:rsidRDefault="006C31E6" w:rsidP="00465B50">
            <w:pPr>
              <w:spacing w:before="100" w:beforeAutospacing="1" w:after="100" w:afterAutospacing="1"/>
              <w:rPr>
                <w:rFonts w:eastAsia="Times New Roman" w:cs="Times New Roman"/>
                <w:sz w:val="24"/>
                <w:szCs w:val="24"/>
                <w:lang w:eastAsia="lv-LV"/>
              </w:rPr>
            </w:pPr>
            <w:r>
              <w:rPr>
                <w:rFonts w:eastAsia="Times New Roman" w:cs="Times New Roman"/>
                <w:sz w:val="24"/>
                <w:szCs w:val="24"/>
                <w:lang w:eastAsia="lv-LV"/>
              </w:rPr>
              <w:t>Šobrīd Latvijas Republikā ir tikai viena valsts kapitālsabiedrība, kas darbojas kā kredītiestāde</w:t>
            </w:r>
            <w:r w:rsidR="00281F67">
              <w:rPr>
                <w:rFonts w:eastAsia="Times New Roman" w:cs="Times New Roman"/>
                <w:sz w:val="24"/>
                <w:szCs w:val="24"/>
                <w:lang w:eastAsia="lv-LV"/>
              </w:rPr>
              <w:t xml:space="preserve"> - Hipotēku banka</w:t>
            </w:r>
            <w:r>
              <w:rPr>
                <w:rFonts w:eastAsia="Times New Roman" w:cs="Times New Roman"/>
                <w:sz w:val="24"/>
                <w:szCs w:val="24"/>
                <w:lang w:eastAsia="lv-LV"/>
              </w:rPr>
              <w:t xml:space="preserve">. </w:t>
            </w:r>
          </w:p>
        </w:tc>
      </w:tr>
      <w:tr w:rsidR="0070526D" w:rsidRPr="001513F9" w:rsidTr="00EF3296">
        <w:trPr>
          <w:tblCellSpacing w:w="0" w:type="dxa"/>
        </w:trPr>
        <w:tc>
          <w:tcPr>
            <w:tcW w:w="9101" w:type="dxa"/>
            <w:gridSpan w:val="6"/>
            <w:tcBorders>
              <w:top w:val="outset" w:sz="6" w:space="0" w:color="auto"/>
              <w:left w:val="outset" w:sz="6" w:space="0" w:color="auto"/>
              <w:bottom w:val="outset" w:sz="6" w:space="0" w:color="auto"/>
              <w:right w:val="outset" w:sz="6" w:space="0" w:color="auto"/>
            </w:tcBorders>
            <w:vAlign w:val="center"/>
            <w:hideMark/>
          </w:tcPr>
          <w:p w:rsidR="00CE6434" w:rsidRDefault="00CE6434" w:rsidP="00CE6434">
            <w:pPr>
              <w:jc w:val="center"/>
              <w:rPr>
                <w:rFonts w:eastAsia="Times New Roman" w:cs="Times New Roman"/>
                <w:sz w:val="24"/>
                <w:szCs w:val="24"/>
                <w:lang w:eastAsia="lv-LV"/>
              </w:rPr>
            </w:pPr>
          </w:p>
          <w:p w:rsidR="005C1B70" w:rsidRPr="001513F9" w:rsidRDefault="0070526D" w:rsidP="00CE6434">
            <w:pPr>
              <w:jc w:val="center"/>
              <w:rPr>
                <w:rFonts w:eastAsia="Times New Roman" w:cs="Times New Roman"/>
                <w:b/>
                <w:sz w:val="24"/>
                <w:szCs w:val="24"/>
                <w:lang w:eastAsia="lv-LV"/>
              </w:rPr>
            </w:pPr>
            <w:r w:rsidRPr="001513F9">
              <w:rPr>
                <w:rFonts w:eastAsia="Times New Roman" w:cs="Times New Roman"/>
                <w:sz w:val="24"/>
                <w:szCs w:val="24"/>
                <w:lang w:eastAsia="lv-LV"/>
              </w:rPr>
              <w:t> </w:t>
            </w:r>
            <w:r w:rsidRPr="001513F9">
              <w:rPr>
                <w:rFonts w:eastAsia="Times New Roman" w:cs="Times New Roman"/>
                <w:b/>
                <w:sz w:val="24"/>
                <w:szCs w:val="24"/>
                <w:lang w:eastAsia="lv-LV"/>
              </w:rPr>
              <w:t>II. Tiesību akta projekta ietekme uz sabiedrību</w:t>
            </w:r>
          </w:p>
        </w:tc>
      </w:tr>
      <w:tr w:rsidR="0070526D" w:rsidRPr="001513F9" w:rsidTr="00EF3296">
        <w:trPr>
          <w:trHeight w:val="467"/>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70526D" w:rsidRPr="001513F9" w:rsidRDefault="0070526D" w:rsidP="0070526D">
            <w:pPr>
              <w:spacing w:before="100" w:beforeAutospacing="1" w:after="100" w:afterAutospacing="1"/>
              <w:rPr>
                <w:rFonts w:eastAsia="Times New Roman" w:cs="Times New Roman"/>
                <w:sz w:val="24"/>
                <w:szCs w:val="24"/>
                <w:lang w:eastAsia="lv-LV"/>
              </w:rPr>
            </w:pPr>
            <w:r w:rsidRPr="001513F9">
              <w:rPr>
                <w:rFonts w:eastAsia="Times New Roman" w:cs="Times New Roman"/>
                <w:sz w:val="24"/>
                <w:szCs w:val="24"/>
                <w:lang w:eastAsia="lv-LV"/>
              </w:rPr>
              <w:t> 1.</w:t>
            </w:r>
          </w:p>
        </w:tc>
        <w:tc>
          <w:tcPr>
            <w:tcW w:w="3180" w:type="dxa"/>
            <w:gridSpan w:val="3"/>
            <w:tcBorders>
              <w:top w:val="outset" w:sz="6" w:space="0" w:color="auto"/>
              <w:left w:val="outset" w:sz="6" w:space="0" w:color="auto"/>
              <w:bottom w:val="outset" w:sz="6" w:space="0" w:color="auto"/>
              <w:right w:val="outset" w:sz="6" w:space="0" w:color="auto"/>
            </w:tcBorders>
            <w:hideMark/>
          </w:tcPr>
          <w:p w:rsidR="0070526D" w:rsidRPr="001513F9" w:rsidRDefault="0070526D" w:rsidP="00CE6434">
            <w:pPr>
              <w:rPr>
                <w:rFonts w:eastAsia="Times New Roman" w:cs="Times New Roman"/>
                <w:sz w:val="24"/>
                <w:szCs w:val="24"/>
                <w:lang w:eastAsia="lv-LV"/>
              </w:rPr>
            </w:pPr>
            <w:r w:rsidRPr="001513F9">
              <w:rPr>
                <w:rFonts w:eastAsia="Times New Roman" w:cs="Times New Roman"/>
                <w:sz w:val="24"/>
                <w:szCs w:val="24"/>
                <w:lang w:eastAsia="lv-LV"/>
              </w:rPr>
              <w:t> Sabiedrības mērķgrupa</w:t>
            </w:r>
          </w:p>
        </w:tc>
        <w:tc>
          <w:tcPr>
            <w:tcW w:w="5400" w:type="dxa"/>
            <w:gridSpan w:val="2"/>
            <w:tcBorders>
              <w:top w:val="outset" w:sz="6" w:space="0" w:color="auto"/>
              <w:left w:val="outset" w:sz="6" w:space="0" w:color="auto"/>
              <w:bottom w:val="outset" w:sz="6" w:space="0" w:color="auto"/>
              <w:right w:val="outset" w:sz="6" w:space="0" w:color="auto"/>
            </w:tcBorders>
            <w:hideMark/>
          </w:tcPr>
          <w:p w:rsidR="0070526D" w:rsidRPr="001513F9" w:rsidRDefault="00243EE1" w:rsidP="00243EE1">
            <w:pPr>
              <w:spacing w:before="100" w:beforeAutospacing="1" w:after="100" w:afterAutospacing="1"/>
              <w:rPr>
                <w:rFonts w:eastAsia="Times New Roman" w:cs="Times New Roman"/>
                <w:sz w:val="24"/>
                <w:szCs w:val="24"/>
                <w:lang w:eastAsia="lv-LV"/>
              </w:rPr>
            </w:pPr>
            <w:r>
              <w:rPr>
                <w:sz w:val="24"/>
                <w:szCs w:val="24"/>
              </w:rPr>
              <w:t>V</w:t>
            </w:r>
            <w:r w:rsidRPr="00243EE1">
              <w:rPr>
                <w:sz w:val="24"/>
                <w:szCs w:val="24"/>
              </w:rPr>
              <w:t xml:space="preserve">aldes locekļi, kuri ieņem amatu valsts un pašvaldību kapitālsabiedrībās, kas darbojas kā kredītiestāde vai ieguldījumu </w:t>
            </w:r>
            <w:r>
              <w:rPr>
                <w:sz w:val="24"/>
                <w:szCs w:val="24"/>
              </w:rPr>
              <w:t xml:space="preserve"> </w:t>
            </w:r>
            <w:r w:rsidRPr="00243EE1">
              <w:rPr>
                <w:sz w:val="24"/>
                <w:szCs w:val="24"/>
              </w:rPr>
              <w:t>pārvaldes sabiedrība</w:t>
            </w:r>
            <w:r>
              <w:rPr>
                <w:sz w:val="24"/>
                <w:szCs w:val="24"/>
              </w:rPr>
              <w:t>.</w:t>
            </w:r>
            <w:r w:rsidR="0097705D">
              <w:rPr>
                <w:rFonts w:eastAsia="Times New Roman" w:cs="Times New Roman"/>
                <w:sz w:val="24"/>
                <w:szCs w:val="24"/>
                <w:lang w:eastAsia="lv-LV"/>
              </w:rPr>
              <w:t xml:space="preserve"> </w:t>
            </w:r>
            <w:r w:rsidR="00870E6A">
              <w:rPr>
                <w:rFonts w:eastAsia="Times New Roman" w:cs="Times New Roman"/>
                <w:sz w:val="24"/>
                <w:szCs w:val="24"/>
                <w:lang w:eastAsia="lv-LV"/>
              </w:rPr>
              <w:t xml:space="preserve">Šobrīd Latvijas Republikā ir tikai viena valsts kapitālsabiedrība, kas darbojas kā kredītiestāde - Hipotēku banka. </w:t>
            </w:r>
            <w:r w:rsidR="0097705D">
              <w:rPr>
                <w:rFonts w:eastAsia="Times New Roman" w:cs="Times New Roman"/>
                <w:sz w:val="24"/>
                <w:szCs w:val="24"/>
                <w:lang w:eastAsia="lv-LV"/>
              </w:rPr>
              <w:t>Hipotēku bankas statūti nosaka piecus valdes locekļus valdes sastāvā.</w:t>
            </w:r>
          </w:p>
        </w:tc>
      </w:tr>
      <w:tr w:rsidR="0070526D" w:rsidRPr="001513F9" w:rsidTr="00EF3296">
        <w:trPr>
          <w:trHeight w:val="523"/>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70526D" w:rsidRPr="001513F9" w:rsidRDefault="0070526D" w:rsidP="0070526D">
            <w:pPr>
              <w:spacing w:before="100" w:beforeAutospacing="1" w:after="100" w:afterAutospacing="1"/>
              <w:rPr>
                <w:rFonts w:eastAsia="Times New Roman" w:cs="Times New Roman"/>
                <w:sz w:val="24"/>
                <w:szCs w:val="24"/>
                <w:lang w:eastAsia="lv-LV"/>
              </w:rPr>
            </w:pPr>
            <w:r w:rsidRPr="001513F9">
              <w:rPr>
                <w:rFonts w:eastAsia="Times New Roman" w:cs="Times New Roman"/>
                <w:sz w:val="24"/>
                <w:szCs w:val="24"/>
                <w:lang w:eastAsia="lv-LV"/>
              </w:rPr>
              <w:t> 2.</w:t>
            </w:r>
          </w:p>
        </w:tc>
        <w:tc>
          <w:tcPr>
            <w:tcW w:w="3180" w:type="dxa"/>
            <w:gridSpan w:val="3"/>
            <w:tcBorders>
              <w:top w:val="outset" w:sz="6" w:space="0" w:color="auto"/>
              <w:left w:val="outset" w:sz="6" w:space="0" w:color="auto"/>
              <w:bottom w:val="outset" w:sz="6" w:space="0" w:color="auto"/>
              <w:right w:val="outset" w:sz="6" w:space="0" w:color="auto"/>
            </w:tcBorders>
            <w:hideMark/>
          </w:tcPr>
          <w:p w:rsidR="0070526D" w:rsidRPr="001513F9" w:rsidRDefault="0070526D" w:rsidP="0070526D">
            <w:pPr>
              <w:spacing w:before="100" w:beforeAutospacing="1" w:after="100" w:afterAutospacing="1"/>
              <w:rPr>
                <w:rFonts w:eastAsia="Times New Roman" w:cs="Times New Roman"/>
                <w:sz w:val="24"/>
                <w:szCs w:val="24"/>
                <w:lang w:eastAsia="lv-LV"/>
              </w:rPr>
            </w:pPr>
            <w:r w:rsidRPr="001513F9">
              <w:rPr>
                <w:rFonts w:eastAsia="Times New Roman" w:cs="Times New Roman"/>
                <w:sz w:val="24"/>
                <w:szCs w:val="24"/>
                <w:lang w:eastAsia="lv-LV"/>
              </w:rPr>
              <w:t> Citas sabiedrības grupas (bez mērķgrupas), kuras tiesiskais regulējums arī ietekmē vai varētu ietekmēt</w:t>
            </w:r>
          </w:p>
        </w:tc>
        <w:tc>
          <w:tcPr>
            <w:tcW w:w="5400" w:type="dxa"/>
            <w:gridSpan w:val="2"/>
            <w:tcBorders>
              <w:top w:val="outset" w:sz="6" w:space="0" w:color="auto"/>
              <w:left w:val="outset" w:sz="6" w:space="0" w:color="auto"/>
              <w:bottom w:val="outset" w:sz="6" w:space="0" w:color="auto"/>
              <w:right w:val="outset" w:sz="6" w:space="0" w:color="auto"/>
            </w:tcBorders>
            <w:hideMark/>
          </w:tcPr>
          <w:p w:rsidR="0070526D" w:rsidRPr="001513F9" w:rsidRDefault="00095CD7" w:rsidP="006C31E6">
            <w:pPr>
              <w:spacing w:before="100" w:beforeAutospacing="1" w:after="100" w:afterAutospacing="1"/>
              <w:rPr>
                <w:rFonts w:eastAsia="Times New Roman" w:cs="Times New Roman"/>
                <w:sz w:val="24"/>
                <w:szCs w:val="24"/>
                <w:lang w:eastAsia="lv-LV"/>
              </w:rPr>
            </w:pPr>
            <w:r w:rsidRPr="001513F9">
              <w:rPr>
                <w:rFonts w:eastAsia="Times New Roman" w:cs="Times New Roman"/>
                <w:sz w:val="24"/>
                <w:szCs w:val="24"/>
                <w:lang w:eastAsia="lv-LV"/>
              </w:rPr>
              <w:t> </w:t>
            </w:r>
          </w:p>
        </w:tc>
      </w:tr>
      <w:tr w:rsidR="0070526D" w:rsidRPr="001513F9" w:rsidTr="00EF3296">
        <w:trPr>
          <w:trHeight w:val="517"/>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70526D" w:rsidRPr="001513F9" w:rsidRDefault="0070526D" w:rsidP="0070526D">
            <w:pPr>
              <w:spacing w:before="100" w:beforeAutospacing="1" w:after="100" w:afterAutospacing="1"/>
              <w:rPr>
                <w:rFonts w:eastAsia="Times New Roman" w:cs="Times New Roman"/>
                <w:sz w:val="24"/>
                <w:szCs w:val="24"/>
                <w:lang w:eastAsia="lv-LV"/>
              </w:rPr>
            </w:pPr>
            <w:r w:rsidRPr="001513F9">
              <w:rPr>
                <w:rFonts w:eastAsia="Times New Roman" w:cs="Times New Roman"/>
                <w:sz w:val="24"/>
                <w:szCs w:val="24"/>
                <w:lang w:eastAsia="lv-LV"/>
              </w:rPr>
              <w:t> 3.</w:t>
            </w:r>
          </w:p>
        </w:tc>
        <w:tc>
          <w:tcPr>
            <w:tcW w:w="3180" w:type="dxa"/>
            <w:gridSpan w:val="3"/>
            <w:tcBorders>
              <w:top w:val="outset" w:sz="6" w:space="0" w:color="auto"/>
              <w:left w:val="outset" w:sz="6" w:space="0" w:color="auto"/>
              <w:bottom w:val="outset" w:sz="6" w:space="0" w:color="auto"/>
              <w:right w:val="outset" w:sz="6" w:space="0" w:color="auto"/>
            </w:tcBorders>
            <w:hideMark/>
          </w:tcPr>
          <w:p w:rsidR="0070526D" w:rsidRPr="001513F9" w:rsidRDefault="0070526D" w:rsidP="0070526D">
            <w:pPr>
              <w:spacing w:before="100" w:beforeAutospacing="1" w:after="100" w:afterAutospacing="1"/>
              <w:rPr>
                <w:rFonts w:eastAsia="Times New Roman" w:cs="Times New Roman"/>
                <w:sz w:val="24"/>
                <w:szCs w:val="24"/>
                <w:lang w:eastAsia="lv-LV"/>
              </w:rPr>
            </w:pPr>
            <w:r w:rsidRPr="001513F9">
              <w:rPr>
                <w:rFonts w:eastAsia="Times New Roman" w:cs="Times New Roman"/>
                <w:sz w:val="24"/>
                <w:szCs w:val="24"/>
                <w:lang w:eastAsia="lv-LV"/>
              </w:rPr>
              <w:t> Tiesiskā regulējuma finansiālā ietekme</w:t>
            </w:r>
          </w:p>
        </w:tc>
        <w:tc>
          <w:tcPr>
            <w:tcW w:w="5400" w:type="dxa"/>
            <w:gridSpan w:val="2"/>
            <w:tcBorders>
              <w:top w:val="outset" w:sz="6" w:space="0" w:color="auto"/>
              <w:left w:val="outset" w:sz="6" w:space="0" w:color="auto"/>
              <w:bottom w:val="outset" w:sz="6" w:space="0" w:color="auto"/>
              <w:right w:val="outset" w:sz="6" w:space="0" w:color="auto"/>
            </w:tcBorders>
            <w:hideMark/>
          </w:tcPr>
          <w:p w:rsidR="00C163EC" w:rsidRDefault="0070526D" w:rsidP="00EE56C8">
            <w:pPr>
              <w:jc w:val="both"/>
              <w:rPr>
                <w:rFonts w:eastAsia="Times New Roman" w:cs="Times New Roman"/>
                <w:sz w:val="24"/>
                <w:szCs w:val="24"/>
                <w:lang w:eastAsia="lv-LV"/>
              </w:rPr>
            </w:pPr>
            <w:r w:rsidRPr="001513F9">
              <w:rPr>
                <w:rFonts w:eastAsia="Times New Roman" w:cs="Times New Roman"/>
                <w:sz w:val="24"/>
                <w:szCs w:val="24"/>
                <w:lang w:eastAsia="lv-LV"/>
              </w:rPr>
              <w:t> </w:t>
            </w:r>
            <w:r w:rsidR="00C163EC" w:rsidRPr="00C163EC">
              <w:rPr>
                <w:rFonts w:eastAsia="Times New Roman" w:cs="Times New Roman"/>
                <w:sz w:val="24"/>
                <w:szCs w:val="24"/>
                <w:lang w:eastAsia="lv-LV"/>
              </w:rPr>
              <w:t>Ar 2011. gada 1.aprīli Hipotēku bankas valdes priekšsēdētāja alga noteikta 2670 latu apmērā (bruto), valdes locekļiem – 2403 latu apmērā (bruto).</w:t>
            </w:r>
            <w:r w:rsidR="00C163EC">
              <w:rPr>
                <w:rFonts w:eastAsia="Times New Roman" w:cs="Times New Roman"/>
                <w:sz w:val="24"/>
                <w:szCs w:val="24"/>
                <w:lang w:eastAsia="lv-LV"/>
              </w:rPr>
              <w:t xml:space="preserve"> </w:t>
            </w:r>
          </w:p>
          <w:p w:rsidR="00C163EC" w:rsidRPr="001513F9" w:rsidRDefault="00C163EC" w:rsidP="00EE56C8">
            <w:pPr>
              <w:jc w:val="both"/>
              <w:rPr>
                <w:rFonts w:eastAsia="Times New Roman" w:cs="Times New Roman"/>
                <w:sz w:val="24"/>
                <w:szCs w:val="24"/>
                <w:lang w:eastAsia="lv-LV"/>
              </w:rPr>
            </w:pPr>
            <w:r w:rsidRPr="00C163EC">
              <w:rPr>
                <w:rFonts w:eastAsia="Times New Roman" w:cs="Times New Roman"/>
                <w:sz w:val="24"/>
                <w:szCs w:val="24"/>
                <w:lang w:eastAsia="lv-LV"/>
              </w:rPr>
              <w:t>Līdz ar grozījumiem piedāvātajā redakcijā, valdes priekšsēdētāja ikmēneša atlīdzība sastādītu 6230 latus (bruto), valdes locekļu atlīdzība – 5607 latus (bruto), kas vismaz daļēji tiktu pielīdzināta finanšu sektora pētījuma datiem līdzvērtīgām amatu grupām.</w:t>
            </w:r>
            <w:r w:rsidR="006C31E6">
              <w:rPr>
                <w:rFonts w:eastAsia="Times New Roman" w:cs="Times New Roman"/>
                <w:sz w:val="24"/>
                <w:szCs w:val="24"/>
                <w:lang w:eastAsia="lv-LV"/>
              </w:rPr>
              <w:t xml:space="preserve"> Hipotēku bankas statūti nosaka piecus valdes locekļus valdes sastāvā. </w:t>
            </w:r>
          </w:p>
        </w:tc>
      </w:tr>
      <w:tr w:rsidR="0070526D" w:rsidRPr="001513F9" w:rsidTr="00EF3296">
        <w:trPr>
          <w:trHeight w:val="517"/>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70526D" w:rsidRPr="001513F9" w:rsidRDefault="0070526D" w:rsidP="0070526D">
            <w:pPr>
              <w:spacing w:before="100" w:beforeAutospacing="1" w:after="100" w:afterAutospacing="1"/>
              <w:rPr>
                <w:rFonts w:eastAsia="Times New Roman" w:cs="Times New Roman"/>
                <w:sz w:val="24"/>
                <w:szCs w:val="24"/>
                <w:lang w:eastAsia="lv-LV"/>
              </w:rPr>
            </w:pPr>
            <w:r w:rsidRPr="001513F9">
              <w:rPr>
                <w:rFonts w:eastAsia="Times New Roman" w:cs="Times New Roman"/>
                <w:sz w:val="24"/>
                <w:szCs w:val="24"/>
                <w:lang w:eastAsia="lv-LV"/>
              </w:rPr>
              <w:t> 4.</w:t>
            </w:r>
          </w:p>
        </w:tc>
        <w:tc>
          <w:tcPr>
            <w:tcW w:w="3180" w:type="dxa"/>
            <w:gridSpan w:val="3"/>
            <w:tcBorders>
              <w:top w:val="outset" w:sz="6" w:space="0" w:color="auto"/>
              <w:left w:val="outset" w:sz="6" w:space="0" w:color="auto"/>
              <w:bottom w:val="outset" w:sz="6" w:space="0" w:color="auto"/>
              <w:right w:val="outset" w:sz="6" w:space="0" w:color="auto"/>
            </w:tcBorders>
            <w:hideMark/>
          </w:tcPr>
          <w:p w:rsidR="0070526D" w:rsidRPr="001513F9" w:rsidRDefault="0070526D" w:rsidP="0070526D">
            <w:pPr>
              <w:spacing w:before="100" w:beforeAutospacing="1" w:after="100" w:afterAutospacing="1"/>
              <w:rPr>
                <w:rFonts w:eastAsia="Times New Roman" w:cs="Times New Roman"/>
                <w:sz w:val="24"/>
                <w:szCs w:val="24"/>
                <w:lang w:eastAsia="lv-LV"/>
              </w:rPr>
            </w:pPr>
            <w:r w:rsidRPr="001513F9">
              <w:rPr>
                <w:rFonts w:eastAsia="Times New Roman" w:cs="Times New Roman"/>
                <w:sz w:val="24"/>
                <w:szCs w:val="24"/>
                <w:lang w:eastAsia="lv-LV"/>
              </w:rPr>
              <w:t> Tiesiskā regulējuma nefinansiālā ietekme</w:t>
            </w:r>
          </w:p>
        </w:tc>
        <w:tc>
          <w:tcPr>
            <w:tcW w:w="5400" w:type="dxa"/>
            <w:gridSpan w:val="2"/>
            <w:tcBorders>
              <w:top w:val="outset" w:sz="6" w:space="0" w:color="auto"/>
              <w:left w:val="outset" w:sz="6" w:space="0" w:color="auto"/>
              <w:bottom w:val="outset" w:sz="6" w:space="0" w:color="auto"/>
              <w:right w:val="outset" w:sz="6" w:space="0" w:color="auto"/>
            </w:tcBorders>
            <w:hideMark/>
          </w:tcPr>
          <w:p w:rsidR="0070526D" w:rsidRPr="001513F9" w:rsidRDefault="0070526D" w:rsidP="00D90AC4">
            <w:pPr>
              <w:spacing w:before="100" w:beforeAutospacing="1" w:after="100" w:afterAutospacing="1"/>
              <w:rPr>
                <w:rFonts w:eastAsia="Times New Roman" w:cs="Times New Roman"/>
                <w:sz w:val="24"/>
                <w:szCs w:val="24"/>
                <w:lang w:eastAsia="lv-LV"/>
              </w:rPr>
            </w:pPr>
            <w:r w:rsidRPr="001513F9">
              <w:rPr>
                <w:rFonts w:eastAsia="Times New Roman" w:cs="Times New Roman"/>
                <w:sz w:val="24"/>
                <w:szCs w:val="24"/>
                <w:lang w:eastAsia="lv-LV"/>
              </w:rPr>
              <w:t> </w:t>
            </w:r>
            <w:r w:rsidR="00D90AC4" w:rsidRPr="001513F9">
              <w:rPr>
                <w:rFonts w:eastAsia="Times New Roman" w:cs="Times New Roman"/>
                <w:sz w:val="24"/>
                <w:szCs w:val="24"/>
                <w:lang w:eastAsia="lv-LV"/>
              </w:rPr>
              <w:t>Nav</w:t>
            </w:r>
            <w:r w:rsidR="00076A9C" w:rsidRPr="001513F9">
              <w:rPr>
                <w:rFonts w:eastAsia="Times New Roman" w:cs="Times New Roman"/>
                <w:sz w:val="24"/>
                <w:szCs w:val="24"/>
                <w:lang w:eastAsia="lv-LV"/>
              </w:rPr>
              <w:t xml:space="preserve"> attiecināms</w:t>
            </w:r>
          </w:p>
        </w:tc>
      </w:tr>
      <w:tr w:rsidR="0070526D" w:rsidRPr="001513F9" w:rsidTr="00EF3296">
        <w:trPr>
          <w:trHeight w:val="531"/>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70526D" w:rsidRPr="001513F9" w:rsidRDefault="0070526D" w:rsidP="0070526D">
            <w:pPr>
              <w:spacing w:before="100" w:beforeAutospacing="1" w:after="100" w:afterAutospacing="1"/>
              <w:rPr>
                <w:rFonts w:eastAsia="Times New Roman" w:cs="Times New Roman"/>
                <w:sz w:val="24"/>
                <w:szCs w:val="24"/>
                <w:lang w:eastAsia="lv-LV"/>
              </w:rPr>
            </w:pPr>
            <w:r w:rsidRPr="001513F9">
              <w:rPr>
                <w:rFonts w:eastAsia="Times New Roman" w:cs="Times New Roman"/>
                <w:sz w:val="24"/>
                <w:szCs w:val="24"/>
                <w:lang w:eastAsia="lv-LV"/>
              </w:rPr>
              <w:t> 5.</w:t>
            </w:r>
          </w:p>
        </w:tc>
        <w:tc>
          <w:tcPr>
            <w:tcW w:w="3180" w:type="dxa"/>
            <w:gridSpan w:val="3"/>
            <w:tcBorders>
              <w:top w:val="outset" w:sz="6" w:space="0" w:color="auto"/>
              <w:left w:val="outset" w:sz="6" w:space="0" w:color="auto"/>
              <w:bottom w:val="outset" w:sz="6" w:space="0" w:color="auto"/>
              <w:right w:val="outset" w:sz="6" w:space="0" w:color="auto"/>
            </w:tcBorders>
            <w:hideMark/>
          </w:tcPr>
          <w:p w:rsidR="0070526D" w:rsidRPr="001513F9" w:rsidRDefault="0070526D" w:rsidP="0070526D">
            <w:pPr>
              <w:spacing w:before="100" w:beforeAutospacing="1" w:after="100" w:afterAutospacing="1"/>
              <w:rPr>
                <w:rFonts w:eastAsia="Times New Roman" w:cs="Times New Roman"/>
                <w:sz w:val="24"/>
                <w:szCs w:val="24"/>
                <w:lang w:eastAsia="lv-LV"/>
              </w:rPr>
            </w:pPr>
            <w:r w:rsidRPr="001513F9">
              <w:rPr>
                <w:rFonts w:eastAsia="Times New Roman" w:cs="Times New Roman"/>
                <w:sz w:val="24"/>
                <w:szCs w:val="24"/>
                <w:lang w:eastAsia="lv-LV"/>
              </w:rPr>
              <w:t> Administratīvās procedūras raksturojums</w:t>
            </w:r>
          </w:p>
        </w:tc>
        <w:tc>
          <w:tcPr>
            <w:tcW w:w="5400" w:type="dxa"/>
            <w:gridSpan w:val="2"/>
            <w:tcBorders>
              <w:top w:val="outset" w:sz="6" w:space="0" w:color="auto"/>
              <w:left w:val="outset" w:sz="6" w:space="0" w:color="auto"/>
              <w:bottom w:val="outset" w:sz="6" w:space="0" w:color="auto"/>
              <w:right w:val="outset" w:sz="6" w:space="0" w:color="auto"/>
            </w:tcBorders>
            <w:hideMark/>
          </w:tcPr>
          <w:p w:rsidR="0070526D" w:rsidRPr="001513F9" w:rsidRDefault="0070526D" w:rsidP="00D90AC4">
            <w:pPr>
              <w:spacing w:before="100" w:beforeAutospacing="1" w:after="100" w:afterAutospacing="1"/>
              <w:rPr>
                <w:rFonts w:eastAsia="Times New Roman" w:cs="Times New Roman"/>
                <w:sz w:val="24"/>
                <w:szCs w:val="24"/>
                <w:lang w:eastAsia="lv-LV"/>
              </w:rPr>
            </w:pPr>
            <w:r w:rsidRPr="001513F9">
              <w:rPr>
                <w:rFonts w:eastAsia="Times New Roman" w:cs="Times New Roman"/>
                <w:sz w:val="24"/>
                <w:szCs w:val="24"/>
                <w:lang w:eastAsia="lv-LV"/>
              </w:rPr>
              <w:t> </w:t>
            </w:r>
            <w:r w:rsidR="00D90AC4" w:rsidRPr="001513F9">
              <w:rPr>
                <w:rFonts w:eastAsia="Times New Roman" w:cs="Times New Roman"/>
                <w:sz w:val="24"/>
                <w:szCs w:val="24"/>
                <w:lang w:eastAsia="lv-LV"/>
              </w:rPr>
              <w:t>Nav</w:t>
            </w:r>
            <w:r w:rsidR="00076A9C" w:rsidRPr="001513F9">
              <w:rPr>
                <w:rFonts w:eastAsia="Times New Roman" w:cs="Times New Roman"/>
                <w:sz w:val="24"/>
                <w:szCs w:val="24"/>
                <w:lang w:eastAsia="lv-LV"/>
              </w:rPr>
              <w:t xml:space="preserve"> attiecināms</w:t>
            </w:r>
          </w:p>
        </w:tc>
      </w:tr>
      <w:tr w:rsidR="0070526D" w:rsidRPr="001513F9" w:rsidTr="00EF3296">
        <w:trPr>
          <w:trHeight w:val="357"/>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70526D" w:rsidRPr="001513F9" w:rsidRDefault="0070526D" w:rsidP="0070526D">
            <w:pPr>
              <w:spacing w:before="100" w:beforeAutospacing="1" w:after="100" w:afterAutospacing="1"/>
              <w:rPr>
                <w:rFonts w:eastAsia="Times New Roman" w:cs="Times New Roman"/>
                <w:sz w:val="24"/>
                <w:szCs w:val="24"/>
                <w:lang w:eastAsia="lv-LV"/>
              </w:rPr>
            </w:pPr>
            <w:r w:rsidRPr="001513F9">
              <w:rPr>
                <w:rFonts w:eastAsia="Times New Roman" w:cs="Times New Roman"/>
                <w:sz w:val="24"/>
                <w:szCs w:val="24"/>
                <w:lang w:eastAsia="lv-LV"/>
              </w:rPr>
              <w:t> 6.</w:t>
            </w:r>
          </w:p>
        </w:tc>
        <w:tc>
          <w:tcPr>
            <w:tcW w:w="3180" w:type="dxa"/>
            <w:gridSpan w:val="3"/>
            <w:tcBorders>
              <w:top w:val="outset" w:sz="6" w:space="0" w:color="auto"/>
              <w:left w:val="outset" w:sz="6" w:space="0" w:color="auto"/>
              <w:bottom w:val="outset" w:sz="6" w:space="0" w:color="auto"/>
              <w:right w:val="outset" w:sz="6" w:space="0" w:color="auto"/>
            </w:tcBorders>
            <w:hideMark/>
          </w:tcPr>
          <w:p w:rsidR="0070526D" w:rsidRPr="001513F9" w:rsidRDefault="0070526D" w:rsidP="0070526D">
            <w:pPr>
              <w:spacing w:before="100" w:beforeAutospacing="1" w:after="100" w:afterAutospacing="1"/>
              <w:rPr>
                <w:rFonts w:eastAsia="Times New Roman" w:cs="Times New Roman"/>
                <w:sz w:val="24"/>
                <w:szCs w:val="24"/>
                <w:lang w:eastAsia="lv-LV"/>
              </w:rPr>
            </w:pPr>
            <w:r w:rsidRPr="001513F9">
              <w:rPr>
                <w:rFonts w:eastAsia="Times New Roman" w:cs="Times New Roman"/>
                <w:sz w:val="24"/>
                <w:szCs w:val="24"/>
                <w:lang w:eastAsia="lv-LV"/>
              </w:rPr>
              <w:t> Administratīvo izmaksu monetārs novērtējums</w:t>
            </w:r>
          </w:p>
        </w:tc>
        <w:tc>
          <w:tcPr>
            <w:tcW w:w="5400" w:type="dxa"/>
            <w:gridSpan w:val="2"/>
            <w:tcBorders>
              <w:top w:val="outset" w:sz="6" w:space="0" w:color="auto"/>
              <w:left w:val="outset" w:sz="6" w:space="0" w:color="auto"/>
              <w:bottom w:val="outset" w:sz="6" w:space="0" w:color="auto"/>
              <w:right w:val="outset" w:sz="6" w:space="0" w:color="auto"/>
            </w:tcBorders>
            <w:hideMark/>
          </w:tcPr>
          <w:p w:rsidR="0070526D" w:rsidRPr="001513F9" w:rsidRDefault="0070526D" w:rsidP="006D3764">
            <w:pPr>
              <w:spacing w:before="100" w:beforeAutospacing="1" w:after="100" w:afterAutospacing="1"/>
              <w:rPr>
                <w:rFonts w:eastAsia="Times New Roman" w:cs="Times New Roman"/>
                <w:sz w:val="24"/>
                <w:szCs w:val="24"/>
                <w:lang w:eastAsia="lv-LV"/>
              </w:rPr>
            </w:pPr>
            <w:r w:rsidRPr="001513F9">
              <w:rPr>
                <w:rFonts w:eastAsia="Times New Roman" w:cs="Times New Roman"/>
                <w:sz w:val="24"/>
                <w:szCs w:val="24"/>
                <w:lang w:eastAsia="lv-LV"/>
              </w:rPr>
              <w:t> </w:t>
            </w:r>
            <w:r w:rsidR="006D3764" w:rsidRPr="001513F9">
              <w:rPr>
                <w:rFonts w:eastAsia="Times New Roman" w:cs="Times New Roman"/>
                <w:sz w:val="24"/>
                <w:szCs w:val="24"/>
                <w:lang w:eastAsia="lv-LV"/>
              </w:rPr>
              <w:t>Nav</w:t>
            </w:r>
            <w:r w:rsidR="00076A9C" w:rsidRPr="001513F9">
              <w:rPr>
                <w:rFonts w:eastAsia="Times New Roman" w:cs="Times New Roman"/>
                <w:sz w:val="24"/>
                <w:szCs w:val="24"/>
                <w:lang w:eastAsia="lv-LV"/>
              </w:rPr>
              <w:t xml:space="preserve"> attiecināms</w:t>
            </w:r>
          </w:p>
        </w:tc>
      </w:tr>
      <w:tr w:rsidR="0070526D" w:rsidRPr="001513F9" w:rsidTr="00EF3296">
        <w:trPr>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70526D" w:rsidRPr="001513F9" w:rsidRDefault="0070526D" w:rsidP="00115E82">
            <w:pPr>
              <w:rPr>
                <w:rFonts w:eastAsia="Times New Roman" w:cs="Times New Roman"/>
                <w:sz w:val="24"/>
                <w:szCs w:val="24"/>
                <w:lang w:eastAsia="lv-LV"/>
              </w:rPr>
            </w:pPr>
            <w:r w:rsidRPr="001513F9">
              <w:rPr>
                <w:rFonts w:eastAsia="Times New Roman" w:cs="Times New Roman"/>
                <w:sz w:val="24"/>
                <w:szCs w:val="24"/>
                <w:lang w:eastAsia="lv-LV"/>
              </w:rPr>
              <w:t> 7.</w:t>
            </w:r>
          </w:p>
        </w:tc>
        <w:tc>
          <w:tcPr>
            <w:tcW w:w="3180" w:type="dxa"/>
            <w:gridSpan w:val="3"/>
            <w:tcBorders>
              <w:top w:val="outset" w:sz="6" w:space="0" w:color="auto"/>
              <w:left w:val="outset" w:sz="6" w:space="0" w:color="auto"/>
              <w:bottom w:val="outset" w:sz="6" w:space="0" w:color="auto"/>
              <w:right w:val="outset" w:sz="6" w:space="0" w:color="auto"/>
            </w:tcBorders>
            <w:hideMark/>
          </w:tcPr>
          <w:p w:rsidR="0070526D" w:rsidRPr="001513F9" w:rsidRDefault="0070526D" w:rsidP="00115E82">
            <w:pPr>
              <w:rPr>
                <w:rFonts w:eastAsia="Times New Roman" w:cs="Times New Roman"/>
                <w:sz w:val="24"/>
                <w:szCs w:val="24"/>
                <w:lang w:eastAsia="lv-LV"/>
              </w:rPr>
            </w:pPr>
            <w:r w:rsidRPr="001513F9">
              <w:rPr>
                <w:rFonts w:eastAsia="Times New Roman" w:cs="Times New Roman"/>
                <w:sz w:val="24"/>
                <w:szCs w:val="24"/>
                <w:lang w:eastAsia="lv-LV"/>
              </w:rPr>
              <w:t> Cita informācija</w:t>
            </w:r>
          </w:p>
        </w:tc>
        <w:tc>
          <w:tcPr>
            <w:tcW w:w="5400" w:type="dxa"/>
            <w:gridSpan w:val="2"/>
            <w:tcBorders>
              <w:top w:val="outset" w:sz="6" w:space="0" w:color="auto"/>
              <w:left w:val="outset" w:sz="6" w:space="0" w:color="auto"/>
              <w:bottom w:val="outset" w:sz="6" w:space="0" w:color="auto"/>
              <w:right w:val="outset" w:sz="6" w:space="0" w:color="auto"/>
            </w:tcBorders>
            <w:hideMark/>
          </w:tcPr>
          <w:p w:rsidR="0070526D" w:rsidRPr="001513F9" w:rsidRDefault="0070526D" w:rsidP="00840983">
            <w:pPr>
              <w:rPr>
                <w:rFonts w:eastAsia="Times New Roman" w:cs="Times New Roman"/>
                <w:sz w:val="24"/>
                <w:szCs w:val="24"/>
                <w:lang w:eastAsia="lv-LV"/>
              </w:rPr>
            </w:pPr>
            <w:r w:rsidRPr="001513F9">
              <w:rPr>
                <w:rFonts w:eastAsia="Times New Roman" w:cs="Times New Roman"/>
                <w:sz w:val="24"/>
                <w:szCs w:val="24"/>
                <w:lang w:eastAsia="lv-LV"/>
              </w:rPr>
              <w:t> Nav</w:t>
            </w:r>
          </w:p>
        </w:tc>
      </w:tr>
      <w:tr w:rsidR="00D51F89" w:rsidRPr="00795599" w:rsidTr="005C1B70">
        <w:tblPrEx>
          <w:tblLook w:val="0000" w:firstRow="0" w:lastRow="0" w:firstColumn="0" w:lastColumn="0" w:noHBand="0" w:noVBand="0"/>
        </w:tblPrEx>
        <w:trPr>
          <w:trHeight w:val="483"/>
          <w:tblCellSpacing w:w="0" w:type="dxa"/>
        </w:trPr>
        <w:tc>
          <w:tcPr>
            <w:tcW w:w="9101" w:type="dxa"/>
            <w:gridSpan w:val="6"/>
            <w:tcBorders>
              <w:top w:val="outset" w:sz="6" w:space="0" w:color="auto"/>
              <w:left w:val="outset" w:sz="6" w:space="0" w:color="auto"/>
              <w:bottom w:val="outset" w:sz="6" w:space="0" w:color="auto"/>
              <w:right w:val="outset" w:sz="6" w:space="0" w:color="auto"/>
            </w:tcBorders>
          </w:tcPr>
          <w:p w:rsidR="00CE6434" w:rsidRDefault="0070526D" w:rsidP="00CE6434">
            <w:pPr>
              <w:jc w:val="center"/>
              <w:rPr>
                <w:rFonts w:eastAsia="Times New Roman" w:cs="Times New Roman"/>
                <w:sz w:val="24"/>
                <w:szCs w:val="24"/>
                <w:lang w:eastAsia="lv-LV"/>
              </w:rPr>
            </w:pPr>
            <w:r w:rsidRPr="001513F9">
              <w:rPr>
                <w:rFonts w:eastAsia="Times New Roman" w:cs="Times New Roman"/>
                <w:sz w:val="24"/>
                <w:szCs w:val="24"/>
                <w:lang w:eastAsia="lv-LV"/>
              </w:rPr>
              <w:t> </w:t>
            </w:r>
          </w:p>
          <w:p w:rsidR="005C1B70" w:rsidRPr="00795599" w:rsidRDefault="0070526D" w:rsidP="00CE6434">
            <w:pPr>
              <w:jc w:val="center"/>
              <w:rPr>
                <w:b/>
                <w:sz w:val="24"/>
                <w:szCs w:val="24"/>
                <w:lang w:eastAsia="lv-LV"/>
              </w:rPr>
            </w:pPr>
            <w:r w:rsidRPr="001513F9">
              <w:rPr>
                <w:rFonts w:eastAsia="Times New Roman" w:cs="Times New Roman"/>
                <w:i/>
                <w:iCs/>
                <w:sz w:val="24"/>
                <w:szCs w:val="24"/>
                <w:lang w:eastAsia="lv-LV"/>
              </w:rPr>
              <w:t> </w:t>
            </w:r>
            <w:r w:rsidR="00D51F89" w:rsidRPr="00795599">
              <w:rPr>
                <w:b/>
                <w:sz w:val="24"/>
                <w:szCs w:val="24"/>
                <w:lang w:eastAsia="lv-LV"/>
              </w:rPr>
              <w:t>III. Tiesību akta projekta ietekme uz valsts budžetu un pašvaldību budžetiem</w:t>
            </w:r>
          </w:p>
        </w:tc>
      </w:tr>
      <w:tr w:rsidR="00D51F89" w:rsidRPr="00795599" w:rsidTr="005C1B70">
        <w:tblPrEx>
          <w:tblLook w:val="0000" w:firstRow="0" w:lastRow="0" w:firstColumn="0" w:lastColumn="0" w:noHBand="0" w:noVBand="0"/>
        </w:tblPrEx>
        <w:trPr>
          <w:trHeight w:val="294"/>
          <w:tblCellSpacing w:w="0" w:type="dxa"/>
        </w:trPr>
        <w:tc>
          <w:tcPr>
            <w:tcW w:w="9101" w:type="dxa"/>
            <w:gridSpan w:val="6"/>
            <w:tcBorders>
              <w:top w:val="outset" w:sz="6" w:space="0" w:color="auto"/>
              <w:left w:val="outset" w:sz="6" w:space="0" w:color="auto"/>
              <w:bottom w:val="outset" w:sz="6" w:space="0" w:color="auto"/>
              <w:right w:val="outset" w:sz="6" w:space="0" w:color="auto"/>
            </w:tcBorders>
          </w:tcPr>
          <w:p w:rsidR="00D51F89" w:rsidRPr="00795599" w:rsidRDefault="00D51F89" w:rsidP="00CE6434">
            <w:pPr>
              <w:jc w:val="center"/>
              <w:rPr>
                <w:sz w:val="24"/>
                <w:szCs w:val="24"/>
                <w:lang w:eastAsia="lv-LV"/>
              </w:rPr>
            </w:pPr>
            <w:r w:rsidRPr="00795599">
              <w:rPr>
                <w:i/>
                <w:iCs/>
                <w:sz w:val="24"/>
                <w:szCs w:val="24"/>
              </w:rPr>
              <w:t>Nav attiecināms</w:t>
            </w:r>
          </w:p>
        </w:tc>
      </w:tr>
      <w:tr w:rsidR="00D51F89" w:rsidRPr="00795599" w:rsidTr="00786DB3">
        <w:tblPrEx>
          <w:tblLook w:val="0000" w:firstRow="0" w:lastRow="0" w:firstColumn="0" w:lastColumn="0" w:noHBand="0" w:noVBand="0"/>
        </w:tblPrEx>
        <w:trPr>
          <w:tblCellSpacing w:w="0" w:type="dxa"/>
        </w:trPr>
        <w:tc>
          <w:tcPr>
            <w:tcW w:w="9101" w:type="dxa"/>
            <w:gridSpan w:val="6"/>
            <w:tcBorders>
              <w:top w:val="outset" w:sz="6" w:space="0" w:color="auto"/>
              <w:left w:val="outset" w:sz="6" w:space="0" w:color="auto"/>
              <w:bottom w:val="outset" w:sz="6" w:space="0" w:color="auto"/>
              <w:right w:val="outset" w:sz="6" w:space="0" w:color="auto"/>
            </w:tcBorders>
          </w:tcPr>
          <w:p w:rsidR="00CE6434" w:rsidRDefault="00CE6434" w:rsidP="00CE6434">
            <w:pPr>
              <w:jc w:val="center"/>
              <w:rPr>
                <w:b/>
                <w:sz w:val="24"/>
                <w:szCs w:val="24"/>
                <w:lang w:eastAsia="lv-LV"/>
              </w:rPr>
            </w:pPr>
          </w:p>
          <w:p w:rsidR="005C1B70" w:rsidRPr="00795599" w:rsidRDefault="00D51F89" w:rsidP="00CE6434">
            <w:pPr>
              <w:jc w:val="center"/>
              <w:rPr>
                <w:b/>
                <w:sz w:val="24"/>
                <w:szCs w:val="24"/>
                <w:lang w:eastAsia="lv-LV"/>
              </w:rPr>
            </w:pPr>
            <w:r w:rsidRPr="00795599">
              <w:rPr>
                <w:b/>
                <w:sz w:val="24"/>
                <w:szCs w:val="24"/>
                <w:lang w:eastAsia="lv-LV"/>
              </w:rPr>
              <w:t>IV. Tiesību akta projekta ietekme uz spēkā esošo tiesību normu sistēmu</w:t>
            </w:r>
          </w:p>
        </w:tc>
      </w:tr>
      <w:tr w:rsidR="00D51F89" w:rsidRPr="00795599" w:rsidTr="00C41D50">
        <w:tblPrEx>
          <w:tblLook w:val="0000" w:firstRow="0" w:lastRow="0" w:firstColumn="0" w:lastColumn="0" w:noHBand="0" w:noVBand="0"/>
        </w:tblPrEx>
        <w:trPr>
          <w:tblCellSpacing w:w="0" w:type="dxa"/>
        </w:trPr>
        <w:tc>
          <w:tcPr>
            <w:tcW w:w="528" w:type="dxa"/>
            <w:gridSpan w:val="2"/>
            <w:tcBorders>
              <w:top w:val="outset" w:sz="6" w:space="0" w:color="auto"/>
              <w:left w:val="outset" w:sz="6" w:space="0" w:color="auto"/>
              <w:bottom w:val="outset" w:sz="6" w:space="0" w:color="auto"/>
              <w:right w:val="outset" w:sz="6" w:space="0" w:color="auto"/>
            </w:tcBorders>
          </w:tcPr>
          <w:p w:rsidR="00D51F89" w:rsidRPr="00795599" w:rsidRDefault="00D51F89" w:rsidP="00CE6434">
            <w:pPr>
              <w:rPr>
                <w:sz w:val="24"/>
                <w:szCs w:val="24"/>
                <w:lang w:eastAsia="lv-LV"/>
              </w:rPr>
            </w:pPr>
            <w:r w:rsidRPr="00795599">
              <w:rPr>
                <w:sz w:val="24"/>
                <w:szCs w:val="24"/>
                <w:lang w:eastAsia="lv-LV"/>
              </w:rPr>
              <w:t> 1.</w:t>
            </w:r>
          </w:p>
        </w:tc>
        <w:tc>
          <w:tcPr>
            <w:tcW w:w="4454" w:type="dxa"/>
            <w:gridSpan w:val="3"/>
            <w:tcBorders>
              <w:top w:val="outset" w:sz="6" w:space="0" w:color="auto"/>
              <w:left w:val="outset" w:sz="6" w:space="0" w:color="auto"/>
              <w:bottom w:val="outset" w:sz="6" w:space="0" w:color="auto"/>
              <w:right w:val="outset" w:sz="6" w:space="0" w:color="auto"/>
            </w:tcBorders>
          </w:tcPr>
          <w:p w:rsidR="00D51F89" w:rsidRPr="00795599" w:rsidRDefault="00D51F89" w:rsidP="00CE6434">
            <w:pPr>
              <w:rPr>
                <w:sz w:val="24"/>
                <w:szCs w:val="24"/>
                <w:lang w:eastAsia="lv-LV"/>
              </w:rPr>
            </w:pPr>
            <w:r w:rsidRPr="00795599">
              <w:rPr>
                <w:sz w:val="24"/>
                <w:szCs w:val="24"/>
                <w:lang w:eastAsia="lv-LV"/>
              </w:rPr>
              <w:t> Nepieciešamie saistītie tiesību aktu projekti</w:t>
            </w:r>
          </w:p>
        </w:tc>
        <w:tc>
          <w:tcPr>
            <w:tcW w:w="4119" w:type="dxa"/>
            <w:tcBorders>
              <w:top w:val="outset" w:sz="6" w:space="0" w:color="auto"/>
              <w:left w:val="outset" w:sz="6" w:space="0" w:color="auto"/>
              <w:bottom w:val="outset" w:sz="6" w:space="0" w:color="auto"/>
              <w:right w:val="outset" w:sz="6" w:space="0" w:color="auto"/>
            </w:tcBorders>
          </w:tcPr>
          <w:p w:rsidR="00D51F89" w:rsidRPr="00795599" w:rsidRDefault="00D51F89" w:rsidP="00CE6434">
            <w:pPr>
              <w:rPr>
                <w:bCs/>
                <w:sz w:val="24"/>
                <w:szCs w:val="24"/>
              </w:rPr>
            </w:pPr>
            <w:r w:rsidRPr="00795599">
              <w:rPr>
                <w:sz w:val="24"/>
                <w:szCs w:val="24"/>
                <w:lang w:eastAsia="lv-LV"/>
              </w:rPr>
              <w:t> </w:t>
            </w:r>
            <w:r w:rsidRPr="00795599">
              <w:rPr>
                <w:bCs/>
                <w:sz w:val="24"/>
                <w:szCs w:val="24"/>
              </w:rPr>
              <w:t>Nav</w:t>
            </w:r>
          </w:p>
        </w:tc>
      </w:tr>
      <w:tr w:rsidR="00D51F89" w:rsidRPr="00795599" w:rsidTr="00C41D50">
        <w:tblPrEx>
          <w:tblLook w:val="0000" w:firstRow="0" w:lastRow="0" w:firstColumn="0" w:lastColumn="0" w:noHBand="0" w:noVBand="0"/>
        </w:tblPrEx>
        <w:trPr>
          <w:tblCellSpacing w:w="0" w:type="dxa"/>
        </w:trPr>
        <w:tc>
          <w:tcPr>
            <w:tcW w:w="528" w:type="dxa"/>
            <w:gridSpan w:val="2"/>
            <w:tcBorders>
              <w:top w:val="outset" w:sz="6" w:space="0" w:color="auto"/>
              <w:left w:val="outset" w:sz="6" w:space="0" w:color="auto"/>
              <w:bottom w:val="outset" w:sz="6" w:space="0" w:color="auto"/>
              <w:right w:val="outset" w:sz="6" w:space="0" w:color="auto"/>
            </w:tcBorders>
          </w:tcPr>
          <w:p w:rsidR="00D51F89" w:rsidRPr="00795599" w:rsidRDefault="00D51F89" w:rsidP="00CE6434">
            <w:pPr>
              <w:rPr>
                <w:sz w:val="24"/>
                <w:szCs w:val="24"/>
                <w:lang w:eastAsia="lv-LV"/>
              </w:rPr>
            </w:pPr>
            <w:r w:rsidRPr="00795599">
              <w:rPr>
                <w:sz w:val="24"/>
                <w:szCs w:val="24"/>
                <w:lang w:eastAsia="lv-LV"/>
              </w:rPr>
              <w:t> 2.</w:t>
            </w:r>
          </w:p>
        </w:tc>
        <w:tc>
          <w:tcPr>
            <w:tcW w:w="4454" w:type="dxa"/>
            <w:gridSpan w:val="3"/>
            <w:tcBorders>
              <w:top w:val="outset" w:sz="6" w:space="0" w:color="auto"/>
              <w:left w:val="outset" w:sz="6" w:space="0" w:color="auto"/>
              <w:bottom w:val="outset" w:sz="6" w:space="0" w:color="auto"/>
              <w:right w:val="outset" w:sz="6" w:space="0" w:color="auto"/>
            </w:tcBorders>
          </w:tcPr>
          <w:p w:rsidR="00D51F89" w:rsidRPr="00795599" w:rsidRDefault="00D51F89" w:rsidP="00CE6434">
            <w:pPr>
              <w:rPr>
                <w:sz w:val="24"/>
                <w:szCs w:val="24"/>
                <w:lang w:eastAsia="lv-LV"/>
              </w:rPr>
            </w:pPr>
            <w:r w:rsidRPr="00795599">
              <w:rPr>
                <w:sz w:val="24"/>
                <w:szCs w:val="24"/>
                <w:lang w:eastAsia="lv-LV"/>
              </w:rPr>
              <w:t> Cita informācija</w:t>
            </w:r>
          </w:p>
        </w:tc>
        <w:tc>
          <w:tcPr>
            <w:tcW w:w="4119" w:type="dxa"/>
            <w:tcBorders>
              <w:top w:val="outset" w:sz="6" w:space="0" w:color="auto"/>
              <w:left w:val="outset" w:sz="6" w:space="0" w:color="auto"/>
              <w:bottom w:val="outset" w:sz="6" w:space="0" w:color="auto"/>
              <w:right w:val="outset" w:sz="6" w:space="0" w:color="auto"/>
            </w:tcBorders>
          </w:tcPr>
          <w:p w:rsidR="00D51F89" w:rsidRPr="00795599" w:rsidRDefault="00D51F89" w:rsidP="00CE6434">
            <w:pPr>
              <w:rPr>
                <w:sz w:val="24"/>
                <w:szCs w:val="24"/>
                <w:lang w:eastAsia="lv-LV"/>
              </w:rPr>
            </w:pPr>
            <w:r w:rsidRPr="00795599">
              <w:rPr>
                <w:sz w:val="24"/>
                <w:szCs w:val="24"/>
                <w:lang w:eastAsia="lv-LV"/>
              </w:rPr>
              <w:t>Nav</w:t>
            </w:r>
          </w:p>
        </w:tc>
      </w:tr>
      <w:tr w:rsidR="00D51F89" w:rsidRPr="00795599" w:rsidTr="00786DB3">
        <w:tblPrEx>
          <w:tblLook w:val="0000" w:firstRow="0" w:lastRow="0" w:firstColumn="0" w:lastColumn="0" w:noHBand="0" w:noVBand="0"/>
        </w:tblPrEx>
        <w:trPr>
          <w:tblCellSpacing w:w="0" w:type="dxa"/>
        </w:trPr>
        <w:tc>
          <w:tcPr>
            <w:tcW w:w="9101" w:type="dxa"/>
            <w:gridSpan w:val="6"/>
            <w:tcBorders>
              <w:top w:val="outset" w:sz="6" w:space="0" w:color="auto"/>
              <w:left w:val="outset" w:sz="6" w:space="0" w:color="auto"/>
              <w:bottom w:val="outset" w:sz="6" w:space="0" w:color="auto"/>
              <w:right w:val="outset" w:sz="6" w:space="0" w:color="auto"/>
            </w:tcBorders>
          </w:tcPr>
          <w:p w:rsidR="00CE6434" w:rsidRDefault="00CE6434" w:rsidP="00CE6434">
            <w:pPr>
              <w:jc w:val="center"/>
              <w:rPr>
                <w:b/>
                <w:sz w:val="24"/>
                <w:szCs w:val="24"/>
                <w:lang w:eastAsia="lv-LV"/>
              </w:rPr>
            </w:pPr>
          </w:p>
          <w:p w:rsidR="005C1B70" w:rsidRPr="00795599" w:rsidRDefault="00D51F89" w:rsidP="00CE6434">
            <w:pPr>
              <w:jc w:val="center"/>
              <w:rPr>
                <w:b/>
                <w:sz w:val="24"/>
                <w:szCs w:val="24"/>
                <w:lang w:eastAsia="lv-LV"/>
              </w:rPr>
            </w:pPr>
            <w:r w:rsidRPr="00795599">
              <w:rPr>
                <w:b/>
                <w:sz w:val="24"/>
                <w:szCs w:val="24"/>
                <w:lang w:eastAsia="lv-LV"/>
              </w:rPr>
              <w:t>V. Tiesību akta projekta atbilstība Latvijas Republikas starptautiskajām saistībām</w:t>
            </w:r>
          </w:p>
        </w:tc>
      </w:tr>
      <w:tr w:rsidR="00D51F89" w:rsidRPr="00795599" w:rsidTr="00786DB3">
        <w:tblPrEx>
          <w:tblLook w:val="0000" w:firstRow="0" w:lastRow="0" w:firstColumn="0" w:lastColumn="0" w:noHBand="0" w:noVBand="0"/>
        </w:tblPrEx>
        <w:trPr>
          <w:trHeight w:val="280"/>
          <w:tblCellSpacing w:w="0" w:type="dxa"/>
        </w:trPr>
        <w:tc>
          <w:tcPr>
            <w:tcW w:w="9101" w:type="dxa"/>
            <w:gridSpan w:val="6"/>
            <w:tcBorders>
              <w:top w:val="outset" w:sz="6" w:space="0" w:color="auto"/>
              <w:left w:val="outset" w:sz="6" w:space="0" w:color="auto"/>
              <w:bottom w:val="outset" w:sz="6" w:space="0" w:color="auto"/>
              <w:right w:val="outset" w:sz="6" w:space="0" w:color="auto"/>
            </w:tcBorders>
          </w:tcPr>
          <w:p w:rsidR="00D51F89" w:rsidRPr="00795599" w:rsidRDefault="00D51F89" w:rsidP="00CE6434">
            <w:pPr>
              <w:jc w:val="center"/>
              <w:rPr>
                <w:sz w:val="24"/>
                <w:szCs w:val="24"/>
                <w:lang w:eastAsia="lv-LV"/>
              </w:rPr>
            </w:pPr>
            <w:r w:rsidRPr="00795599">
              <w:rPr>
                <w:i/>
                <w:iCs/>
                <w:sz w:val="24"/>
                <w:szCs w:val="24"/>
              </w:rPr>
              <w:lastRenderedPageBreak/>
              <w:t>Nav attiecināms</w:t>
            </w:r>
          </w:p>
        </w:tc>
      </w:tr>
      <w:tr w:rsidR="00D51F89" w:rsidRPr="00795599" w:rsidTr="00786DB3">
        <w:tblPrEx>
          <w:tblLook w:val="0000" w:firstRow="0" w:lastRow="0" w:firstColumn="0" w:lastColumn="0" w:noHBand="0" w:noVBand="0"/>
        </w:tblPrEx>
        <w:trPr>
          <w:tblCellSpacing w:w="0" w:type="dxa"/>
        </w:trPr>
        <w:tc>
          <w:tcPr>
            <w:tcW w:w="9101" w:type="dxa"/>
            <w:gridSpan w:val="6"/>
            <w:tcBorders>
              <w:top w:val="outset" w:sz="6" w:space="0" w:color="auto"/>
              <w:left w:val="outset" w:sz="6" w:space="0" w:color="auto"/>
              <w:bottom w:val="outset" w:sz="6" w:space="0" w:color="auto"/>
              <w:right w:val="outset" w:sz="6" w:space="0" w:color="auto"/>
            </w:tcBorders>
          </w:tcPr>
          <w:p w:rsidR="00CE6434" w:rsidRDefault="00CE6434" w:rsidP="00CE6434">
            <w:pPr>
              <w:jc w:val="center"/>
              <w:rPr>
                <w:b/>
                <w:bCs/>
                <w:sz w:val="24"/>
                <w:szCs w:val="24"/>
                <w:lang w:eastAsia="lv-LV"/>
              </w:rPr>
            </w:pPr>
          </w:p>
          <w:p w:rsidR="005C1B70" w:rsidRPr="003557D1" w:rsidRDefault="00D51F89" w:rsidP="00CE6434">
            <w:pPr>
              <w:jc w:val="center"/>
              <w:rPr>
                <w:b/>
                <w:bCs/>
                <w:sz w:val="24"/>
                <w:szCs w:val="24"/>
                <w:lang w:eastAsia="lv-LV"/>
              </w:rPr>
            </w:pPr>
            <w:r w:rsidRPr="00795599">
              <w:rPr>
                <w:b/>
                <w:bCs/>
                <w:sz w:val="24"/>
                <w:szCs w:val="24"/>
                <w:lang w:eastAsia="lv-LV"/>
              </w:rPr>
              <w:t>VI. Sabiedrības līdzdalība un šīs līdzdalības rezultāti</w:t>
            </w:r>
          </w:p>
        </w:tc>
      </w:tr>
      <w:tr w:rsidR="00D51F89" w:rsidRPr="00795599" w:rsidTr="008D75D8">
        <w:tblPrEx>
          <w:tblLook w:val="0000" w:firstRow="0" w:lastRow="0" w:firstColumn="0" w:lastColumn="0" w:noHBand="0" w:noVBand="0"/>
        </w:tblPrEx>
        <w:trPr>
          <w:trHeight w:val="258"/>
          <w:tblCellSpacing w:w="0" w:type="dxa"/>
        </w:trPr>
        <w:tc>
          <w:tcPr>
            <w:tcW w:w="9101" w:type="dxa"/>
            <w:gridSpan w:val="6"/>
            <w:tcBorders>
              <w:top w:val="outset" w:sz="6" w:space="0" w:color="auto"/>
              <w:left w:val="outset" w:sz="6" w:space="0" w:color="auto"/>
              <w:bottom w:val="outset" w:sz="6" w:space="0" w:color="auto"/>
              <w:right w:val="outset" w:sz="6" w:space="0" w:color="auto"/>
            </w:tcBorders>
          </w:tcPr>
          <w:p w:rsidR="00D51F89" w:rsidRPr="00795599" w:rsidRDefault="00D51F89" w:rsidP="00CE6434">
            <w:pPr>
              <w:jc w:val="center"/>
              <w:rPr>
                <w:b/>
                <w:bCs/>
                <w:sz w:val="24"/>
                <w:szCs w:val="24"/>
                <w:lang w:eastAsia="lv-LV"/>
              </w:rPr>
            </w:pPr>
            <w:r w:rsidRPr="00795599">
              <w:rPr>
                <w:i/>
                <w:iCs/>
                <w:sz w:val="24"/>
                <w:szCs w:val="24"/>
              </w:rPr>
              <w:t>Nav attiecināms</w:t>
            </w:r>
          </w:p>
        </w:tc>
      </w:tr>
      <w:tr w:rsidR="00D51F89" w:rsidRPr="00795599" w:rsidTr="00786DB3">
        <w:tblPrEx>
          <w:tblLook w:val="0000" w:firstRow="0" w:lastRow="0" w:firstColumn="0" w:lastColumn="0" w:noHBand="0" w:noVBand="0"/>
        </w:tblPrEx>
        <w:trPr>
          <w:tblCellSpacing w:w="0" w:type="dxa"/>
        </w:trPr>
        <w:tc>
          <w:tcPr>
            <w:tcW w:w="9101" w:type="dxa"/>
            <w:gridSpan w:val="6"/>
            <w:tcBorders>
              <w:top w:val="outset" w:sz="6" w:space="0" w:color="auto"/>
              <w:left w:val="outset" w:sz="6" w:space="0" w:color="auto"/>
              <w:bottom w:val="outset" w:sz="6" w:space="0" w:color="auto"/>
              <w:right w:val="outset" w:sz="6" w:space="0" w:color="auto"/>
            </w:tcBorders>
          </w:tcPr>
          <w:p w:rsidR="00CE6434" w:rsidRDefault="00CE6434" w:rsidP="00CE6434">
            <w:pPr>
              <w:jc w:val="center"/>
              <w:rPr>
                <w:b/>
                <w:bCs/>
                <w:sz w:val="24"/>
                <w:szCs w:val="24"/>
                <w:lang w:eastAsia="lv-LV"/>
              </w:rPr>
            </w:pPr>
          </w:p>
          <w:p w:rsidR="005C1B70" w:rsidRPr="003557D1" w:rsidRDefault="00D51F89" w:rsidP="00CE6434">
            <w:pPr>
              <w:jc w:val="center"/>
              <w:rPr>
                <w:b/>
                <w:bCs/>
                <w:sz w:val="24"/>
                <w:szCs w:val="24"/>
                <w:lang w:eastAsia="lv-LV"/>
              </w:rPr>
            </w:pPr>
            <w:r w:rsidRPr="00795599">
              <w:rPr>
                <w:b/>
                <w:bCs/>
                <w:sz w:val="24"/>
                <w:szCs w:val="24"/>
                <w:lang w:eastAsia="lv-LV"/>
              </w:rPr>
              <w:t>VII. Tiesību akta projekta izpildes nodrošināšana un tās ietekme uz institūcijām</w:t>
            </w:r>
          </w:p>
        </w:tc>
      </w:tr>
      <w:tr w:rsidR="00D51F89" w:rsidRPr="00795599" w:rsidTr="008D75D8">
        <w:tblPrEx>
          <w:tblLook w:val="0000" w:firstRow="0" w:lastRow="0" w:firstColumn="0" w:lastColumn="0" w:noHBand="0" w:noVBand="0"/>
        </w:tblPrEx>
        <w:trPr>
          <w:trHeight w:val="352"/>
          <w:tblCellSpacing w:w="0" w:type="dxa"/>
        </w:trPr>
        <w:tc>
          <w:tcPr>
            <w:tcW w:w="9101" w:type="dxa"/>
            <w:gridSpan w:val="6"/>
            <w:tcBorders>
              <w:top w:val="outset" w:sz="6" w:space="0" w:color="auto"/>
              <w:left w:val="outset" w:sz="6" w:space="0" w:color="auto"/>
              <w:bottom w:val="outset" w:sz="6" w:space="0" w:color="auto"/>
              <w:right w:val="outset" w:sz="6" w:space="0" w:color="auto"/>
            </w:tcBorders>
          </w:tcPr>
          <w:p w:rsidR="00D51F89" w:rsidRPr="00795599" w:rsidRDefault="00D51F89" w:rsidP="00CE6434">
            <w:pPr>
              <w:jc w:val="center"/>
              <w:rPr>
                <w:b/>
                <w:bCs/>
                <w:sz w:val="24"/>
                <w:szCs w:val="24"/>
                <w:lang w:eastAsia="lv-LV"/>
              </w:rPr>
            </w:pPr>
            <w:r w:rsidRPr="00795599">
              <w:rPr>
                <w:i/>
                <w:iCs/>
                <w:sz w:val="24"/>
                <w:szCs w:val="24"/>
              </w:rPr>
              <w:t>Nav attiecināms</w:t>
            </w:r>
          </w:p>
        </w:tc>
      </w:tr>
    </w:tbl>
    <w:p w:rsidR="00B649B7" w:rsidRDefault="00B649B7" w:rsidP="00115E82">
      <w:pPr>
        <w:rPr>
          <w:rFonts w:eastAsia="Times New Roman" w:cs="Times New Roman"/>
          <w:sz w:val="24"/>
          <w:szCs w:val="24"/>
          <w:lang w:eastAsia="lv-LV"/>
        </w:rPr>
      </w:pPr>
    </w:p>
    <w:p w:rsidR="00245A0E" w:rsidRPr="001513F9" w:rsidRDefault="00245A0E" w:rsidP="00115E82">
      <w:pPr>
        <w:rPr>
          <w:rFonts w:eastAsia="Times New Roman" w:cs="Times New Roman"/>
          <w:sz w:val="24"/>
          <w:szCs w:val="24"/>
          <w:lang w:eastAsia="lv-LV"/>
        </w:rPr>
      </w:pPr>
    </w:p>
    <w:p w:rsidR="00935378" w:rsidRPr="001513F9" w:rsidRDefault="0070526D" w:rsidP="00935378">
      <w:pPr>
        <w:rPr>
          <w:rFonts w:cs="Times New Roman"/>
          <w:sz w:val="24"/>
          <w:szCs w:val="24"/>
        </w:rPr>
      </w:pPr>
      <w:r w:rsidRPr="001513F9">
        <w:rPr>
          <w:rFonts w:eastAsia="Times New Roman" w:cs="Times New Roman"/>
          <w:sz w:val="24"/>
          <w:szCs w:val="24"/>
          <w:lang w:eastAsia="lv-LV"/>
        </w:rPr>
        <w:t>  </w:t>
      </w:r>
    </w:p>
    <w:p w:rsidR="00935378" w:rsidRPr="00B862F9" w:rsidRDefault="00935378" w:rsidP="00935378">
      <w:pPr>
        <w:rPr>
          <w:rFonts w:cs="Times New Roman"/>
          <w:sz w:val="26"/>
          <w:szCs w:val="26"/>
        </w:rPr>
      </w:pPr>
      <w:r w:rsidRPr="00B862F9">
        <w:rPr>
          <w:rFonts w:cs="Times New Roman"/>
          <w:sz w:val="26"/>
          <w:szCs w:val="26"/>
        </w:rPr>
        <w:t xml:space="preserve">Finanšu ministrs </w:t>
      </w:r>
      <w:r w:rsidRPr="00B862F9">
        <w:rPr>
          <w:rFonts w:cs="Times New Roman"/>
          <w:sz w:val="26"/>
          <w:szCs w:val="26"/>
        </w:rPr>
        <w:tab/>
      </w:r>
      <w:r w:rsidRPr="00B862F9">
        <w:rPr>
          <w:rFonts w:cs="Times New Roman"/>
          <w:sz w:val="26"/>
          <w:szCs w:val="26"/>
        </w:rPr>
        <w:tab/>
      </w:r>
      <w:r w:rsidRPr="00B862F9">
        <w:rPr>
          <w:rFonts w:cs="Times New Roman"/>
          <w:sz w:val="26"/>
          <w:szCs w:val="26"/>
        </w:rPr>
        <w:tab/>
      </w:r>
      <w:r w:rsidRPr="00B862F9">
        <w:rPr>
          <w:rFonts w:cs="Times New Roman"/>
          <w:sz w:val="26"/>
          <w:szCs w:val="26"/>
        </w:rPr>
        <w:tab/>
      </w:r>
      <w:r w:rsidRPr="00B862F9">
        <w:rPr>
          <w:rFonts w:cs="Times New Roman"/>
          <w:sz w:val="26"/>
          <w:szCs w:val="26"/>
        </w:rPr>
        <w:tab/>
      </w:r>
      <w:r w:rsidRPr="00B862F9">
        <w:rPr>
          <w:rFonts w:cs="Times New Roman"/>
          <w:sz w:val="26"/>
          <w:szCs w:val="26"/>
        </w:rPr>
        <w:tab/>
      </w:r>
      <w:r w:rsidR="00637066" w:rsidRPr="00B862F9">
        <w:rPr>
          <w:rFonts w:cs="Times New Roman"/>
          <w:sz w:val="26"/>
          <w:szCs w:val="26"/>
        </w:rPr>
        <w:tab/>
      </w:r>
      <w:r w:rsidRPr="00B862F9">
        <w:rPr>
          <w:rFonts w:cs="Times New Roman"/>
          <w:sz w:val="26"/>
          <w:szCs w:val="26"/>
        </w:rPr>
        <w:tab/>
      </w:r>
      <w:r w:rsidRPr="00B862F9">
        <w:rPr>
          <w:rFonts w:cs="Times New Roman"/>
          <w:sz w:val="26"/>
          <w:szCs w:val="26"/>
        </w:rPr>
        <w:tab/>
      </w:r>
      <w:r w:rsidR="00554904">
        <w:rPr>
          <w:rFonts w:cs="Times New Roman"/>
          <w:sz w:val="26"/>
          <w:szCs w:val="26"/>
        </w:rPr>
        <w:t>A.Vilks</w:t>
      </w:r>
    </w:p>
    <w:p w:rsidR="00095CD7" w:rsidRDefault="00095CD7" w:rsidP="002A429F">
      <w:pPr>
        <w:tabs>
          <w:tab w:val="left" w:pos="6840"/>
        </w:tabs>
        <w:jc w:val="both"/>
        <w:rPr>
          <w:rFonts w:cs="Times New Roman"/>
          <w:sz w:val="24"/>
          <w:szCs w:val="24"/>
        </w:rPr>
      </w:pPr>
    </w:p>
    <w:p w:rsidR="008D75D8" w:rsidRDefault="008D75D8" w:rsidP="002A429F">
      <w:pPr>
        <w:tabs>
          <w:tab w:val="left" w:pos="6840"/>
        </w:tabs>
        <w:jc w:val="both"/>
        <w:rPr>
          <w:rFonts w:cs="Times New Roman"/>
          <w:sz w:val="24"/>
          <w:szCs w:val="24"/>
        </w:rPr>
      </w:pPr>
    </w:p>
    <w:p w:rsidR="003557D1" w:rsidRDefault="003557D1" w:rsidP="002A429F">
      <w:pPr>
        <w:tabs>
          <w:tab w:val="left" w:pos="6840"/>
        </w:tabs>
        <w:jc w:val="both"/>
        <w:rPr>
          <w:rFonts w:cs="Times New Roman"/>
          <w:sz w:val="24"/>
          <w:szCs w:val="24"/>
        </w:rPr>
      </w:pPr>
    </w:p>
    <w:p w:rsidR="00CE6434" w:rsidRDefault="00CE6434" w:rsidP="002A429F">
      <w:pPr>
        <w:tabs>
          <w:tab w:val="left" w:pos="6840"/>
        </w:tabs>
        <w:jc w:val="both"/>
        <w:rPr>
          <w:rFonts w:cs="Times New Roman"/>
          <w:sz w:val="24"/>
          <w:szCs w:val="24"/>
        </w:rPr>
      </w:pPr>
    </w:p>
    <w:p w:rsidR="00CE6434" w:rsidRDefault="00CE6434" w:rsidP="002A429F">
      <w:pPr>
        <w:tabs>
          <w:tab w:val="left" w:pos="6840"/>
        </w:tabs>
        <w:jc w:val="both"/>
        <w:rPr>
          <w:rFonts w:cs="Times New Roman"/>
          <w:sz w:val="24"/>
          <w:szCs w:val="24"/>
        </w:rPr>
      </w:pPr>
    </w:p>
    <w:p w:rsidR="00CE6434" w:rsidRDefault="00CE6434" w:rsidP="002A429F">
      <w:pPr>
        <w:tabs>
          <w:tab w:val="left" w:pos="6840"/>
        </w:tabs>
        <w:jc w:val="both"/>
        <w:rPr>
          <w:rFonts w:cs="Times New Roman"/>
          <w:sz w:val="24"/>
          <w:szCs w:val="24"/>
        </w:rPr>
      </w:pPr>
    </w:p>
    <w:p w:rsidR="00CE6434" w:rsidRDefault="00CE6434" w:rsidP="002A429F">
      <w:pPr>
        <w:tabs>
          <w:tab w:val="left" w:pos="6840"/>
        </w:tabs>
        <w:jc w:val="both"/>
        <w:rPr>
          <w:rFonts w:cs="Times New Roman"/>
          <w:sz w:val="24"/>
          <w:szCs w:val="24"/>
        </w:rPr>
      </w:pPr>
    </w:p>
    <w:p w:rsidR="00CE6434" w:rsidRDefault="00CE6434" w:rsidP="002A429F">
      <w:pPr>
        <w:tabs>
          <w:tab w:val="left" w:pos="6840"/>
        </w:tabs>
        <w:jc w:val="both"/>
        <w:rPr>
          <w:rFonts w:cs="Times New Roman"/>
          <w:sz w:val="24"/>
          <w:szCs w:val="24"/>
        </w:rPr>
      </w:pPr>
    </w:p>
    <w:p w:rsidR="00CE6434" w:rsidRDefault="00CE6434" w:rsidP="002A429F">
      <w:pPr>
        <w:tabs>
          <w:tab w:val="left" w:pos="6840"/>
        </w:tabs>
        <w:jc w:val="both"/>
        <w:rPr>
          <w:rFonts w:cs="Times New Roman"/>
          <w:sz w:val="24"/>
          <w:szCs w:val="24"/>
        </w:rPr>
      </w:pPr>
    </w:p>
    <w:p w:rsidR="00CE6434" w:rsidRDefault="00CE6434" w:rsidP="002A429F">
      <w:pPr>
        <w:tabs>
          <w:tab w:val="left" w:pos="6840"/>
        </w:tabs>
        <w:jc w:val="both"/>
        <w:rPr>
          <w:rFonts w:cs="Times New Roman"/>
          <w:sz w:val="24"/>
          <w:szCs w:val="24"/>
        </w:rPr>
      </w:pPr>
    </w:p>
    <w:p w:rsidR="00CE6434" w:rsidRDefault="00CE6434" w:rsidP="002A429F">
      <w:pPr>
        <w:tabs>
          <w:tab w:val="left" w:pos="6840"/>
        </w:tabs>
        <w:jc w:val="both"/>
        <w:rPr>
          <w:rFonts w:cs="Times New Roman"/>
          <w:sz w:val="24"/>
          <w:szCs w:val="24"/>
        </w:rPr>
      </w:pPr>
    </w:p>
    <w:p w:rsidR="00CE6434" w:rsidRDefault="00CE6434" w:rsidP="002A429F">
      <w:pPr>
        <w:tabs>
          <w:tab w:val="left" w:pos="6840"/>
        </w:tabs>
        <w:jc w:val="both"/>
        <w:rPr>
          <w:rFonts w:cs="Times New Roman"/>
          <w:sz w:val="24"/>
          <w:szCs w:val="24"/>
        </w:rPr>
      </w:pPr>
    </w:p>
    <w:p w:rsidR="00CE6434" w:rsidRDefault="00CE6434" w:rsidP="002A429F">
      <w:pPr>
        <w:tabs>
          <w:tab w:val="left" w:pos="6840"/>
        </w:tabs>
        <w:jc w:val="both"/>
        <w:rPr>
          <w:rFonts w:cs="Times New Roman"/>
          <w:sz w:val="24"/>
          <w:szCs w:val="24"/>
        </w:rPr>
      </w:pPr>
    </w:p>
    <w:p w:rsidR="003557D1" w:rsidRDefault="003557D1" w:rsidP="002A429F">
      <w:pPr>
        <w:tabs>
          <w:tab w:val="left" w:pos="6840"/>
        </w:tabs>
        <w:jc w:val="both"/>
        <w:rPr>
          <w:rFonts w:cs="Times New Roman"/>
          <w:sz w:val="24"/>
          <w:szCs w:val="24"/>
        </w:rPr>
      </w:pPr>
    </w:p>
    <w:p w:rsidR="007B79D9" w:rsidRDefault="007B79D9" w:rsidP="002A429F">
      <w:pPr>
        <w:tabs>
          <w:tab w:val="left" w:pos="6840"/>
        </w:tabs>
        <w:jc w:val="both"/>
        <w:rPr>
          <w:rFonts w:cs="Times New Roman"/>
          <w:sz w:val="24"/>
          <w:szCs w:val="24"/>
        </w:rPr>
      </w:pPr>
    </w:p>
    <w:p w:rsidR="007B79D9" w:rsidRDefault="007B79D9" w:rsidP="002A429F">
      <w:pPr>
        <w:tabs>
          <w:tab w:val="left" w:pos="6840"/>
        </w:tabs>
        <w:jc w:val="both"/>
        <w:rPr>
          <w:rFonts w:cs="Times New Roman"/>
          <w:sz w:val="24"/>
          <w:szCs w:val="24"/>
        </w:rPr>
      </w:pPr>
    </w:p>
    <w:p w:rsidR="00D71062" w:rsidRDefault="00D71062" w:rsidP="002A429F">
      <w:pPr>
        <w:tabs>
          <w:tab w:val="left" w:pos="6840"/>
        </w:tabs>
        <w:jc w:val="both"/>
        <w:rPr>
          <w:rFonts w:cs="Times New Roman"/>
          <w:sz w:val="24"/>
          <w:szCs w:val="24"/>
        </w:rPr>
      </w:pPr>
    </w:p>
    <w:p w:rsidR="00D71062" w:rsidRDefault="00D71062" w:rsidP="002A429F">
      <w:pPr>
        <w:tabs>
          <w:tab w:val="left" w:pos="6840"/>
        </w:tabs>
        <w:jc w:val="both"/>
        <w:rPr>
          <w:rFonts w:cs="Times New Roman"/>
          <w:sz w:val="24"/>
          <w:szCs w:val="24"/>
        </w:rPr>
      </w:pPr>
    </w:p>
    <w:p w:rsidR="00D71062" w:rsidRDefault="00D71062" w:rsidP="002A429F">
      <w:pPr>
        <w:tabs>
          <w:tab w:val="left" w:pos="6840"/>
        </w:tabs>
        <w:jc w:val="both"/>
        <w:rPr>
          <w:rFonts w:cs="Times New Roman"/>
          <w:sz w:val="24"/>
          <w:szCs w:val="24"/>
        </w:rPr>
      </w:pPr>
    </w:p>
    <w:p w:rsidR="00D71062" w:rsidRDefault="00D71062" w:rsidP="002A429F">
      <w:pPr>
        <w:tabs>
          <w:tab w:val="left" w:pos="6840"/>
        </w:tabs>
        <w:jc w:val="both"/>
        <w:rPr>
          <w:rFonts w:cs="Times New Roman"/>
          <w:sz w:val="24"/>
          <w:szCs w:val="24"/>
        </w:rPr>
      </w:pPr>
    </w:p>
    <w:p w:rsidR="00D71062" w:rsidRDefault="00D71062" w:rsidP="002A429F">
      <w:pPr>
        <w:tabs>
          <w:tab w:val="left" w:pos="6840"/>
        </w:tabs>
        <w:jc w:val="both"/>
        <w:rPr>
          <w:rFonts w:cs="Times New Roman"/>
          <w:sz w:val="24"/>
          <w:szCs w:val="24"/>
        </w:rPr>
      </w:pPr>
    </w:p>
    <w:p w:rsidR="00D71062" w:rsidRDefault="00D71062" w:rsidP="002A429F">
      <w:pPr>
        <w:tabs>
          <w:tab w:val="left" w:pos="6840"/>
        </w:tabs>
        <w:jc w:val="both"/>
        <w:rPr>
          <w:rFonts w:cs="Times New Roman"/>
          <w:sz w:val="24"/>
          <w:szCs w:val="24"/>
        </w:rPr>
      </w:pPr>
    </w:p>
    <w:p w:rsidR="00D71062" w:rsidRDefault="00D71062" w:rsidP="002A429F">
      <w:pPr>
        <w:tabs>
          <w:tab w:val="left" w:pos="6840"/>
        </w:tabs>
        <w:jc w:val="both"/>
        <w:rPr>
          <w:rFonts w:cs="Times New Roman"/>
          <w:sz w:val="24"/>
          <w:szCs w:val="24"/>
        </w:rPr>
      </w:pPr>
    </w:p>
    <w:p w:rsidR="00D71062" w:rsidRDefault="00D71062" w:rsidP="002A429F">
      <w:pPr>
        <w:tabs>
          <w:tab w:val="left" w:pos="6840"/>
        </w:tabs>
        <w:jc w:val="both"/>
        <w:rPr>
          <w:rFonts w:cs="Times New Roman"/>
          <w:sz w:val="24"/>
          <w:szCs w:val="24"/>
        </w:rPr>
      </w:pPr>
    </w:p>
    <w:p w:rsidR="007B79D9" w:rsidRDefault="007B79D9" w:rsidP="002A429F">
      <w:pPr>
        <w:tabs>
          <w:tab w:val="left" w:pos="6840"/>
        </w:tabs>
        <w:jc w:val="both"/>
        <w:rPr>
          <w:rFonts w:cs="Times New Roman"/>
          <w:sz w:val="24"/>
          <w:szCs w:val="24"/>
        </w:rPr>
      </w:pPr>
    </w:p>
    <w:p w:rsidR="003557D1" w:rsidRDefault="003557D1" w:rsidP="002A429F">
      <w:pPr>
        <w:tabs>
          <w:tab w:val="left" w:pos="6840"/>
        </w:tabs>
        <w:jc w:val="both"/>
        <w:rPr>
          <w:rFonts w:cs="Times New Roman"/>
          <w:sz w:val="24"/>
          <w:szCs w:val="24"/>
        </w:rPr>
      </w:pPr>
    </w:p>
    <w:p w:rsidR="00BB1792" w:rsidRDefault="00BB1792" w:rsidP="002A429F">
      <w:pPr>
        <w:tabs>
          <w:tab w:val="left" w:pos="6840"/>
        </w:tabs>
        <w:jc w:val="both"/>
        <w:rPr>
          <w:rFonts w:cs="Times New Roman"/>
          <w:sz w:val="24"/>
          <w:szCs w:val="24"/>
        </w:rPr>
      </w:pPr>
    </w:p>
    <w:p w:rsidR="00BB1792" w:rsidRDefault="00BB1792" w:rsidP="002A429F">
      <w:pPr>
        <w:tabs>
          <w:tab w:val="left" w:pos="6840"/>
        </w:tabs>
        <w:jc w:val="both"/>
        <w:rPr>
          <w:rFonts w:cs="Times New Roman"/>
          <w:sz w:val="24"/>
          <w:szCs w:val="24"/>
        </w:rPr>
      </w:pPr>
    </w:p>
    <w:p w:rsidR="00BB1792" w:rsidRDefault="00BB1792" w:rsidP="002A429F">
      <w:pPr>
        <w:tabs>
          <w:tab w:val="left" w:pos="6840"/>
        </w:tabs>
        <w:jc w:val="both"/>
        <w:rPr>
          <w:rFonts w:cs="Times New Roman"/>
          <w:sz w:val="24"/>
          <w:szCs w:val="24"/>
        </w:rPr>
      </w:pPr>
    </w:p>
    <w:p w:rsidR="003557D1" w:rsidRDefault="003557D1" w:rsidP="002A429F">
      <w:pPr>
        <w:tabs>
          <w:tab w:val="left" w:pos="6840"/>
        </w:tabs>
        <w:jc w:val="both"/>
        <w:rPr>
          <w:rFonts w:cs="Times New Roman"/>
          <w:sz w:val="24"/>
          <w:szCs w:val="24"/>
        </w:rPr>
      </w:pPr>
    </w:p>
    <w:p w:rsidR="00D71062" w:rsidRDefault="00D71062" w:rsidP="002A429F">
      <w:pPr>
        <w:pStyle w:val="naisc"/>
        <w:spacing w:before="0" w:beforeAutospacing="0" w:after="0" w:afterAutospacing="0"/>
        <w:rPr>
          <w:rFonts w:eastAsiaTheme="minorHAnsi" w:cstheme="minorBidi"/>
          <w:sz w:val="20"/>
          <w:szCs w:val="20"/>
          <w:lang w:eastAsia="en-US"/>
        </w:rPr>
      </w:pPr>
      <w:r>
        <w:rPr>
          <w:rFonts w:eastAsiaTheme="minorHAnsi" w:cstheme="minorBidi"/>
          <w:sz w:val="20"/>
          <w:szCs w:val="20"/>
          <w:lang w:eastAsia="en-US"/>
        </w:rPr>
        <w:t>2011.12.15. 18:42</w:t>
      </w:r>
    </w:p>
    <w:p w:rsidR="002A429F" w:rsidRPr="008D19E8" w:rsidRDefault="00356DAC" w:rsidP="002A429F">
      <w:pPr>
        <w:pStyle w:val="naisc"/>
        <w:spacing w:before="0" w:beforeAutospacing="0" w:after="0" w:afterAutospacing="0"/>
        <w:rPr>
          <w:sz w:val="20"/>
          <w:szCs w:val="20"/>
        </w:rPr>
      </w:pPr>
      <w:r>
        <w:fldChar w:fldCharType="begin"/>
      </w:r>
      <w:r>
        <w:instrText xml:space="preserve"> NUMWORDS   \* MERGEFORMAT </w:instrText>
      </w:r>
      <w:r>
        <w:fldChar w:fldCharType="separate"/>
      </w:r>
      <w:r w:rsidR="001F520D" w:rsidRPr="001F520D">
        <w:rPr>
          <w:noProof/>
          <w:sz w:val="20"/>
          <w:szCs w:val="20"/>
        </w:rPr>
        <w:t>1728</w:t>
      </w:r>
      <w:r>
        <w:rPr>
          <w:noProof/>
          <w:sz w:val="20"/>
          <w:szCs w:val="20"/>
        </w:rPr>
        <w:fldChar w:fldCharType="end"/>
      </w:r>
    </w:p>
    <w:p w:rsidR="002A429F" w:rsidRPr="008D19E8" w:rsidRDefault="002A429F" w:rsidP="002A429F">
      <w:pPr>
        <w:pStyle w:val="naisc"/>
        <w:spacing w:before="0" w:beforeAutospacing="0" w:after="0" w:afterAutospacing="0"/>
        <w:rPr>
          <w:sz w:val="20"/>
          <w:szCs w:val="20"/>
        </w:rPr>
      </w:pPr>
      <w:r w:rsidRPr="008D19E8">
        <w:rPr>
          <w:sz w:val="20"/>
          <w:szCs w:val="20"/>
        </w:rPr>
        <w:t xml:space="preserve">Artemjeva; </w:t>
      </w:r>
    </w:p>
    <w:p w:rsidR="00DF219A" w:rsidRPr="008D19E8" w:rsidRDefault="002A429F" w:rsidP="001F67C8">
      <w:pPr>
        <w:pStyle w:val="naislab"/>
        <w:spacing w:before="0" w:beforeAutospacing="0" w:after="0" w:afterAutospacing="0"/>
        <w:jc w:val="both"/>
        <w:rPr>
          <w:sz w:val="20"/>
          <w:szCs w:val="20"/>
          <w:lang w:val="en-GB"/>
        </w:rPr>
      </w:pPr>
      <w:r w:rsidRPr="008D19E8">
        <w:rPr>
          <w:sz w:val="20"/>
          <w:szCs w:val="20"/>
        </w:rPr>
        <w:t xml:space="preserve">67095599; </w:t>
      </w:r>
      <w:hyperlink r:id="rId8" w:history="1">
        <w:r w:rsidRPr="008D19E8">
          <w:rPr>
            <w:rStyle w:val="Hyperlink"/>
            <w:sz w:val="20"/>
            <w:szCs w:val="20"/>
          </w:rPr>
          <w:t>Ineta.Artemjeva@fm.gov.lv</w:t>
        </w:r>
      </w:hyperlink>
    </w:p>
    <w:sectPr w:rsidR="00DF219A" w:rsidRPr="008D19E8" w:rsidSect="001D267D">
      <w:headerReference w:type="default" r:id="rId9"/>
      <w:footerReference w:type="default" r:id="rId10"/>
      <w:footerReference w:type="first" r:id="rId11"/>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5E7" w:rsidRDefault="00DD75E7" w:rsidP="00E91F5C">
      <w:r>
        <w:separator/>
      </w:r>
    </w:p>
  </w:endnote>
  <w:endnote w:type="continuationSeparator" w:id="0">
    <w:p w:rsidR="00DD75E7" w:rsidRDefault="00DD75E7" w:rsidP="00E91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5E7" w:rsidRPr="001E0844" w:rsidRDefault="00DD75E7" w:rsidP="004110D4">
    <w:pPr>
      <w:pStyle w:val="BodyText3"/>
      <w:rPr>
        <w:b w:val="0"/>
        <w:i w:val="0"/>
        <w:sz w:val="18"/>
        <w:szCs w:val="18"/>
      </w:rPr>
    </w:pPr>
    <w:r w:rsidRPr="001E0844">
      <w:rPr>
        <w:b w:val="0"/>
        <w:i w:val="0"/>
        <w:sz w:val="18"/>
        <w:szCs w:val="18"/>
      </w:rPr>
      <w:t>FMAnot_</w:t>
    </w:r>
    <w:r>
      <w:rPr>
        <w:b w:val="0"/>
        <w:i w:val="0"/>
        <w:sz w:val="18"/>
        <w:szCs w:val="18"/>
      </w:rPr>
      <w:t>151211_HZB</w:t>
    </w:r>
    <w:r w:rsidRPr="001E0844">
      <w:rPr>
        <w:b w:val="0"/>
        <w:i w:val="0"/>
        <w:sz w:val="18"/>
        <w:szCs w:val="18"/>
      </w:rPr>
      <w:t>; Likumprojekt</w:t>
    </w:r>
    <w:r>
      <w:rPr>
        <w:b w:val="0"/>
        <w:i w:val="0"/>
        <w:sz w:val="18"/>
        <w:szCs w:val="18"/>
      </w:rPr>
      <w:t>a</w:t>
    </w:r>
    <w:r w:rsidRPr="001E0844">
      <w:rPr>
        <w:b w:val="0"/>
        <w:i w:val="0"/>
        <w:sz w:val="18"/>
        <w:szCs w:val="18"/>
      </w:rPr>
      <w:t xml:space="preserve"> „Grozījumi likumā „Par valsts un pašvaldību kapitāla daļām un </w:t>
    </w:r>
    <w:r>
      <w:rPr>
        <w:b w:val="0"/>
        <w:i w:val="0"/>
        <w:sz w:val="18"/>
        <w:szCs w:val="18"/>
      </w:rPr>
      <w:t xml:space="preserve"> k</w:t>
    </w:r>
    <w:r w:rsidRPr="001E0844">
      <w:rPr>
        <w:b w:val="0"/>
        <w:i w:val="0"/>
        <w:sz w:val="18"/>
        <w:szCs w:val="18"/>
      </w:rPr>
      <w:t xml:space="preserve">apitālsabiedrībām”” </w:t>
    </w:r>
    <w:r w:rsidRPr="001E0844">
      <w:rPr>
        <w:b w:val="0"/>
        <w:bCs/>
        <w:i w:val="0"/>
        <w:sz w:val="18"/>
        <w:szCs w:val="18"/>
      </w:rPr>
      <w:t>anotācija</w:t>
    </w:r>
  </w:p>
  <w:p w:rsidR="00DD75E7" w:rsidRPr="004110D4" w:rsidRDefault="00DD75E7" w:rsidP="004110D4">
    <w:pPr>
      <w:pStyle w:val="Footer"/>
      <w:rPr>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5E7" w:rsidRPr="001E0844" w:rsidRDefault="00DD75E7" w:rsidP="00295790">
    <w:pPr>
      <w:pStyle w:val="BodyText3"/>
      <w:rPr>
        <w:b w:val="0"/>
        <w:i w:val="0"/>
        <w:sz w:val="18"/>
        <w:szCs w:val="18"/>
      </w:rPr>
    </w:pPr>
    <w:r w:rsidRPr="001E0844">
      <w:rPr>
        <w:b w:val="0"/>
        <w:i w:val="0"/>
        <w:sz w:val="18"/>
        <w:szCs w:val="18"/>
      </w:rPr>
      <w:t>FMAnot</w:t>
    </w:r>
    <w:r>
      <w:rPr>
        <w:b w:val="0"/>
        <w:i w:val="0"/>
        <w:sz w:val="18"/>
        <w:szCs w:val="18"/>
      </w:rPr>
      <w:t>_151211_HZB</w:t>
    </w:r>
    <w:r w:rsidRPr="001E0844">
      <w:rPr>
        <w:b w:val="0"/>
        <w:i w:val="0"/>
        <w:sz w:val="18"/>
        <w:szCs w:val="18"/>
      </w:rPr>
      <w:t>; Likumprojekt</w:t>
    </w:r>
    <w:r>
      <w:rPr>
        <w:b w:val="0"/>
        <w:i w:val="0"/>
        <w:sz w:val="18"/>
        <w:szCs w:val="18"/>
      </w:rPr>
      <w:t>a</w:t>
    </w:r>
    <w:r w:rsidRPr="001E0844">
      <w:rPr>
        <w:b w:val="0"/>
        <w:i w:val="0"/>
        <w:sz w:val="18"/>
        <w:szCs w:val="18"/>
      </w:rPr>
      <w:t xml:space="preserve"> „Grozījumi likumā „Par valsts un pašvaldību kapitāla daļām un kapitālsabiedrībām”” </w:t>
    </w:r>
    <w:r w:rsidRPr="001E0844">
      <w:rPr>
        <w:b w:val="0"/>
        <w:bCs/>
        <w:i w:val="0"/>
        <w:sz w:val="18"/>
        <w:szCs w:val="18"/>
      </w:rPr>
      <w:t>anotācija</w:t>
    </w:r>
  </w:p>
  <w:p w:rsidR="00DD75E7" w:rsidRPr="00E91F5C" w:rsidRDefault="00DD75E7" w:rsidP="00295790">
    <w:pPr>
      <w:pStyle w:val="Footer"/>
      <w:rPr>
        <w:sz w:val="18"/>
        <w:szCs w:val="18"/>
      </w:rPr>
    </w:pPr>
  </w:p>
  <w:p w:rsidR="00DD75E7" w:rsidRDefault="00DD75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5E7" w:rsidRDefault="00DD75E7" w:rsidP="00E91F5C">
      <w:r>
        <w:separator/>
      </w:r>
    </w:p>
  </w:footnote>
  <w:footnote w:type="continuationSeparator" w:id="0">
    <w:p w:rsidR="00DD75E7" w:rsidRDefault="00DD75E7" w:rsidP="00E91F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13877"/>
      <w:docPartObj>
        <w:docPartGallery w:val="Page Numbers (Top of Page)"/>
        <w:docPartUnique/>
      </w:docPartObj>
    </w:sdtPr>
    <w:sdtEndPr/>
    <w:sdtContent>
      <w:p w:rsidR="00DD75E7" w:rsidRDefault="00DD75E7">
        <w:pPr>
          <w:pStyle w:val="Header"/>
          <w:jc w:val="center"/>
        </w:pPr>
        <w:r>
          <w:fldChar w:fldCharType="begin"/>
        </w:r>
        <w:r>
          <w:instrText xml:space="preserve"> PAGE   \* MERGEFORMAT </w:instrText>
        </w:r>
        <w:r>
          <w:fldChar w:fldCharType="separate"/>
        </w:r>
        <w:r w:rsidR="00356DAC">
          <w:rPr>
            <w:noProof/>
          </w:rPr>
          <w:t>5</w:t>
        </w:r>
        <w:r>
          <w:rPr>
            <w:noProof/>
          </w:rPr>
          <w:fldChar w:fldCharType="end"/>
        </w:r>
      </w:p>
    </w:sdtContent>
  </w:sdt>
  <w:p w:rsidR="00DD75E7" w:rsidRDefault="00DD75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40"/>
  <w:drawingGridVerticalSpacing w:val="381"/>
  <w:displayHorizontalDrawingGridEvery w:val="2"/>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26D"/>
    <w:rsid w:val="000072F6"/>
    <w:rsid w:val="00020CBC"/>
    <w:rsid w:val="000457EA"/>
    <w:rsid w:val="00052E43"/>
    <w:rsid w:val="0007161B"/>
    <w:rsid w:val="00076A9C"/>
    <w:rsid w:val="00084859"/>
    <w:rsid w:val="000920DA"/>
    <w:rsid w:val="00095CD7"/>
    <w:rsid w:val="000A5888"/>
    <w:rsid w:val="000C5257"/>
    <w:rsid w:val="000D3D6A"/>
    <w:rsid w:val="00115E82"/>
    <w:rsid w:val="00120B50"/>
    <w:rsid w:val="00122D09"/>
    <w:rsid w:val="001326C5"/>
    <w:rsid w:val="00142C62"/>
    <w:rsid w:val="001513F9"/>
    <w:rsid w:val="00192B03"/>
    <w:rsid w:val="001A623F"/>
    <w:rsid w:val="001A6A3B"/>
    <w:rsid w:val="001B1296"/>
    <w:rsid w:val="001B4047"/>
    <w:rsid w:val="001C3BAB"/>
    <w:rsid w:val="001C4093"/>
    <w:rsid w:val="001D267D"/>
    <w:rsid w:val="001D2E3F"/>
    <w:rsid w:val="001E0844"/>
    <w:rsid w:val="001E4C52"/>
    <w:rsid w:val="001E6648"/>
    <w:rsid w:val="001F520D"/>
    <w:rsid w:val="001F67C8"/>
    <w:rsid w:val="00202310"/>
    <w:rsid w:val="00206DEB"/>
    <w:rsid w:val="002129AB"/>
    <w:rsid w:val="00220C0A"/>
    <w:rsid w:val="00227194"/>
    <w:rsid w:val="00243EE1"/>
    <w:rsid w:val="00245A0E"/>
    <w:rsid w:val="00281F67"/>
    <w:rsid w:val="00284469"/>
    <w:rsid w:val="00295790"/>
    <w:rsid w:val="002A3DAE"/>
    <w:rsid w:val="002A429F"/>
    <w:rsid w:val="002B5BA9"/>
    <w:rsid w:val="002E4745"/>
    <w:rsid w:val="00305EA9"/>
    <w:rsid w:val="00324CF7"/>
    <w:rsid w:val="00325216"/>
    <w:rsid w:val="00351EDD"/>
    <w:rsid w:val="003557D1"/>
    <w:rsid w:val="00356DAC"/>
    <w:rsid w:val="003649A9"/>
    <w:rsid w:val="00371830"/>
    <w:rsid w:val="003726F1"/>
    <w:rsid w:val="003813CE"/>
    <w:rsid w:val="0039617B"/>
    <w:rsid w:val="003A16FD"/>
    <w:rsid w:val="003E3A45"/>
    <w:rsid w:val="004110D4"/>
    <w:rsid w:val="004124FD"/>
    <w:rsid w:val="00415A85"/>
    <w:rsid w:val="0042337F"/>
    <w:rsid w:val="004326F4"/>
    <w:rsid w:val="00460F34"/>
    <w:rsid w:val="00465B50"/>
    <w:rsid w:val="0049083C"/>
    <w:rsid w:val="00496AD3"/>
    <w:rsid w:val="004C1FF3"/>
    <w:rsid w:val="00513388"/>
    <w:rsid w:val="00554904"/>
    <w:rsid w:val="005577A2"/>
    <w:rsid w:val="00557E4F"/>
    <w:rsid w:val="0056301D"/>
    <w:rsid w:val="00583E91"/>
    <w:rsid w:val="005A78CF"/>
    <w:rsid w:val="005B57BA"/>
    <w:rsid w:val="005C1B70"/>
    <w:rsid w:val="005C3F1D"/>
    <w:rsid w:val="005D4341"/>
    <w:rsid w:val="005D52D4"/>
    <w:rsid w:val="00606F04"/>
    <w:rsid w:val="0063487E"/>
    <w:rsid w:val="00637066"/>
    <w:rsid w:val="00646BA9"/>
    <w:rsid w:val="00647FBE"/>
    <w:rsid w:val="0065266A"/>
    <w:rsid w:val="00672F87"/>
    <w:rsid w:val="006832C6"/>
    <w:rsid w:val="00683DDD"/>
    <w:rsid w:val="00684105"/>
    <w:rsid w:val="006B7A79"/>
    <w:rsid w:val="006C23B4"/>
    <w:rsid w:val="006C31E6"/>
    <w:rsid w:val="006D081A"/>
    <w:rsid w:val="006D1FA7"/>
    <w:rsid w:val="006D3226"/>
    <w:rsid w:val="006D3764"/>
    <w:rsid w:val="006F037E"/>
    <w:rsid w:val="006F11D9"/>
    <w:rsid w:val="0070526D"/>
    <w:rsid w:val="007159E8"/>
    <w:rsid w:val="0073729B"/>
    <w:rsid w:val="007445BF"/>
    <w:rsid w:val="00744BF8"/>
    <w:rsid w:val="00757EFF"/>
    <w:rsid w:val="007822E0"/>
    <w:rsid w:val="00785B8E"/>
    <w:rsid w:val="00786DB3"/>
    <w:rsid w:val="007A17C6"/>
    <w:rsid w:val="007A3315"/>
    <w:rsid w:val="007B79D9"/>
    <w:rsid w:val="007D790C"/>
    <w:rsid w:val="007D791F"/>
    <w:rsid w:val="007E419E"/>
    <w:rsid w:val="007E5F4E"/>
    <w:rsid w:val="007F1998"/>
    <w:rsid w:val="00803856"/>
    <w:rsid w:val="00816C72"/>
    <w:rsid w:val="00835068"/>
    <w:rsid w:val="00840983"/>
    <w:rsid w:val="00862EB1"/>
    <w:rsid w:val="00870E6A"/>
    <w:rsid w:val="00894CB6"/>
    <w:rsid w:val="00896087"/>
    <w:rsid w:val="00896241"/>
    <w:rsid w:val="008C14A5"/>
    <w:rsid w:val="008C6955"/>
    <w:rsid w:val="008C6C7D"/>
    <w:rsid w:val="008D19E8"/>
    <w:rsid w:val="008D33D9"/>
    <w:rsid w:val="008D75D8"/>
    <w:rsid w:val="008E1522"/>
    <w:rsid w:val="008E6AFB"/>
    <w:rsid w:val="00905E6A"/>
    <w:rsid w:val="009323A2"/>
    <w:rsid w:val="00933EB8"/>
    <w:rsid w:val="0093409E"/>
    <w:rsid w:val="00935378"/>
    <w:rsid w:val="00951EB7"/>
    <w:rsid w:val="0097705D"/>
    <w:rsid w:val="00982F24"/>
    <w:rsid w:val="009868D2"/>
    <w:rsid w:val="009B3BB4"/>
    <w:rsid w:val="009D48FA"/>
    <w:rsid w:val="009F49A6"/>
    <w:rsid w:val="00A13CF4"/>
    <w:rsid w:val="00A25FA6"/>
    <w:rsid w:val="00A30BA9"/>
    <w:rsid w:val="00A56EEB"/>
    <w:rsid w:val="00A923DC"/>
    <w:rsid w:val="00A9567D"/>
    <w:rsid w:val="00AA0E82"/>
    <w:rsid w:val="00AA5A9B"/>
    <w:rsid w:val="00AB7BCD"/>
    <w:rsid w:val="00AE0323"/>
    <w:rsid w:val="00AE281C"/>
    <w:rsid w:val="00B27C10"/>
    <w:rsid w:val="00B3383F"/>
    <w:rsid w:val="00B347A2"/>
    <w:rsid w:val="00B41E99"/>
    <w:rsid w:val="00B47953"/>
    <w:rsid w:val="00B528FB"/>
    <w:rsid w:val="00B649B7"/>
    <w:rsid w:val="00B71BCE"/>
    <w:rsid w:val="00B771F7"/>
    <w:rsid w:val="00B81679"/>
    <w:rsid w:val="00B862F9"/>
    <w:rsid w:val="00BA0537"/>
    <w:rsid w:val="00BA3D85"/>
    <w:rsid w:val="00BB1792"/>
    <w:rsid w:val="00BB4042"/>
    <w:rsid w:val="00BB617C"/>
    <w:rsid w:val="00BE181C"/>
    <w:rsid w:val="00C163EC"/>
    <w:rsid w:val="00C41080"/>
    <w:rsid w:val="00C41D50"/>
    <w:rsid w:val="00C5091C"/>
    <w:rsid w:val="00C84F1F"/>
    <w:rsid w:val="00C90C03"/>
    <w:rsid w:val="00CB67AC"/>
    <w:rsid w:val="00CC20FC"/>
    <w:rsid w:val="00CC3A66"/>
    <w:rsid w:val="00CD5DB4"/>
    <w:rsid w:val="00CE2F5A"/>
    <w:rsid w:val="00CE6434"/>
    <w:rsid w:val="00D07C37"/>
    <w:rsid w:val="00D3091E"/>
    <w:rsid w:val="00D33603"/>
    <w:rsid w:val="00D35AE5"/>
    <w:rsid w:val="00D51F89"/>
    <w:rsid w:val="00D62636"/>
    <w:rsid w:val="00D71062"/>
    <w:rsid w:val="00D72D11"/>
    <w:rsid w:val="00D8563C"/>
    <w:rsid w:val="00D90AC4"/>
    <w:rsid w:val="00DA599E"/>
    <w:rsid w:val="00DC453A"/>
    <w:rsid w:val="00DD75E7"/>
    <w:rsid w:val="00DD7AE3"/>
    <w:rsid w:val="00DF219A"/>
    <w:rsid w:val="00DF27CD"/>
    <w:rsid w:val="00E04516"/>
    <w:rsid w:val="00E2035E"/>
    <w:rsid w:val="00E21CC0"/>
    <w:rsid w:val="00E222EA"/>
    <w:rsid w:val="00E46122"/>
    <w:rsid w:val="00E476D0"/>
    <w:rsid w:val="00E53FD0"/>
    <w:rsid w:val="00E67636"/>
    <w:rsid w:val="00E87D6E"/>
    <w:rsid w:val="00E91F5C"/>
    <w:rsid w:val="00EB39A0"/>
    <w:rsid w:val="00EC7EB6"/>
    <w:rsid w:val="00EE56C8"/>
    <w:rsid w:val="00EE658E"/>
    <w:rsid w:val="00EF3296"/>
    <w:rsid w:val="00F020D9"/>
    <w:rsid w:val="00F1560E"/>
    <w:rsid w:val="00F3682F"/>
    <w:rsid w:val="00F605F5"/>
    <w:rsid w:val="00F845D3"/>
    <w:rsid w:val="00F93E80"/>
    <w:rsid w:val="00F94342"/>
    <w:rsid w:val="00FA1D5D"/>
    <w:rsid w:val="00FA28F7"/>
    <w:rsid w:val="00FA5FBF"/>
    <w:rsid w:val="00FA76CA"/>
    <w:rsid w:val="00FC0D21"/>
    <w:rsid w:val="00FD515E"/>
    <w:rsid w:val="00FE5D02"/>
    <w:rsid w:val="00FE7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19A"/>
  </w:style>
  <w:style w:type="paragraph" w:styleId="Heading2">
    <w:name w:val="heading 2"/>
    <w:basedOn w:val="Normal"/>
    <w:next w:val="Normal"/>
    <w:link w:val="Heading2Char"/>
    <w:qFormat/>
    <w:rsid w:val="00D35AE5"/>
    <w:pPr>
      <w:keepNext/>
      <w:jc w:val="center"/>
      <w:outlineLvl w:val="1"/>
    </w:pPr>
    <w:rPr>
      <w:rFonts w:eastAsia="Times New Roman" w:cs="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nod">
    <w:name w:val="naisnod"/>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c">
    <w:name w:val="naisc"/>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kr">
    <w:name w:val="naiskr"/>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f">
    <w:name w:val="naisf"/>
    <w:basedOn w:val="Normal"/>
    <w:rsid w:val="0070526D"/>
    <w:pPr>
      <w:spacing w:before="100" w:beforeAutospacing="1" w:after="100" w:afterAutospacing="1"/>
    </w:pPr>
    <w:rPr>
      <w:rFonts w:eastAsia="Times New Roman" w:cs="Times New Roman"/>
      <w:sz w:val="24"/>
      <w:szCs w:val="24"/>
      <w:lang w:eastAsia="lv-LV"/>
    </w:rPr>
  </w:style>
  <w:style w:type="paragraph" w:styleId="BodyText3">
    <w:name w:val="Body Text 3"/>
    <w:basedOn w:val="Normal"/>
    <w:link w:val="BodyText3Char"/>
    <w:rsid w:val="002B5BA9"/>
    <w:rPr>
      <w:rFonts w:eastAsia="Times New Roman" w:cs="Times New Roman"/>
      <w:b/>
      <w:i/>
      <w:sz w:val="24"/>
      <w:szCs w:val="20"/>
      <w:lang w:eastAsia="lv-LV"/>
    </w:rPr>
  </w:style>
  <w:style w:type="character" w:customStyle="1" w:styleId="BodyText3Char">
    <w:name w:val="Body Text 3 Char"/>
    <w:basedOn w:val="DefaultParagraphFont"/>
    <w:link w:val="BodyText3"/>
    <w:rsid w:val="002B5BA9"/>
    <w:rPr>
      <w:rFonts w:eastAsia="Times New Roman" w:cs="Times New Roman"/>
      <w:b/>
      <w:i/>
      <w:sz w:val="24"/>
      <w:szCs w:val="20"/>
      <w:lang w:eastAsia="lv-LV"/>
    </w:rPr>
  </w:style>
  <w:style w:type="character" w:styleId="Hyperlink">
    <w:name w:val="Hyperlink"/>
    <w:basedOn w:val="DefaultParagraphFont"/>
    <w:rsid w:val="002A429F"/>
    <w:rPr>
      <w:color w:val="0000FF"/>
      <w:u w:val="single"/>
    </w:rPr>
  </w:style>
  <w:style w:type="paragraph" w:styleId="BalloonText">
    <w:name w:val="Balloon Text"/>
    <w:basedOn w:val="Normal"/>
    <w:link w:val="BalloonTextChar"/>
    <w:uiPriority w:val="99"/>
    <w:semiHidden/>
    <w:unhideWhenUsed/>
    <w:rsid w:val="002A429F"/>
    <w:rPr>
      <w:rFonts w:ascii="Tahoma" w:hAnsi="Tahoma" w:cs="Tahoma"/>
      <w:sz w:val="16"/>
      <w:szCs w:val="16"/>
    </w:rPr>
  </w:style>
  <w:style w:type="character" w:customStyle="1" w:styleId="BalloonTextChar">
    <w:name w:val="Balloon Text Char"/>
    <w:basedOn w:val="DefaultParagraphFont"/>
    <w:link w:val="BalloonText"/>
    <w:uiPriority w:val="99"/>
    <w:semiHidden/>
    <w:rsid w:val="002A429F"/>
    <w:rPr>
      <w:rFonts w:ascii="Tahoma" w:hAnsi="Tahoma" w:cs="Tahoma"/>
      <w:sz w:val="16"/>
      <w:szCs w:val="16"/>
    </w:rPr>
  </w:style>
  <w:style w:type="paragraph" w:styleId="Header">
    <w:name w:val="header"/>
    <w:basedOn w:val="Normal"/>
    <w:link w:val="HeaderChar"/>
    <w:uiPriority w:val="99"/>
    <w:unhideWhenUsed/>
    <w:rsid w:val="00E91F5C"/>
    <w:pPr>
      <w:tabs>
        <w:tab w:val="center" w:pos="4153"/>
        <w:tab w:val="right" w:pos="8306"/>
      </w:tabs>
    </w:pPr>
  </w:style>
  <w:style w:type="character" w:customStyle="1" w:styleId="HeaderChar">
    <w:name w:val="Header Char"/>
    <w:basedOn w:val="DefaultParagraphFont"/>
    <w:link w:val="Header"/>
    <w:uiPriority w:val="99"/>
    <w:rsid w:val="00E91F5C"/>
  </w:style>
  <w:style w:type="paragraph" w:styleId="Footer">
    <w:name w:val="footer"/>
    <w:basedOn w:val="Normal"/>
    <w:link w:val="FooterChar"/>
    <w:uiPriority w:val="99"/>
    <w:unhideWhenUsed/>
    <w:rsid w:val="00E91F5C"/>
    <w:pPr>
      <w:tabs>
        <w:tab w:val="center" w:pos="4153"/>
        <w:tab w:val="right" w:pos="8306"/>
      </w:tabs>
    </w:pPr>
  </w:style>
  <w:style w:type="character" w:customStyle="1" w:styleId="FooterChar">
    <w:name w:val="Footer Char"/>
    <w:basedOn w:val="DefaultParagraphFont"/>
    <w:link w:val="Footer"/>
    <w:uiPriority w:val="99"/>
    <w:rsid w:val="00E91F5C"/>
  </w:style>
  <w:style w:type="character" w:customStyle="1" w:styleId="Heading2Char">
    <w:name w:val="Heading 2 Char"/>
    <w:basedOn w:val="DefaultParagraphFont"/>
    <w:link w:val="Heading2"/>
    <w:rsid w:val="00D35AE5"/>
    <w:rPr>
      <w:rFonts w:eastAsia="Times New Roman" w:cs="Times New Roman"/>
      <w:b/>
      <w:bCs/>
      <w:szCs w:val="28"/>
    </w:rPr>
  </w:style>
  <w:style w:type="paragraph" w:styleId="ListParagraph">
    <w:name w:val="List Paragraph"/>
    <w:basedOn w:val="Normal"/>
    <w:uiPriority w:val="34"/>
    <w:qFormat/>
    <w:rsid w:val="005C1B70"/>
    <w:pPr>
      <w:ind w:left="720"/>
      <w:contextualSpacing/>
    </w:pPr>
  </w:style>
  <w:style w:type="character" w:styleId="CommentReference">
    <w:name w:val="annotation reference"/>
    <w:basedOn w:val="DefaultParagraphFont"/>
    <w:uiPriority w:val="99"/>
    <w:semiHidden/>
    <w:unhideWhenUsed/>
    <w:rsid w:val="0042337F"/>
    <w:rPr>
      <w:sz w:val="16"/>
      <w:szCs w:val="16"/>
    </w:rPr>
  </w:style>
  <w:style w:type="paragraph" w:styleId="CommentText">
    <w:name w:val="annotation text"/>
    <w:basedOn w:val="Normal"/>
    <w:link w:val="CommentTextChar"/>
    <w:uiPriority w:val="99"/>
    <w:semiHidden/>
    <w:unhideWhenUsed/>
    <w:rsid w:val="0042337F"/>
    <w:rPr>
      <w:sz w:val="20"/>
      <w:szCs w:val="20"/>
    </w:rPr>
  </w:style>
  <w:style w:type="character" w:customStyle="1" w:styleId="CommentTextChar">
    <w:name w:val="Comment Text Char"/>
    <w:basedOn w:val="DefaultParagraphFont"/>
    <w:link w:val="CommentText"/>
    <w:uiPriority w:val="99"/>
    <w:semiHidden/>
    <w:rsid w:val="0042337F"/>
    <w:rPr>
      <w:sz w:val="20"/>
      <w:szCs w:val="20"/>
    </w:rPr>
  </w:style>
  <w:style w:type="paragraph" w:styleId="CommentSubject">
    <w:name w:val="annotation subject"/>
    <w:basedOn w:val="CommentText"/>
    <w:next w:val="CommentText"/>
    <w:link w:val="CommentSubjectChar"/>
    <w:uiPriority w:val="99"/>
    <w:semiHidden/>
    <w:unhideWhenUsed/>
    <w:rsid w:val="0042337F"/>
    <w:rPr>
      <w:b/>
      <w:bCs/>
    </w:rPr>
  </w:style>
  <w:style w:type="character" w:customStyle="1" w:styleId="CommentSubjectChar">
    <w:name w:val="Comment Subject Char"/>
    <w:basedOn w:val="CommentTextChar"/>
    <w:link w:val="CommentSubject"/>
    <w:uiPriority w:val="99"/>
    <w:semiHidden/>
    <w:rsid w:val="0042337F"/>
    <w:rPr>
      <w:b/>
      <w:bCs/>
      <w:sz w:val="20"/>
      <w:szCs w:val="20"/>
    </w:rPr>
  </w:style>
  <w:style w:type="paragraph" w:styleId="Revision">
    <w:name w:val="Revision"/>
    <w:hidden/>
    <w:uiPriority w:val="99"/>
    <w:semiHidden/>
    <w:rsid w:val="001E4C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19A"/>
  </w:style>
  <w:style w:type="paragraph" w:styleId="Heading2">
    <w:name w:val="heading 2"/>
    <w:basedOn w:val="Normal"/>
    <w:next w:val="Normal"/>
    <w:link w:val="Heading2Char"/>
    <w:qFormat/>
    <w:rsid w:val="00D35AE5"/>
    <w:pPr>
      <w:keepNext/>
      <w:jc w:val="center"/>
      <w:outlineLvl w:val="1"/>
    </w:pPr>
    <w:rPr>
      <w:rFonts w:eastAsia="Times New Roman" w:cs="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nod">
    <w:name w:val="naisnod"/>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c">
    <w:name w:val="naisc"/>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kr">
    <w:name w:val="naiskr"/>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f">
    <w:name w:val="naisf"/>
    <w:basedOn w:val="Normal"/>
    <w:rsid w:val="0070526D"/>
    <w:pPr>
      <w:spacing w:before="100" w:beforeAutospacing="1" w:after="100" w:afterAutospacing="1"/>
    </w:pPr>
    <w:rPr>
      <w:rFonts w:eastAsia="Times New Roman" w:cs="Times New Roman"/>
      <w:sz w:val="24"/>
      <w:szCs w:val="24"/>
      <w:lang w:eastAsia="lv-LV"/>
    </w:rPr>
  </w:style>
  <w:style w:type="paragraph" w:styleId="BodyText3">
    <w:name w:val="Body Text 3"/>
    <w:basedOn w:val="Normal"/>
    <w:link w:val="BodyText3Char"/>
    <w:rsid w:val="002B5BA9"/>
    <w:rPr>
      <w:rFonts w:eastAsia="Times New Roman" w:cs="Times New Roman"/>
      <w:b/>
      <w:i/>
      <w:sz w:val="24"/>
      <w:szCs w:val="20"/>
      <w:lang w:eastAsia="lv-LV"/>
    </w:rPr>
  </w:style>
  <w:style w:type="character" w:customStyle="1" w:styleId="BodyText3Char">
    <w:name w:val="Body Text 3 Char"/>
    <w:basedOn w:val="DefaultParagraphFont"/>
    <w:link w:val="BodyText3"/>
    <w:rsid w:val="002B5BA9"/>
    <w:rPr>
      <w:rFonts w:eastAsia="Times New Roman" w:cs="Times New Roman"/>
      <w:b/>
      <w:i/>
      <w:sz w:val="24"/>
      <w:szCs w:val="20"/>
      <w:lang w:eastAsia="lv-LV"/>
    </w:rPr>
  </w:style>
  <w:style w:type="character" w:styleId="Hyperlink">
    <w:name w:val="Hyperlink"/>
    <w:basedOn w:val="DefaultParagraphFont"/>
    <w:rsid w:val="002A429F"/>
    <w:rPr>
      <w:color w:val="0000FF"/>
      <w:u w:val="single"/>
    </w:rPr>
  </w:style>
  <w:style w:type="paragraph" w:styleId="BalloonText">
    <w:name w:val="Balloon Text"/>
    <w:basedOn w:val="Normal"/>
    <w:link w:val="BalloonTextChar"/>
    <w:uiPriority w:val="99"/>
    <w:semiHidden/>
    <w:unhideWhenUsed/>
    <w:rsid w:val="002A429F"/>
    <w:rPr>
      <w:rFonts w:ascii="Tahoma" w:hAnsi="Tahoma" w:cs="Tahoma"/>
      <w:sz w:val="16"/>
      <w:szCs w:val="16"/>
    </w:rPr>
  </w:style>
  <w:style w:type="character" w:customStyle="1" w:styleId="BalloonTextChar">
    <w:name w:val="Balloon Text Char"/>
    <w:basedOn w:val="DefaultParagraphFont"/>
    <w:link w:val="BalloonText"/>
    <w:uiPriority w:val="99"/>
    <w:semiHidden/>
    <w:rsid w:val="002A429F"/>
    <w:rPr>
      <w:rFonts w:ascii="Tahoma" w:hAnsi="Tahoma" w:cs="Tahoma"/>
      <w:sz w:val="16"/>
      <w:szCs w:val="16"/>
    </w:rPr>
  </w:style>
  <w:style w:type="paragraph" w:styleId="Header">
    <w:name w:val="header"/>
    <w:basedOn w:val="Normal"/>
    <w:link w:val="HeaderChar"/>
    <w:uiPriority w:val="99"/>
    <w:unhideWhenUsed/>
    <w:rsid w:val="00E91F5C"/>
    <w:pPr>
      <w:tabs>
        <w:tab w:val="center" w:pos="4153"/>
        <w:tab w:val="right" w:pos="8306"/>
      </w:tabs>
    </w:pPr>
  </w:style>
  <w:style w:type="character" w:customStyle="1" w:styleId="HeaderChar">
    <w:name w:val="Header Char"/>
    <w:basedOn w:val="DefaultParagraphFont"/>
    <w:link w:val="Header"/>
    <w:uiPriority w:val="99"/>
    <w:rsid w:val="00E91F5C"/>
  </w:style>
  <w:style w:type="paragraph" w:styleId="Footer">
    <w:name w:val="footer"/>
    <w:basedOn w:val="Normal"/>
    <w:link w:val="FooterChar"/>
    <w:uiPriority w:val="99"/>
    <w:unhideWhenUsed/>
    <w:rsid w:val="00E91F5C"/>
    <w:pPr>
      <w:tabs>
        <w:tab w:val="center" w:pos="4153"/>
        <w:tab w:val="right" w:pos="8306"/>
      </w:tabs>
    </w:pPr>
  </w:style>
  <w:style w:type="character" w:customStyle="1" w:styleId="FooterChar">
    <w:name w:val="Footer Char"/>
    <w:basedOn w:val="DefaultParagraphFont"/>
    <w:link w:val="Footer"/>
    <w:uiPriority w:val="99"/>
    <w:rsid w:val="00E91F5C"/>
  </w:style>
  <w:style w:type="character" w:customStyle="1" w:styleId="Heading2Char">
    <w:name w:val="Heading 2 Char"/>
    <w:basedOn w:val="DefaultParagraphFont"/>
    <w:link w:val="Heading2"/>
    <w:rsid w:val="00D35AE5"/>
    <w:rPr>
      <w:rFonts w:eastAsia="Times New Roman" w:cs="Times New Roman"/>
      <w:b/>
      <w:bCs/>
      <w:szCs w:val="28"/>
    </w:rPr>
  </w:style>
  <w:style w:type="paragraph" w:styleId="ListParagraph">
    <w:name w:val="List Paragraph"/>
    <w:basedOn w:val="Normal"/>
    <w:uiPriority w:val="34"/>
    <w:qFormat/>
    <w:rsid w:val="005C1B70"/>
    <w:pPr>
      <w:ind w:left="720"/>
      <w:contextualSpacing/>
    </w:pPr>
  </w:style>
  <w:style w:type="character" w:styleId="CommentReference">
    <w:name w:val="annotation reference"/>
    <w:basedOn w:val="DefaultParagraphFont"/>
    <w:uiPriority w:val="99"/>
    <w:semiHidden/>
    <w:unhideWhenUsed/>
    <w:rsid w:val="0042337F"/>
    <w:rPr>
      <w:sz w:val="16"/>
      <w:szCs w:val="16"/>
    </w:rPr>
  </w:style>
  <w:style w:type="paragraph" w:styleId="CommentText">
    <w:name w:val="annotation text"/>
    <w:basedOn w:val="Normal"/>
    <w:link w:val="CommentTextChar"/>
    <w:uiPriority w:val="99"/>
    <w:semiHidden/>
    <w:unhideWhenUsed/>
    <w:rsid w:val="0042337F"/>
    <w:rPr>
      <w:sz w:val="20"/>
      <w:szCs w:val="20"/>
    </w:rPr>
  </w:style>
  <w:style w:type="character" w:customStyle="1" w:styleId="CommentTextChar">
    <w:name w:val="Comment Text Char"/>
    <w:basedOn w:val="DefaultParagraphFont"/>
    <w:link w:val="CommentText"/>
    <w:uiPriority w:val="99"/>
    <w:semiHidden/>
    <w:rsid w:val="0042337F"/>
    <w:rPr>
      <w:sz w:val="20"/>
      <w:szCs w:val="20"/>
    </w:rPr>
  </w:style>
  <w:style w:type="paragraph" w:styleId="CommentSubject">
    <w:name w:val="annotation subject"/>
    <w:basedOn w:val="CommentText"/>
    <w:next w:val="CommentText"/>
    <w:link w:val="CommentSubjectChar"/>
    <w:uiPriority w:val="99"/>
    <w:semiHidden/>
    <w:unhideWhenUsed/>
    <w:rsid w:val="0042337F"/>
    <w:rPr>
      <w:b/>
      <w:bCs/>
    </w:rPr>
  </w:style>
  <w:style w:type="character" w:customStyle="1" w:styleId="CommentSubjectChar">
    <w:name w:val="Comment Subject Char"/>
    <w:basedOn w:val="CommentTextChar"/>
    <w:link w:val="CommentSubject"/>
    <w:uiPriority w:val="99"/>
    <w:semiHidden/>
    <w:rsid w:val="0042337F"/>
    <w:rPr>
      <w:b/>
      <w:bCs/>
      <w:sz w:val="20"/>
      <w:szCs w:val="20"/>
    </w:rPr>
  </w:style>
  <w:style w:type="paragraph" w:styleId="Revision">
    <w:name w:val="Revision"/>
    <w:hidden/>
    <w:uiPriority w:val="99"/>
    <w:semiHidden/>
    <w:rsid w:val="001E4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95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ta.Artemjeva@fm.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CDB70-AE20-438A-B627-93CEC97F5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8986</Words>
  <Characters>5123</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Likumprojekta „Grozījumi likumā „Par valsts un pašvaldību kapitāla daļām un kapitālsabiedrībām”” anotācija </vt:lpstr>
    </vt:vector>
  </TitlesOfParts>
  <Company>fm</Company>
  <LinksUpToDate>false</LinksUpToDate>
  <CharactersWithSpaces>14081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valsts un pašvaldību kapitāla daļām un kapitālsabiedrībām”” anotācija </dc:title>
  <dc:subject>Anotācija</dc:subject>
  <dc:creator>I.Artemjeva</dc:creator>
  <cp:keywords/>
  <dc:description>t.67095599
Ineta.Artemjeva@fm.gov.lv</dc:description>
  <cp:lastModifiedBy>changeme</cp:lastModifiedBy>
  <cp:revision>18</cp:revision>
  <cp:lastPrinted>2011-12-15T09:11:00Z</cp:lastPrinted>
  <dcterms:created xsi:type="dcterms:W3CDTF">2011-12-15T12:00:00Z</dcterms:created>
  <dcterms:modified xsi:type="dcterms:W3CDTF">2011-12-19T06:55:00Z</dcterms:modified>
</cp:coreProperties>
</file>