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D23" w:rsidRPr="00262083" w:rsidRDefault="00E87D23">
      <w:pPr>
        <w:pStyle w:val="NormalWeb"/>
        <w:spacing w:before="0" w:beforeAutospacing="0" w:after="0" w:afterAutospacing="0"/>
        <w:jc w:val="center"/>
        <w:rPr>
          <w:rFonts w:ascii="Times New Roman" w:hAnsi="Times New Roman"/>
          <w:b/>
          <w:sz w:val="28"/>
          <w:szCs w:val="28"/>
        </w:rPr>
      </w:pPr>
      <w:r w:rsidRPr="00262083">
        <w:rPr>
          <w:rFonts w:ascii="Times New Roman" w:hAnsi="Times New Roman"/>
          <w:b/>
          <w:sz w:val="24"/>
          <w:szCs w:val="24"/>
        </w:rPr>
        <w:t>Ministru kabineta noteikumu „</w:t>
      </w:r>
      <w:r w:rsidRPr="00262083">
        <w:rPr>
          <w:rFonts w:ascii="Times New Roman" w:hAnsi="Times New Roman"/>
          <w:b/>
          <w:sz w:val="24"/>
          <w:szCs w:val="28"/>
        </w:rPr>
        <w:t>Grozījumi Ministru kabineta 2010.gada 12.oktobra noteikumos Nr.972 „Noteikumi par kārtību, kā veicami maksājumi valsts budžetā un tie atzīstami par saņemtiem, un prasībām tiešsaistes maksājumu pakalpojumu izmantošanai norēķinos ar valsts budžetu</w:t>
      </w:r>
      <w:r w:rsidRPr="00262083">
        <w:rPr>
          <w:rFonts w:ascii="Times New Roman" w:hAnsi="Times New Roman"/>
          <w:b/>
          <w:sz w:val="24"/>
          <w:szCs w:val="24"/>
        </w:rPr>
        <w:t xml:space="preserve">” projekta </w:t>
      </w:r>
      <w:r w:rsidRPr="00262083">
        <w:rPr>
          <w:rFonts w:ascii="Times New Roman" w:hAnsi="Times New Roman"/>
          <w:b/>
          <w:sz w:val="24"/>
          <w:szCs w:val="20"/>
        </w:rPr>
        <w:t>sākotnējās ietekmes novērtējuma ziņojums (anotācija)</w:t>
      </w:r>
    </w:p>
    <w:p w:rsidR="00E87D23" w:rsidRPr="00262083" w:rsidRDefault="00E87D23">
      <w:pPr>
        <w:jc w:val="center"/>
        <w:rPr>
          <w:b/>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0"/>
        <w:gridCol w:w="1872"/>
        <w:gridCol w:w="7023"/>
      </w:tblGrid>
      <w:tr w:rsidR="00E87D23">
        <w:tc>
          <w:tcPr>
            <w:tcW w:w="0" w:type="auto"/>
            <w:gridSpan w:val="3"/>
            <w:tcBorders>
              <w:top w:val="single" w:sz="6" w:space="0" w:color="auto"/>
              <w:left w:val="single" w:sz="6" w:space="0" w:color="auto"/>
              <w:bottom w:val="outset" w:sz="6" w:space="0" w:color="000000"/>
              <w:right w:val="single" w:sz="6" w:space="0" w:color="auto"/>
            </w:tcBorders>
            <w:vAlign w:val="center"/>
          </w:tcPr>
          <w:p w:rsidR="00E87D23" w:rsidRDefault="00E87D23">
            <w:pPr>
              <w:spacing w:before="100" w:beforeAutospacing="1" w:after="100" w:afterAutospacing="1"/>
              <w:jc w:val="center"/>
              <w:rPr>
                <w:b/>
                <w:bCs/>
              </w:rPr>
            </w:pPr>
            <w:r>
              <w:rPr>
                <w:b/>
                <w:bCs/>
              </w:rPr>
              <w:t>I. Tiesību akta projekta izstrādes nepieciešamība</w:t>
            </w:r>
          </w:p>
        </w:tc>
      </w:tr>
      <w:tr w:rsidR="00E87D23">
        <w:tc>
          <w:tcPr>
            <w:tcW w:w="153" w:type="pct"/>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1.</w:t>
            </w:r>
          </w:p>
        </w:tc>
        <w:tc>
          <w:tcPr>
            <w:tcW w:w="1020" w:type="pct"/>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Pamatojums</w:t>
            </w:r>
          </w:p>
        </w:tc>
        <w:tc>
          <w:tcPr>
            <w:tcW w:w="3827" w:type="pct"/>
            <w:tcBorders>
              <w:top w:val="outset" w:sz="6" w:space="0" w:color="000000"/>
              <w:left w:val="outset" w:sz="6" w:space="0" w:color="000000"/>
              <w:bottom w:val="outset" w:sz="6" w:space="0" w:color="000000"/>
              <w:right w:val="outset" w:sz="6" w:space="0" w:color="000000"/>
            </w:tcBorders>
          </w:tcPr>
          <w:p w:rsidR="00A56109" w:rsidRPr="00BB1531" w:rsidRDefault="00CB5F80" w:rsidP="001C6B67">
            <w:pPr>
              <w:spacing w:after="120"/>
              <w:jc w:val="both"/>
            </w:pPr>
            <w:bookmarkStart w:id="0" w:name="OLE_LINK1"/>
            <w:bookmarkStart w:id="1" w:name="OLE_LINK2"/>
            <w:r w:rsidRPr="00BB1531">
              <w:t>Ministru kabineta 2012.gada 29.maija sēdes protokola Nr.30 36</w:t>
            </w:r>
            <w:r w:rsidR="001C6B67">
              <w:t>.</w:t>
            </w:r>
            <w:r w:rsidR="001C6B67" w:rsidRPr="00BB1531">
              <w:t>§</w:t>
            </w:r>
            <w:r w:rsidRPr="00BB1531">
              <w:t xml:space="preserve"> 2.punktā dotais uzdevums </w:t>
            </w:r>
            <w:r w:rsidR="001C6C49" w:rsidRPr="00BB1531">
              <w:rPr>
                <w:color w:val="2A2A2A"/>
              </w:rPr>
              <w:t>sagatavot</w:t>
            </w:r>
            <w:r w:rsidRPr="00BB1531">
              <w:rPr>
                <w:color w:val="2A2A2A"/>
              </w:rPr>
              <w:t xml:space="preserve"> un iesnie</w:t>
            </w:r>
            <w:r w:rsidR="001C6B67">
              <w:rPr>
                <w:color w:val="2A2A2A"/>
              </w:rPr>
              <w:t>gt</w:t>
            </w:r>
            <w:r w:rsidRPr="00BB1531">
              <w:rPr>
                <w:color w:val="2A2A2A"/>
              </w:rPr>
              <w:t xml:space="preserve"> informāciju par esošo situāciju un risinājumu pēc 2012.gada 1.septembra  saistībā ar Ministru kabineta 2010.gada 12.oktobra noteikumu Nr.972 "Noteikumi par kārtību, kā veicami maksājumi valsts budžetā un tie atzīstami par saņemtiem, un prasībām tiešsaistes maksājumu pakalpojumu izmantošanai norēķinoties ar valsts budžetu" īstenošanu attiecībā uz fizisku personu saņemtiem pasta sūtījumiem.</w:t>
            </w:r>
            <w:bookmarkEnd w:id="0"/>
            <w:bookmarkEnd w:id="1"/>
          </w:p>
        </w:tc>
      </w:tr>
      <w:tr w:rsidR="00E87D23">
        <w:tc>
          <w:tcPr>
            <w:tcW w:w="153" w:type="pct"/>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2.</w:t>
            </w:r>
          </w:p>
        </w:tc>
        <w:tc>
          <w:tcPr>
            <w:tcW w:w="1020" w:type="pct"/>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Pašreizējā situācija un problēmas</w:t>
            </w:r>
          </w:p>
        </w:tc>
        <w:tc>
          <w:tcPr>
            <w:tcW w:w="3827" w:type="pct"/>
            <w:tcBorders>
              <w:top w:val="outset" w:sz="6" w:space="0" w:color="000000"/>
              <w:left w:val="outset" w:sz="6" w:space="0" w:color="000000"/>
              <w:bottom w:val="outset" w:sz="6" w:space="0" w:color="000000"/>
              <w:right w:val="outset" w:sz="6" w:space="0" w:color="000000"/>
            </w:tcBorders>
          </w:tcPr>
          <w:p w:rsidR="00FA0160" w:rsidRDefault="00FA0160" w:rsidP="00FA0160">
            <w:pPr>
              <w:ind w:firstLine="399"/>
              <w:contextualSpacing/>
              <w:jc w:val="both"/>
              <w:rPr>
                <w:color w:val="000000"/>
              </w:rPr>
            </w:pPr>
            <w:r>
              <w:rPr>
                <w:color w:val="000000"/>
              </w:rPr>
              <w:t>Šobrīd komersants, kas sniedz universālo pasta pakalpojumu Latvijas Republikā ir VAS „Latvijas Pasts”. Pārrobežu pasta sūtījumi no valstīm, kuras nav Eiropas Savienības dalībvalstis (turpmāk – pasta sūtījums), VAS „Latvijas Pasts” izsniedz saņēmējiem saskaņā ar starp VAS „Latvijas Pasts” un Valsts ieņēmumu dienestu 2009.gada 1.septembrī noslēgto Vienošanos par starptautisko pasta sūtījumu apstrādes un kontroles kārtību (turpmāk – Vienošanās).</w:t>
            </w:r>
          </w:p>
          <w:p w:rsidR="00FA0160" w:rsidRPr="004008AD" w:rsidRDefault="00FA0160" w:rsidP="00FA0160">
            <w:pPr>
              <w:ind w:firstLine="399"/>
              <w:contextualSpacing/>
              <w:jc w:val="both"/>
              <w:rPr>
                <w:color w:val="000000"/>
              </w:rPr>
            </w:pPr>
            <w:r w:rsidRPr="004008AD">
              <w:rPr>
                <w:color w:val="000000"/>
              </w:rPr>
              <w:t xml:space="preserve">Muitas dienesti veic muitas kontroli ienākošajiem </w:t>
            </w:r>
            <w:r>
              <w:rPr>
                <w:color w:val="000000"/>
              </w:rPr>
              <w:t xml:space="preserve">pārrobežu pasta </w:t>
            </w:r>
            <w:r w:rsidRPr="004008AD">
              <w:rPr>
                <w:color w:val="000000"/>
              </w:rPr>
              <w:t xml:space="preserve">sūtījumiem, kā arī uz muitas pavadzīmes veic muitas iestāžu administrēto nodokļu – muitas nodokļa, pievienotās vērtības nodokļa un akcīzes nodokļa, ja </w:t>
            </w:r>
            <w:r>
              <w:rPr>
                <w:color w:val="000000"/>
              </w:rPr>
              <w:t xml:space="preserve">šajos </w:t>
            </w:r>
            <w:r w:rsidRPr="004008AD">
              <w:rPr>
                <w:color w:val="000000"/>
              </w:rPr>
              <w:t>sūtījum</w:t>
            </w:r>
            <w:r>
              <w:rPr>
                <w:color w:val="000000"/>
              </w:rPr>
              <w:t>os</w:t>
            </w:r>
            <w:r w:rsidRPr="004008AD">
              <w:rPr>
                <w:color w:val="000000"/>
              </w:rPr>
              <w:t xml:space="preserve"> ir akcīzes preces, (turpmāk – muitas maksājumi) – aprēķinu saskaņā ar attiecīgiem normatīviem aktiem.</w:t>
            </w:r>
            <w:r>
              <w:rPr>
                <w:color w:val="000000"/>
              </w:rPr>
              <w:t xml:space="preserve"> Pasta sūtījumi, kurus saņem fiziskās personas</w:t>
            </w:r>
            <w:r w:rsidRPr="004008AD">
              <w:rPr>
                <w:color w:val="000000"/>
              </w:rPr>
              <w:t xml:space="preserve"> pēc veiktās muitas kontroles un nodokļu aprēķināšanas tiek nosūtīt</w:t>
            </w:r>
            <w:r>
              <w:rPr>
                <w:color w:val="000000"/>
              </w:rPr>
              <w:t>i</w:t>
            </w:r>
            <w:r w:rsidRPr="004008AD">
              <w:rPr>
                <w:color w:val="000000"/>
              </w:rPr>
              <w:t xml:space="preserve"> adresātam uz attiecīgo </w:t>
            </w:r>
            <w:r>
              <w:rPr>
                <w:color w:val="000000"/>
              </w:rPr>
              <w:t>VAS „</w:t>
            </w:r>
            <w:r w:rsidRPr="004008AD">
              <w:rPr>
                <w:iCs/>
                <w:color w:val="000000"/>
              </w:rPr>
              <w:t>Latvijas Past</w:t>
            </w:r>
            <w:r>
              <w:rPr>
                <w:iCs/>
                <w:color w:val="000000"/>
              </w:rPr>
              <w:t>s”</w:t>
            </w:r>
            <w:r w:rsidRPr="004008AD">
              <w:rPr>
                <w:color w:val="000000"/>
              </w:rPr>
              <w:t xml:space="preserve"> </w:t>
            </w:r>
            <w:r>
              <w:rPr>
                <w:color w:val="000000"/>
              </w:rPr>
              <w:t xml:space="preserve">pasta pakalpojumu sniegšanas vietu (turpmāk tekstā – pasta </w:t>
            </w:r>
            <w:r w:rsidRPr="004008AD">
              <w:rPr>
                <w:color w:val="000000"/>
              </w:rPr>
              <w:t>nodaļ</w:t>
            </w:r>
            <w:r>
              <w:rPr>
                <w:color w:val="000000"/>
              </w:rPr>
              <w:t>a)</w:t>
            </w:r>
            <w:r w:rsidRPr="004008AD">
              <w:rPr>
                <w:color w:val="000000"/>
              </w:rPr>
              <w:t>.</w:t>
            </w:r>
          </w:p>
          <w:p w:rsidR="00FA0160" w:rsidRPr="004008AD" w:rsidRDefault="00FA0160" w:rsidP="00FA0160">
            <w:pPr>
              <w:ind w:firstLine="399"/>
              <w:contextualSpacing/>
              <w:jc w:val="both"/>
              <w:rPr>
                <w:color w:val="000000"/>
              </w:rPr>
            </w:pPr>
            <w:r>
              <w:rPr>
                <w:color w:val="000000"/>
              </w:rPr>
              <w:t>VAS „Latvijas Pasts”</w:t>
            </w:r>
            <w:r w:rsidRPr="004008AD">
              <w:rPr>
                <w:color w:val="000000"/>
              </w:rPr>
              <w:t xml:space="preserve"> adresātam</w:t>
            </w:r>
            <w:r w:rsidR="006363AF">
              <w:rPr>
                <w:color w:val="000000"/>
              </w:rPr>
              <w:t>, kas ir fiziska persona,</w:t>
            </w:r>
            <w:r w:rsidRPr="004008AD">
              <w:rPr>
                <w:color w:val="000000"/>
              </w:rPr>
              <w:t xml:space="preserve"> nosūta aicinājumu </w:t>
            </w:r>
            <w:r>
              <w:rPr>
                <w:color w:val="000000"/>
              </w:rPr>
              <w:t xml:space="preserve">un muitas pavadzīmi </w:t>
            </w:r>
            <w:r w:rsidRPr="004008AD">
              <w:rPr>
                <w:color w:val="000000"/>
              </w:rPr>
              <w:t>par to, ka sūtījums atrodas pasta</w:t>
            </w:r>
            <w:r>
              <w:rPr>
                <w:color w:val="000000"/>
              </w:rPr>
              <w:t xml:space="preserve"> nodaļā</w:t>
            </w:r>
            <w:r w:rsidRPr="004008AD">
              <w:rPr>
                <w:color w:val="000000"/>
              </w:rPr>
              <w:t>, norādot arī kopējo aprēķināto muitas maksājuma summu.</w:t>
            </w:r>
            <w:r>
              <w:rPr>
                <w:color w:val="000000"/>
              </w:rPr>
              <w:t xml:space="preserve"> Pasta s</w:t>
            </w:r>
            <w:r w:rsidRPr="004008AD">
              <w:rPr>
                <w:color w:val="000000"/>
              </w:rPr>
              <w:t>ūtījuma saņēmējs pēc aicinājuma saņemšanas dodas uz attiecīgo pasta nodaļu, kur veic muitas maksājumu apmaksu pasta nodaļā uz vietas</w:t>
            </w:r>
            <w:r>
              <w:rPr>
                <w:color w:val="000000"/>
              </w:rPr>
              <w:t xml:space="preserve"> un viņam tiek izsniegts sūtījums.</w:t>
            </w:r>
            <w:r w:rsidRPr="004008AD">
              <w:rPr>
                <w:color w:val="000000"/>
              </w:rPr>
              <w:t xml:space="preserve"> Muitas maksājumu apmaksu iespējams veikt arī kādā no kredītiestādēm</w:t>
            </w:r>
            <w:r>
              <w:rPr>
                <w:color w:val="000000"/>
              </w:rPr>
              <w:t xml:space="preserve"> vai tās internetbankā</w:t>
            </w:r>
            <w:r w:rsidRPr="004008AD">
              <w:rPr>
                <w:color w:val="000000"/>
              </w:rPr>
              <w:t>. Pasta sūtījums adresātam pasta nodaļā tiek izsniegts tikai pēc visu attiecīgo muitas maksājumu apmaksas veikšanas, uzrādot maksājuma dokumentu.</w:t>
            </w:r>
          </w:p>
          <w:p w:rsidR="00153068" w:rsidRDefault="00FA0160" w:rsidP="00FA0160">
            <w:pPr>
              <w:ind w:firstLine="399"/>
              <w:contextualSpacing/>
              <w:jc w:val="both"/>
              <w:rPr>
                <w:color w:val="000000"/>
              </w:rPr>
            </w:pPr>
            <w:r w:rsidRPr="004008AD">
              <w:rPr>
                <w:color w:val="000000"/>
              </w:rPr>
              <w:t xml:space="preserve">Savukārt juridiskajām personām pēc </w:t>
            </w:r>
            <w:r>
              <w:rPr>
                <w:color w:val="000000"/>
              </w:rPr>
              <w:t>VAS „</w:t>
            </w:r>
            <w:r w:rsidRPr="004008AD">
              <w:rPr>
                <w:iCs/>
                <w:color w:val="000000"/>
              </w:rPr>
              <w:t xml:space="preserve">Latvijas </w:t>
            </w:r>
            <w:r>
              <w:rPr>
                <w:iCs/>
                <w:color w:val="000000"/>
              </w:rPr>
              <w:t>P</w:t>
            </w:r>
            <w:r w:rsidRPr="004008AD">
              <w:rPr>
                <w:iCs/>
                <w:color w:val="000000"/>
              </w:rPr>
              <w:t>ast</w:t>
            </w:r>
            <w:r>
              <w:rPr>
                <w:iCs/>
                <w:color w:val="000000"/>
              </w:rPr>
              <w:t>s”</w:t>
            </w:r>
            <w:r w:rsidRPr="004008AD">
              <w:rPr>
                <w:color w:val="000000"/>
              </w:rPr>
              <w:t xml:space="preserve"> aicinājuma</w:t>
            </w:r>
            <w:r>
              <w:rPr>
                <w:color w:val="000000"/>
              </w:rPr>
              <w:t xml:space="preserve"> (PS22)</w:t>
            </w:r>
            <w:r w:rsidRPr="004008AD">
              <w:rPr>
                <w:color w:val="000000"/>
              </w:rPr>
              <w:t xml:space="preserve"> saņemšanas ir jāierodas tuvāk</w:t>
            </w:r>
            <w:r>
              <w:rPr>
                <w:color w:val="000000"/>
              </w:rPr>
              <w:t>ajā</w:t>
            </w:r>
            <w:r w:rsidRPr="004008AD">
              <w:rPr>
                <w:color w:val="000000"/>
              </w:rPr>
              <w:t xml:space="preserve"> muitas iestād</w:t>
            </w:r>
            <w:r>
              <w:rPr>
                <w:color w:val="000000"/>
              </w:rPr>
              <w:t>ē</w:t>
            </w:r>
            <w:r w:rsidRPr="004008AD">
              <w:rPr>
                <w:color w:val="000000"/>
              </w:rPr>
              <w:t xml:space="preserve"> un jāformē rakstveida muitas deklarācija. Atbilstoši aprēķinātajiem muitas maksājumiem juridiskā persona veic nodokļu apmaksu kredītiestādē. Tikai pēc attiecīgo muitas formalitāšu izpildes (muitas deklarācijas noformēšanas un muitas maksājumu apmaksas</w:t>
            </w:r>
            <w:r>
              <w:rPr>
                <w:color w:val="000000"/>
              </w:rPr>
              <w:t>, ko apstiprina muitas iestāde ar zīmogu uz juridiskajai personai izsniegtā VAS „</w:t>
            </w:r>
            <w:r w:rsidRPr="004008AD">
              <w:rPr>
                <w:iCs/>
                <w:color w:val="000000"/>
              </w:rPr>
              <w:t xml:space="preserve">Latvijas </w:t>
            </w:r>
            <w:r>
              <w:rPr>
                <w:iCs/>
                <w:color w:val="000000"/>
              </w:rPr>
              <w:t>P</w:t>
            </w:r>
            <w:r w:rsidRPr="004008AD">
              <w:rPr>
                <w:iCs/>
                <w:color w:val="000000"/>
              </w:rPr>
              <w:t>ast</w:t>
            </w:r>
            <w:r>
              <w:rPr>
                <w:iCs/>
                <w:color w:val="000000"/>
              </w:rPr>
              <w:t>s”</w:t>
            </w:r>
            <w:r w:rsidRPr="004008AD">
              <w:rPr>
                <w:color w:val="000000"/>
              </w:rPr>
              <w:t xml:space="preserve"> aicinājuma</w:t>
            </w:r>
            <w:r>
              <w:rPr>
                <w:color w:val="000000"/>
              </w:rPr>
              <w:t xml:space="preserve"> (PS22</w:t>
            </w:r>
            <w:r w:rsidRPr="004008AD">
              <w:rPr>
                <w:color w:val="000000"/>
              </w:rPr>
              <w:t xml:space="preserve">) </w:t>
            </w:r>
            <w:r>
              <w:rPr>
                <w:color w:val="000000"/>
              </w:rPr>
              <w:t>VAS „</w:t>
            </w:r>
            <w:r w:rsidRPr="004008AD">
              <w:rPr>
                <w:iCs/>
                <w:color w:val="000000"/>
              </w:rPr>
              <w:t>Latvijas Past</w:t>
            </w:r>
            <w:r>
              <w:rPr>
                <w:iCs/>
                <w:color w:val="000000"/>
              </w:rPr>
              <w:t>s”</w:t>
            </w:r>
            <w:r w:rsidRPr="004008AD">
              <w:rPr>
                <w:color w:val="000000"/>
              </w:rPr>
              <w:t xml:space="preserve"> izsniedz pasta sūtījumu.</w:t>
            </w:r>
            <w:r>
              <w:rPr>
                <w:color w:val="000000"/>
              </w:rPr>
              <w:t xml:space="preserve"> </w:t>
            </w:r>
          </w:p>
          <w:p w:rsidR="00FA0160" w:rsidRPr="004008AD" w:rsidRDefault="00FA0160" w:rsidP="00244859">
            <w:pPr>
              <w:ind w:firstLine="399"/>
              <w:contextualSpacing/>
              <w:jc w:val="both"/>
              <w:rPr>
                <w:color w:val="000000"/>
              </w:rPr>
            </w:pPr>
            <w:r>
              <w:rPr>
                <w:color w:val="000000"/>
              </w:rPr>
              <w:lastRenderedPageBreak/>
              <w:t xml:space="preserve">Līdz ar to VAS „Latvijas Pasts” juridiskajām personām izsniedz pasta sūtījumu saņēmējam, ja tas uzrāda </w:t>
            </w:r>
            <w:r w:rsidR="00A33BFD">
              <w:rPr>
                <w:color w:val="000000"/>
              </w:rPr>
              <w:t xml:space="preserve">maksājumu apliecinošu dokumentu. </w:t>
            </w:r>
            <w:r>
              <w:rPr>
                <w:color w:val="000000"/>
              </w:rPr>
              <w:t>Šāda sūtījumu izsniegšanas kārtība ir arī ērta pasta sūtījuma saņēmējam, jo persona var izvēlēties veidu, kā veikt muitas maksājumus.</w:t>
            </w:r>
          </w:p>
          <w:p w:rsidR="00536AC6" w:rsidRPr="00244859" w:rsidRDefault="00A33BFD" w:rsidP="00244859">
            <w:pPr>
              <w:spacing w:before="120"/>
              <w:ind w:firstLine="397"/>
              <w:contextualSpacing/>
              <w:jc w:val="both"/>
              <w:rPr>
                <w:color w:val="000000"/>
              </w:rPr>
            </w:pPr>
            <w:r w:rsidRPr="00244859">
              <w:rPr>
                <w:color w:val="2A2A2A"/>
              </w:rPr>
              <w:t>Ir</w:t>
            </w:r>
            <w:r w:rsidR="00FA0160" w:rsidRPr="00244859">
              <w:rPr>
                <w:color w:val="2A2A2A"/>
              </w:rPr>
              <w:t xml:space="preserve"> </w:t>
            </w:r>
            <w:r w:rsidR="00FA0160" w:rsidRPr="00244859">
              <w:t xml:space="preserve">secināts, ka </w:t>
            </w:r>
            <w:r w:rsidRPr="00244859">
              <w:t xml:space="preserve">Noteikumos Nr.972 noteiktā kārtība </w:t>
            </w:r>
            <w:r w:rsidR="009C7E9B" w:rsidRPr="00244859">
              <w:t xml:space="preserve">pēc 2012.gada 1.septembra </w:t>
            </w:r>
            <w:r w:rsidRPr="00244859">
              <w:t xml:space="preserve">attiecībā uz fizisko personu saņemtajiem pasta sūtījumiem radītu milzīgu administratīvo slogu VAS „Latvijas Pasts” un arī lielu slodzi eKases darbībai, jo VAS „Latvijas Pasts” nevar izmanto eKases tiešsaistes datu apmaiņas moduli, līdz ar to katras VAS „Latvijas Pasts” nodaļas darbiniekiem (Latvijā kopā ir ap 600 VAS „Latvijas Pasts” nodaļu) būtu jānodrošina pieeja „eKase”. </w:t>
            </w:r>
            <w:r w:rsidR="00FA0160" w:rsidRPr="00244859">
              <w:t>Savukārt, ja maksājumu pārbaudi veiktu muitas amatpersona, tiktu paildzināts savstarpējās informēšanas laiks un sūtījuma saņemšanas process kļūtu sarežģītāks.</w:t>
            </w:r>
          </w:p>
          <w:p w:rsidR="00A33BFD" w:rsidRDefault="00A33BFD" w:rsidP="008815DC">
            <w:pPr>
              <w:contextualSpacing/>
              <w:jc w:val="both"/>
            </w:pPr>
          </w:p>
          <w:p w:rsidR="00843272" w:rsidRDefault="00A33BFD" w:rsidP="00A33BFD">
            <w:pPr>
              <w:ind w:firstLine="400"/>
              <w:contextualSpacing/>
              <w:jc w:val="both"/>
            </w:pPr>
            <w:r>
              <w:t>N</w:t>
            </w:r>
            <w:r w:rsidRPr="00FA039F">
              <w:t>oteikum</w:t>
            </w:r>
            <w:r>
              <w:t>u</w:t>
            </w:r>
            <w:r w:rsidRPr="00FA039F">
              <w:t xml:space="preserve"> Nr.972 </w:t>
            </w:r>
            <w:r>
              <w:t xml:space="preserve">4.punktā ir </w:t>
            </w:r>
            <w:r w:rsidRPr="00FA039F">
              <w:t>noteikts ierobežojums maksājumiem ar maksājumu karti</w:t>
            </w:r>
            <w:r>
              <w:t xml:space="preserve"> </w:t>
            </w:r>
            <w:r w:rsidRPr="00FA039F">
              <w:t>- 200 lati</w:t>
            </w:r>
            <w:r>
              <w:t>. Tas</w:t>
            </w:r>
            <w:r w:rsidRPr="00FA039F">
              <w:t xml:space="preserve"> apgrūtina un ierobežo personas, kam muitas maksājumi pārsniedz šo summu.</w:t>
            </w:r>
            <w:r>
              <w:t xml:space="preserve"> </w:t>
            </w:r>
          </w:p>
          <w:p w:rsidR="00624A19" w:rsidRDefault="00624A19" w:rsidP="00E04F72">
            <w:pPr>
              <w:ind w:firstLine="400"/>
              <w:contextualSpacing/>
              <w:jc w:val="both"/>
            </w:pPr>
          </w:p>
          <w:p w:rsidR="00E04F72" w:rsidRPr="00BB1531" w:rsidRDefault="00624A19" w:rsidP="009C7E9B">
            <w:pPr>
              <w:ind w:firstLine="400"/>
              <w:contextualSpacing/>
              <w:jc w:val="both"/>
            </w:pPr>
            <w:r>
              <w:t xml:space="preserve">Līdz ar </w:t>
            </w:r>
            <w:r w:rsidR="008D0057">
              <w:t xml:space="preserve">2012.gada 29.maija </w:t>
            </w:r>
            <w:r>
              <w:t xml:space="preserve">grozījumu izdarīšanu 2010.gada 17.augusta Ministru kabineta noteikumos </w:t>
            </w:r>
            <w:proofErr w:type="spellStart"/>
            <w:r>
              <w:t>Nr</w:t>
            </w:r>
            <w:proofErr w:type="spellEnd"/>
            <w:r>
              <w:t>. 777 „</w:t>
            </w:r>
            <w:r w:rsidRPr="00E04F72">
              <w:t>Gada pārskata sagatavošanas kārtība</w:t>
            </w:r>
            <w:r>
              <w:t xml:space="preserve">” un 2012.gada 5.jūnija Ministru kabineta noteikumu </w:t>
            </w:r>
            <w:r w:rsidR="00DC2A33">
              <w:t>Nr.</w:t>
            </w:r>
            <w:r w:rsidR="009C7E9B">
              <w:t>386</w:t>
            </w:r>
            <w:r w:rsidR="00DC2A33">
              <w:t xml:space="preserve"> </w:t>
            </w:r>
            <w:r>
              <w:t>„</w:t>
            </w:r>
            <w:r w:rsidRPr="00E04F72">
              <w:t>Kārtība, kādā Valsts kase nodrošina el</w:t>
            </w:r>
            <w:r>
              <w:t>ektronisko informācijas apmaiņu” spēkā stāšanos i</w:t>
            </w:r>
            <w:r w:rsidRPr="00E04F72">
              <w:t>nformācijas sistēm</w:t>
            </w:r>
            <w:r>
              <w:t>as</w:t>
            </w:r>
            <w:r w:rsidRPr="00E04F72">
              <w:t xml:space="preserve"> "Valsts budžeta un pašvaldību budžeta pārskati" </w:t>
            </w:r>
            <w:r>
              <w:t xml:space="preserve">izmantošanu reglamentē 2012.gada 5.jūnija Ministru kabineta noteikumi </w:t>
            </w:r>
            <w:r w:rsidR="00284AAA">
              <w:t>Nr.</w:t>
            </w:r>
            <w:r w:rsidR="009C7E9B">
              <w:t>386</w:t>
            </w:r>
            <w:r w:rsidR="00284AAA">
              <w:t xml:space="preserve"> </w:t>
            </w:r>
            <w:r>
              <w:t>„</w:t>
            </w:r>
            <w:r w:rsidRPr="00E04F72">
              <w:t>Kārtība, kādā Valsts kase nodrošina el</w:t>
            </w:r>
            <w:r>
              <w:t>ektronisko informācijas apmaiņu”.</w:t>
            </w:r>
          </w:p>
        </w:tc>
      </w:tr>
      <w:tr w:rsidR="00E87D23">
        <w:tc>
          <w:tcPr>
            <w:tcW w:w="153" w:type="pct"/>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lastRenderedPageBreak/>
              <w:t>3.</w:t>
            </w:r>
          </w:p>
        </w:tc>
        <w:tc>
          <w:tcPr>
            <w:tcW w:w="1020" w:type="pct"/>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Saistītie politikas ietekmes novērtējumi un pētījumi</w:t>
            </w:r>
          </w:p>
        </w:tc>
        <w:tc>
          <w:tcPr>
            <w:tcW w:w="3827" w:type="pct"/>
            <w:tcBorders>
              <w:top w:val="outset" w:sz="6" w:space="0" w:color="000000"/>
              <w:left w:val="outset" w:sz="6" w:space="0" w:color="000000"/>
              <w:bottom w:val="outset" w:sz="6" w:space="0" w:color="000000"/>
              <w:right w:val="outset" w:sz="6" w:space="0" w:color="000000"/>
            </w:tcBorders>
          </w:tcPr>
          <w:p w:rsidR="00E87D23" w:rsidRPr="00BB1531" w:rsidRDefault="00E1747A">
            <w:pPr>
              <w:spacing w:before="100" w:beforeAutospacing="1" w:after="100" w:afterAutospacing="1"/>
              <w:jc w:val="both"/>
            </w:pPr>
            <w:r w:rsidRPr="00BB1531">
              <w:t>Nav attiecināms</w:t>
            </w:r>
            <w:r w:rsidR="000E0B48" w:rsidRPr="00BB1531">
              <w:t>.</w:t>
            </w:r>
          </w:p>
        </w:tc>
      </w:tr>
      <w:tr w:rsidR="00A33BFD" w:rsidRPr="00A33BFD">
        <w:tc>
          <w:tcPr>
            <w:tcW w:w="153" w:type="pct"/>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4.</w:t>
            </w:r>
          </w:p>
        </w:tc>
        <w:tc>
          <w:tcPr>
            <w:tcW w:w="1020" w:type="pct"/>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Tiesiskā regulējuma mērķis un būtība</w:t>
            </w:r>
          </w:p>
        </w:tc>
        <w:tc>
          <w:tcPr>
            <w:tcW w:w="3827" w:type="pct"/>
            <w:tcBorders>
              <w:top w:val="outset" w:sz="6" w:space="0" w:color="000000"/>
              <w:left w:val="outset" w:sz="6" w:space="0" w:color="000000"/>
              <w:bottom w:val="outset" w:sz="6" w:space="0" w:color="000000"/>
              <w:right w:val="outset" w:sz="6" w:space="0" w:color="000000"/>
            </w:tcBorders>
          </w:tcPr>
          <w:p w:rsidR="00097437" w:rsidRDefault="00097437" w:rsidP="00097437">
            <w:pPr>
              <w:jc w:val="both"/>
            </w:pPr>
            <w:r w:rsidRPr="00A33BFD">
              <w:t xml:space="preserve">Lai neapgrūtinātu pasta sūtījumu saņēmējus, kas izmanto universālā pasta pakalpojuma sniedzēja pakalpojumus (VAS „Latvijas Pasts”), un nepalielinātu </w:t>
            </w:r>
            <w:r>
              <w:t>VID</w:t>
            </w:r>
            <w:r w:rsidRPr="00A33BFD">
              <w:t xml:space="preserve"> administratīvo slogu</w:t>
            </w:r>
            <w:r>
              <w:t>,</w:t>
            </w:r>
            <w:r w:rsidRPr="00A33BFD">
              <w:t xml:space="preserve"> noteikumos Nr.972 tiek noteikts, ka </w:t>
            </w:r>
            <w:r w:rsidRPr="00097437">
              <w:rPr>
                <w:szCs w:val="28"/>
              </w:rPr>
              <w:t>noteikumu 5. un 6.punktā noteiktās prasības nav attiecināmas uz tādiem valsts budžetā veicamiem maksājumiem, ko veicis maksātājs par fiziskai personai adresētu pārrobežu pasta sūtījumu no valsts, kas nav Eiropas Savienības dalībvalsts, un kas deklarēts atbilstoši Komisijas 1993.gada 2.jūlija Regulas (EEK) Nr.2454/93, kas nosaka īstenošanas noteikumus Padomes Regulai (EEK) Nr.2913/92 par Kopienu Muitas kodeksa izveidi, 237. un 238.pantam, izmantojot šo noteikumu 3.2.apakšpunktā minēto maksājumu pakalpojumu,  gadījumos, kad pasta sūtījumu saņēmējam izsniedz universāl</w:t>
            </w:r>
            <w:r>
              <w:rPr>
                <w:szCs w:val="28"/>
              </w:rPr>
              <w:t xml:space="preserve">ā pasta pakalpojuma sniedzējs. Šajā gadījumā </w:t>
            </w:r>
            <w:r w:rsidRPr="00097437">
              <w:rPr>
                <w:szCs w:val="28"/>
              </w:rPr>
              <w:t>maksātāj</w:t>
            </w:r>
            <w:r>
              <w:rPr>
                <w:szCs w:val="28"/>
              </w:rPr>
              <w:t xml:space="preserve">a veiktais maksājums </w:t>
            </w:r>
            <w:r>
              <w:t>tiek</w:t>
            </w:r>
            <w:r w:rsidRPr="00097437">
              <w:t xml:space="preserve"> atzīst par saņemtu valsts budžetā, ja maksājuma dokumentā ir norādīts skaidri salasāms maksātāja vārds, uzvārds vai nosaukums un to ir parakstījis maksātājs vai ar spiedogu un parakstu apliecinājis maksājumu pakalpojumu sniedzējs.</w:t>
            </w:r>
          </w:p>
          <w:p w:rsidR="00624A19" w:rsidRDefault="00624A19" w:rsidP="00A33BFD">
            <w:pPr>
              <w:ind w:firstLine="542"/>
              <w:rPr>
                <w:szCs w:val="28"/>
              </w:rPr>
            </w:pPr>
          </w:p>
          <w:p w:rsidR="00A90C25" w:rsidRDefault="00A33BFD" w:rsidP="00A33BFD">
            <w:pPr>
              <w:ind w:firstLine="542"/>
              <w:rPr>
                <w:szCs w:val="28"/>
              </w:rPr>
            </w:pPr>
            <w:r>
              <w:rPr>
                <w:szCs w:val="28"/>
              </w:rPr>
              <w:lastRenderedPageBreak/>
              <w:t xml:space="preserve">Noteikumu projekts paredz atcelt nodokļu maksājumu veikšanai ar maksājumu karti noteikto summas ierobežojumu, turpmāk nenosakot summas ierobežojumu šī maksājumu pakalpojuma veida izmantošanai. </w:t>
            </w:r>
          </w:p>
          <w:p w:rsidR="00624A19" w:rsidRDefault="00624A19" w:rsidP="00624A19">
            <w:pPr>
              <w:ind w:firstLine="542"/>
              <w:rPr>
                <w:szCs w:val="28"/>
              </w:rPr>
            </w:pPr>
          </w:p>
          <w:p w:rsidR="00624A19" w:rsidRPr="00A33BFD" w:rsidRDefault="00624A19" w:rsidP="00936A8D">
            <w:pPr>
              <w:ind w:firstLine="542"/>
              <w:jc w:val="both"/>
            </w:pPr>
            <w:r>
              <w:rPr>
                <w:szCs w:val="28"/>
              </w:rPr>
              <w:t xml:space="preserve">Ar Noteikumu projektu ir paredzēts precizēt </w:t>
            </w:r>
            <w:r>
              <w:t>Noteikumu</w:t>
            </w:r>
            <w:r w:rsidRPr="00A33BFD">
              <w:t xml:space="preserve"> </w:t>
            </w:r>
            <w:r>
              <w:t>N</w:t>
            </w:r>
            <w:r w:rsidRPr="00A33BFD">
              <w:t>r.972</w:t>
            </w:r>
            <w:r>
              <w:t xml:space="preserve"> 7</w:t>
            </w:r>
            <w:r w:rsidR="008133A3">
              <w:t>.</w:t>
            </w:r>
            <w:r w:rsidRPr="00624A19">
              <w:rPr>
                <w:vertAlign w:val="superscript"/>
              </w:rPr>
              <w:t>2</w:t>
            </w:r>
            <w:r>
              <w:rPr>
                <w:vertAlign w:val="subscript"/>
              </w:rPr>
              <w:t>.</w:t>
            </w:r>
            <w:r>
              <w:t xml:space="preserve"> un 15.punktā minētās, pārskatu iesniegšanai izmantotās informācijas sistēmas nosaukumu un </w:t>
            </w:r>
            <w:r w:rsidRPr="00BF7A64">
              <w:rPr>
                <w:szCs w:val="28"/>
              </w:rPr>
              <w:t>ministriju, centrālo valsts iestāžu un pašvaldību budžeta pārskatu informācijas sistēmu</w:t>
            </w:r>
            <w:r>
              <w:t xml:space="preserve"> izmantošanu reglamentējošo normatīvo aktu.</w:t>
            </w:r>
          </w:p>
        </w:tc>
      </w:tr>
      <w:tr w:rsidR="00E87D23">
        <w:tc>
          <w:tcPr>
            <w:tcW w:w="153" w:type="pct"/>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lastRenderedPageBreak/>
              <w:t>5.</w:t>
            </w:r>
          </w:p>
        </w:tc>
        <w:tc>
          <w:tcPr>
            <w:tcW w:w="1020" w:type="pct"/>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Projekta izstrādē iesaistītās institūcijas</w:t>
            </w:r>
          </w:p>
        </w:tc>
        <w:tc>
          <w:tcPr>
            <w:tcW w:w="3827" w:type="pct"/>
            <w:tcBorders>
              <w:top w:val="outset" w:sz="6" w:space="0" w:color="000000"/>
              <w:left w:val="outset" w:sz="6" w:space="0" w:color="000000"/>
              <w:bottom w:val="outset" w:sz="6" w:space="0" w:color="000000"/>
              <w:right w:val="outset" w:sz="6" w:space="0" w:color="000000"/>
            </w:tcBorders>
          </w:tcPr>
          <w:p w:rsidR="00E87D23" w:rsidRPr="00BB1531" w:rsidRDefault="002F2E12" w:rsidP="002F2E12">
            <w:pPr>
              <w:spacing w:before="100" w:beforeAutospacing="1" w:after="100" w:afterAutospacing="1"/>
              <w:jc w:val="both"/>
            </w:pPr>
            <w:r w:rsidRPr="00BB1531">
              <w:t>Valsts kase,</w:t>
            </w:r>
            <w:r w:rsidR="00E87D23" w:rsidRPr="00BB1531">
              <w:t xml:space="preserve"> </w:t>
            </w:r>
            <w:r w:rsidRPr="00BB1531">
              <w:t xml:space="preserve">Valsts ieņēmumu dienests, </w:t>
            </w:r>
            <w:r w:rsidR="00E87D23" w:rsidRPr="00BB1531">
              <w:t>Finanšu ministrij</w:t>
            </w:r>
            <w:r w:rsidRPr="00BB1531">
              <w:t xml:space="preserve">a, </w:t>
            </w:r>
            <w:r w:rsidRPr="00BB1531">
              <w:rPr>
                <w:rStyle w:val="Strong"/>
                <w:b w:val="0"/>
              </w:rPr>
              <w:t>Satiksmes ministrija, VAS „Latvijas Pasts”</w:t>
            </w:r>
            <w:r w:rsidR="00E87D23" w:rsidRPr="00BB1531">
              <w:t>.</w:t>
            </w:r>
          </w:p>
        </w:tc>
      </w:tr>
      <w:tr w:rsidR="00E87D23">
        <w:tc>
          <w:tcPr>
            <w:tcW w:w="153" w:type="pct"/>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6.</w:t>
            </w:r>
          </w:p>
        </w:tc>
        <w:tc>
          <w:tcPr>
            <w:tcW w:w="1020" w:type="pct"/>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Iemesli, kādēļ netika nodrošināta sabiedrības līdzdalība</w:t>
            </w:r>
          </w:p>
        </w:tc>
        <w:tc>
          <w:tcPr>
            <w:tcW w:w="3827" w:type="pct"/>
            <w:tcBorders>
              <w:top w:val="outset" w:sz="6" w:space="0" w:color="000000"/>
              <w:left w:val="outset" w:sz="6" w:space="0" w:color="000000"/>
              <w:bottom w:val="outset" w:sz="6" w:space="0" w:color="000000"/>
              <w:right w:val="outset" w:sz="6" w:space="0" w:color="000000"/>
            </w:tcBorders>
          </w:tcPr>
          <w:p w:rsidR="00E87D23" w:rsidRDefault="002F2E12">
            <w:pPr>
              <w:spacing w:before="100" w:beforeAutospacing="1" w:after="100" w:afterAutospacing="1"/>
              <w:jc w:val="both"/>
            </w:pPr>
            <w:r>
              <w:t xml:space="preserve">Sabiedrības pārstāvju iesaiste </w:t>
            </w:r>
            <w:r w:rsidRPr="00BF71F6">
              <w:t xml:space="preserve">projekta izstrādes procesā </w:t>
            </w:r>
            <w:r>
              <w:t>netika nodrošināta, jo projektā ietvertās tiesību normas sabiedrības pārstāvjiem nerada nekādus jaunus pienākumus.</w:t>
            </w:r>
          </w:p>
        </w:tc>
      </w:tr>
      <w:tr w:rsidR="00E87D23">
        <w:tc>
          <w:tcPr>
            <w:tcW w:w="153" w:type="pct"/>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7.</w:t>
            </w:r>
          </w:p>
        </w:tc>
        <w:tc>
          <w:tcPr>
            <w:tcW w:w="1020" w:type="pct"/>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Cita informācija</w:t>
            </w:r>
          </w:p>
        </w:tc>
        <w:tc>
          <w:tcPr>
            <w:tcW w:w="3827" w:type="pct"/>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p>
        </w:tc>
      </w:tr>
    </w:tbl>
    <w:p w:rsidR="00624A19" w:rsidRDefault="00E87D23" w:rsidP="009C7E9B">
      <w:pPr>
        <w:spacing w:before="100" w:beforeAutospacing="1" w:after="100" w:afterAutospacing="1"/>
      </w:pPr>
      <w:r>
        <w:t> </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74"/>
        <w:gridCol w:w="4824"/>
        <w:gridCol w:w="3877"/>
      </w:tblGrid>
      <w:tr w:rsidR="00E87D23">
        <w:tc>
          <w:tcPr>
            <w:tcW w:w="0" w:type="auto"/>
            <w:gridSpan w:val="3"/>
            <w:tcBorders>
              <w:top w:val="single" w:sz="6" w:space="0" w:color="auto"/>
              <w:left w:val="single" w:sz="6" w:space="0" w:color="auto"/>
              <w:bottom w:val="outset" w:sz="6" w:space="0" w:color="000000"/>
              <w:right w:val="single" w:sz="6" w:space="0" w:color="auto"/>
            </w:tcBorders>
            <w:vAlign w:val="center"/>
          </w:tcPr>
          <w:p w:rsidR="00E87D23" w:rsidRDefault="00E87D23">
            <w:pPr>
              <w:spacing w:before="100" w:beforeAutospacing="1" w:after="100" w:afterAutospacing="1"/>
              <w:jc w:val="center"/>
              <w:rPr>
                <w:b/>
                <w:bCs/>
              </w:rPr>
            </w:pPr>
            <w:r>
              <w:rPr>
                <w:b/>
                <w:bCs/>
              </w:rPr>
              <w:t>II. Tiesību akta projekta ietekme uz sabiedrību</w:t>
            </w:r>
          </w:p>
        </w:tc>
      </w:tr>
      <w:tr w:rsidR="002F2E12" w:rsidTr="002F2E12">
        <w:tc>
          <w:tcPr>
            <w:tcW w:w="258" w:type="pct"/>
            <w:tcBorders>
              <w:top w:val="outset" w:sz="6" w:space="0" w:color="000000"/>
              <w:left w:val="outset" w:sz="6" w:space="0" w:color="000000"/>
              <w:bottom w:val="outset" w:sz="6" w:space="0" w:color="000000"/>
              <w:right w:val="outset" w:sz="6" w:space="0" w:color="000000"/>
            </w:tcBorders>
          </w:tcPr>
          <w:p w:rsidR="002F2E12" w:rsidRDefault="002F2E12">
            <w:pPr>
              <w:spacing w:before="100" w:beforeAutospacing="1" w:after="100" w:afterAutospacing="1"/>
            </w:pPr>
            <w:r>
              <w:t>1.</w:t>
            </w:r>
          </w:p>
        </w:tc>
        <w:tc>
          <w:tcPr>
            <w:tcW w:w="2629" w:type="pct"/>
            <w:tcBorders>
              <w:top w:val="outset" w:sz="6" w:space="0" w:color="000000"/>
              <w:left w:val="outset" w:sz="6" w:space="0" w:color="000000"/>
              <w:bottom w:val="outset" w:sz="6" w:space="0" w:color="000000"/>
              <w:right w:val="outset" w:sz="6" w:space="0" w:color="000000"/>
            </w:tcBorders>
          </w:tcPr>
          <w:p w:rsidR="002F2E12" w:rsidRDefault="002F2E12">
            <w:pPr>
              <w:spacing w:before="100" w:beforeAutospacing="1" w:after="100" w:afterAutospacing="1"/>
            </w:pPr>
            <w:r>
              <w:t xml:space="preserve">Sabiedrības </w:t>
            </w:r>
            <w:proofErr w:type="spellStart"/>
            <w:r>
              <w:t>mērķgrupa</w:t>
            </w:r>
            <w:proofErr w:type="spellEnd"/>
          </w:p>
        </w:tc>
        <w:tc>
          <w:tcPr>
            <w:tcW w:w="2113" w:type="pct"/>
            <w:tcBorders>
              <w:top w:val="outset" w:sz="6" w:space="0" w:color="000000"/>
              <w:left w:val="outset" w:sz="6" w:space="0" w:color="000000"/>
              <w:bottom w:val="outset" w:sz="6" w:space="0" w:color="000000"/>
              <w:right w:val="outset" w:sz="6" w:space="0" w:color="000000"/>
            </w:tcBorders>
          </w:tcPr>
          <w:p w:rsidR="002F2E12" w:rsidRDefault="002F2E12" w:rsidP="002F2E12">
            <w:pPr>
              <w:snapToGrid w:val="0"/>
              <w:jc w:val="both"/>
            </w:pPr>
            <w:r>
              <w:t>Fiziskas personas, kurām pārrobežu pasta sūtījumus no valstīm, kuras nav ES dalībvalstis, izsniedz pasta komersants, kas sniedz universālo pasta pakalpojumu.</w:t>
            </w:r>
          </w:p>
        </w:tc>
      </w:tr>
      <w:tr w:rsidR="00E87D23" w:rsidTr="002F2E12">
        <w:tc>
          <w:tcPr>
            <w:tcW w:w="258" w:type="pct"/>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2.</w:t>
            </w:r>
          </w:p>
        </w:tc>
        <w:tc>
          <w:tcPr>
            <w:tcW w:w="2629" w:type="pct"/>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 xml:space="preserve">Citas sabiedrības grupas (bez </w:t>
            </w:r>
            <w:proofErr w:type="spellStart"/>
            <w:r>
              <w:t>mērķgrupas</w:t>
            </w:r>
            <w:proofErr w:type="spellEnd"/>
            <w:r>
              <w:t>), kuras tiesiskais regulējums arī ietekmē vai varētu ietekmēt</w:t>
            </w:r>
          </w:p>
        </w:tc>
        <w:tc>
          <w:tcPr>
            <w:tcW w:w="2113" w:type="pct"/>
            <w:tcBorders>
              <w:top w:val="outset" w:sz="6" w:space="0" w:color="000000"/>
              <w:left w:val="outset" w:sz="6" w:space="0" w:color="000000"/>
              <w:bottom w:val="outset" w:sz="6" w:space="0" w:color="000000"/>
              <w:right w:val="outset" w:sz="6" w:space="0" w:color="000000"/>
            </w:tcBorders>
          </w:tcPr>
          <w:p w:rsidR="00E87D23" w:rsidRDefault="002F2E12">
            <w:pPr>
              <w:spacing w:before="100" w:beforeAutospacing="1" w:after="100" w:afterAutospacing="1"/>
              <w:jc w:val="both"/>
            </w:pPr>
            <w:r>
              <w:t>Nav attiecināms.</w:t>
            </w:r>
          </w:p>
        </w:tc>
      </w:tr>
      <w:tr w:rsidR="00E87D23" w:rsidTr="002F2E12">
        <w:tc>
          <w:tcPr>
            <w:tcW w:w="258" w:type="pct"/>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3.</w:t>
            </w:r>
          </w:p>
        </w:tc>
        <w:tc>
          <w:tcPr>
            <w:tcW w:w="2629" w:type="pct"/>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Tiesiskā regulējuma finansiālā ietekme</w:t>
            </w:r>
          </w:p>
        </w:tc>
        <w:tc>
          <w:tcPr>
            <w:tcW w:w="2113" w:type="pct"/>
            <w:tcBorders>
              <w:top w:val="outset" w:sz="6" w:space="0" w:color="000000"/>
              <w:left w:val="outset" w:sz="6" w:space="0" w:color="000000"/>
              <w:bottom w:val="outset" w:sz="6" w:space="0" w:color="000000"/>
              <w:right w:val="outset" w:sz="6" w:space="0" w:color="000000"/>
            </w:tcBorders>
          </w:tcPr>
          <w:p w:rsidR="00E87D23" w:rsidRDefault="002F2E12">
            <w:pPr>
              <w:spacing w:before="100" w:beforeAutospacing="1" w:after="100" w:afterAutospacing="1"/>
              <w:jc w:val="both"/>
            </w:pPr>
            <w:r>
              <w:t>Nav attiecināms.</w:t>
            </w:r>
          </w:p>
        </w:tc>
      </w:tr>
      <w:tr w:rsidR="00E87D23" w:rsidTr="002F2E12">
        <w:tc>
          <w:tcPr>
            <w:tcW w:w="258" w:type="pct"/>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4.</w:t>
            </w:r>
          </w:p>
        </w:tc>
        <w:tc>
          <w:tcPr>
            <w:tcW w:w="2629" w:type="pct"/>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Tiesiskā regulējuma nefinansiālā ietekme</w:t>
            </w:r>
          </w:p>
        </w:tc>
        <w:tc>
          <w:tcPr>
            <w:tcW w:w="2113" w:type="pct"/>
            <w:tcBorders>
              <w:top w:val="outset" w:sz="6" w:space="0" w:color="000000"/>
              <w:left w:val="outset" w:sz="6" w:space="0" w:color="000000"/>
              <w:bottom w:val="outset" w:sz="6" w:space="0" w:color="000000"/>
              <w:right w:val="outset" w:sz="6" w:space="0" w:color="000000"/>
            </w:tcBorders>
          </w:tcPr>
          <w:p w:rsidR="00E87D23" w:rsidRDefault="00E87D23" w:rsidP="002F2E12">
            <w:pPr>
              <w:spacing w:before="100" w:beforeAutospacing="1" w:after="100" w:afterAutospacing="1"/>
              <w:jc w:val="both"/>
            </w:pPr>
            <w:r>
              <w:rPr>
                <w:szCs w:val="28"/>
              </w:rPr>
              <w:t xml:space="preserve">Tiesiskais regulējums nodrošinās </w:t>
            </w:r>
            <w:r w:rsidR="002F2E12">
              <w:rPr>
                <w:szCs w:val="28"/>
              </w:rPr>
              <w:t>reglamentētu</w:t>
            </w:r>
            <w:r>
              <w:rPr>
                <w:szCs w:val="28"/>
              </w:rPr>
              <w:t xml:space="preserve"> maksājumu atzīšanas procedūru </w:t>
            </w:r>
            <w:r w:rsidR="002F2E12">
              <w:rPr>
                <w:szCs w:val="28"/>
              </w:rPr>
              <w:t xml:space="preserve">attiecībā uz nodokļu maksājumiem, kas veikti par </w:t>
            </w:r>
            <w:r w:rsidR="002F2E12">
              <w:t xml:space="preserve"> pārrobežu pasta sūtījumiem no valstīm, kuras nav ES dalībvalstis un kurus izsniedz pasta komersants, kas sniedz universālo pasta pakalpojumu.</w:t>
            </w:r>
          </w:p>
        </w:tc>
      </w:tr>
      <w:tr w:rsidR="00E87D23" w:rsidTr="002F2E12">
        <w:tc>
          <w:tcPr>
            <w:tcW w:w="258" w:type="pct"/>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5.</w:t>
            </w:r>
          </w:p>
        </w:tc>
        <w:tc>
          <w:tcPr>
            <w:tcW w:w="2629" w:type="pct"/>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Administratīvās procedūras raksturojums</w:t>
            </w:r>
          </w:p>
        </w:tc>
        <w:tc>
          <w:tcPr>
            <w:tcW w:w="2113" w:type="pct"/>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Nav attiecināms.</w:t>
            </w:r>
          </w:p>
        </w:tc>
      </w:tr>
      <w:tr w:rsidR="00E87D23" w:rsidTr="002F2E12">
        <w:tc>
          <w:tcPr>
            <w:tcW w:w="258" w:type="pct"/>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6.</w:t>
            </w:r>
          </w:p>
        </w:tc>
        <w:tc>
          <w:tcPr>
            <w:tcW w:w="2629" w:type="pct"/>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Administratīvo izmaksu monetārs novērtējums</w:t>
            </w:r>
          </w:p>
        </w:tc>
        <w:tc>
          <w:tcPr>
            <w:tcW w:w="2113" w:type="pct"/>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Nav attiecināms.</w:t>
            </w:r>
          </w:p>
        </w:tc>
      </w:tr>
      <w:tr w:rsidR="00E87D23" w:rsidTr="002F2E12">
        <w:tc>
          <w:tcPr>
            <w:tcW w:w="258" w:type="pct"/>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7.</w:t>
            </w:r>
          </w:p>
        </w:tc>
        <w:tc>
          <w:tcPr>
            <w:tcW w:w="2629" w:type="pct"/>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Cita informācija</w:t>
            </w:r>
          </w:p>
        </w:tc>
        <w:tc>
          <w:tcPr>
            <w:tcW w:w="2113" w:type="pct"/>
            <w:tcBorders>
              <w:top w:val="outset" w:sz="6" w:space="0" w:color="000000"/>
              <w:left w:val="outset" w:sz="6" w:space="0" w:color="000000"/>
              <w:bottom w:val="outset" w:sz="6" w:space="0" w:color="000000"/>
              <w:right w:val="outset" w:sz="6" w:space="0" w:color="000000"/>
            </w:tcBorders>
          </w:tcPr>
          <w:p w:rsidR="00E87D23" w:rsidRDefault="002F2E12">
            <w:pPr>
              <w:spacing w:before="100" w:beforeAutospacing="1" w:after="100" w:afterAutospacing="1"/>
            </w:pPr>
            <w:r>
              <w:t>Nav attiecināms.</w:t>
            </w:r>
          </w:p>
        </w:tc>
      </w:tr>
    </w:tbl>
    <w:p w:rsidR="00E87D23" w:rsidRDefault="00E87D23">
      <w:pPr>
        <w:spacing w:before="100" w:beforeAutospacing="1" w:after="100" w:afterAutospacing="1"/>
      </w:pPr>
      <w:r>
        <w:t> </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599"/>
        <w:gridCol w:w="996"/>
        <w:gridCol w:w="1893"/>
        <w:gridCol w:w="1229"/>
        <w:gridCol w:w="1229"/>
        <w:gridCol w:w="1229"/>
      </w:tblGrid>
      <w:tr w:rsidR="00E87D23">
        <w:tc>
          <w:tcPr>
            <w:tcW w:w="0" w:type="auto"/>
            <w:gridSpan w:val="6"/>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jc w:val="center"/>
              <w:rPr>
                <w:b/>
                <w:bCs/>
              </w:rPr>
            </w:pPr>
            <w:r>
              <w:rPr>
                <w:b/>
                <w:bCs/>
              </w:rPr>
              <w:t>III. Tiesību akta projekta ietekme uz valsts budžetu un pašvaldību budžetiem</w:t>
            </w:r>
          </w:p>
        </w:tc>
      </w:tr>
      <w:tr w:rsidR="00E87D23">
        <w:trPr>
          <w:cantSplit/>
        </w:trPr>
        <w:tc>
          <w:tcPr>
            <w:tcW w:w="0" w:type="auto"/>
            <w:vMerge w:val="restart"/>
            <w:tcBorders>
              <w:top w:val="outset" w:sz="6" w:space="0" w:color="000000"/>
              <w:left w:val="outset" w:sz="6" w:space="0" w:color="000000"/>
              <w:bottom w:val="outset" w:sz="6" w:space="0" w:color="000000"/>
              <w:right w:val="outset" w:sz="6" w:space="0" w:color="000000"/>
            </w:tcBorders>
            <w:vAlign w:val="center"/>
          </w:tcPr>
          <w:p w:rsidR="00E87D23" w:rsidRDefault="00E87D23">
            <w:pPr>
              <w:spacing w:before="100" w:beforeAutospacing="1" w:after="100" w:afterAutospacing="1"/>
              <w:jc w:val="center"/>
              <w:rPr>
                <w:b/>
                <w:bCs/>
              </w:rPr>
            </w:pPr>
            <w:r>
              <w:rPr>
                <w:b/>
                <w:bCs/>
              </w:rPr>
              <w:lastRenderedPageBreak/>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E87D23" w:rsidRDefault="00E87D23">
            <w:pPr>
              <w:spacing w:before="100" w:beforeAutospacing="1" w:after="100" w:afterAutospacing="1"/>
              <w:jc w:val="center"/>
              <w:rPr>
                <w:b/>
                <w:bCs/>
              </w:rPr>
            </w:pPr>
            <w:r>
              <w:rPr>
                <w:b/>
                <w:bCs/>
              </w:rPr>
              <w:t>2010. gads</w:t>
            </w:r>
          </w:p>
        </w:tc>
        <w:tc>
          <w:tcPr>
            <w:tcW w:w="0" w:type="auto"/>
            <w:gridSpan w:val="3"/>
            <w:tcBorders>
              <w:top w:val="outset" w:sz="6" w:space="0" w:color="000000"/>
              <w:left w:val="outset" w:sz="6" w:space="0" w:color="000000"/>
              <w:bottom w:val="outset" w:sz="6" w:space="0" w:color="000000"/>
              <w:right w:val="outset" w:sz="6" w:space="0" w:color="000000"/>
            </w:tcBorders>
            <w:vAlign w:val="center"/>
          </w:tcPr>
          <w:p w:rsidR="00E87D23" w:rsidRDefault="00E87D23">
            <w:pPr>
              <w:spacing w:before="100" w:beforeAutospacing="1" w:after="100" w:afterAutospacing="1"/>
              <w:jc w:val="center"/>
            </w:pPr>
            <w:r>
              <w:t>Turpmākie trīs gadi (</w:t>
            </w:r>
            <w:proofErr w:type="spellStart"/>
            <w:r>
              <w:t>tūkst</w:t>
            </w:r>
            <w:proofErr w:type="spellEnd"/>
            <w:r>
              <w:t>. latu)</w:t>
            </w:r>
          </w:p>
        </w:tc>
      </w:tr>
      <w:tr w:rsidR="00E87D23">
        <w:trPr>
          <w:cantSplit/>
        </w:trPr>
        <w:tc>
          <w:tcPr>
            <w:tcW w:w="0" w:type="auto"/>
            <w:vMerge/>
            <w:tcBorders>
              <w:top w:val="outset" w:sz="6" w:space="0" w:color="000000"/>
              <w:left w:val="outset" w:sz="6" w:space="0" w:color="000000"/>
              <w:bottom w:val="outset" w:sz="6" w:space="0" w:color="000000"/>
              <w:right w:val="outset" w:sz="6" w:space="0" w:color="000000"/>
            </w:tcBorders>
            <w:vAlign w:val="center"/>
          </w:tcPr>
          <w:p w:rsidR="00E87D23" w:rsidRDefault="00E87D23">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E87D23" w:rsidRDefault="00E87D23">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E87D23" w:rsidRDefault="00E87D23">
            <w:pPr>
              <w:spacing w:before="100" w:beforeAutospacing="1" w:after="100" w:afterAutospacing="1"/>
              <w:jc w:val="center"/>
              <w:rPr>
                <w:b/>
                <w:bCs/>
              </w:rPr>
            </w:pPr>
            <w:r>
              <w:rPr>
                <w:b/>
                <w:bCs/>
              </w:rPr>
              <w:t>2011</w:t>
            </w:r>
          </w:p>
        </w:tc>
        <w:tc>
          <w:tcPr>
            <w:tcW w:w="0" w:type="auto"/>
            <w:tcBorders>
              <w:top w:val="outset" w:sz="6" w:space="0" w:color="000000"/>
              <w:left w:val="outset" w:sz="6" w:space="0" w:color="000000"/>
              <w:bottom w:val="outset" w:sz="6" w:space="0" w:color="000000"/>
              <w:right w:val="outset" w:sz="6" w:space="0" w:color="000000"/>
            </w:tcBorders>
            <w:vAlign w:val="center"/>
          </w:tcPr>
          <w:p w:rsidR="00E87D23" w:rsidRDefault="00E87D23">
            <w:pPr>
              <w:spacing w:before="100" w:beforeAutospacing="1" w:after="100" w:afterAutospacing="1"/>
              <w:jc w:val="center"/>
              <w:rPr>
                <w:b/>
                <w:bCs/>
              </w:rPr>
            </w:pPr>
            <w:r>
              <w:rPr>
                <w:b/>
                <w:bCs/>
              </w:rPr>
              <w:t>2012</w:t>
            </w:r>
          </w:p>
        </w:tc>
        <w:tc>
          <w:tcPr>
            <w:tcW w:w="0" w:type="auto"/>
            <w:tcBorders>
              <w:top w:val="outset" w:sz="6" w:space="0" w:color="000000"/>
              <w:left w:val="outset" w:sz="6" w:space="0" w:color="000000"/>
              <w:bottom w:val="outset" w:sz="6" w:space="0" w:color="000000"/>
              <w:right w:val="outset" w:sz="6" w:space="0" w:color="000000"/>
            </w:tcBorders>
            <w:vAlign w:val="center"/>
          </w:tcPr>
          <w:p w:rsidR="00E87D23" w:rsidRDefault="00E87D23">
            <w:pPr>
              <w:spacing w:before="100" w:beforeAutospacing="1" w:after="100" w:afterAutospacing="1"/>
              <w:jc w:val="center"/>
              <w:rPr>
                <w:b/>
                <w:bCs/>
              </w:rPr>
            </w:pPr>
            <w:r>
              <w:rPr>
                <w:b/>
                <w:bCs/>
              </w:rPr>
              <w:t>2013</w:t>
            </w:r>
          </w:p>
        </w:tc>
      </w:tr>
      <w:tr w:rsidR="00E87D23">
        <w:trPr>
          <w:cantSplit/>
        </w:trPr>
        <w:tc>
          <w:tcPr>
            <w:tcW w:w="0" w:type="auto"/>
            <w:vMerge/>
            <w:tcBorders>
              <w:top w:val="outset" w:sz="6" w:space="0" w:color="000000"/>
              <w:left w:val="outset" w:sz="6" w:space="0" w:color="000000"/>
              <w:bottom w:val="outset" w:sz="6" w:space="0" w:color="000000"/>
              <w:right w:val="outset" w:sz="6" w:space="0" w:color="000000"/>
            </w:tcBorders>
            <w:vAlign w:val="center"/>
          </w:tcPr>
          <w:p w:rsidR="00E87D23" w:rsidRDefault="00E87D23">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E87D23" w:rsidRDefault="00E87D23">
            <w:pPr>
              <w:spacing w:before="100" w:beforeAutospacing="1" w:after="100" w:afterAutospacing="1"/>
              <w:jc w:val="center"/>
            </w:pPr>
            <w: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E87D23" w:rsidRDefault="00E87D23">
            <w:pPr>
              <w:spacing w:before="100" w:beforeAutospacing="1" w:after="100" w:afterAutospacing="1"/>
              <w:jc w:val="center"/>
            </w:pPr>
            <w: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E87D23" w:rsidRDefault="00E87D23">
            <w:pPr>
              <w:spacing w:before="100" w:beforeAutospacing="1" w:after="100" w:afterAutospacing="1"/>
              <w:jc w:val="center"/>
            </w:pPr>
            <w: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E87D23" w:rsidRDefault="00E87D23">
            <w:pPr>
              <w:spacing w:before="100" w:beforeAutospacing="1" w:after="100" w:afterAutospacing="1"/>
              <w:jc w:val="center"/>
            </w:pPr>
            <w: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E87D23" w:rsidRDefault="00E87D23">
            <w:pPr>
              <w:spacing w:before="100" w:beforeAutospacing="1" w:after="100" w:afterAutospacing="1"/>
              <w:jc w:val="center"/>
            </w:pPr>
            <w:r>
              <w:t>Izmaiņas, salīdzinot ar kārtējo (n) gadu</w:t>
            </w:r>
          </w:p>
        </w:tc>
      </w:tr>
      <w:tr w:rsidR="00E87D23">
        <w:tc>
          <w:tcPr>
            <w:tcW w:w="0" w:type="auto"/>
            <w:tcBorders>
              <w:top w:val="outset" w:sz="6" w:space="0" w:color="000000"/>
              <w:left w:val="outset" w:sz="6" w:space="0" w:color="000000"/>
              <w:bottom w:val="outset" w:sz="6" w:space="0" w:color="000000"/>
              <w:right w:val="outset" w:sz="6" w:space="0" w:color="000000"/>
            </w:tcBorders>
            <w:vAlign w:val="center"/>
          </w:tcPr>
          <w:p w:rsidR="00E87D23" w:rsidRDefault="00E87D23">
            <w:pPr>
              <w:spacing w:before="100" w:beforeAutospacing="1" w:after="100" w:afterAutospacing="1"/>
              <w:jc w:val="center"/>
            </w:pPr>
            <w:r>
              <w:t>1</w:t>
            </w:r>
          </w:p>
        </w:tc>
        <w:tc>
          <w:tcPr>
            <w:tcW w:w="0" w:type="auto"/>
            <w:tcBorders>
              <w:top w:val="outset" w:sz="6" w:space="0" w:color="000000"/>
              <w:left w:val="outset" w:sz="6" w:space="0" w:color="000000"/>
              <w:bottom w:val="outset" w:sz="6" w:space="0" w:color="000000"/>
              <w:right w:val="outset" w:sz="6" w:space="0" w:color="000000"/>
            </w:tcBorders>
            <w:vAlign w:val="center"/>
          </w:tcPr>
          <w:p w:rsidR="00E87D23" w:rsidRDefault="00E87D23">
            <w:pPr>
              <w:spacing w:before="100" w:beforeAutospacing="1" w:after="100" w:afterAutospacing="1"/>
              <w:jc w:val="center"/>
            </w:pPr>
            <w:r>
              <w:t>2</w:t>
            </w:r>
          </w:p>
        </w:tc>
        <w:tc>
          <w:tcPr>
            <w:tcW w:w="0" w:type="auto"/>
            <w:tcBorders>
              <w:top w:val="outset" w:sz="6" w:space="0" w:color="000000"/>
              <w:left w:val="outset" w:sz="6" w:space="0" w:color="000000"/>
              <w:bottom w:val="outset" w:sz="6" w:space="0" w:color="000000"/>
              <w:right w:val="outset" w:sz="6" w:space="0" w:color="000000"/>
            </w:tcBorders>
            <w:vAlign w:val="center"/>
          </w:tcPr>
          <w:p w:rsidR="00E87D23" w:rsidRDefault="00E87D23">
            <w:pPr>
              <w:spacing w:before="100" w:beforeAutospacing="1" w:after="100" w:afterAutospacing="1"/>
              <w:jc w:val="center"/>
            </w:pPr>
            <w:r>
              <w:t>3</w:t>
            </w:r>
          </w:p>
        </w:tc>
        <w:tc>
          <w:tcPr>
            <w:tcW w:w="0" w:type="auto"/>
            <w:tcBorders>
              <w:top w:val="outset" w:sz="6" w:space="0" w:color="000000"/>
              <w:left w:val="outset" w:sz="6" w:space="0" w:color="000000"/>
              <w:bottom w:val="outset" w:sz="6" w:space="0" w:color="000000"/>
              <w:right w:val="outset" w:sz="6" w:space="0" w:color="000000"/>
            </w:tcBorders>
            <w:vAlign w:val="center"/>
          </w:tcPr>
          <w:p w:rsidR="00E87D23" w:rsidRDefault="00E87D23">
            <w:pPr>
              <w:spacing w:before="100" w:beforeAutospacing="1" w:after="100" w:afterAutospacing="1"/>
              <w:jc w:val="center"/>
            </w:pPr>
            <w:r>
              <w:t>4</w:t>
            </w:r>
          </w:p>
        </w:tc>
        <w:tc>
          <w:tcPr>
            <w:tcW w:w="0" w:type="auto"/>
            <w:tcBorders>
              <w:top w:val="outset" w:sz="6" w:space="0" w:color="000000"/>
              <w:left w:val="outset" w:sz="6" w:space="0" w:color="000000"/>
              <w:bottom w:val="outset" w:sz="6" w:space="0" w:color="000000"/>
              <w:right w:val="outset" w:sz="6" w:space="0" w:color="000000"/>
            </w:tcBorders>
            <w:vAlign w:val="center"/>
          </w:tcPr>
          <w:p w:rsidR="00E87D23" w:rsidRDefault="00E87D23">
            <w:pPr>
              <w:spacing w:before="100" w:beforeAutospacing="1" w:after="100" w:afterAutospacing="1"/>
              <w:jc w:val="center"/>
            </w:pPr>
            <w:r>
              <w:t>5</w:t>
            </w:r>
          </w:p>
        </w:tc>
        <w:tc>
          <w:tcPr>
            <w:tcW w:w="0" w:type="auto"/>
            <w:tcBorders>
              <w:top w:val="outset" w:sz="6" w:space="0" w:color="000000"/>
              <w:left w:val="outset" w:sz="6" w:space="0" w:color="000000"/>
              <w:bottom w:val="outset" w:sz="6" w:space="0" w:color="000000"/>
              <w:right w:val="outset" w:sz="6" w:space="0" w:color="000000"/>
            </w:tcBorders>
            <w:vAlign w:val="center"/>
          </w:tcPr>
          <w:p w:rsidR="00E87D23" w:rsidRDefault="00E87D23">
            <w:pPr>
              <w:spacing w:before="100" w:beforeAutospacing="1" w:after="100" w:afterAutospacing="1"/>
              <w:jc w:val="center"/>
            </w:pPr>
            <w:r>
              <w:t>6</w:t>
            </w:r>
          </w:p>
        </w:tc>
      </w:tr>
      <w:tr w:rsidR="00E87D23">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1. Budžeta ieņēmumi:</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r>
      <w:tr w:rsidR="00E87D23">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1.1. valsts pamatbudžets, tai skaitā ieņēmumi no maksas pakalpo-</w:t>
            </w:r>
            <w:proofErr w:type="spellStart"/>
            <w:r>
              <w:t>jumiem</w:t>
            </w:r>
            <w:proofErr w:type="spellEnd"/>
            <w:r>
              <w:t xml:space="preserve"> un citi pašu ieņēmumi</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r>
      <w:tr w:rsidR="00E87D23">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1.2. valsts speciālais budžets</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r>
      <w:tr w:rsidR="00E87D23">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1.3. pašvaldību budžets</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r>
      <w:tr w:rsidR="00E87D23">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2. Budžeta izdevumi:</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jc w:val="center"/>
            </w:pPr>
            <w:r>
              <w:t>0</w:t>
            </w:r>
          </w:p>
        </w:tc>
      </w:tr>
      <w:tr w:rsidR="00E87D23">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2.1. valsts pamatbudžets</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jc w:val="center"/>
            </w:pPr>
            <w:r>
              <w:t>0</w:t>
            </w:r>
          </w:p>
        </w:tc>
      </w:tr>
      <w:tr w:rsidR="00E87D23">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2.2. valsts speciālais budžets</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r>
      <w:tr w:rsidR="00E87D23">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2.3. pašvaldību budžets</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r>
      <w:tr w:rsidR="00E87D23">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3. Finansiālā ietekme:</w:t>
            </w:r>
          </w:p>
        </w:tc>
        <w:tc>
          <w:tcPr>
            <w:tcW w:w="0" w:type="auto"/>
            <w:tcBorders>
              <w:top w:val="outset" w:sz="6" w:space="0" w:color="000000"/>
              <w:left w:val="outset" w:sz="6" w:space="0" w:color="000000"/>
              <w:bottom w:val="outset" w:sz="6" w:space="0" w:color="000000"/>
              <w:right w:val="outset" w:sz="6" w:space="0" w:color="000000"/>
            </w:tcBorders>
            <w:vAlign w:val="center"/>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r>
      <w:tr w:rsidR="00E87D23">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3.1. valsts pamatbudžets</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r>
      <w:tr w:rsidR="00E87D23">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3.2. speciālais budžets</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r>
      <w:tr w:rsidR="00E87D23">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3.3. pašvaldību budžets</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r>
      <w:tr w:rsidR="00E87D23">
        <w:trPr>
          <w:cantSplit/>
        </w:trPr>
        <w:tc>
          <w:tcPr>
            <w:tcW w:w="0" w:type="auto"/>
            <w:vMerge w:val="restart"/>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4. Finanšu līdzekļi papildu izde</w:t>
            </w:r>
            <w:r>
              <w:softHyphen/>
              <w:t>vumu finansēšanai (kompensējošu izdevumu samazinājumu norāda ar "+" zīmi)</w:t>
            </w:r>
          </w:p>
        </w:tc>
        <w:tc>
          <w:tcPr>
            <w:tcW w:w="0" w:type="auto"/>
            <w:vMerge w:val="restart"/>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jc w:val="center"/>
            </w:pPr>
            <w:r>
              <w:t>X</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r>
      <w:tr w:rsidR="00E87D23">
        <w:trPr>
          <w:cantSplit/>
        </w:trPr>
        <w:tc>
          <w:tcPr>
            <w:tcW w:w="0" w:type="auto"/>
            <w:vMerge/>
            <w:tcBorders>
              <w:top w:val="outset" w:sz="6" w:space="0" w:color="000000"/>
              <w:left w:val="outset" w:sz="6" w:space="0" w:color="000000"/>
              <w:bottom w:val="outset" w:sz="6" w:space="0" w:color="000000"/>
              <w:right w:val="outset" w:sz="6" w:space="0" w:color="000000"/>
            </w:tcBorders>
            <w:vAlign w:val="center"/>
          </w:tcPr>
          <w:p w:rsidR="00E87D23" w:rsidRDefault="00E87D23"/>
        </w:tc>
        <w:tc>
          <w:tcPr>
            <w:tcW w:w="0" w:type="auto"/>
            <w:vMerge/>
            <w:tcBorders>
              <w:top w:val="outset" w:sz="6" w:space="0" w:color="000000"/>
              <w:left w:val="outset" w:sz="6" w:space="0" w:color="000000"/>
              <w:bottom w:val="outset" w:sz="6" w:space="0" w:color="000000"/>
              <w:right w:val="outset" w:sz="6" w:space="0" w:color="000000"/>
            </w:tcBorders>
            <w:vAlign w:val="center"/>
          </w:tcPr>
          <w:p w:rsidR="00E87D23" w:rsidRDefault="00E87D23">
            <w:pPr>
              <w:jc w:val="center"/>
            </w:pP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r>
      <w:tr w:rsidR="00E87D23">
        <w:trPr>
          <w:cantSplit/>
        </w:trPr>
        <w:tc>
          <w:tcPr>
            <w:tcW w:w="0" w:type="auto"/>
            <w:vMerge/>
            <w:tcBorders>
              <w:top w:val="outset" w:sz="6" w:space="0" w:color="000000"/>
              <w:left w:val="outset" w:sz="6" w:space="0" w:color="000000"/>
              <w:bottom w:val="outset" w:sz="6" w:space="0" w:color="000000"/>
              <w:right w:val="outset" w:sz="6" w:space="0" w:color="000000"/>
            </w:tcBorders>
            <w:vAlign w:val="center"/>
          </w:tcPr>
          <w:p w:rsidR="00E87D23" w:rsidRDefault="00E87D23"/>
        </w:tc>
        <w:tc>
          <w:tcPr>
            <w:tcW w:w="0" w:type="auto"/>
            <w:vMerge/>
            <w:tcBorders>
              <w:top w:val="outset" w:sz="6" w:space="0" w:color="000000"/>
              <w:left w:val="outset" w:sz="6" w:space="0" w:color="000000"/>
              <w:bottom w:val="outset" w:sz="6" w:space="0" w:color="000000"/>
              <w:right w:val="outset" w:sz="6" w:space="0" w:color="000000"/>
            </w:tcBorders>
            <w:vAlign w:val="center"/>
          </w:tcPr>
          <w:p w:rsidR="00E87D23" w:rsidRDefault="00E87D23">
            <w:pPr>
              <w:jc w:val="center"/>
            </w:pP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r>
      <w:tr w:rsidR="00E87D23">
        <w:trPr>
          <w:cantSplit/>
        </w:trPr>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jc w:val="center"/>
            </w:pPr>
            <w:r>
              <w:t>X</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r>
      <w:tr w:rsidR="00E87D23">
        <w:trPr>
          <w:cantSplit/>
        </w:trPr>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E87D23" w:rsidRDefault="00E87D23">
            <w:pPr>
              <w:jc w:val="center"/>
            </w:pP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jc w:val="center"/>
            </w:pPr>
            <w:r>
              <w:t>0</w:t>
            </w:r>
          </w:p>
        </w:tc>
      </w:tr>
      <w:tr w:rsidR="00E87D23">
        <w:trPr>
          <w:cantSplit/>
        </w:trPr>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E87D23" w:rsidRDefault="00E87D23">
            <w:pPr>
              <w:jc w:val="center"/>
            </w:pP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r>
      <w:tr w:rsidR="00E87D23">
        <w:trPr>
          <w:cantSplit/>
        </w:trPr>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E87D23" w:rsidRDefault="00E87D23">
            <w:pPr>
              <w:jc w:val="center"/>
            </w:pP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jc w:val="center"/>
            </w:pPr>
            <w:r>
              <w:t>0</w:t>
            </w:r>
          </w:p>
        </w:tc>
      </w:tr>
      <w:tr w:rsidR="00E87D23" w:rsidTr="002C0883">
        <w:trPr>
          <w:cantSplit/>
        </w:trPr>
        <w:tc>
          <w:tcPr>
            <w:tcW w:w="1958" w:type="pct"/>
            <w:gridSpan w:val="2"/>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lastRenderedPageBreak/>
              <w:t>6. Detalizēts ieņēmumu un izdevu</w:t>
            </w:r>
            <w:r>
              <w:softHyphen/>
              <w:t>mu aprēķins (ja nepieciešams, detalizētu ieņēmumu un izdevumu aprēķinu var pievienot anotācijas pielikumā):</w:t>
            </w:r>
          </w:p>
        </w:tc>
        <w:tc>
          <w:tcPr>
            <w:tcW w:w="3042" w:type="pct"/>
            <w:gridSpan w:val="4"/>
            <w:vMerge w:val="restart"/>
            <w:tcBorders>
              <w:top w:val="outset" w:sz="6" w:space="0" w:color="000000"/>
              <w:left w:val="outset" w:sz="6" w:space="0" w:color="000000"/>
              <w:bottom w:val="outset" w:sz="6" w:space="0" w:color="000000"/>
              <w:right w:val="outset" w:sz="6" w:space="0" w:color="000000"/>
            </w:tcBorders>
          </w:tcPr>
          <w:p w:rsidR="00E87D23" w:rsidRDefault="00E87D23">
            <w:pPr>
              <w:spacing w:line="360" w:lineRule="auto"/>
            </w:pPr>
          </w:p>
        </w:tc>
      </w:tr>
      <w:tr w:rsidR="00E87D23" w:rsidTr="002C0883">
        <w:trPr>
          <w:cantSplit/>
        </w:trPr>
        <w:tc>
          <w:tcPr>
            <w:tcW w:w="1958" w:type="pct"/>
            <w:gridSpan w:val="2"/>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6.1. detalizēts ieņēmumu aprēķins</w:t>
            </w:r>
          </w:p>
        </w:tc>
        <w:tc>
          <w:tcPr>
            <w:tcW w:w="3042" w:type="pct"/>
            <w:gridSpan w:val="4"/>
            <w:vMerge/>
            <w:tcBorders>
              <w:top w:val="outset" w:sz="6" w:space="0" w:color="000000"/>
              <w:left w:val="outset" w:sz="6" w:space="0" w:color="000000"/>
              <w:bottom w:val="outset" w:sz="6" w:space="0" w:color="000000"/>
              <w:right w:val="outset" w:sz="6" w:space="0" w:color="000000"/>
            </w:tcBorders>
            <w:vAlign w:val="center"/>
          </w:tcPr>
          <w:p w:rsidR="00E87D23" w:rsidRDefault="00E87D23"/>
        </w:tc>
      </w:tr>
      <w:tr w:rsidR="00E87D23" w:rsidTr="002C0883">
        <w:trPr>
          <w:cantSplit/>
        </w:trPr>
        <w:tc>
          <w:tcPr>
            <w:tcW w:w="1958" w:type="pct"/>
            <w:gridSpan w:val="2"/>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6.2. detalizēts izdevumu aprēķins</w:t>
            </w:r>
          </w:p>
        </w:tc>
        <w:tc>
          <w:tcPr>
            <w:tcW w:w="3042" w:type="pct"/>
            <w:gridSpan w:val="4"/>
            <w:vMerge/>
            <w:tcBorders>
              <w:top w:val="outset" w:sz="6" w:space="0" w:color="000000"/>
              <w:left w:val="outset" w:sz="6" w:space="0" w:color="000000"/>
              <w:bottom w:val="outset" w:sz="6" w:space="0" w:color="000000"/>
              <w:right w:val="outset" w:sz="6" w:space="0" w:color="000000"/>
            </w:tcBorders>
            <w:vAlign w:val="center"/>
          </w:tcPr>
          <w:p w:rsidR="00E87D23" w:rsidRDefault="00E87D23"/>
        </w:tc>
      </w:tr>
      <w:tr w:rsidR="00E87D23">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7. Cita informācija</w:t>
            </w:r>
          </w:p>
        </w:tc>
        <w:tc>
          <w:tcPr>
            <w:tcW w:w="0" w:type="auto"/>
            <w:gridSpan w:val="5"/>
            <w:tcBorders>
              <w:top w:val="outset" w:sz="6" w:space="0" w:color="000000"/>
              <w:left w:val="outset" w:sz="6" w:space="0" w:color="000000"/>
              <w:bottom w:val="outset" w:sz="6" w:space="0" w:color="000000"/>
              <w:right w:val="outset" w:sz="6" w:space="0" w:color="000000"/>
            </w:tcBorders>
          </w:tcPr>
          <w:p w:rsidR="009D44F0" w:rsidRDefault="002F2E12" w:rsidP="002F2E12">
            <w:pPr>
              <w:jc w:val="both"/>
            </w:pPr>
            <w:r>
              <w:rPr>
                <w:rFonts w:eastAsia="Calibri"/>
              </w:rPr>
              <w:t xml:space="preserve">Komisijas maksas par maksājumu karšu pieņemšanas pakalpojuma nodrošināšanu </w:t>
            </w:r>
            <w:r w:rsidR="009D44F0" w:rsidRPr="009D44F0">
              <w:rPr>
                <w:rFonts w:eastAsia="Calibri"/>
              </w:rPr>
              <w:t xml:space="preserve">Valsts kase </w:t>
            </w:r>
            <w:r>
              <w:rPr>
                <w:rFonts w:eastAsia="Calibri"/>
              </w:rPr>
              <w:t xml:space="preserve">segs </w:t>
            </w:r>
            <w:r w:rsidR="008C7852">
              <w:rPr>
                <w:rFonts w:eastAsia="Calibri"/>
              </w:rPr>
              <w:t>piešķirto valsts</w:t>
            </w:r>
            <w:r w:rsidR="009D44F0" w:rsidRPr="009D44F0">
              <w:rPr>
                <w:rFonts w:eastAsia="Calibri"/>
              </w:rPr>
              <w:t xml:space="preserve"> budžeta </w:t>
            </w:r>
            <w:r w:rsidR="008C7852">
              <w:rPr>
                <w:rFonts w:eastAsia="Calibri"/>
              </w:rPr>
              <w:t>līdzekļu ietvaros</w:t>
            </w:r>
            <w:r w:rsidR="009D44F0" w:rsidRPr="009D44F0">
              <w:rPr>
                <w:rFonts w:eastAsia="Calibri"/>
              </w:rPr>
              <w:t>.</w:t>
            </w:r>
          </w:p>
        </w:tc>
      </w:tr>
    </w:tbl>
    <w:p w:rsidR="0083217D" w:rsidRDefault="0083217D" w:rsidP="00926592">
      <w:pPr>
        <w:spacing w:line="480" w:lineRule="auto"/>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74"/>
        <w:gridCol w:w="1541"/>
        <w:gridCol w:w="283"/>
        <w:gridCol w:w="141"/>
        <w:gridCol w:w="1277"/>
        <w:gridCol w:w="1134"/>
        <w:gridCol w:w="850"/>
        <w:gridCol w:w="3475"/>
      </w:tblGrid>
      <w:tr w:rsidR="00926592" w:rsidRPr="00926592" w:rsidTr="00097437">
        <w:tc>
          <w:tcPr>
            <w:tcW w:w="0" w:type="auto"/>
            <w:gridSpan w:val="8"/>
            <w:tcBorders>
              <w:top w:val="single" w:sz="6" w:space="0" w:color="auto"/>
              <w:left w:val="single" w:sz="6" w:space="0" w:color="auto"/>
              <w:bottom w:val="outset" w:sz="6" w:space="0" w:color="000000"/>
              <w:right w:val="single" w:sz="6" w:space="0" w:color="auto"/>
            </w:tcBorders>
            <w:vAlign w:val="center"/>
          </w:tcPr>
          <w:p w:rsidR="00926592" w:rsidRPr="00926592" w:rsidRDefault="00926592" w:rsidP="00097437">
            <w:pPr>
              <w:spacing w:before="100" w:beforeAutospacing="1" w:after="100" w:afterAutospacing="1"/>
              <w:jc w:val="center"/>
              <w:rPr>
                <w:b/>
                <w:bCs/>
              </w:rPr>
            </w:pPr>
            <w:r w:rsidRPr="00926592">
              <w:rPr>
                <w:b/>
                <w:bCs/>
              </w:rPr>
              <w:t>V. Tiesību akta projekta atbilstība Latvijas Republikas starptautiskajām saistībām</w:t>
            </w:r>
          </w:p>
        </w:tc>
      </w:tr>
      <w:tr w:rsidR="00926592" w:rsidRPr="00926592" w:rsidTr="00926592">
        <w:tc>
          <w:tcPr>
            <w:tcW w:w="258" w:type="pct"/>
            <w:tcBorders>
              <w:top w:val="outset" w:sz="6" w:space="0" w:color="000000"/>
              <w:left w:val="outset" w:sz="6" w:space="0" w:color="000000"/>
              <w:bottom w:val="outset" w:sz="6" w:space="0" w:color="000000"/>
              <w:right w:val="outset" w:sz="6" w:space="0" w:color="000000"/>
            </w:tcBorders>
          </w:tcPr>
          <w:p w:rsidR="00926592" w:rsidRPr="00926592" w:rsidRDefault="00926592" w:rsidP="00926592">
            <w:pPr>
              <w:spacing w:before="100" w:beforeAutospacing="1" w:after="100" w:afterAutospacing="1" w:line="40" w:lineRule="atLeast"/>
              <w:ind w:firstLineChars="709" w:firstLine="1702"/>
            </w:pPr>
            <w:r w:rsidRPr="00926592">
              <w:t> 1.</w:t>
            </w:r>
          </w:p>
        </w:tc>
        <w:tc>
          <w:tcPr>
            <w:tcW w:w="1071" w:type="pct"/>
            <w:gridSpan w:val="3"/>
            <w:tcBorders>
              <w:top w:val="outset" w:sz="6" w:space="0" w:color="000000"/>
              <w:left w:val="outset" w:sz="6" w:space="0" w:color="000000"/>
              <w:bottom w:val="outset" w:sz="6" w:space="0" w:color="000000"/>
              <w:right w:val="outset" w:sz="6" w:space="0" w:color="000000"/>
            </w:tcBorders>
          </w:tcPr>
          <w:p w:rsidR="00926592" w:rsidRPr="00926592" w:rsidRDefault="00926592" w:rsidP="00097437">
            <w:pPr>
              <w:spacing w:before="100" w:beforeAutospacing="1" w:after="100" w:afterAutospacing="1" w:line="40" w:lineRule="atLeast"/>
            </w:pPr>
            <w:r w:rsidRPr="00926592">
              <w:t>Saistības pret Eiropas Savienību</w:t>
            </w:r>
          </w:p>
        </w:tc>
        <w:tc>
          <w:tcPr>
            <w:tcW w:w="3671" w:type="pct"/>
            <w:gridSpan w:val="4"/>
            <w:tcBorders>
              <w:top w:val="outset" w:sz="6" w:space="0" w:color="000000"/>
              <w:left w:val="outset" w:sz="6" w:space="0" w:color="000000"/>
              <w:bottom w:val="outset" w:sz="6" w:space="0" w:color="000000"/>
              <w:right w:val="outset" w:sz="6" w:space="0" w:color="000000"/>
            </w:tcBorders>
          </w:tcPr>
          <w:p w:rsidR="00926592" w:rsidRPr="00926592" w:rsidRDefault="00926592" w:rsidP="00097437">
            <w:pPr>
              <w:spacing w:line="40" w:lineRule="atLeast"/>
              <w:rPr>
                <w:b/>
              </w:rPr>
            </w:pPr>
            <w:r w:rsidRPr="00926592">
              <w:rPr>
                <w:b/>
                <w:color w:val="000000"/>
              </w:rPr>
              <w:t>Eiropas Komisijas 1993.gada 2.jūlija Regula (EEK) Nr.2454/93, kas nosaka īstenošanas noteikumus Padomes Regulai (EEK) Nr.2913/92 par Kopienu Muitas kodeksa izveidi</w:t>
            </w:r>
          </w:p>
        </w:tc>
      </w:tr>
      <w:tr w:rsidR="00926592" w:rsidRPr="00926592" w:rsidTr="00926592">
        <w:tc>
          <w:tcPr>
            <w:tcW w:w="258" w:type="pct"/>
            <w:tcBorders>
              <w:top w:val="outset" w:sz="6" w:space="0" w:color="000000"/>
              <w:left w:val="outset" w:sz="6" w:space="0" w:color="000000"/>
              <w:bottom w:val="outset" w:sz="6" w:space="0" w:color="000000"/>
              <w:right w:val="outset" w:sz="6" w:space="0" w:color="000000"/>
            </w:tcBorders>
          </w:tcPr>
          <w:p w:rsidR="00926592" w:rsidRPr="00926592" w:rsidRDefault="00926592" w:rsidP="00926592">
            <w:pPr>
              <w:spacing w:before="100" w:beforeAutospacing="1" w:after="100" w:afterAutospacing="1" w:line="40" w:lineRule="atLeast"/>
              <w:ind w:firstLineChars="709" w:firstLine="1702"/>
            </w:pPr>
            <w:r w:rsidRPr="00926592">
              <w:t> 2.</w:t>
            </w:r>
          </w:p>
        </w:tc>
        <w:tc>
          <w:tcPr>
            <w:tcW w:w="1071" w:type="pct"/>
            <w:gridSpan w:val="3"/>
            <w:tcBorders>
              <w:top w:val="outset" w:sz="6" w:space="0" w:color="000000"/>
              <w:left w:val="outset" w:sz="6" w:space="0" w:color="000000"/>
              <w:bottom w:val="outset" w:sz="6" w:space="0" w:color="000000"/>
              <w:right w:val="outset" w:sz="6" w:space="0" w:color="000000"/>
            </w:tcBorders>
          </w:tcPr>
          <w:p w:rsidR="00926592" w:rsidRPr="00926592" w:rsidRDefault="00926592" w:rsidP="00097437">
            <w:pPr>
              <w:spacing w:before="100" w:beforeAutospacing="1" w:after="100" w:afterAutospacing="1" w:line="40" w:lineRule="atLeast"/>
            </w:pPr>
            <w:r w:rsidRPr="00926592">
              <w:t>Citas starptautiskās saistības</w:t>
            </w:r>
          </w:p>
        </w:tc>
        <w:tc>
          <w:tcPr>
            <w:tcW w:w="3671" w:type="pct"/>
            <w:gridSpan w:val="4"/>
            <w:tcBorders>
              <w:top w:val="outset" w:sz="6" w:space="0" w:color="000000"/>
              <w:left w:val="outset" w:sz="6" w:space="0" w:color="000000"/>
              <w:bottom w:val="outset" w:sz="6" w:space="0" w:color="000000"/>
              <w:right w:val="outset" w:sz="6" w:space="0" w:color="000000"/>
            </w:tcBorders>
          </w:tcPr>
          <w:p w:rsidR="00926592" w:rsidRPr="00926592" w:rsidRDefault="00926592" w:rsidP="00097437">
            <w:pPr>
              <w:spacing w:before="100" w:beforeAutospacing="1" w:after="100" w:afterAutospacing="1" w:line="40" w:lineRule="atLeast"/>
              <w:ind w:firstLineChars="230" w:firstLine="552"/>
              <w:rPr>
                <w:b/>
              </w:rPr>
            </w:pPr>
            <w:r w:rsidRPr="00926592">
              <w:rPr>
                <w:b/>
              </w:rPr>
              <w:t xml:space="preserve">Nav attiecināms </w:t>
            </w:r>
          </w:p>
        </w:tc>
      </w:tr>
      <w:tr w:rsidR="00926592" w:rsidRPr="00926592" w:rsidTr="00926592">
        <w:tc>
          <w:tcPr>
            <w:tcW w:w="258" w:type="pct"/>
            <w:tcBorders>
              <w:top w:val="outset" w:sz="6" w:space="0" w:color="000000"/>
              <w:left w:val="outset" w:sz="6" w:space="0" w:color="000000"/>
              <w:bottom w:val="outset" w:sz="6" w:space="0" w:color="000000"/>
              <w:right w:val="outset" w:sz="6" w:space="0" w:color="000000"/>
            </w:tcBorders>
          </w:tcPr>
          <w:p w:rsidR="00926592" w:rsidRPr="00926592" w:rsidRDefault="00926592" w:rsidP="00926592">
            <w:pPr>
              <w:spacing w:before="100" w:beforeAutospacing="1" w:after="100" w:afterAutospacing="1" w:line="40" w:lineRule="atLeast"/>
              <w:ind w:firstLineChars="709" w:firstLine="1702"/>
            </w:pPr>
            <w:r w:rsidRPr="00926592">
              <w:t> 3.</w:t>
            </w:r>
          </w:p>
        </w:tc>
        <w:tc>
          <w:tcPr>
            <w:tcW w:w="1071" w:type="pct"/>
            <w:gridSpan w:val="3"/>
            <w:tcBorders>
              <w:top w:val="outset" w:sz="6" w:space="0" w:color="000000"/>
              <w:left w:val="outset" w:sz="6" w:space="0" w:color="000000"/>
              <w:bottom w:val="outset" w:sz="6" w:space="0" w:color="000000"/>
              <w:right w:val="outset" w:sz="6" w:space="0" w:color="000000"/>
            </w:tcBorders>
          </w:tcPr>
          <w:p w:rsidR="00926592" w:rsidRPr="00926592" w:rsidRDefault="00926592" w:rsidP="00097437">
            <w:pPr>
              <w:spacing w:before="100" w:beforeAutospacing="1" w:after="100" w:afterAutospacing="1" w:line="40" w:lineRule="atLeast"/>
            </w:pPr>
            <w:r w:rsidRPr="00926592">
              <w:t>Cita informācija</w:t>
            </w:r>
          </w:p>
        </w:tc>
        <w:tc>
          <w:tcPr>
            <w:tcW w:w="3671" w:type="pct"/>
            <w:gridSpan w:val="4"/>
            <w:tcBorders>
              <w:top w:val="outset" w:sz="6" w:space="0" w:color="000000"/>
              <w:left w:val="outset" w:sz="6" w:space="0" w:color="000000"/>
              <w:bottom w:val="outset" w:sz="6" w:space="0" w:color="000000"/>
              <w:right w:val="outset" w:sz="6" w:space="0" w:color="000000"/>
            </w:tcBorders>
          </w:tcPr>
          <w:p w:rsidR="00926592" w:rsidRPr="00926592" w:rsidRDefault="00926592" w:rsidP="00097437">
            <w:pPr>
              <w:spacing w:before="100" w:beforeAutospacing="1" w:after="100" w:afterAutospacing="1" w:line="40" w:lineRule="atLeast"/>
              <w:ind w:firstLineChars="230" w:firstLine="552"/>
              <w:rPr>
                <w:rStyle w:val="Hyperlink"/>
                <w:b/>
              </w:rPr>
            </w:pPr>
            <w:r w:rsidRPr="00926592">
              <w:rPr>
                <w:b/>
              </w:rPr>
              <w:t>Nav attiecināms</w:t>
            </w:r>
          </w:p>
          <w:p w:rsidR="00926592" w:rsidRPr="00926592" w:rsidRDefault="00926592" w:rsidP="00097437">
            <w:pPr>
              <w:spacing w:before="100" w:beforeAutospacing="1" w:after="100" w:afterAutospacing="1" w:line="40" w:lineRule="atLeast"/>
              <w:ind w:firstLineChars="230" w:firstLine="552"/>
              <w:rPr>
                <w:b/>
              </w:rPr>
            </w:pPr>
          </w:p>
        </w:tc>
      </w:tr>
      <w:tr w:rsidR="00926592" w:rsidRPr="00926592" w:rsidTr="00926592">
        <w:tc>
          <w:tcPr>
            <w:tcW w:w="5000" w:type="pct"/>
            <w:gridSpan w:val="8"/>
            <w:tcBorders>
              <w:top w:val="outset" w:sz="6" w:space="0" w:color="000000"/>
              <w:left w:val="outset" w:sz="6" w:space="0" w:color="000000"/>
              <w:bottom w:val="outset" w:sz="6" w:space="0" w:color="000000"/>
              <w:right w:val="outset" w:sz="6" w:space="0" w:color="000000"/>
            </w:tcBorders>
          </w:tcPr>
          <w:p w:rsidR="00926592" w:rsidRPr="00926592" w:rsidRDefault="00926592" w:rsidP="00926592">
            <w:pPr>
              <w:spacing w:before="100" w:beforeAutospacing="1" w:after="100" w:afterAutospacing="1"/>
              <w:contextualSpacing/>
              <w:jc w:val="center"/>
              <w:rPr>
                <w:b/>
              </w:rPr>
            </w:pPr>
            <w:r w:rsidRPr="00926592">
              <w:rPr>
                <w:b/>
              </w:rPr>
              <w:t>1.tabula</w:t>
            </w:r>
          </w:p>
          <w:p w:rsidR="00926592" w:rsidRPr="00926592" w:rsidRDefault="00926592" w:rsidP="00926592">
            <w:pPr>
              <w:spacing w:before="100" w:beforeAutospacing="1" w:after="100" w:afterAutospacing="1"/>
              <w:contextualSpacing/>
              <w:jc w:val="center"/>
            </w:pPr>
            <w:r w:rsidRPr="00926592">
              <w:rPr>
                <w:b/>
              </w:rPr>
              <w:t>Tiesību akta projekta atbilstība ES tiesību aktiem</w:t>
            </w:r>
          </w:p>
        </w:tc>
      </w:tr>
      <w:tr w:rsidR="00926592" w:rsidRPr="00926592" w:rsidTr="00926592">
        <w:tc>
          <w:tcPr>
            <w:tcW w:w="1098" w:type="pct"/>
            <w:gridSpan w:val="2"/>
            <w:tcBorders>
              <w:top w:val="outset" w:sz="6" w:space="0" w:color="000000"/>
              <w:left w:val="outset" w:sz="6" w:space="0" w:color="000000"/>
              <w:bottom w:val="outset" w:sz="6" w:space="0" w:color="000000"/>
              <w:right w:val="outset" w:sz="6" w:space="0" w:color="000000"/>
            </w:tcBorders>
          </w:tcPr>
          <w:p w:rsidR="00926592" w:rsidRPr="00926592" w:rsidRDefault="00926592" w:rsidP="00097437">
            <w:pPr>
              <w:spacing w:before="100" w:beforeAutospacing="1" w:after="100" w:afterAutospacing="1" w:line="40" w:lineRule="atLeast"/>
            </w:pPr>
            <w:r w:rsidRPr="00926592">
              <w:t>Attiecīgā ES tiesību akta datums, numurs un nosaukums</w:t>
            </w:r>
          </w:p>
        </w:tc>
        <w:tc>
          <w:tcPr>
            <w:tcW w:w="3902" w:type="pct"/>
            <w:gridSpan w:val="6"/>
            <w:tcBorders>
              <w:top w:val="outset" w:sz="6" w:space="0" w:color="000000"/>
              <w:left w:val="outset" w:sz="6" w:space="0" w:color="000000"/>
              <w:bottom w:val="outset" w:sz="6" w:space="0" w:color="000000"/>
              <w:right w:val="outset" w:sz="6" w:space="0" w:color="000000"/>
            </w:tcBorders>
          </w:tcPr>
          <w:p w:rsidR="00926592" w:rsidRPr="00926592" w:rsidRDefault="00926592" w:rsidP="00926592">
            <w:pPr>
              <w:spacing w:before="100" w:beforeAutospacing="1" w:after="100" w:afterAutospacing="1" w:line="40" w:lineRule="atLeast"/>
              <w:rPr>
                <w:b/>
              </w:rPr>
            </w:pPr>
            <w:r w:rsidRPr="00926592">
              <w:t>Aizpilda, ja ar projektu tiek pārņemts vai ieviests vairāk nekā viens ES tiesību akts – jānorāda tā pati informācija, kas prasīta instrukcijas 55.1.apakšpunktā un jau tikusi norādīta arī V sadaļas 1.punkta ietvaros</w:t>
            </w:r>
          </w:p>
        </w:tc>
      </w:tr>
      <w:tr w:rsidR="00926592" w:rsidRPr="00926592" w:rsidTr="00926592">
        <w:tblPrEx>
          <w:jc w:val="center"/>
        </w:tblPrEx>
        <w:trPr>
          <w:jc w:val="center"/>
        </w:trPr>
        <w:tc>
          <w:tcPr>
            <w:tcW w:w="1098" w:type="pct"/>
            <w:gridSpan w:val="2"/>
            <w:tcBorders>
              <w:top w:val="outset" w:sz="6" w:space="0" w:color="000000"/>
              <w:left w:val="outset" w:sz="6" w:space="0" w:color="000000"/>
              <w:bottom w:val="outset" w:sz="6" w:space="0" w:color="000000"/>
              <w:right w:val="outset" w:sz="6" w:space="0" w:color="000000"/>
            </w:tcBorders>
          </w:tcPr>
          <w:p w:rsidR="00926592" w:rsidRPr="00926592" w:rsidRDefault="00926592" w:rsidP="00926592">
            <w:pPr>
              <w:spacing w:before="100" w:beforeAutospacing="1" w:after="100" w:afterAutospacing="1" w:line="40" w:lineRule="atLeast"/>
              <w:jc w:val="center"/>
              <w:rPr>
                <w:b/>
              </w:rPr>
            </w:pPr>
            <w:r w:rsidRPr="00926592">
              <w:rPr>
                <w:b/>
              </w:rPr>
              <w:t>A</w:t>
            </w:r>
          </w:p>
        </w:tc>
        <w:tc>
          <w:tcPr>
            <w:tcW w:w="927" w:type="pct"/>
            <w:gridSpan w:val="3"/>
            <w:tcBorders>
              <w:top w:val="outset" w:sz="6" w:space="0" w:color="000000"/>
              <w:left w:val="outset" w:sz="6" w:space="0" w:color="000000"/>
              <w:bottom w:val="outset" w:sz="6" w:space="0" w:color="000000"/>
              <w:right w:val="outset" w:sz="6" w:space="0" w:color="000000"/>
            </w:tcBorders>
          </w:tcPr>
          <w:p w:rsidR="00926592" w:rsidRPr="00926592" w:rsidRDefault="00926592" w:rsidP="00926592">
            <w:pPr>
              <w:spacing w:before="100" w:beforeAutospacing="1" w:after="100" w:afterAutospacing="1" w:line="40" w:lineRule="atLeast"/>
              <w:jc w:val="center"/>
              <w:rPr>
                <w:b/>
              </w:rPr>
            </w:pPr>
            <w:r w:rsidRPr="00926592">
              <w:rPr>
                <w:b/>
              </w:rPr>
              <w:t>B</w:t>
            </w:r>
          </w:p>
        </w:tc>
        <w:tc>
          <w:tcPr>
            <w:tcW w:w="1081" w:type="pct"/>
            <w:gridSpan w:val="2"/>
            <w:tcBorders>
              <w:top w:val="outset" w:sz="6" w:space="0" w:color="000000"/>
              <w:left w:val="outset" w:sz="6" w:space="0" w:color="000000"/>
              <w:bottom w:val="outset" w:sz="6" w:space="0" w:color="000000"/>
              <w:right w:val="outset" w:sz="6" w:space="0" w:color="000000"/>
            </w:tcBorders>
          </w:tcPr>
          <w:p w:rsidR="00926592" w:rsidRPr="00926592" w:rsidRDefault="00926592" w:rsidP="00926592">
            <w:pPr>
              <w:spacing w:before="100" w:beforeAutospacing="1" w:after="100" w:afterAutospacing="1" w:line="40" w:lineRule="atLeast"/>
              <w:jc w:val="center"/>
              <w:rPr>
                <w:b/>
              </w:rPr>
            </w:pPr>
            <w:r w:rsidRPr="00926592">
              <w:rPr>
                <w:b/>
              </w:rPr>
              <w:t>C</w:t>
            </w:r>
          </w:p>
        </w:tc>
        <w:tc>
          <w:tcPr>
            <w:tcW w:w="1894" w:type="pct"/>
            <w:tcBorders>
              <w:top w:val="outset" w:sz="6" w:space="0" w:color="000000"/>
              <w:left w:val="outset" w:sz="6" w:space="0" w:color="000000"/>
              <w:bottom w:val="outset" w:sz="6" w:space="0" w:color="000000"/>
              <w:right w:val="outset" w:sz="6" w:space="0" w:color="000000"/>
            </w:tcBorders>
          </w:tcPr>
          <w:p w:rsidR="00926592" w:rsidRPr="00926592" w:rsidRDefault="00926592" w:rsidP="00926592">
            <w:pPr>
              <w:spacing w:before="100" w:beforeAutospacing="1" w:after="100" w:afterAutospacing="1" w:line="40" w:lineRule="atLeast"/>
              <w:jc w:val="center"/>
              <w:rPr>
                <w:b/>
              </w:rPr>
            </w:pPr>
            <w:r w:rsidRPr="00926592">
              <w:rPr>
                <w:b/>
              </w:rPr>
              <w:t>D</w:t>
            </w:r>
          </w:p>
        </w:tc>
      </w:tr>
      <w:tr w:rsidR="00926592" w:rsidRPr="00926592" w:rsidTr="00926592">
        <w:tblPrEx>
          <w:jc w:val="center"/>
        </w:tblPrEx>
        <w:trPr>
          <w:jc w:val="center"/>
        </w:trPr>
        <w:tc>
          <w:tcPr>
            <w:tcW w:w="1098" w:type="pct"/>
            <w:gridSpan w:val="2"/>
            <w:tcBorders>
              <w:top w:val="outset" w:sz="6" w:space="0" w:color="000000"/>
              <w:left w:val="outset" w:sz="6" w:space="0" w:color="000000"/>
              <w:bottom w:val="outset" w:sz="6" w:space="0" w:color="000000"/>
              <w:right w:val="outset" w:sz="6" w:space="0" w:color="000000"/>
            </w:tcBorders>
          </w:tcPr>
          <w:p w:rsidR="00926592" w:rsidRPr="00926592" w:rsidRDefault="00926592" w:rsidP="00097437">
            <w:pPr>
              <w:spacing w:before="100" w:beforeAutospacing="1" w:after="100" w:afterAutospacing="1" w:line="40" w:lineRule="atLeast"/>
              <w:rPr>
                <w:b/>
              </w:rPr>
            </w:pPr>
            <w:r w:rsidRPr="00926592">
              <w:rPr>
                <w:b/>
              </w:rPr>
              <w:t>Regulas Nr.2454/93 237. un 238.pants</w:t>
            </w:r>
          </w:p>
        </w:tc>
        <w:tc>
          <w:tcPr>
            <w:tcW w:w="927" w:type="pct"/>
            <w:gridSpan w:val="3"/>
            <w:tcBorders>
              <w:top w:val="outset" w:sz="6" w:space="0" w:color="000000"/>
              <w:left w:val="outset" w:sz="6" w:space="0" w:color="000000"/>
              <w:bottom w:val="outset" w:sz="6" w:space="0" w:color="000000"/>
              <w:right w:val="outset" w:sz="6" w:space="0" w:color="000000"/>
            </w:tcBorders>
          </w:tcPr>
          <w:p w:rsidR="00926592" w:rsidRPr="00926592" w:rsidRDefault="00926592" w:rsidP="00097437">
            <w:pPr>
              <w:spacing w:before="100" w:beforeAutospacing="1" w:after="100" w:afterAutospacing="1" w:line="40" w:lineRule="atLeast"/>
              <w:rPr>
                <w:b/>
              </w:rPr>
            </w:pPr>
            <w:r w:rsidRPr="00926592">
              <w:rPr>
                <w:b/>
              </w:rPr>
              <w:t>Noteikumu projekta 5.punkts</w:t>
            </w:r>
          </w:p>
        </w:tc>
        <w:tc>
          <w:tcPr>
            <w:tcW w:w="1081" w:type="pct"/>
            <w:gridSpan w:val="2"/>
            <w:tcBorders>
              <w:top w:val="outset" w:sz="6" w:space="0" w:color="000000"/>
              <w:left w:val="outset" w:sz="6" w:space="0" w:color="000000"/>
              <w:bottom w:val="outset" w:sz="6" w:space="0" w:color="000000"/>
              <w:right w:val="outset" w:sz="6" w:space="0" w:color="000000"/>
            </w:tcBorders>
          </w:tcPr>
          <w:p w:rsidR="00926592" w:rsidRPr="00926592" w:rsidRDefault="00926592" w:rsidP="00097437">
            <w:pPr>
              <w:spacing w:before="100" w:beforeAutospacing="1" w:after="100" w:afterAutospacing="1" w:line="40" w:lineRule="atLeast"/>
              <w:rPr>
                <w:b/>
              </w:rPr>
            </w:pPr>
            <w:r w:rsidRPr="00926592">
              <w:rPr>
                <w:b/>
              </w:rPr>
              <w:t>Jau tiek piemērots</w:t>
            </w:r>
          </w:p>
        </w:tc>
        <w:tc>
          <w:tcPr>
            <w:tcW w:w="1894" w:type="pct"/>
            <w:tcBorders>
              <w:top w:val="outset" w:sz="6" w:space="0" w:color="000000"/>
              <w:left w:val="outset" w:sz="6" w:space="0" w:color="000000"/>
              <w:bottom w:val="outset" w:sz="6" w:space="0" w:color="000000"/>
              <w:right w:val="outset" w:sz="6" w:space="0" w:color="000000"/>
            </w:tcBorders>
          </w:tcPr>
          <w:p w:rsidR="00926592" w:rsidRPr="00926592" w:rsidRDefault="00926592" w:rsidP="00097437">
            <w:pPr>
              <w:spacing w:before="100" w:beforeAutospacing="1" w:after="100" w:afterAutospacing="1" w:line="40" w:lineRule="atLeast"/>
              <w:rPr>
                <w:b/>
              </w:rPr>
            </w:pPr>
            <w:r w:rsidRPr="00926592">
              <w:rPr>
                <w:b/>
              </w:rPr>
              <w:t>Nacionālais tiesību akts neparedz stingrākas prasības</w:t>
            </w:r>
          </w:p>
        </w:tc>
      </w:tr>
      <w:tr w:rsidR="00926592" w:rsidRPr="00926592" w:rsidTr="00097437">
        <w:tblPrEx>
          <w:jc w:val="center"/>
        </w:tblPrEx>
        <w:trPr>
          <w:jc w:val="center"/>
        </w:trPr>
        <w:tc>
          <w:tcPr>
            <w:tcW w:w="1098" w:type="pct"/>
            <w:gridSpan w:val="2"/>
            <w:tcBorders>
              <w:top w:val="outset" w:sz="6" w:space="0" w:color="000000"/>
              <w:left w:val="outset" w:sz="6" w:space="0" w:color="000000"/>
              <w:bottom w:val="outset" w:sz="6" w:space="0" w:color="000000"/>
              <w:right w:val="outset" w:sz="6" w:space="0" w:color="000000"/>
            </w:tcBorders>
            <w:vAlign w:val="center"/>
          </w:tcPr>
          <w:p w:rsidR="00926592" w:rsidRPr="001021B9" w:rsidRDefault="00926592" w:rsidP="00097437">
            <w:pPr>
              <w:spacing w:before="100" w:beforeAutospacing="1" w:after="100" w:afterAutospacing="1" w:line="40" w:lineRule="atLeast"/>
              <w:rPr>
                <w:sz w:val="26"/>
                <w:szCs w:val="26"/>
              </w:rPr>
            </w:pPr>
            <w:r w:rsidRPr="001021B9">
              <w:rPr>
                <w:sz w:val="26"/>
                <w:szCs w:val="26"/>
              </w:rPr>
              <w:t>Kā ir izmantota ES tiesību aktā paredzētā rīcības brīvība dalībvalstij pārņemt vai ieviest noteiktas ES tiesību akta normas.</w:t>
            </w:r>
          </w:p>
          <w:p w:rsidR="00926592" w:rsidRPr="001021B9" w:rsidRDefault="00926592" w:rsidP="00097437">
            <w:pPr>
              <w:spacing w:before="100" w:beforeAutospacing="1" w:after="100" w:afterAutospacing="1" w:line="40" w:lineRule="atLeast"/>
              <w:rPr>
                <w:sz w:val="26"/>
                <w:szCs w:val="26"/>
              </w:rPr>
            </w:pPr>
            <w:r w:rsidRPr="001021B9">
              <w:rPr>
                <w:sz w:val="26"/>
                <w:szCs w:val="26"/>
              </w:rPr>
              <w:t>Kādēļ?</w:t>
            </w:r>
          </w:p>
        </w:tc>
        <w:tc>
          <w:tcPr>
            <w:tcW w:w="3902" w:type="pct"/>
            <w:gridSpan w:val="6"/>
            <w:tcBorders>
              <w:top w:val="outset" w:sz="6" w:space="0" w:color="000000"/>
              <w:left w:val="outset" w:sz="6" w:space="0" w:color="000000"/>
              <w:bottom w:val="outset" w:sz="6" w:space="0" w:color="000000"/>
              <w:right w:val="outset" w:sz="6" w:space="0" w:color="000000"/>
            </w:tcBorders>
          </w:tcPr>
          <w:p w:rsidR="00926592" w:rsidRPr="001021B9" w:rsidRDefault="00926592" w:rsidP="00097437">
            <w:pPr>
              <w:spacing w:before="100" w:beforeAutospacing="1" w:after="100" w:afterAutospacing="1" w:line="40" w:lineRule="atLeast"/>
              <w:rPr>
                <w:sz w:val="26"/>
                <w:szCs w:val="26"/>
              </w:rPr>
            </w:pPr>
            <w:r w:rsidRPr="001021B9">
              <w:rPr>
                <w:sz w:val="26"/>
                <w:szCs w:val="26"/>
              </w:rPr>
              <w:t>Projekts šo jomu neskar</w:t>
            </w:r>
          </w:p>
        </w:tc>
      </w:tr>
      <w:tr w:rsidR="00926592" w:rsidRPr="00926592" w:rsidTr="00097437">
        <w:tblPrEx>
          <w:jc w:val="center"/>
        </w:tblPrEx>
        <w:trPr>
          <w:jc w:val="center"/>
        </w:trPr>
        <w:tc>
          <w:tcPr>
            <w:tcW w:w="1098" w:type="pct"/>
            <w:gridSpan w:val="2"/>
            <w:tcBorders>
              <w:top w:val="outset" w:sz="6" w:space="0" w:color="000000"/>
              <w:left w:val="outset" w:sz="6" w:space="0" w:color="000000"/>
              <w:bottom w:val="outset" w:sz="6" w:space="0" w:color="000000"/>
              <w:right w:val="outset" w:sz="6" w:space="0" w:color="000000"/>
            </w:tcBorders>
            <w:vAlign w:val="center"/>
          </w:tcPr>
          <w:p w:rsidR="00926592" w:rsidRPr="001021B9" w:rsidRDefault="00926592" w:rsidP="00097437">
            <w:pPr>
              <w:spacing w:before="100" w:beforeAutospacing="1" w:after="100" w:afterAutospacing="1" w:line="40" w:lineRule="atLeast"/>
              <w:rPr>
                <w:sz w:val="26"/>
                <w:szCs w:val="26"/>
              </w:rPr>
            </w:pPr>
            <w:r w:rsidRPr="001021B9">
              <w:rPr>
                <w:sz w:val="26"/>
                <w:szCs w:val="26"/>
              </w:rPr>
              <w:t xml:space="preserve"> Saistības sniegt paziņojumu ES </w:t>
            </w:r>
            <w:r w:rsidRPr="001021B9">
              <w:rPr>
                <w:sz w:val="26"/>
                <w:szCs w:val="26"/>
              </w:rPr>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3902" w:type="pct"/>
            <w:gridSpan w:val="6"/>
            <w:tcBorders>
              <w:top w:val="outset" w:sz="6" w:space="0" w:color="000000"/>
              <w:left w:val="outset" w:sz="6" w:space="0" w:color="000000"/>
              <w:bottom w:val="outset" w:sz="6" w:space="0" w:color="000000"/>
              <w:right w:val="outset" w:sz="6" w:space="0" w:color="000000"/>
            </w:tcBorders>
          </w:tcPr>
          <w:p w:rsidR="00926592" w:rsidRPr="001021B9" w:rsidRDefault="00926592" w:rsidP="00097437">
            <w:pPr>
              <w:spacing w:before="100" w:beforeAutospacing="1" w:after="100" w:afterAutospacing="1" w:line="40" w:lineRule="atLeast"/>
              <w:rPr>
                <w:sz w:val="26"/>
                <w:szCs w:val="26"/>
              </w:rPr>
            </w:pPr>
            <w:r w:rsidRPr="001021B9">
              <w:rPr>
                <w:sz w:val="26"/>
                <w:szCs w:val="26"/>
              </w:rPr>
              <w:lastRenderedPageBreak/>
              <w:t>Projekts šo jomu neskar</w:t>
            </w:r>
          </w:p>
        </w:tc>
      </w:tr>
      <w:tr w:rsidR="00926592" w:rsidRPr="00926592" w:rsidTr="00097437">
        <w:tblPrEx>
          <w:jc w:val="center"/>
        </w:tblPrEx>
        <w:trPr>
          <w:jc w:val="center"/>
        </w:trPr>
        <w:tc>
          <w:tcPr>
            <w:tcW w:w="1098" w:type="pct"/>
            <w:gridSpan w:val="2"/>
            <w:tcBorders>
              <w:top w:val="outset" w:sz="6" w:space="0" w:color="000000"/>
              <w:left w:val="outset" w:sz="6" w:space="0" w:color="000000"/>
              <w:bottom w:val="outset" w:sz="6" w:space="0" w:color="000000"/>
              <w:right w:val="outset" w:sz="6" w:space="0" w:color="000000"/>
            </w:tcBorders>
          </w:tcPr>
          <w:p w:rsidR="00926592" w:rsidRPr="001021B9" w:rsidRDefault="00926592" w:rsidP="00097437">
            <w:pPr>
              <w:spacing w:before="100" w:beforeAutospacing="1" w:after="100" w:afterAutospacing="1" w:line="40" w:lineRule="atLeast"/>
              <w:rPr>
                <w:sz w:val="26"/>
                <w:szCs w:val="26"/>
              </w:rPr>
            </w:pPr>
            <w:r w:rsidRPr="001021B9">
              <w:rPr>
                <w:sz w:val="26"/>
                <w:szCs w:val="26"/>
              </w:rPr>
              <w:lastRenderedPageBreak/>
              <w:t> Cita informācija</w:t>
            </w:r>
          </w:p>
        </w:tc>
        <w:tc>
          <w:tcPr>
            <w:tcW w:w="3902" w:type="pct"/>
            <w:gridSpan w:val="6"/>
            <w:tcBorders>
              <w:top w:val="outset" w:sz="6" w:space="0" w:color="000000"/>
              <w:left w:val="outset" w:sz="6" w:space="0" w:color="000000"/>
              <w:bottom w:val="outset" w:sz="6" w:space="0" w:color="000000"/>
              <w:right w:val="outset" w:sz="6" w:space="0" w:color="000000"/>
            </w:tcBorders>
          </w:tcPr>
          <w:p w:rsidR="00926592" w:rsidRPr="001021B9" w:rsidRDefault="00926592" w:rsidP="00097437">
            <w:pPr>
              <w:spacing w:before="100" w:beforeAutospacing="1" w:after="100" w:afterAutospacing="1" w:line="40" w:lineRule="atLeast"/>
              <w:rPr>
                <w:sz w:val="26"/>
                <w:szCs w:val="26"/>
              </w:rPr>
            </w:pPr>
            <w:r w:rsidRPr="001021B9">
              <w:rPr>
                <w:sz w:val="26"/>
                <w:szCs w:val="26"/>
              </w:rPr>
              <w:t>Nav.</w:t>
            </w:r>
          </w:p>
        </w:tc>
      </w:tr>
      <w:tr w:rsidR="00926592" w:rsidRPr="00926592" w:rsidTr="00926592">
        <w:tblPrEx>
          <w:jc w:val="center"/>
        </w:tblPrEx>
        <w:trPr>
          <w:jc w:val="center"/>
        </w:trPr>
        <w:tc>
          <w:tcPr>
            <w:tcW w:w="5000" w:type="pct"/>
            <w:gridSpan w:val="8"/>
            <w:tcBorders>
              <w:top w:val="outset" w:sz="6" w:space="0" w:color="000000"/>
              <w:left w:val="outset" w:sz="6" w:space="0" w:color="000000"/>
              <w:bottom w:val="outset" w:sz="6" w:space="0" w:color="000000"/>
              <w:right w:val="outset" w:sz="6" w:space="0" w:color="000000"/>
            </w:tcBorders>
          </w:tcPr>
          <w:p w:rsidR="00926592" w:rsidRPr="00926592" w:rsidRDefault="00926592" w:rsidP="00926592">
            <w:pPr>
              <w:spacing w:before="100" w:beforeAutospacing="1" w:after="100" w:afterAutospacing="1"/>
              <w:contextualSpacing/>
              <w:jc w:val="center"/>
              <w:rPr>
                <w:b/>
                <w:sz w:val="26"/>
                <w:szCs w:val="26"/>
              </w:rPr>
            </w:pPr>
            <w:r w:rsidRPr="00926592">
              <w:rPr>
                <w:b/>
                <w:sz w:val="26"/>
                <w:szCs w:val="26"/>
              </w:rPr>
              <w:t>2.tabula</w:t>
            </w:r>
          </w:p>
          <w:p w:rsidR="00926592" w:rsidRPr="00926592" w:rsidRDefault="00926592" w:rsidP="00926592">
            <w:pPr>
              <w:spacing w:before="100" w:beforeAutospacing="1" w:after="100" w:afterAutospacing="1"/>
              <w:contextualSpacing/>
              <w:jc w:val="center"/>
              <w:rPr>
                <w:b/>
                <w:sz w:val="26"/>
                <w:szCs w:val="26"/>
              </w:rPr>
            </w:pPr>
            <w:r w:rsidRPr="00926592">
              <w:rPr>
                <w:b/>
                <w:sz w:val="26"/>
                <w:szCs w:val="26"/>
              </w:rPr>
              <w:t>Ar tiesību akta projektu uzņemtās saistības, kas izriet no starptautiskajiem tiesību aktiem vai starptautiskas institūcijas vai organizācijas dokumentiem</w:t>
            </w:r>
          </w:p>
          <w:p w:rsidR="00926592" w:rsidRPr="001021B9" w:rsidRDefault="00926592" w:rsidP="00926592">
            <w:pPr>
              <w:spacing w:before="100" w:beforeAutospacing="1" w:after="100" w:afterAutospacing="1"/>
              <w:contextualSpacing/>
              <w:jc w:val="center"/>
              <w:rPr>
                <w:sz w:val="26"/>
                <w:szCs w:val="26"/>
              </w:rPr>
            </w:pPr>
            <w:r w:rsidRPr="00926592">
              <w:rPr>
                <w:b/>
                <w:sz w:val="26"/>
                <w:szCs w:val="26"/>
              </w:rPr>
              <w:t>Pasākumi šo saistību izpildei</w:t>
            </w:r>
          </w:p>
        </w:tc>
      </w:tr>
      <w:tr w:rsidR="00926592" w:rsidRPr="00926592" w:rsidTr="00926592">
        <w:tblPrEx>
          <w:jc w:val="center"/>
        </w:tblPrEx>
        <w:trPr>
          <w:jc w:val="center"/>
        </w:trPr>
        <w:tc>
          <w:tcPr>
            <w:tcW w:w="1252" w:type="pct"/>
            <w:gridSpan w:val="3"/>
            <w:tcBorders>
              <w:top w:val="outset" w:sz="6" w:space="0" w:color="000000"/>
              <w:left w:val="outset" w:sz="6" w:space="0" w:color="000000"/>
              <w:bottom w:val="outset" w:sz="6" w:space="0" w:color="000000"/>
              <w:right w:val="outset" w:sz="6" w:space="0" w:color="000000"/>
            </w:tcBorders>
            <w:vAlign w:val="center"/>
          </w:tcPr>
          <w:p w:rsidR="00926592" w:rsidRPr="001021B9" w:rsidRDefault="00926592" w:rsidP="00097437">
            <w:pPr>
              <w:spacing w:before="100" w:beforeAutospacing="1" w:after="100" w:afterAutospacing="1" w:line="40" w:lineRule="atLeast"/>
              <w:rPr>
                <w:sz w:val="26"/>
                <w:szCs w:val="26"/>
              </w:rPr>
            </w:pPr>
            <w:r w:rsidRPr="001021B9">
              <w:rPr>
                <w:sz w:val="26"/>
                <w:szCs w:val="26"/>
              </w:rPr>
              <w:t>Attiecīgā starptautiskā tiesību akta vai starptautiskas institūcijas vai organizācijas dokumenta (turpmāk – starptautiskais dokuments) datums, numurs un nosaukums</w:t>
            </w:r>
          </w:p>
        </w:tc>
        <w:tc>
          <w:tcPr>
            <w:tcW w:w="3748" w:type="pct"/>
            <w:gridSpan w:val="5"/>
            <w:tcBorders>
              <w:top w:val="outset" w:sz="6" w:space="0" w:color="000000"/>
              <w:left w:val="outset" w:sz="6" w:space="0" w:color="000000"/>
              <w:bottom w:val="outset" w:sz="6" w:space="0" w:color="000000"/>
              <w:right w:val="outset" w:sz="6" w:space="0" w:color="000000"/>
            </w:tcBorders>
          </w:tcPr>
          <w:p w:rsidR="00926592" w:rsidRPr="001021B9" w:rsidRDefault="00926592" w:rsidP="00097437">
            <w:pPr>
              <w:spacing w:before="100" w:beforeAutospacing="1" w:after="100" w:afterAutospacing="1" w:line="40" w:lineRule="atLeast"/>
              <w:rPr>
                <w:sz w:val="26"/>
                <w:szCs w:val="26"/>
              </w:rPr>
            </w:pPr>
            <w:r w:rsidRPr="001021B9">
              <w:rPr>
                <w:sz w:val="26"/>
                <w:szCs w:val="26"/>
              </w:rPr>
              <w:t xml:space="preserve">Projekts šo jomu neskar </w:t>
            </w:r>
          </w:p>
        </w:tc>
      </w:tr>
      <w:tr w:rsidR="00926592" w:rsidRPr="00926592" w:rsidTr="00926592">
        <w:tblPrEx>
          <w:jc w:val="center"/>
        </w:tblPrEx>
        <w:trPr>
          <w:jc w:val="center"/>
        </w:trPr>
        <w:tc>
          <w:tcPr>
            <w:tcW w:w="1252" w:type="pct"/>
            <w:gridSpan w:val="3"/>
            <w:tcBorders>
              <w:top w:val="outset" w:sz="6" w:space="0" w:color="000000"/>
              <w:left w:val="outset" w:sz="6" w:space="0" w:color="000000"/>
              <w:bottom w:val="outset" w:sz="6" w:space="0" w:color="000000"/>
              <w:right w:val="outset" w:sz="6" w:space="0" w:color="000000"/>
            </w:tcBorders>
          </w:tcPr>
          <w:p w:rsidR="00926592" w:rsidRPr="001021B9" w:rsidRDefault="00926592" w:rsidP="00926592">
            <w:pPr>
              <w:spacing w:before="100" w:beforeAutospacing="1" w:after="100" w:afterAutospacing="1" w:line="40" w:lineRule="atLeast"/>
              <w:jc w:val="center"/>
              <w:rPr>
                <w:sz w:val="26"/>
                <w:szCs w:val="26"/>
              </w:rPr>
            </w:pPr>
            <w:r>
              <w:rPr>
                <w:sz w:val="26"/>
                <w:szCs w:val="26"/>
              </w:rPr>
              <w:t>A</w:t>
            </w:r>
          </w:p>
        </w:tc>
        <w:tc>
          <w:tcPr>
            <w:tcW w:w="1391" w:type="pct"/>
            <w:gridSpan w:val="3"/>
            <w:tcBorders>
              <w:top w:val="outset" w:sz="6" w:space="0" w:color="000000"/>
              <w:left w:val="outset" w:sz="6" w:space="0" w:color="000000"/>
              <w:bottom w:val="outset" w:sz="6" w:space="0" w:color="000000"/>
              <w:right w:val="outset" w:sz="6" w:space="0" w:color="000000"/>
            </w:tcBorders>
          </w:tcPr>
          <w:p w:rsidR="00926592" w:rsidRPr="001021B9" w:rsidRDefault="00926592" w:rsidP="00926592">
            <w:pPr>
              <w:spacing w:before="100" w:beforeAutospacing="1" w:after="100" w:afterAutospacing="1" w:line="40" w:lineRule="atLeast"/>
              <w:jc w:val="center"/>
              <w:rPr>
                <w:sz w:val="26"/>
                <w:szCs w:val="26"/>
              </w:rPr>
            </w:pPr>
            <w:r>
              <w:rPr>
                <w:sz w:val="26"/>
                <w:szCs w:val="26"/>
              </w:rPr>
              <w:t>B</w:t>
            </w:r>
          </w:p>
        </w:tc>
        <w:tc>
          <w:tcPr>
            <w:tcW w:w="2357" w:type="pct"/>
            <w:gridSpan w:val="2"/>
            <w:tcBorders>
              <w:top w:val="outset" w:sz="6" w:space="0" w:color="000000"/>
              <w:left w:val="outset" w:sz="6" w:space="0" w:color="000000"/>
              <w:bottom w:val="outset" w:sz="6" w:space="0" w:color="000000"/>
              <w:right w:val="outset" w:sz="6" w:space="0" w:color="000000"/>
            </w:tcBorders>
          </w:tcPr>
          <w:p w:rsidR="00926592" w:rsidRPr="001021B9" w:rsidRDefault="00926592" w:rsidP="00926592">
            <w:pPr>
              <w:spacing w:before="100" w:beforeAutospacing="1" w:after="100" w:afterAutospacing="1" w:line="40" w:lineRule="atLeast"/>
              <w:jc w:val="center"/>
              <w:rPr>
                <w:sz w:val="26"/>
                <w:szCs w:val="26"/>
              </w:rPr>
            </w:pPr>
            <w:r>
              <w:rPr>
                <w:sz w:val="26"/>
                <w:szCs w:val="26"/>
              </w:rPr>
              <w:t>C</w:t>
            </w:r>
          </w:p>
        </w:tc>
      </w:tr>
      <w:tr w:rsidR="00926592" w:rsidRPr="00926592" w:rsidTr="00926592">
        <w:tblPrEx>
          <w:jc w:val="center"/>
        </w:tblPrEx>
        <w:trPr>
          <w:jc w:val="center"/>
        </w:trPr>
        <w:tc>
          <w:tcPr>
            <w:tcW w:w="1252" w:type="pct"/>
            <w:gridSpan w:val="3"/>
            <w:tcBorders>
              <w:top w:val="outset" w:sz="6" w:space="0" w:color="000000"/>
              <w:left w:val="outset" w:sz="6" w:space="0" w:color="000000"/>
              <w:bottom w:val="outset" w:sz="6" w:space="0" w:color="000000"/>
              <w:right w:val="outset" w:sz="6" w:space="0" w:color="000000"/>
            </w:tcBorders>
            <w:vAlign w:val="center"/>
          </w:tcPr>
          <w:p w:rsidR="00926592" w:rsidRPr="001021B9" w:rsidRDefault="00926592" w:rsidP="00926592">
            <w:pPr>
              <w:spacing w:before="100" w:beforeAutospacing="1" w:after="100" w:afterAutospacing="1" w:line="40" w:lineRule="atLeast"/>
              <w:rPr>
                <w:sz w:val="26"/>
                <w:szCs w:val="26"/>
              </w:rPr>
            </w:pPr>
            <w:r w:rsidRPr="001021B9">
              <w:rPr>
                <w:sz w:val="26"/>
                <w:szCs w:val="26"/>
              </w:rPr>
              <w:t>Projekts šo jomu neskar</w:t>
            </w:r>
          </w:p>
        </w:tc>
        <w:tc>
          <w:tcPr>
            <w:tcW w:w="1391" w:type="pct"/>
            <w:gridSpan w:val="3"/>
            <w:tcBorders>
              <w:top w:val="outset" w:sz="6" w:space="0" w:color="000000"/>
              <w:left w:val="outset" w:sz="6" w:space="0" w:color="000000"/>
              <w:bottom w:val="outset" w:sz="6" w:space="0" w:color="000000"/>
              <w:right w:val="outset" w:sz="6" w:space="0" w:color="000000"/>
            </w:tcBorders>
            <w:vAlign w:val="center"/>
          </w:tcPr>
          <w:p w:rsidR="00926592" w:rsidRPr="001021B9" w:rsidRDefault="00926592" w:rsidP="00097437">
            <w:pPr>
              <w:spacing w:before="100" w:beforeAutospacing="1" w:after="100" w:afterAutospacing="1" w:line="40" w:lineRule="atLeast"/>
              <w:rPr>
                <w:sz w:val="26"/>
                <w:szCs w:val="26"/>
              </w:rPr>
            </w:pPr>
            <w:r w:rsidRPr="001021B9">
              <w:rPr>
                <w:sz w:val="26"/>
                <w:szCs w:val="26"/>
              </w:rPr>
              <w:t>Projekts šo jomu neskar</w:t>
            </w:r>
          </w:p>
        </w:tc>
        <w:tc>
          <w:tcPr>
            <w:tcW w:w="2357" w:type="pct"/>
            <w:gridSpan w:val="2"/>
            <w:tcBorders>
              <w:top w:val="outset" w:sz="6" w:space="0" w:color="000000"/>
              <w:left w:val="outset" w:sz="6" w:space="0" w:color="000000"/>
              <w:bottom w:val="outset" w:sz="6" w:space="0" w:color="000000"/>
              <w:right w:val="outset" w:sz="6" w:space="0" w:color="000000"/>
            </w:tcBorders>
            <w:vAlign w:val="center"/>
          </w:tcPr>
          <w:p w:rsidR="00926592" w:rsidRPr="001021B9" w:rsidRDefault="00926592" w:rsidP="00097437">
            <w:pPr>
              <w:spacing w:before="100" w:beforeAutospacing="1" w:after="100" w:afterAutospacing="1" w:line="40" w:lineRule="atLeast"/>
              <w:rPr>
                <w:sz w:val="26"/>
                <w:szCs w:val="26"/>
              </w:rPr>
            </w:pPr>
            <w:r w:rsidRPr="001021B9">
              <w:rPr>
                <w:sz w:val="26"/>
                <w:szCs w:val="26"/>
              </w:rPr>
              <w:t>Projekts šo jomu neskar</w:t>
            </w:r>
          </w:p>
        </w:tc>
      </w:tr>
      <w:tr w:rsidR="00926592" w:rsidRPr="00926592" w:rsidTr="00926592">
        <w:tblPrEx>
          <w:jc w:val="center"/>
        </w:tblPrEx>
        <w:trPr>
          <w:jc w:val="center"/>
        </w:trPr>
        <w:tc>
          <w:tcPr>
            <w:tcW w:w="1252" w:type="pct"/>
            <w:gridSpan w:val="3"/>
            <w:tcBorders>
              <w:top w:val="outset" w:sz="6" w:space="0" w:color="000000"/>
              <w:left w:val="outset" w:sz="6" w:space="0" w:color="000000"/>
              <w:bottom w:val="outset" w:sz="6" w:space="0" w:color="000000"/>
              <w:right w:val="outset" w:sz="6" w:space="0" w:color="000000"/>
            </w:tcBorders>
            <w:vAlign w:val="center"/>
          </w:tcPr>
          <w:p w:rsidR="00926592" w:rsidRPr="001021B9" w:rsidRDefault="00926592" w:rsidP="00097437">
            <w:pPr>
              <w:spacing w:before="100" w:beforeAutospacing="1" w:after="100" w:afterAutospacing="1" w:line="40" w:lineRule="atLeast"/>
              <w:rPr>
                <w:sz w:val="26"/>
                <w:szCs w:val="26"/>
              </w:rPr>
            </w:pPr>
            <w:r w:rsidRPr="001021B9">
              <w:rPr>
                <w:sz w:val="26"/>
                <w:szCs w:val="26"/>
              </w:rPr>
              <w:t>Vai starptautiskajā dokumentā paredzētās saistības nav pretrunā ar jau esošajām Latvijas Republikas starptautiskajām saistībām</w:t>
            </w:r>
          </w:p>
        </w:tc>
        <w:tc>
          <w:tcPr>
            <w:tcW w:w="3748" w:type="pct"/>
            <w:gridSpan w:val="5"/>
            <w:tcBorders>
              <w:top w:val="outset" w:sz="6" w:space="0" w:color="000000"/>
              <w:left w:val="outset" w:sz="6" w:space="0" w:color="000000"/>
              <w:bottom w:val="outset" w:sz="6" w:space="0" w:color="000000"/>
              <w:right w:val="outset" w:sz="6" w:space="0" w:color="000000"/>
            </w:tcBorders>
          </w:tcPr>
          <w:p w:rsidR="00926592" w:rsidRPr="001021B9" w:rsidRDefault="00926592" w:rsidP="00097437">
            <w:pPr>
              <w:spacing w:before="100" w:beforeAutospacing="1" w:after="100" w:afterAutospacing="1" w:line="40" w:lineRule="atLeast"/>
              <w:rPr>
                <w:sz w:val="26"/>
                <w:szCs w:val="26"/>
              </w:rPr>
            </w:pPr>
            <w:r w:rsidRPr="001021B9">
              <w:rPr>
                <w:sz w:val="26"/>
                <w:szCs w:val="26"/>
              </w:rPr>
              <w:t>Projekts šo jomu neskar</w:t>
            </w:r>
          </w:p>
        </w:tc>
      </w:tr>
      <w:tr w:rsidR="00926592" w:rsidRPr="00926592" w:rsidTr="00926592">
        <w:tblPrEx>
          <w:jc w:val="center"/>
        </w:tblPrEx>
        <w:trPr>
          <w:jc w:val="center"/>
        </w:trPr>
        <w:tc>
          <w:tcPr>
            <w:tcW w:w="1252" w:type="pct"/>
            <w:gridSpan w:val="3"/>
            <w:tcBorders>
              <w:top w:val="outset" w:sz="6" w:space="0" w:color="000000"/>
              <w:left w:val="outset" w:sz="6" w:space="0" w:color="000000"/>
              <w:bottom w:val="outset" w:sz="6" w:space="0" w:color="000000"/>
              <w:right w:val="outset" w:sz="6" w:space="0" w:color="000000"/>
            </w:tcBorders>
          </w:tcPr>
          <w:p w:rsidR="00926592" w:rsidRPr="001021B9" w:rsidRDefault="00926592" w:rsidP="00097437">
            <w:pPr>
              <w:spacing w:before="100" w:beforeAutospacing="1" w:after="100" w:afterAutospacing="1" w:line="40" w:lineRule="atLeast"/>
              <w:rPr>
                <w:sz w:val="26"/>
                <w:szCs w:val="26"/>
              </w:rPr>
            </w:pPr>
            <w:r w:rsidRPr="001021B9">
              <w:rPr>
                <w:sz w:val="26"/>
                <w:szCs w:val="26"/>
              </w:rPr>
              <w:t>Cita informācija</w:t>
            </w:r>
          </w:p>
        </w:tc>
        <w:tc>
          <w:tcPr>
            <w:tcW w:w="3748" w:type="pct"/>
            <w:gridSpan w:val="5"/>
            <w:tcBorders>
              <w:top w:val="outset" w:sz="6" w:space="0" w:color="000000"/>
              <w:left w:val="outset" w:sz="6" w:space="0" w:color="000000"/>
              <w:bottom w:val="outset" w:sz="6" w:space="0" w:color="000000"/>
              <w:right w:val="outset" w:sz="6" w:space="0" w:color="000000"/>
            </w:tcBorders>
          </w:tcPr>
          <w:p w:rsidR="00926592" w:rsidRPr="001021B9" w:rsidRDefault="00926592" w:rsidP="00097437">
            <w:pPr>
              <w:spacing w:before="100" w:beforeAutospacing="1" w:after="100" w:afterAutospacing="1" w:line="40" w:lineRule="atLeast"/>
              <w:rPr>
                <w:sz w:val="26"/>
                <w:szCs w:val="26"/>
              </w:rPr>
            </w:pPr>
            <w:r w:rsidRPr="001021B9">
              <w:rPr>
                <w:sz w:val="26"/>
                <w:szCs w:val="26"/>
              </w:rPr>
              <w:t>Nav.</w:t>
            </w:r>
          </w:p>
        </w:tc>
      </w:tr>
    </w:tbl>
    <w:p w:rsidR="00BB0A7D" w:rsidRDefault="00BB0A7D"/>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40"/>
        <w:gridCol w:w="4699"/>
        <w:gridCol w:w="4236"/>
      </w:tblGrid>
      <w:tr w:rsidR="00E87D23">
        <w:tc>
          <w:tcPr>
            <w:tcW w:w="0" w:type="auto"/>
            <w:gridSpan w:val="3"/>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jc w:val="center"/>
              <w:rPr>
                <w:b/>
                <w:bCs/>
              </w:rPr>
            </w:pPr>
            <w:r>
              <w:lastRenderedPageBreak/>
              <w:t> </w:t>
            </w:r>
            <w:r>
              <w:rPr>
                <w:b/>
                <w:bCs/>
              </w:rPr>
              <w:t>VII. Tiesību akta projekta izpildes nodrošināšana un tās ietekme uz institūcijām</w:t>
            </w:r>
          </w:p>
        </w:tc>
      </w:tr>
      <w:tr w:rsidR="00E87D23">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1.</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Projekta izpildē iesaistītās institūcijas</w:t>
            </w:r>
          </w:p>
        </w:tc>
        <w:tc>
          <w:tcPr>
            <w:tcW w:w="0" w:type="auto"/>
            <w:tcBorders>
              <w:top w:val="outset" w:sz="6" w:space="0" w:color="000000"/>
              <w:left w:val="outset" w:sz="6" w:space="0" w:color="000000"/>
              <w:bottom w:val="outset" w:sz="6" w:space="0" w:color="000000"/>
              <w:right w:val="outset" w:sz="6" w:space="0" w:color="000000"/>
            </w:tcBorders>
          </w:tcPr>
          <w:p w:rsidR="00E87D23" w:rsidRDefault="002F2E12">
            <w:pPr>
              <w:spacing w:before="100" w:beforeAutospacing="1" w:after="100" w:afterAutospacing="1"/>
            </w:pPr>
            <w:r>
              <w:t>VAS „Latvijas Pasts”</w:t>
            </w:r>
            <w:r w:rsidR="00E87D23">
              <w:t>.</w:t>
            </w:r>
          </w:p>
        </w:tc>
      </w:tr>
      <w:tr w:rsidR="00E87D23">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2.</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Projekta izpildes ietekme uz pārvaldes funkcijām</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Projekta izpilde notiks esošo pārvaldes funkciju ietvaros.</w:t>
            </w:r>
          </w:p>
        </w:tc>
      </w:tr>
      <w:tr w:rsidR="00E87D23">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3.</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Projekta izpildes ietekme uz pārvaldes institucionālo struktūru.</w:t>
            </w:r>
          </w:p>
          <w:p w:rsidR="00E87D23" w:rsidRDefault="00E87D23">
            <w:pPr>
              <w:spacing w:before="100" w:beforeAutospacing="1" w:after="100" w:afterAutospacing="1"/>
            </w:pPr>
            <w:r>
              <w:t>Jaunu institūciju izveide</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Nav attiecināms.</w:t>
            </w:r>
          </w:p>
        </w:tc>
      </w:tr>
      <w:tr w:rsidR="00E87D23">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4.</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Projekta izpildes ietekme uz pārvaldes institucionālo struktūru.</w:t>
            </w:r>
          </w:p>
          <w:p w:rsidR="00E87D23" w:rsidRDefault="00E87D23">
            <w:pPr>
              <w:spacing w:before="100" w:beforeAutospacing="1" w:after="100" w:afterAutospacing="1"/>
            </w:pPr>
            <w:r>
              <w:t>Esošu institūciju likvidācija</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Nav attiecināms.</w:t>
            </w:r>
          </w:p>
        </w:tc>
      </w:tr>
      <w:tr w:rsidR="00E87D23">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5.</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Projekta izpildes ietekme uz pārvaldes institucionālo struktūru.</w:t>
            </w:r>
          </w:p>
          <w:p w:rsidR="00E87D23" w:rsidRDefault="00E87D23">
            <w:pPr>
              <w:spacing w:before="100" w:beforeAutospacing="1" w:after="100" w:afterAutospacing="1"/>
            </w:pPr>
            <w:r>
              <w:t>Esošu institūciju reorganizācija</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Nav attiecināms.</w:t>
            </w:r>
          </w:p>
        </w:tc>
      </w:tr>
      <w:tr w:rsidR="00E87D23">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6.</w:t>
            </w:r>
          </w:p>
        </w:tc>
        <w:tc>
          <w:tcPr>
            <w:tcW w:w="0" w:type="auto"/>
            <w:tcBorders>
              <w:top w:val="outset" w:sz="6" w:space="0" w:color="000000"/>
              <w:left w:val="outset" w:sz="6" w:space="0" w:color="000000"/>
              <w:bottom w:val="outset" w:sz="6" w:space="0" w:color="000000"/>
              <w:right w:val="outset" w:sz="6" w:space="0" w:color="000000"/>
            </w:tcBorders>
          </w:tcPr>
          <w:p w:rsidR="00E87D23" w:rsidRDefault="00E87D23">
            <w:pPr>
              <w:spacing w:before="100" w:beforeAutospacing="1" w:after="100" w:afterAutospacing="1"/>
            </w:pPr>
            <w:r>
              <w:t>Cita informācija</w:t>
            </w:r>
          </w:p>
        </w:tc>
        <w:tc>
          <w:tcPr>
            <w:tcW w:w="0" w:type="auto"/>
            <w:tcBorders>
              <w:top w:val="outset" w:sz="6" w:space="0" w:color="000000"/>
              <w:left w:val="outset" w:sz="6" w:space="0" w:color="000000"/>
              <w:bottom w:val="outset" w:sz="6" w:space="0" w:color="000000"/>
              <w:right w:val="outset" w:sz="6" w:space="0" w:color="000000"/>
            </w:tcBorders>
          </w:tcPr>
          <w:p w:rsidR="00E87D23" w:rsidRDefault="002F2E12">
            <w:pPr>
              <w:spacing w:before="100" w:beforeAutospacing="1" w:after="100" w:afterAutospacing="1"/>
            </w:pPr>
            <w:r>
              <w:t>Nav attiecināms.</w:t>
            </w:r>
          </w:p>
        </w:tc>
      </w:tr>
    </w:tbl>
    <w:p w:rsidR="00E87D23" w:rsidRDefault="00E87D23"/>
    <w:p w:rsidR="00BB0A7D" w:rsidRDefault="00BB0A7D">
      <w:r>
        <w:t>Anotācijas IV un VI sadaļa – nav attiecināms.</w:t>
      </w:r>
    </w:p>
    <w:p w:rsidR="004E5718" w:rsidRDefault="004E5718"/>
    <w:p w:rsidR="00244859" w:rsidRDefault="00244859"/>
    <w:p w:rsidR="00E87D23" w:rsidRDefault="0083217D" w:rsidP="001F3C95">
      <w:pPr>
        <w:pStyle w:val="Footer"/>
        <w:tabs>
          <w:tab w:val="clear" w:pos="8306"/>
          <w:tab w:val="left" w:pos="7938"/>
        </w:tabs>
        <w:rPr>
          <w:sz w:val="28"/>
          <w:szCs w:val="28"/>
        </w:rPr>
      </w:pPr>
      <w:r>
        <w:rPr>
          <w:sz w:val="28"/>
          <w:szCs w:val="28"/>
        </w:rPr>
        <w:t>Finanšu ministrs</w:t>
      </w:r>
      <w:r>
        <w:rPr>
          <w:sz w:val="28"/>
          <w:szCs w:val="28"/>
        </w:rPr>
        <w:tab/>
      </w:r>
      <w:r>
        <w:rPr>
          <w:sz w:val="28"/>
          <w:szCs w:val="28"/>
        </w:rPr>
        <w:tab/>
        <w:t>A</w:t>
      </w:r>
      <w:r w:rsidR="00E87D23">
        <w:rPr>
          <w:sz w:val="28"/>
          <w:szCs w:val="28"/>
        </w:rPr>
        <w:t>.</w:t>
      </w:r>
      <w:r>
        <w:rPr>
          <w:sz w:val="28"/>
          <w:szCs w:val="28"/>
        </w:rPr>
        <w:t>Vilks</w:t>
      </w:r>
    </w:p>
    <w:p w:rsidR="00E87D23" w:rsidRDefault="00E87D23">
      <w:pPr>
        <w:pStyle w:val="Footer"/>
        <w:rPr>
          <w:sz w:val="28"/>
          <w:szCs w:val="28"/>
        </w:rPr>
      </w:pPr>
    </w:p>
    <w:p w:rsidR="0083217D" w:rsidRDefault="0083217D" w:rsidP="0083217D">
      <w:pPr>
        <w:rPr>
          <w:sz w:val="20"/>
        </w:rPr>
      </w:pPr>
    </w:p>
    <w:p w:rsidR="0083217D" w:rsidRDefault="00D21A24" w:rsidP="0083217D">
      <w:pPr>
        <w:rPr>
          <w:sz w:val="20"/>
        </w:rPr>
      </w:pPr>
      <w:r>
        <w:rPr>
          <w:sz w:val="20"/>
        </w:rPr>
        <w:t>1</w:t>
      </w:r>
      <w:r w:rsidR="00DC6D0F">
        <w:rPr>
          <w:sz w:val="20"/>
        </w:rPr>
        <w:t>6</w:t>
      </w:r>
      <w:r w:rsidR="006862C6">
        <w:rPr>
          <w:sz w:val="20"/>
        </w:rPr>
        <w:t>.</w:t>
      </w:r>
      <w:r w:rsidR="002F2E12">
        <w:rPr>
          <w:sz w:val="20"/>
        </w:rPr>
        <w:t>0</w:t>
      </w:r>
      <w:r>
        <w:rPr>
          <w:sz w:val="20"/>
        </w:rPr>
        <w:t>8</w:t>
      </w:r>
      <w:r w:rsidR="006862C6">
        <w:rPr>
          <w:sz w:val="20"/>
        </w:rPr>
        <w:t>.201</w:t>
      </w:r>
      <w:r w:rsidR="002F2E12">
        <w:rPr>
          <w:sz w:val="20"/>
        </w:rPr>
        <w:t>2</w:t>
      </w:r>
      <w:r w:rsidR="006862C6">
        <w:rPr>
          <w:sz w:val="20"/>
        </w:rPr>
        <w:t xml:space="preserve"> </w:t>
      </w:r>
      <w:r w:rsidR="00393EB2">
        <w:rPr>
          <w:sz w:val="20"/>
        </w:rPr>
        <w:t>1</w:t>
      </w:r>
      <w:r w:rsidR="00DC6D0F">
        <w:rPr>
          <w:sz w:val="20"/>
        </w:rPr>
        <w:t>3</w:t>
      </w:r>
      <w:r w:rsidR="006862C6">
        <w:rPr>
          <w:sz w:val="20"/>
        </w:rPr>
        <w:t>:</w:t>
      </w:r>
      <w:r w:rsidR="00DC6D0F">
        <w:rPr>
          <w:sz w:val="20"/>
        </w:rPr>
        <w:t>16</w:t>
      </w:r>
    </w:p>
    <w:p w:rsidR="00624A19" w:rsidRDefault="00624A19" w:rsidP="0083217D">
      <w:pPr>
        <w:rPr>
          <w:sz w:val="20"/>
        </w:rPr>
      </w:pPr>
      <w:r>
        <w:rPr>
          <w:sz w:val="20"/>
        </w:rPr>
        <w:fldChar w:fldCharType="begin"/>
      </w:r>
      <w:r>
        <w:rPr>
          <w:sz w:val="20"/>
        </w:rPr>
        <w:instrText xml:space="preserve"> NUMWORDS   \* MERGEFORMAT </w:instrText>
      </w:r>
      <w:r>
        <w:rPr>
          <w:sz w:val="20"/>
        </w:rPr>
        <w:fldChar w:fldCharType="separate"/>
      </w:r>
      <w:r w:rsidR="000C2949">
        <w:rPr>
          <w:noProof/>
          <w:sz w:val="20"/>
        </w:rPr>
        <w:t>1559</w:t>
      </w:r>
      <w:r>
        <w:rPr>
          <w:sz w:val="20"/>
        </w:rPr>
        <w:fldChar w:fldCharType="end"/>
      </w:r>
      <w:bookmarkStart w:id="2" w:name="_GoBack"/>
      <w:bookmarkEnd w:id="2"/>
    </w:p>
    <w:p w:rsidR="0083217D" w:rsidRDefault="001F3C95" w:rsidP="0083217D">
      <w:pPr>
        <w:rPr>
          <w:sz w:val="20"/>
        </w:rPr>
      </w:pPr>
      <w:r>
        <w:rPr>
          <w:sz w:val="20"/>
        </w:rPr>
        <w:t>M.Prikulis</w:t>
      </w:r>
    </w:p>
    <w:p w:rsidR="00E87D23" w:rsidRDefault="00796D91">
      <w:r>
        <w:rPr>
          <w:sz w:val="20"/>
        </w:rPr>
        <w:t>670942</w:t>
      </w:r>
      <w:r w:rsidR="001F3C95">
        <w:rPr>
          <w:sz w:val="20"/>
        </w:rPr>
        <w:t>9</w:t>
      </w:r>
      <w:r w:rsidR="0083217D">
        <w:rPr>
          <w:sz w:val="20"/>
        </w:rPr>
        <w:t>1,</w:t>
      </w:r>
      <w:r w:rsidR="001F3C95">
        <w:rPr>
          <w:sz w:val="20"/>
        </w:rPr>
        <w:t>Martins.Prikulis@kase.gov.lv</w:t>
      </w:r>
      <w:r>
        <w:rPr>
          <w:rStyle w:val="Hyperlink"/>
          <w:sz w:val="20"/>
        </w:rPr>
        <w:t xml:space="preserve"> </w:t>
      </w:r>
    </w:p>
    <w:sectPr w:rsidR="00E87D23" w:rsidSect="00262083">
      <w:headerReference w:type="even" r:id="rId9"/>
      <w:headerReference w:type="default" r:id="rId10"/>
      <w:footerReference w:type="default" r:id="rId11"/>
      <w:footerReference w:type="first" r:id="rId12"/>
      <w:pgSz w:w="11906" w:h="16838"/>
      <w:pgMar w:top="1258" w:right="991" w:bottom="1797"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437" w:rsidRDefault="00097437">
      <w:r>
        <w:separator/>
      </w:r>
    </w:p>
  </w:endnote>
  <w:endnote w:type="continuationSeparator" w:id="0">
    <w:p w:rsidR="00097437" w:rsidRDefault="0009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37" w:rsidRPr="00C86C9B" w:rsidRDefault="00097437" w:rsidP="008815DC">
    <w:pPr>
      <w:pStyle w:val="Footer"/>
      <w:tabs>
        <w:tab w:val="clear" w:pos="8306"/>
      </w:tabs>
      <w:jc w:val="both"/>
      <w:rPr>
        <w:sz w:val="20"/>
        <w:szCs w:val="20"/>
      </w:rPr>
    </w:pPr>
    <w:r w:rsidRPr="00C86C9B">
      <w:rPr>
        <w:sz w:val="20"/>
        <w:szCs w:val="20"/>
      </w:rPr>
      <w:fldChar w:fldCharType="begin"/>
    </w:r>
    <w:r w:rsidRPr="00C86C9B">
      <w:rPr>
        <w:sz w:val="20"/>
        <w:szCs w:val="20"/>
      </w:rPr>
      <w:instrText xml:space="preserve"> FILENAME </w:instrText>
    </w:r>
    <w:r w:rsidRPr="00C86C9B">
      <w:rPr>
        <w:sz w:val="20"/>
        <w:szCs w:val="20"/>
      </w:rPr>
      <w:fldChar w:fldCharType="separate"/>
    </w:r>
    <w:r w:rsidR="00DC6D0F">
      <w:rPr>
        <w:noProof/>
        <w:sz w:val="20"/>
        <w:szCs w:val="20"/>
      </w:rPr>
      <w:t>FMAnot_160812_MKN_972.docx</w:t>
    </w:r>
    <w:r w:rsidRPr="00C86C9B">
      <w:rPr>
        <w:sz w:val="20"/>
        <w:szCs w:val="20"/>
      </w:rPr>
      <w:fldChar w:fldCharType="end"/>
    </w:r>
    <w:r w:rsidRPr="00C86C9B">
      <w:rPr>
        <w:sz w:val="20"/>
        <w:szCs w:val="20"/>
      </w:rPr>
      <w:t>; Ministru kabineta noteikumu „Grozījumi Ministru kabineta 2010.gada 12.oktobra noteikumos Nr.972 „Noteikumi par kārtību, kā veicami maksājumi valsts budžetā un tie atzīstami par saņemtiem, un prasībām tiešsaistes maksājumu pakalpojumu izmantošanai norēķinos ar valsts budžetu” projekta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37" w:rsidRPr="00300FE2" w:rsidRDefault="00097437">
    <w:pPr>
      <w:pStyle w:val="Footer"/>
      <w:jc w:val="both"/>
      <w:rPr>
        <w:sz w:val="20"/>
        <w:szCs w:val="20"/>
      </w:rPr>
    </w:pPr>
    <w:r w:rsidRPr="00300FE2">
      <w:rPr>
        <w:sz w:val="20"/>
        <w:szCs w:val="20"/>
      </w:rPr>
      <w:fldChar w:fldCharType="begin"/>
    </w:r>
    <w:r w:rsidRPr="00300FE2">
      <w:rPr>
        <w:sz w:val="20"/>
        <w:szCs w:val="20"/>
      </w:rPr>
      <w:instrText xml:space="preserve"> FILENAME </w:instrText>
    </w:r>
    <w:r w:rsidRPr="00300FE2">
      <w:rPr>
        <w:sz w:val="20"/>
        <w:szCs w:val="20"/>
      </w:rPr>
      <w:fldChar w:fldCharType="separate"/>
    </w:r>
    <w:r w:rsidR="00ED0767">
      <w:rPr>
        <w:noProof/>
        <w:sz w:val="20"/>
        <w:szCs w:val="20"/>
      </w:rPr>
      <w:t>FMAnot_160812_MKN_972.docx</w:t>
    </w:r>
    <w:r w:rsidRPr="00300FE2">
      <w:rPr>
        <w:sz w:val="20"/>
        <w:szCs w:val="20"/>
      </w:rPr>
      <w:fldChar w:fldCharType="end"/>
    </w:r>
    <w:r w:rsidRPr="00300FE2">
      <w:rPr>
        <w:sz w:val="20"/>
        <w:szCs w:val="20"/>
      </w:rPr>
      <w:t>; Ministru kabineta noteikumu „Grozījumi Ministru kabineta 2010.gada 12.oktobra noteikumos Nr.972 „Noteikumi par kārtību, kā veicami maksājumi valsts budžetā un tie atzīstami par saņemtiem, un prasībām tiešsaistes maksājumu pakalpojumu izmantošanai norēķinos ar valsts budžetu” projekta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437" w:rsidRDefault="00097437">
      <w:r>
        <w:separator/>
      </w:r>
    </w:p>
  </w:footnote>
  <w:footnote w:type="continuationSeparator" w:id="0">
    <w:p w:rsidR="00097437" w:rsidRDefault="00097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37" w:rsidRDefault="000974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7437" w:rsidRDefault="00097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37" w:rsidRDefault="000974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2949">
      <w:rPr>
        <w:rStyle w:val="PageNumber"/>
        <w:noProof/>
      </w:rPr>
      <w:t>7</w:t>
    </w:r>
    <w:r>
      <w:rPr>
        <w:rStyle w:val="PageNumber"/>
      </w:rPr>
      <w:fldChar w:fldCharType="end"/>
    </w:r>
  </w:p>
  <w:p w:rsidR="00097437" w:rsidRDefault="000974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42C"/>
    <w:multiLevelType w:val="hybridMultilevel"/>
    <w:tmpl w:val="E85CCBE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300354C"/>
    <w:multiLevelType w:val="multilevel"/>
    <w:tmpl w:val="B24EEB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23"/>
    <w:rsid w:val="00020EF2"/>
    <w:rsid w:val="00097437"/>
    <w:rsid w:val="000B3723"/>
    <w:rsid w:val="000C2949"/>
    <w:rsid w:val="000E0B48"/>
    <w:rsid w:val="001021B9"/>
    <w:rsid w:val="001212FB"/>
    <w:rsid w:val="00124EC0"/>
    <w:rsid w:val="00153068"/>
    <w:rsid w:val="001A640C"/>
    <w:rsid w:val="001C1207"/>
    <w:rsid w:val="001C6B67"/>
    <w:rsid w:val="001C6C49"/>
    <w:rsid w:val="001F3C95"/>
    <w:rsid w:val="001F4A3A"/>
    <w:rsid w:val="001F6419"/>
    <w:rsid w:val="00244859"/>
    <w:rsid w:val="00254E5A"/>
    <w:rsid w:val="00262083"/>
    <w:rsid w:val="0026584A"/>
    <w:rsid w:val="00267780"/>
    <w:rsid w:val="00284AAA"/>
    <w:rsid w:val="002B5EC0"/>
    <w:rsid w:val="002C0883"/>
    <w:rsid w:val="002C7D02"/>
    <w:rsid w:val="002D6048"/>
    <w:rsid w:val="002F2E12"/>
    <w:rsid w:val="002F444E"/>
    <w:rsid w:val="00300FE2"/>
    <w:rsid w:val="00301428"/>
    <w:rsid w:val="00335ABA"/>
    <w:rsid w:val="00337C9E"/>
    <w:rsid w:val="003559AE"/>
    <w:rsid w:val="00360DBA"/>
    <w:rsid w:val="0036323C"/>
    <w:rsid w:val="00365E31"/>
    <w:rsid w:val="00393EB2"/>
    <w:rsid w:val="003B3010"/>
    <w:rsid w:val="003B70C6"/>
    <w:rsid w:val="00424CCD"/>
    <w:rsid w:val="00462547"/>
    <w:rsid w:val="00484A94"/>
    <w:rsid w:val="004B6B2D"/>
    <w:rsid w:val="004C6E7A"/>
    <w:rsid w:val="004D1206"/>
    <w:rsid w:val="004D6EAE"/>
    <w:rsid w:val="004D7547"/>
    <w:rsid w:val="004E5718"/>
    <w:rsid w:val="00511F92"/>
    <w:rsid w:val="005175ED"/>
    <w:rsid w:val="00521969"/>
    <w:rsid w:val="0052232C"/>
    <w:rsid w:val="00536AC6"/>
    <w:rsid w:val="00566C95"/>
    <w:rsid w:val="00574C9B"/>
    <w:rsid w:val="00582E84"/>
    <w:rsid w:val="00594BB3"/>
    <w:rsid w:val="005B0816"/>
    <w:rsid w:val="005D6AF5"/>
    <w:rsid w:val="006165A1"/>
    <w:rsid w:val="00624A19"/>
    <w:rsid w:val="00633C77"/>
    <w:rsid w:val="006363AF"/>
    <w:rsid w:val="0067697F"/>
    <w:rsid w:val="006862C6"/>
    <w:rsid w:val="006B14F4"/>
    <w:rsid w:val="006C1E2F"/>
    <w:rsid w:val="006C7DFE"/>
    <w:rsid w:val="007334B6"/>
    <w:rsid w:val="00762250"/>
    <w:rsid w:val="00786E3B"/>
    <w:rsid w:val="00790B64"/>
    <w:rsid w:val="00796D91"/>
    <w:rsid w:val="007972B2"/>
    <w:rsid w:val="007C5937"/>
    <w:rsid w:val="00813175"/>
    <w:rsid w:val="008133A3"/>
    <w:rsid w:val="0083217D"/>
    <w:rsid w:val="00843272"/>
    <w:rsid w:val="008815DC"/>
    <w:rsid w:val="008C7852"/>
    <w:rsid w:val="008D0057"/>
    <w:rsid w:val="0091459C"/>
    <w:rsid w:val="00926592"/>
    <w:rsid w:val="00930B6B"/>
    <w:rsid w:val="009351C3"/>
    <w:rsid w:val="00936A8D"/>
    <w:rsid w:val="0094078A"/>
    <w:rsid w:val="00940C94"/>
    <w:rsid w:val="00984701"/>
    <w:rsid w:val="00995348"/>
    <w:rsid w:val="009A513B"/>
    <w:rsid w:val="009B73EF"/>
    <w:rsid w:val="009C7E9B"/>
    <w:rsid w:val="009D09EF"/>
    <w:rsid w:val="009D44F0"/>
    <w:rsid w:val="009F024B"/>
    <w:rsid w:val="00A135F2"/>
    <w:rsid w:val="00A265AD"/>
    <w:rsid w:val="00A33BFD"/>
    <w:rsid w:val="00A34D43"/>
    <w:rsid w:val="00A56109"/>
    <w:rsid w:val="00A74CB6"/>
    <w:rsid w:val="00A8375A"/>
    <w:rsid w:val="00A90C25"/>
    <w:rsid w:val="00AC613A"/>
    <w:rsid w:val="00AD01E2"/>
    <w:rsid w:val="00B05683"/>
    <w:rsid w:val="00B108B5"/>
    <w:rsid w:val="00B46A6E"/>
    <w:rsid w:val="00BB0A7D"/>
    <w:rsid w:val="00BB1531"/>
    <w:rsid w:val="00BD1A04"/>
    <w:rsid w:val="00BF3FEC"/>
    <w:rsid w:val="00C279CF"/>
    <w:rsid w:val="00C30FB4"/>
    <w:rsid w:val="00C47097"/>
    <w:rsid w:val="00C576D6"/>
    <w:rsid w:val="00C86C9B"/>
    <w:rsid w:val="00C87E05"/>
    <w:rsid w:val="00CB1A3E"/>
    <w:rsid w:val="00CB4EF4"/>
    <w:rsid w:val="00CB5F80"/>
    <w:rsid w:val="00CD537C"/>
    <w:rsid w:val="00D21A24"/>
    <w:rsid w:val="00D51130"/>
    <w:rsid w:val="00D5737C"/>
    <w:rsid w:val="00D93EEF"/>
    <w:rsid w:val="00DB05A7"/>
    <w:rsid w:val="00DC2A33"/>
    <w:rsid w:val="00DC6D0F"/>
    <w:rsid w:val="00DF032F"/>
    <w:rsid w:val="00E038A0"/>
    <w:rsid w:val="00E04F72"/>
    <w:rsid w:val="00E1747A"/>
    <w:rsid w:val="00E20B69"/>
    <w:rsid w:val="00E66186"/>
    <w:rsid w:val="00E6692D"/>
    <w:rsid w:val="00E87D23"/>
    <w:rsid w:val="00EA3D76"/>
    <w:rsid w:val="00EB2639"/>
    <w:rsid w:val="00EB4AC2"/>
    <w:rsid w:val="00EC4612"/>
    <w:rsid w:val="00ED0767"/>
    <w:rsid w:val="00ED3A0D"/>
    <w:rsid w:val="00F1215C"/>
    <w:rsid w:val="00F22D12"/>
    <w:rsid w:val="00F42C66"/>
    <w:rsid w:val="00F92FD7"/>
    <w:rsid w:val="00FA0160"/>
    <w:rsid w:val="00FC4572"/>
    <w:rsid w:val="00FE69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rsid w:val="00CB4E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Verdana" w:hAnsi="Verdana"/>
      <w:sz w:val="18"/>
      <w:szCs w:val="18"/>
    </w:rPr>
  </w:style>
  <w:style w:type="paragraph" w:customStyle="1" w:styleId="naiskr">
    <w:name w:val="naiskr"/>
    <w:basedOn w:val="Normal"/>
    <w:pPr>
      <w:spacing w:before="75" w:after="75"/>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153"/>
        <w:tab w:val="right" w:pos="8306"/>
      </w:tabs>
    </w:pPr>
  </w:style>
  <w:style w:type="paragraph" w:customStyle="1" w:styleId="naisc">
    <w:name w:val="naisc"/>
    <w:basedOn w:val="Normal"/>
    <w:pPr>
      <w:spacing w:before="100" w:beforeAutospacing="1" w:after="100" w:afterAutospacing="1"/>
      <w:jc w:val="center"/>
    </w:pPr>
    <w:rPr>
      <w:rFonts w:eastAsia="Arial Unicode MS"/>
      <w:lang w:val="en-GB" w:eastAsia="en-US"/>
    </w:rPr>
  </w:style>
  <w:style w:type="paragraph" w:styleId="BodyText">
    <w:name w:val="Body Text"/>
    <w:basedOn w:val="Normal"/>
    <w:semiHidden/>
    <w:pPr>
      <w:jc w:val="both"/>
    </w:pPr>
    <w:rPr>
      <w:b/>
      <w:bCs/>
      <w:sz w:val="28"/>
      <w:lang w:eastAsia="en-US"/>
    </w:rPr>
  </w:style>
  <w:style w:type="paragraph" w:styleId="BodyTextIndent">
    <w:name w:val="Body Text Indent"/>
    <w:basedOn w:val="Normal"/>
    <w:semiHidden/>
    <w:pPr>
      <w:spacing w:after="120"/>
      <w:ind w:left="283"/>
    </w:p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FootnoteText">
    <w:name w:val="footnote text"/>
    <w:aliases w:val="Char, Char,Footnote,Fußnote,Fußnote Rakstz., Char1,Footnote Char,Fußnote Char,Char Char,Char1,Char Rakstz. Rakstz. Rakstz.,Footnote Text Char2,Footnote Text Char1 Char,Footnote Text Char1 Char Char Char, Ch,Ch,Cha,1"/>
    <w:basedOn w:val="Normal"/>
    <w:link w:val="FootnoteTextChar1"/>
    <w:semiHidden/>
    <w:rsid w:val="0026584A"/>
    <w:rPr>
      <w:sz w:val="20"/>
      <w:szCs w:val="20"/>
      <w:lang w:val="en-US" w:eastAsia="en-US"/>
    </w:rPr>
  </w:style>
  <w:style w:type="character" w:customStyle="1" w:styleId="FootnoteTextChar">
    <w:name w:val="Footnote Text Char"/>
    <w:basedOn w:val="DefaultParagraphFont"/>
    <w:uiPriority w:val="99"/>
    <w:semiHidden/>
    <w:rsid w:val="0026584A"/>
  </w:style>
  <w:style w:type="character" w:styleId="FootnoteReference">
    <w:name w:val="footnote reference"/>
    <w:aliases w:val="Footnote Reference Number,Footnote symbol,SUPERS"/>
    <w:semiHidden/>
    <w:rsid w:val="0026584A"/>
    <w:rPr>
      <w:vertAlign w:val="superscript"/>
    </w:rPr>
  </w:style>
  <w:style w:type="character" w:customStyle="1" w:styleId="FootnoteTextChar1">
    <w:name w:val="Footnote Text Char1"/>
    <w:aliases w:val="Char Char1, Char Char,Footnote Char1,Fußnote Char1,Fußnote Rakstz. Char, Char1 Char,Footnote Char Char,Fußnote Char Char,Char Char Char,Char1 Char,Char Rakstz. Rakstz. Rakstz. Char,Footnote Text Char2 Char, Ch Char,Ch Char,Cha Char"/>
    <w:link w:val="FootnoteText"/>
    <w:semiHidden/>
    <w:rsid w:val="0026584A"/>
    <w:rPr>
      <w:lang w:val="en-US" w:eastAsia="en-US"/>
    </w:rPr>
  </w:style>
  <w:style w:type="character" w:styleId="Strong">
    <w:name w:val="Strong"/>
    <w:qFormat/>
    <w:rsid w:val="002F2E12"/>
    <w:rPr>
      <w:rFonts w:cs="Times New Roman"/>
      <w:b/>
      <w:bCs/>
    </w:rPr>
  </w:style>
  <w:style w:type="character" w:customStyle="1" w:styleId="CommentTextChar">
    <w:name w:val="Comment Text Char"/>
    <w:link w:val="CommentText"/>
    <w:semiHidden/>
    <w:rsid w:val="00BB1531"/>
  </w:style>
  <w:style w:type="character" w:customStyle="1" w:styleId="Heading3Char">
    <w:name w:val="Heading 3 Char"/>
    <w:basedOn w:val="DefaultParagraphFont"/>
    <w:link w:val="Heading3"/>
    <w:uiPriority w:val="9"/>
    <w:rsid w:val="00CB4EF4"/>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926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rsid w:val="00CB4EF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Verdana" w:hAnsi="Verdana"/>
      <w:sz w:val="18"/>
      <w:szCs w:val="18"/>
    </w:rPr>
  </w:style>
  <w:style w:type="paragraph" w:customStyle="1" w:styleId="naiskr">
    <w:name w:val="naiskr"/>
    <w:basedOn w:val="Normal"/>
    <w:pPr>
      <w:spacing w:before="75" w:after="75"/>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Footer">
    <w:name w:val="footer"/>
    <w:basedOn w:val="Normal"/>
    <w:semiHidden/>
    <w:pPr>
      <w:tabs>
        <w:tab w:val="center" w:pos="4153"/>
        <w:tab w:val="right" w:pos="8306"/>
      </w:tabs>
    </w:pPr>
  </w:style>
  <w:style w:type="paragraph" w:customStyle="1" w:styleId="naisc">
    <w:name w:val="naisc"/>
    <w:basedOn w:val="Normal"/>
    <w:pPr>
      <w:spacing w:before="100" w:beforeAutospacing="1" w:after="100" w:afterAutospacing="1"/>
      <w:jc w:val="center"/>
    </w:pPr>
    <w:rPr>
      <w:rFonts w:eastAsia="Arial Unicode MS"/>
      <w:lang w:val="en-GB" w:eastAsia="en-US"/>
    </w:rPr>
  </w:style>
  <w:style w:type="paragraph" w:styleId="BodyText">
    <w:name w:val="Body Text"/>
    <w:basedOn w:val="Normal"/>
    <w:semiHidden/>
    <w:pPr>
      <w:jc w:val="both"/>
    </w:pPr>
    <w:rPr>
      <w:b/>
      <w:bCs/>
      <w:sz w:val="28"/>
      <w:lang w:eastAsia="en-US"/>
    </w:rPr>
  </w:style>
  <w:style w:type="paragraph" w:styleId="BodyTextIndent">
    <w:name w:val="Body Text Indent"/>
    <w:basedOn w:val="Normal"/>
    <w:semiHidden/>
    <w:pPr>
      <w:spacing w:after="120"/>
      <w:ind w:left="283"/>
    </w:p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FootnoteText">
    <w:name w:val="footnote text"/>
    <w:aliases w:val="Char, Char,Footnote,Fußnote,Fußnote Rakstz., Char1,Footnote Char,Fußnote Char,Char Char,Char1,Char Rakstz. Rakstz. Rakstz.,Footnote Text Char2,Footnote Text Char1 Char,Footnote Text Char1 Char Char Char, Ch,Ch,Cha,1"/>
    <w:basedOn w:val="Normal"/>
    <w:link w:val="FootnoteTextChar1"/>
    <w:semiHidden/>
    <w:rsid w:val="0026584A"/>
    <w:rPr>
      <w:sz w:val="20"/>
      <w:szCs w:val="20"/>
      <w:lang w:val="en-US" w:eastAsia="en-US"/>
    </w:rPr>
  </w:style>
  <w:style w:type="character" w:customStyle="1" w:styleId="FootnoteTextChar">
    <w:name w:val="Footnote Text Char"/>
    <w:basedOn w:val="DefaultParagraphFont"/>
    <w:uiPriority w:val="99"/>
    <w:semiHidden/>
    <w:rsid w:val="0026584A"/>
  </w:style>
  <w:style w:type="character" w:styleId="FootnoteReference">
    <w:name w:val="footnote reference"/>
    <w:aliases w:val="Footnote Reference Number,Footnote symbol,SUPERS"/>
    <w:semiHidden/>
    <w:rsid w:val="0026584A"/>
    <w:rPr>
      <w:vertAlign w:val="superscript"/>
    </w:rPr>
  </w:style>
  <w:style w:type="character" w:customStyle="1" w:styleId="FootnoteTextChar1">
    <w:name w:val="Footnote Text Char1"/>
    <w:aliases w:val="Char Char1, Char Char,Footnote Char1,Fußnote Char1,Fußnote Rakstz. Char, Char1 Char,Footnote Char Char,Fußnote Char Char,Char Char Char,Char1 Char,Char Rakstz. Rakstz. Rakstz. Char,Footnote Text Char2 Char, Ch Char,Ch Char,Cha Char"/>
    <w:link w:val="FootnoteText"/>
    <w:semiHidden/>
    <w:rsid w:val="0026584A"/>
    <w:rPr>
      <w:lang w:val="en-US" w:eastAsia="en-US"/>
    </w:rPr>
  </w:style>
  <w:style w:type="character" w:styleId="Strong">
    <w:name w:val="Strong"/>
    <w:qFormat/>
    <w:rsid w:val="002F2E12"/>
    <w:rPr>
      <w:rFonts w:cs="Times New Roman"/>
      <w:b/>
      <w:bCs/>
    </w:rPr>
  </w:style>
  <w:style w:type="character" w:customStyle="1" w:styleId="CommentTextChar">
    <w:name w:val="Comment Text Char"/>
    <w:link w:val="CommentText"/>
    <w:semiHidden/>
    <w:rsid w:val="00BB1531"/>
  </w:style>
  <w:style w:type="character" w:customStyle="1" w:styleId="Heading3Char">
    <w:name w:val="Heading 3 Char"/>
    <w:basedOn w:val="DefaultParagraphFont"/>
    <w:link w:val="Heading3"/>
    <w:uiPriority w:val="9"/>
    <w:rsid w:val="00CB4EF4"/>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9265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35328">
      <w:bodyDiv w:val="1"/>
      <w:marLeft w:val="0"/>
      <w:marRight w:val="0"/>
      <w:marTop w:val="0"/>
      <w:marBottom w:val="0"/>
      <w:divBdr>
        <w:top w:val="none" w:sz="0" w:space="0" w:color="auto"/>
        <w:left w:val="none" w:sz="0" w:space="0" w:color="auto"/>
        <w:bottom w:val="none" w:sz="0" w:space="0" w:color="auto"/>
        <w:right w:val="none" w:sz="0" w:space="0" w:color="auto"/>
      </w:divBdr>
    </w:div>
    <w:div w:id="98277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90743-056B-4C9A-A675-4086CFA1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1559</Words>
  <Characters>10414</Characters>
  <Application>Microsoft Office Word</Application>
  <DocSecurity>0</DocSecurity>
  <Lines>520</Lines>
  <Paragraphs>292</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2010.gada 12.oktobra noteikumos Nr.972 „Noteikumi par kārtību, kā veicami maksājumi valsts budžetā un tie atzīstami par saņemtiem, un prasībām tiešsaistes maksājumu pakalpojumu izmantošanai norēķino</vt:lpstr>
    </vt:vector>
  </TitlesOfParts>
  <Manager/>
  <Company>Valsts kase</Company>
  <LinksUpToDate>false</LinksUpToDate>
  <CharactersWithSpaces>11681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2010.gada 12.oktobra noteikumos Nr.972 „Noteikumi par kārtību, kā veicami maksājumi valsts budžetā un tie atzīstami par saņemtiem, un prasībām tiešsaistes maksājumu pakalpojumu izmantošanai norēķinos ar valsts budžetu” projekta sākotnējās ietekmes novērtējuma ziņojums (anotācija)</dc:title>
  <dc:subject>Anotācija</dc:subject>
  <dc:creator>Martins.Prikulis@kase.gov.lv</dc:creator>
  <cp:keywords/>
  <dc:description>Mārtiņš Prikulis 67094291, martins.prikulis@kase.gov.lv
</dc:description>
  <cp:lastModifiedBy>Martins Prikulis</cp:lastModifiedBy>
  <cp:revision>8</cp:revision>
  <cp:lastPrinted>2012-07-31T11:02:00Z</cp:lastPrinted>
  <dcterms:created xsi:type="dcterms:W3CDTF">2012-08-10T13:11:00Z</dcterms:created>
  <dcterms:modified xsi:type="dcterms:W3CDTF">2012-08-17T10:55:00Z</dcterms:modified>
</cp:coreProperties>
</file>