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30" w:rsidRPr="00E36EE6" w:rsidRDefault="00CB1130" w:rsidP="00CB1130">
      <w:pPr>
        <w:spacing w:after="0" w:line="240" w:lineRule="auto"/>
        <w:contextualSpacing/>
        <w:jc w:val="center"/>
        <w:rPr>
          <w:rFonts w:ascii="Times New Roman" w:hAnsi="Times New Roman"/>
          <w:b/>
          <w:bCs/>
          <w:sz w:val="26"/>
          <w:szCs w:val="26"/>
          <w:lang w:eastAsia="lv-LV"/>
        </w:rPr>
      </w:pPr>
      <w:r w:rsidRPr="00E36EE6">
        <w:rPr>
          <w:rFonts w:ascii="Times New Roman" w:hAnsi="Times New Roman"/>
          <w:b/>
          <w:bCs/>
          <w:sz w:val="26"/>
          <w:szCs w:val="26"/>
          <w:lang w:eastAsia="lv-LV"/>
        </w:rPr>
        <w:t xml:space="preserve">Likumprojekta </w:t>
      </w:r>
    </w:p>
    <w:p w:rsidR="00CB1130" w:rsidRPr="00E36EE6" w:rsidRDefault="00CB1130" w:rsidP="00CB1130">
      <w:pPr>
        <w:spacing w:after="0" w:line="240" w:lineRule="auto"/>
        <w:contextualSpacing/>
        <w:jc w:val="center"/>
        <w:rPr>
          <w:rFonts w:ascii="Times New Roman" w:eastAsia="Times New Roman" w:hAnsi="Times New Roman"/>
          <w:b/>
          <w:bCs/>
          <w:sz w:val="26"/>
          <w:szCs w:val="26"/>
          <w:lang w:eastAsia="lv-LV"/>
        </w:rPr>
      </w:pPr>
      <w:r w:rsidRPr="00E36EE6">
        <w:rPr>
          <w:rFonts w:ascii="Times New Roman" w:hAnsi="Times New Roman"/>
          <w:b/>
          <w:bCs/>
          <w:sz w:val="26"/>
          <w:szCs w:val="26"/>
          <w:lang w:eastAsia="lv-LV"/>
        </w:rPr>
        <w:t xml:space="preserve">„Grozījumi likumā „Par uzņēmumu ienākuma nodokli”” </w:t>
      </w:r>
      <w:r w:rsidRPr="00E36EE6">
        <w:rPr>
          <w:rFonts w:ascii="Times New Roman" w:eastAsia="Times New Roman" w:hAnsi="Times New Roman"/>
          <w:b/>
          <w:bCs/>
          <w:sz w:val="26"/>
          <w:szCs w:val="26"/>
          <w:lang w:eastAsia="lv-LV"/>
        </w:rPr>
        <w:t>sākotnējās ietekmes novērtējuma ziņojums (anotācija)</w:t>
      </w:r>
    </w:p>
    <w:p w:rsidR="00CB1130" w:rsidRPr="00E36EE6" w:rsidRDefault="00CB1130" w:rsidP="00CB1130">
      <w:pPr>
        <w:spacing w:after="0" w:line="240" w:lineRule="auto"/>
        <w:contextualSpacing/>
        <w:jc w:val="center"/>
        <w:rPr>
          <w:rFonts w:ascii="Times New Roman" w:eastAsia="Times New Roman" w:hAnsi="Times New Roman"/>
          <w:sz w:val="26"/>
          <w:szCs w:val="26"/>
          <w:lang w:eastAsia="lv-LV"/>
        </w:rPr>
      </w:pPr>
    </w:p>
    <w:tbl>
      <w:tblPr>
        <w:tblW w:w="923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
        <w:gridCol w:w="626"/>
        <w:gridCol w:w="9"/>
        <w:gridCol w:w="89"/>
        <w:gridCol w:w="881"/>
        <w:gridCol w:w="809"/>
        <w:gridCol w:w="68"/>
        <w:gridCol w:w="60"/>
        <w:gridCol w:w="45"/>
        <w:gridCol w:w="169"/>
        <w:gridCol w:w="130"/>
        <w:gridCol w:w="1095"/>
        <w:gridCol w:w="463"/>
        <w:gridCol w:w="689"/>
        <w:gridCol w:w="21"/>
        <w:gridCol w:w="420"/>
        <w:gridCol w:w="78"/>
        <w:gridCol w:w="64"/>
        <w:gridCol w:w="1011"/>
        <w:gridCol w:w="673"/>
        <w:gridCol w:w="1748"/>
        <w:gridCol w:w="83"/>
      </w:tblGrid>
      <w:tr w:rsidR="00CB1130" w:rsidRPr="00E36EE6" w:rsidTr="004D26EA">
        <w:trPr>
          <w:gridBefore w:val="1"/>
          <w:gridAfter w:val="1"/>
          <w:wBefore w:w="11" w:type="dxa"/>
          <w:wAfter w:w="85" w:type="dxa"/>
          <w:tblCellSpacing w:w="0" w:type="dxa"/>
        </w:trPr>
        <w:tc>
          <w:tcPr>
            <w:tcW w:w="9143" w:type="dxa"/>
            <w:gridSpan w:val="20"/>
            <w:tcBorders>
              <w:top w:val="outset" w:sz="6" w:space="0" w:color="auto"/>
              <w:bottom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lang w:eastAsia="lv-LV"/>
              </w:rPr>
            </w:pPr>
            <w:r w:rsidRPr="00E36EE6">
              <w:rPr>
                <w:rFonts w:ascii="Times New Roman" w:hAnsi="Times New Roman"/>
                <w:b/>
                <w:bCs/>
                <w:sz w:val="26"/>
                <w:szCs w:val="26"/>
                <w:lang w:eastAsia="lv-LV"/>
              </w:rPr>
              <w:t>I. Tiesību akta projekta izstrādes nepieciešamība</w:t>
            </w:r>
          </w:p>
        </w:tc>
      </w:tr>
      <w:tr w:rsidR="00CB1130" w:rsidRPr="00E36EE6" w:rsidTr="004D26EA">
        <w:trPr>
          <w:gridBefore w:val="1"/>
          <w:gridAfter w:val="1"/>
          <w:wBefore w:w="11" w:type="dxa"/>
          <w:wAfter w:w="85" w:type="dxa"/>
          <w:trHeight w:val="630"/>
          <w:tblCellSpacing w:w="0" w:type="dxa"/>
        </w:trPr>
        <w:tc>
          <w:tcPr>
            <w:tcW w:w="635" w:type="dxa"/>
            <w:gridSpan w:val="2"/>
            <w:tcBorders>
              <w:top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1.</w:t>
            </w:r>
          </w:p>
        </w:tc>
        <w:tc>
          <w:tcPr>
            <w:tcW w:w="2340" w:type="dxa"/>
            <w:gridSpan w:val="8"/>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Pamatojums</w:t>
            </w:r>
          </w:p>
        </w:tc>
        <w:tc>
          <w:tcPr>
            <w:tcW w:w="6168" w:type="dxa"/>
            <w:gridSpan w:val="10"/>
            <w:tcBorders>
              <w:top w:val="outset" w:sz="6" w:space="0" w:color="auto"/>
              <w:left w:val="outset" w:sz="6" w:space="0" w:color="auto"/>
              <w:bottom w:val="outset" w:sz="6" w:space="0" w:color="auto"/>
            </w:tcBorders>
          </w:tcPr>
          <w:p w:rsidR="00CB1130" w:rsidRPr="00E36EE6" w:rsidRDefault="00CB1130" w:rsidP="008E505E">
            <w:pPr>
              <w:pStyle w:val="BodyText"/>
              <w:ind w:firstLine="694"/>
              <w:jc w:val="both"/>
              <w:rPr>
                <w:color w:val="FF0000"/>
                <w:sz w:val="26"/>
                <w:szCs w:val="26"/>
                <w:lang w:eastAsia="lv-LV"/>
              </w:rPr>
            </w:pPr>
            <w:r w:rsidRPr="00E36EE6">
              <w:rPr>
                <w:color w:val="FF0000"/>
                <w:sz w:val="26"/>
                <w:szCs w:val="26"/>
                <w:lang w:eastAsia="lv-LV"/>
              </w:rPr>
              <w:t> </w:t>
            </w:r>
            <w:r w:rsidRPr="00E36EE6">
              <w:rPr>
                <w:bCs/>
                <w:sz w:val="26"/>
                <w:szCs w:val="26"/>
              </w:rPr>
              <w:t xml:space="preserve">Likumprojekts </w:t>
            </w:r>
            <w:r w:rsidRPr="00E36EE6">
              <w:rPr>
                <w:sz w:val="26"/>
                <w:szCs w:val="26"/>
              </w:rPr>
              <w:t>„Grozījumi</w:t>
            </w:r>
            <w:r w:rsidRPr="00E36EE6">
              <w:rPr>
                <w:b/>
                <w:bCs/>
                <w:sz w:val="26"/>
                <w:szCs w:val="26"/>
                <w:lang w:eastAsia="lv-LV"/>
              </w:rPr>
              <w:t xml:space="preserve"> </w:t>
            </w:r>
            <w:r w:rsidRPr="00E36EE6">
              <w:rPr>
                <w:bCs/>
                <w:sz w:val="26"/>
                <w:szCs w:val="26"/>
                <w:lang w:eastAsia="lv-LV"/>
              </w:rPr>
              <w:t>likumā „Par uzņēmumu ienākuma nodokli””</w:t>
            </w:r>
            <w:r w:rsidRPr="00E36EE6">
              <w:rPr>
                <w:sz w:val="26"/>
                <w:szCs w:val="26"/>
              </w:rPr>
              <w:t xml:space="preserve"> (turpmāk ― likumprojekts)</w:t>
            </w:r>
            <w:r w:rsidRPr="00E36EE6">
              <w:rPr>
                <w:color w:val="FF0000"/>
                <w:sz w:val="26"/>
                <w:szCs w:val="26"/>
              </w:rPr>
              <w:t xml:space="preserve"> </w:t>
            </w:r>
            <w:r w:rsidRPr="00E36EE6">
              <w:rPr>
                <w:sz w:val="26"/>
                <w:szCs w:val="26"/>
              </w:rPr>
              <w:t>ir izstrādāts</w:t>
            </w:r>
            <w:r>
              <w:rPr>
                <w:sz w:val="26"/>
                <w:szCs w:val="26"/>
              </w:rPr>
              <w:t xml:space="preserve">, </w:t>
            </w:r>
            <w:r w:rsidRPr="00E36EE6">
              <w:rPr>
                <w:sz w:val="26"/>
                <w:szCs w:val="26"/>
              </w:rPr>
              <w:t xml:space="preserve">lai izpildītu Ministru kabineta 2011.gada 7.jūnija </w:t>
            </w:r>
            <w:proofErr w:type="spellStart"/>
            <w:r w:rsidRPr="00E36EE6">
              <w:rPr>
                <w:sz w:val="26"/>
                <w:szCs w:val="26"/>
              </w:rPr>
              <w:t>protokollēmuma</w:t>
            </w:r>
            <w:proofErr w:type="spellEnd"/>
            <w:r w:rsidRPr="00E36EE6">
              <w:rPr>
                <w:sz w:val="26"/>
                <w:szCs w:val="26"/>
              </w:rPr>
              <w:t xml:space="preserve"> Nr.35 30.§ </w:t>
            </w:r>
            <w:r w:rsidR="008E505E">
              <w:rPr>
                <w:sz w:val="26"/>
                <w:szCs w:val="26"/>
              </w:rPr>
              <w:t>3</w:t>
            </w:r>
            <w:bookmarkStart w:id="0" w:name="_GoBack"/>
            <w:bookmarkEnd w:id="0"/>
            <w:r w:rsidRPr="00E36EE6">
              <w:rPr>
                <w:sz w:val="26"/>
                <w:szCs w:val="26"/>
              </w:rPr>
              <w:t>.punktā doto uzdevumu pakāpeniski samazināt nodokļu slogu ienākošajiem un izejošajiem dividenžu un procentu maksājumiem, atlīdzībai par intelektuālā īpašuma izmantošanu un kapitāla pieaugumam no kapitāla daļu vai akciju atsavināšanas</w:t>
            </w:r>
            <w:r>
              <w:rPr>
                <w:sz w:val="26"/>
                <w:szCs w:val="26"/>
              </w:rPr>
              <w:t xml:space="preserve">, un </w:t>
            </w:r>
            <w:r w:rsidRPr="00E36EE6">
              <w:rPr>
                <w:sz w:val="26"/>
                <w:szCs w:val="26"/>
              </w:rPr>
              <w:t xml:space="preserve"> lai ieviestu </w:t>
            </w:r>
            <w:r w:rsidRPr="00933625">
              <w:rPr>
                <w:sz w:val="26"/>
                <w:szCs w:val="26"/>
              </w:rPr>
              <w:t xml:space="preserve">Ekonomikas ministrijas un Satiksmes ministrijas priekšlikumus, kas precizētu nodokļu atlaides </w:t>
            </w:r>
            <w:r w:rsidRPr="00933625">
              <w:rPr>
                <w:bCs/>
                <w:sz w:val="26"/>
                <w:szCs w:val="26"/>
              </w:rPr>
              <w:t>par atbalstāmo investīciju projekta ietvaros veiktajiem sākotnējiem ilgtermiņa ieguldījumiem</w:t>
            </w:r>
            <w:r w:rsidRPr="00933625">
              <w:rPr>
                <w:sz w:val="26"/>
                <w:szCs w:val="26"/>
              </w:rPr>
              <w:t xml:space="preserve"> piemērošanu.</w:t>
            </w:r>
          </w:p>
        </w:tc>
      </w:tr>
      <w:tr w:rsidR="00CB1130" w:rsidRPr="00E36EE6" w:rsidTr="004D26EA">
        <w:trPr>
          <w:gridBefore w:val="1"/>
          <w:gridAfter w:val="1"/>
          <w:wBefore w:w="11" w:type="dxa"/>
          <w:wAfter w:w="85" w:type="dxa"/>
          <w:trHeight w:val="472"/>
          <w:tblCellSpacing w:w="0" w:type="dxa"/>
        </w:trPr>
        <w:tc>
          <w:tcPr>
            <w:tcW w:w="635" w:type="dxa"/>
            <w:gridSpan w:val="2"/>
            <w:tcBorders>
              <w:top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2.</w:t>
            </w:r>
          </w:p>
        </w:tc>
        <w:tc>
          <w:tcPr>
            <w:tcW w:w="2340" w:type="dxa"/>
            <w:gridSpan w:val="8"/>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Pašreizējā situācija un problēmas</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pStyle w:val="BodyTextIndent"/>
              <w:spacing w:after="0" w:line="240" w:lineRule="auto"/>
              <w:ind w:left="-17" w:firstLine="709"/>
              <w:contextualSpacing/>
              <w:jc w:val="both"/>
              <w:rPr>
                <w:rFonts w:ascii="Times New Roman" w:hAnsi="Times New Roman"/>
                <w:i/>
                <w:sz w:val="26"/>
                <w:szCs w:val="26"/>
              </w:rPr>
            </w:pPr>
            <w:r w:rsidRPr="00E36EE6">
              <w:rPr>
                <w:rFonts w:ascii="Times New Roman" w:hAnsi="Times New Roman"/>
                <w:i/>
                <w:sz w:val="26"/>
                <w:szCs w:val="26"/>
              </w:rPr>
              <w:t>Būvju klasifikācijas kods</w:t>
            </w:r>
          </w:p>
          <w:p w:rsidR="00CB1130" w:rsidRPr="00E36EE6" w:rsidRDefault="00CB1130" w:rsidP="004D26EA">
            <w:pPr>
              <w:pStyle w:val="BodyTextIndent"/>
              <w:spacing w:after="0" w:line="240" w:lineRule="auto"/>
              <w:ind w:left="-17" w:firstLine="709"/>
              <w:contextualSpacing/>
              <w:jc w:val="both"/>
              <w:rPr>
                <w:rFonts w:ascii="Times New Roman" w:hAnsi="Times New Roman"/>
                <w:sz w:val="26"/>
                <w:szCs w:val="26"/>
              </w:rPr>
            </w:pPr>
            <w:r w:rsidRPr="00E36EE6">
              <w:rPr>
                <w:rFonts w:ascii="Times New Roman" w:hAnsi="Times New Roman"/>
                <w:sz w:val="26"/>
                <w:szCs w:val="26"/>
              </w:rPr>
              <w:t>Likuma „Par uzņēmumu ienākuma nodokli” (turpmāk – likums) 17.</w:t>
            </w:r>
            <w:r w:rsidRPr="00E36EE6">
              <w:rPr>
                <w:rFonts w:ascii="Times New Roman" w:hAnsi="Times New Roman"/>
                <w:sz w:val="26"/>
                <w:szCs w:val="26"/>
                <w:vertAlign w:val="superscript"/>
              </w:rPr>
              <w:t>2</w:t>
            </w:r>
            <w:r w:rsidRPr="00E36EE6">
              <w:rPr>
                <w:rFonts w:ascii="Times New Roman" w:hAnsi="Times New Roman"/>
                <w:sz w:val="26"/>
                <w:szCs w:val="26"/>
              </w:rPr>
              <w:t xml:space="preserve">panta normas paredz uzņēmumu ienākuma nodokļa atlaidi arī telekomunikāciju nozarēm. Savukārt likuma 1.panta divdesmit septītā daļā, kas nosaka sākotnējo ilgtermiņa ieguldījumu definīciju, nav </w:t>
            </w:r>
            <w:r>
              <w:rPr>
                <w:rFonts w:ascii="Times New Roman" w:hAnsi="Times New Roman"/>
                <w:sz w:val="26"/>
                <w:szCs w:val="26"/>
              </w:rPr>
              <w:t xml:space="preserve">iekļauta </w:t>
            </w:r>
            <w:r w:rsidRPr="00E36EE6">
              <w:rPr>
                <w:rFonts w:ascii="Times New Roman" w:hAnsi="Times New Roman"/>
                <w:sz w:val="26"/>
                <w:szCs w:val="26"/>
              </w:rPr>
              <w:t>atsauce</w:t>
            </w:r>
            <w:r>
              <w:rPr>
                <w:rFonts w:ascii="Times New Roman" w:hAnsi="Times New Roman"/>
                <w:sz w:val="26"/>
                <w:szCs w:val="26"/>
              </w:rPr>
              <w:t xml:space="preserve"> </w:t>
            </w:r>
            <w:r w:rsidRPr="00441CDA">
              <w:rPr>
                <w:rFonts w:ascii="Times New Roman" w:hAnsi="Times New Roman"/>
                <w:sz w:val="26"/>
                <w:szCs w:val="26"/>
              </w:rPr>
              <w:t>uz</w:t>
            </w:r>
            <w:r w:rsidRPr="008369B3">
              <w:rPr>
                <w:rFonts w:ascii="Times New Roman" w:hAnsi="Times New Roman"/>
                <w:b/>
                <w:sz w:val="26"/>
                <w:szCs w:val="26"/>
              </w:rPr>
              <w:t xml:space="preserve"> </w:t>
            </w:r>
            <w:r>
              <w:rPr>
                <w:rFonts w:ascii="Times New Roman" w:hAnsi="Times New Roman"/>
                <w:sz w:val="26"/>
                <w:szCs w:val="26"/>
              </w:rPr>
              <w:t xml:space="preserve">telekomunikāciju nozarē būtiskāko investīciju </w:t>
            </w:r>
            <w:r w:rsidRPr="00441CDA">
              <w:rPr>
                <w:rFonts w:ascii="Times New Roman" w:hAnsi="Times New Roman"/>
                <w:sz w:val="26"/>
                <w:szCs w:val="26"/>
              </w:rPr>
              <w:t>veidu:  sakaru un elektropārvades līnijām.</w:t>
            </w:r>
            <w:r>
              <w:rPr>
                <w:rFonts w:ascii="Times New Roman" w:hAnsi="Times New Roman"/>
                <w:sz w:val="26"/>
                <w:szCs w:val="26"/>
              </w:rPr>
              <w:t xml:space="preserve"> Lai nodrošinātu, ka</w:t>
            </w:r>
            <w:r w:rsidRPr="00E36EE6">
              <w:rPr>
                <w:rFonts w:ascii="Times New Roman" w:hAnsi="Times New Roman"/>
                <w:sz w:val="26"/>
                <w:szCs w:val="26"/>
              </w:rPr>
              <w:t xml:space="preserve"> telekomunikāciju nozar</w:t>
            </w:r>
            <w:r>
              <w:rPr>
                <w:rFonts w:ascii="Times New Roman" w:hAnsi="Times New Roman"/>
                <w:sz w:val="26"/>
                <w:szCs w:val="26"/>
              </w:rPr>
              <w:t>e ne tikai formāli bet pēc būtības var izmantot šo atlaidi</w:t>
            </w:r>
            <w:r w:rsidRPr="00441CDA">
              <w:rPr>
                <w:rFonts w:ascii="Times New Roman" w:hAnsi="Times New Roman"/>
                <w:sz w:val="26"/>
                <w:szCs w:val="26"/>
              </w:rPr>
              <w:t xml:space="preserve">, </w:t>
            </w:r>
            <w:r>
              <w:rPr>
                <w:rFonts w:ascii="Times New Roman" w:hAnsi="Times New Roman"/>
                <w:sz w:val="26"/>
                <w:szCs w:val="26"/>
              </w:rPr>
              <w:t>ir jāpapildina likumā noteiktā definīcija</w:t>
            </w:r>
            <w:r w:rsidRPr="00E36EE6">
              <w:rPr>
                <w:rFonts w:ascii="Times New Roman" w:hAnsi="Times New Roman"/>
                <w:sz w:val="26"/>
                <w:szCs w:val="26"/>
              </w:rPr>
              <w:t xml:space="preserve"> </w:t>
            </w:r>
            <w:r>
              <w:rPr>
                <w:rFonts w:ascii="Times New Roman" w:hAnsi="Times New Roman"/>
                <w:sz w:val="26"/>
                <w:szCs w:val="26"/>
              </w:rPr>
              <w:t>ar</w:t>
            </w:r>
            <w:r w:rsidRPr="00E36EE6">
              <w:rPr>
                <w:rFonts w:ascii="Times New Roman" w:hAnsi="Times New Roman"/>
                <w:sz w:val="26"/>
                <w:szCs w:val="26"/>
              </w:rPr>
              <w:t xml:space="preserve"> būvju klasifikācijas 22.kodu „Cauruļvadi, sakaru un elektropārvades līnijas” zem kura tiek </w:t>
            </w:r>
            <w:r w:rsidRPr="00441CDA">
              <w:rPr>
                <w:rFonts w:ascii="Times New Roman" w:hAnsi="Times New Roman"/>
                <w:sz w:val="26"/>
                <w:szCs w:val="26"/>
              </w:rPr>
              <w:t>grupēti</w:t>
            </w:r>
            <w:r w:rsidRPr="008369B3">
              <w:rPr>
                <w:rFonts w:ascii="Times New Roman" w:hAnsi="Times New Roman"/>
                <w:b/>
                <w:sz w:val="26"/>
                <w:szCs w:val="26"/>
              </w:rPr>
              <w:t xml:space="preserve"> </w:t>
            </w:r>
            <w:r w:rsidRPr="00E36EE6">
              <w:rPr>
                <w:rFonts w:ascii="Times New Roman" w:hAnsi="Times New Roman"/>
                <w:sz w:val="26"/>
                <w:szCs w:val="26"/>
              </w:rPr>
              <w:t xml:space="preserve"> elektronisko sakaru tīkls, tā darbības nodrošināšanas infrastruktūras izveidošana, torņu un mastu būve iekārtu izveidošanai un sakaru līniju izbūve.</w:t>
            </w:r>
          </w:p>
          <w:p w:rsidR="00CB1130" w:rsidRPr="00E36EE6" w:rsidRDefault="00CB1130" w:rsidP="004D26EA">
            <w:pPr>
              <w:pStyle w:val="BodyTextIndent"/>
              <w:spacing w:after="0" w:line="240" w:lineRule="auto"/>
              <w:ind w:left="-17" w:firstLine="709"/>
              <w:contextualSpacing/>
              <w:jc w:val="both"/>
              <w:rPr>
                <w:rFonts w:ascii="Times New Roman" w:hAnsi="Times New Roman"/>
                <w:bCs/>
                <w:i/>
                <w:sz w:val="26"/>
                <w:szCs w:val="26"/>
              </w:rPr>
            </w:pPr>
            <w:r w:rsidRPr="00E36EE6">
              <w:rPr>
                <w:rFonts w:ascii="Times New Roman" w:hAnsi="Times New Roman"/>
                <w:bCs/>
                <w:i/>
                <w:sz w:val="26"/>
                <w:szCs w:val="26"/>
              </w:rPr>
              <w:t>Darba mašīnas</w:t>
            </w:r>
          </w:p>
          <w:p w:rsidR="00CB1130" w:rsidRPr="00E36EE6" w:rsidRDefault="00CB1130" w:rsidP="004D26EA">
            <w:pPr>
              <w:pStyle w:val="BodyTextIndent"/>
              <w:spacing w:after="0" w:line="240" w:lineRule="auto"/>
              <w:ind w:left="-17" w:firstLine="709"/>
              <w:contextualSpacing/>
              <w:jc w:val="both"/>
              <w:rPr>
                <w:rFonts w:ascii="Times New Roman" w:hAnsi="Times New Roman"/>
                <w:sz w:val="26"/>
                <w:szCs w:val="26"/>
              </w:rPr>
            </w:pPr>
            <w:r w:rsidRPr="00E36EE6">
              <w:rPr>
                <w:rFonts w:ascii="Times New Roman" w:hAnsi="Times New Roman"/>
                <w:sz w:val="26"/>
                <w:szCs w:val="26"/>
              </w:rPr>
              <w:t>Likuma</w:t>
            </w:r>
            <w:r>
              <w:rPr>
                <w:rFonts w:ascii="Times New Roman" w:hAnsi="Times New Roman"/>
                <w:sz w:val="26"/>
                <w:szCs w:val="26"/>
              </w:rPr>
              <w:t xml:space="preserve"> 1.panta divdesmit astotajā daļā </w:t>
            </w:r>
            <w:r w:rsidRPr="00E36EE6">
              <w:rPr>
                <w:rFonts w:ascii="Times New Roman" w:hAnsi="Times New Roman"/>
                <w:sz w:val="26"/>
                <w:szCs w:val="26"/>
              </w:rPr>
              <w:t xml:space="preserve"> </w:t>
            </w:r>
            <w:r>
              <w:rPr>
                <w:rFonts w:ascii="Times New Roman" w:hAnsi="Times New Roman"/>
                <w:sz w:val="26"/>
                <w:szCs w:val="26"/>
              </w:rPr>
              <w:t>„</w:t>
            </w:r>
            <w:r w:rsidRPr="00E36EE6">
              <w:rPr>
                <w:rFonts w:ascii="Times New Roman" w:hAnsi="Times New Roman"/>
                <w:sz w:val="26"/>
                <w:szCs w:val="26"/>
              </w:rPr>
              <w:t>j</w:t>
            </w:r>
            <w:r w:rsidRPr="00E36EE6">
              <w:rPr>
                <w:rFonts w:ascii="Times New Roman" w:hAnsi="Times New Roman"/>
                <w:bCs/>
                <w:sz w:val="26"/>
                <w:szCs w:val="26"/>
              </w:rPr>
              <w:t>aunas ražošanas tehnoloģiskās iekārtas</w:t>
            </w:r>
            <w:r>
              <w:rPr>
                <w:rFonts w:ascii="Times New Roman" w:hAnsi="Times New Roman"/>
                <w:bCs/>
                <w:sz w:val="26"/>
                <w:szCs w:val="26"/>
              </w:rPr>
              <w:t>”</w:t>
            </w:r>
            <w:r w:rsidRPr="00E36EE6">
              <w:rPr>
                <w:rFonts w:ascii="Times New Roman" w:hAnsi="Times New Roman"/>
                <w:bCs/>
                <w:sz w:val="26"/>
                <w:szCs w:val="26"/>
              </w:rPr>
              <w:t xml:space="preserve"> definīcija nosaka, ka d</w:t>
            </w:r>
            <w:r w:rsidRPr="00E36EE6">
              <w:rPr>
                <w:rFonts w:ascii="Times New Roman" w:hAnsi="Times New Roman"/>
                <w:sz w:val="26"/>
                <w:szCs w:val="26"/>
              </w:rPr>
              <w:t xml:space="preserve">arba mašīnas būtiska sastāvdaļa ir </w:t>
            </w:r>
            <w:proofErr w:type="spellStart"/>
            <w:r w:rsidRPr="00E36EE6">
              <w:rPr>
                <w:rFonts w:ascii="Times New Roman" w:hAnsi="Times New Roman"/>
                <w:sz w:val="26"/>
                <w:szCs w:val="26"/>
              </w:rPr>
              <w:t>pilnpiedziņas</w:t>
            </w:r>
            <w:proofErr w:type="spellEnd"/>
            <w:r w:rsidRPr="00E36EE6">
              <w:rPr>
                <w:rFonts w:ascii="Times New Roman" w:hAnsi="Times New Roman"/>
                <w:sz w:val="26"/>
                <w:szCs w:val="26"/>
              </w:rPr>
              <w:t xml:space="preserve"> </w:t>
            </w:r>
            <w:proofErr w:type="spellStart"/>
            <w:r w:rsidRPr="00E36EE6">
              <w:rPr>
                <w:rFonts w:ascii="Times New Roman" w:hAnsi="Times New Roman"/>
                <w:sz w:val="26"/>
                <w:szCs w:val="26"/>
              </w:rPr>
              <w:t>izpildsistēmas</w:t>
            </w:r>
            <w:proofErr w:type="spellEnd"/>
            <w:r w:rsidRPr="00E36EE6">
              <w:rPr>
                <w:rFonts w:ascii="Times New Roman" w:hAnsi="Times New Roman"/>
                <w:sz w:val="26"/>
                <w:szCs w:val="26"/>
              </w:rPr>
              <w:t xml:space="preserve">. Ņemot vērā, ka darba mašīnas tiek modernizētas, </w:t>
            </w:r>
            <w:r>
              <w:rPr>
                <w:rFonts w:ascii="Times New Roman" w:hAnsi="Times New Roman"/>
                <w:sz w:val="26"/>
                <w:szCs w:val="26"/>
              </w:rPr>
              <w:t xml:space="preserve">un ir iespējama ne tikai mehāniska </w:t>
            </w:r>
            <w:proofErr w:type="spellStart"/>
            <w:r>
              <w:rPr>
                <w:rFonts w:ascii="Times New Roman" w:hAnsi="Times New Roman"/>
                <w:sz w:val="26"/>
                <w:szCs w:val="26"/>
              </w:rPr>
              <w:t>izpildsistēmu</w:t>
            </w:r>
            <w:proofErr w:type="spellEnd"/>
            <w:r>
              <w:rPr>
                <w:rFonts w:ascii="Times New Roman" w:hAnsi="Times New Roman"/>
                <w:sz w:val="26"/>
                <w:szCs w:val="26"/>
              </w:rPr>
              <w:t xml:space="preserve"> piedziņa, ir atzīstams, ka </w:t>
            </w:r>
            <w:r w:rsidRPr="00E36EE6">
              <w:rPr>
                <w:rFonts w:ascii="Times New Roman" w:hAnsi="Times New Roman"/>
                <w:sz w:val="26"/>
                <w:szCs w:val="26"/>
              </w:rPr>
              <w:t>šād</w:t>
            </w:r>
            <w:r>
              <w:rPr>
                <w:rFonts w:ascii="Times New Roman" w:hAnsi="Times New Roman"/>
                <w:sz w:val="26"/>
                <w:szCs w:val="26"/>
              </w:rPr>
              <w:t>a</w:t>
            </w:r>
            <w:r w:rsidRPr="00E36EE6">
              <w:rPr>
                <w:rFonts w:ascii="Times New Roman" w:hAnsi="Times New Roman"/>
                <w:sz w:val="26"/>
                <w:szCs w:val="26"/>
              </w:rPr>
              <w:t xml:space="preserve"> </w:t>
            </w:r>
            <w:r>
              <w:rPr>
                <w:rFonts w:ascii="Times New Roman" w:hAnsi="Times New Roman"/>
                <w:sz w:val="26"/>
                <w:szCs w:val="26"/>
              </w:rPr>
              <w:t xml:space="preserve">definīcija ir ierobežojoša, un to nepieciešams precizēt, lai tā modernas piedziņas </w:t>
            </w:r>
            <w:proofErr w:type="spellStart"/>
            <w:r>
              <w:rPr>
                <w:rFonts w:ascii="Times New Roman" w:hAnsi="Times New Roman"/>
                <w:sz w:val="26"/>
                <w:szCs w:val="26"/>
              </w:rPr>
              <w:t>izpildsistēmas</w:t>
            </w:r>
            <w:proofErr w:type="spellEnd"/>
            <w:r w:rsidRPr="00E36EE6">
              <w:rPr>
                <w:rFonts w:ascii="Times New Roman" w:hAnsi="Times New Roman"/>
                <w:sz w:val="26"/>
                <w:szCs w:val="26"/>
              </w:rPr>
              <w:t>.</w:t>
            </w:r>
          </w:p>
          <w:p w:rsidR="00CB1130" w:rsidRPr="005875E7" w:rsidRDefault="00CB1130" w:rsidP="004D26EA">
            <w:pPr>
              <w:pStyle w:val="BodyTextIndent"/>
              <w:spacing w:after="0" w:line="240" w:lineRule="auto"/>
              <w:ind w:left="-17" w:firstLine="709"/>
              <w:contextualSpacing/>
              <w:jc w:val="both"/>
              <w:rPr>
                <w:rFonts w:ascii="Times New Roman" w:hAnsi="Times New Roman"/>
                <w:i/>
                <w:sz w:val="26"/>
                <w:szCs w:val="26"/>
              </w:rPr>
            </w:pPr>
            <w:r w:rsidRPr="005875E7">
              <w:rPr>
                <w:rFonts w:ascii="Times New Roman" w:hAnsi="Times New Roman"/>
                <w:i/>
                <w:sz w:val="26"/>
                <w:szCs w:val="26"/>
              </w:rPr>
              <w:t xml:space="preserve">Nodokļa uzlikšana dividendēm, kapitāla pieaugumam no kapitāla daļu un akciju atsavināšanas, procentiem un atlīdzībai par intelektuālā īpašuma izmantošanu </w:t>
            </w:r>
          </w:p>
          <w:p w:rsidR="00CB1130" w:rsidRDefault="00CB1130" w:rsidP="004D26EA">
            <w:pPr>
              <w:pStyle w:val="BodyTextIndent"/>
              <w:spacing w:after="0" w:line="240" w:lineRule="auto"/>
              <w:ind w:left="-17" w:firstLine="709"/>
              <w:contextualSpacing/>
              <w:jc w:val="both"/>
              <w:rPr>
                <w:rFonts w:ascii="Times New Roman" w:hAnsi="Times New Roman"/>
                <w:sz w:val="26"/>
                <w:szCs w:val="26"/>
              </w:rPr>
            </w:pPr>
            <w:r>
              <w:rPr>
                <w:rFonts w:ascii="Times New Roman" w:hAnsi="Times New Roman"/>
                <w:sz w:val="26"/>
                <w:szCs w:val="26"/>
              </w:rPr>
              <w:t>Patreizējā redakcijā l</w:t>
            </w:r>
            <w:r w:rsidRPr="00DC4FB9">
              <w:rPr>
                <w:rFonts w:ascii="Times New Roman" w:hAnsi="Times New Roman"/>
                <w:sz w:val="26"/>
                <w:szCs w:val="26"/>
              </w:rPr>
              <w:t>ikums paredz, ka</w:t>
            </w:r>
            <w:r>
              <w:rPr>
                <w:rFonts w:ascii="Times New Roman" w:hAnsi="Times New Roman"/>
                <w:sz w:val="26"/>
                <w:szCs w:val="26"/>
              </w:rPr>
              <w:t>,</w:t>
            </w:r>
            <w:r w:rsidRPr="00DC4FB9">
              <w:rPr>
                <w:rFonts w:ascii="Times New Roman" w:hAnsi="Times New Roman"/>
                <w:sz w:val="26"/>
                <w:szCs w:val="26"/>
              </w:rPr>
              <w:t xml:space="preserve"> izmaksājot dividendes nerezidentam, kas </w:t>
            </w:r>
            <w:r>
              <w:rPr>
                <w:rFonts w:ascii="Times New Roman" w:hAnsi="Times New Roman"/>
                <w:sz w:val="26"/>
                <w:szCs w:val="26"/>
              </w:rPr>
              <w:t xml:space="preserve">nav Eiropas Savienības </w:t>
            </w:r>
            <w:r>
              <w:rPr>
                <w:rFonts w:ascii="Times New Roman" w:hAnsi="Times New Roman"/>
                <w:sz w:val="26"/>
                <w:szCs w:val="26"/>
              </w:rPr>
              <w:lastRenderedPageBreak/>
              <w:t>(turpmāk - ES) vai Eiropas Ekonomikas zonas (turpmāk – EEZ) valsts rezidents</w:t>
            </w:r>
            <w:r w:rsidRPr="00DC4FB9">
              <w:rPr>
                <w:rFonts w:ascii="Times New Roman" w:hAnsi="Times New Roman"/>
                <w:sz w:val="26"/>
                <w:szCs w:val="26"/>
              </w:rPr>
              <w:t xml:space="preserve">, </w:t>
            </w:r>
            <w:r>
              <w:rPr>
                <w:rFonts w:ascii="Times New Roman" w:hAnsi="Times New Roman"/>
                <w:sz w:val="26"/>
                <w:szCs w:val="26"/>
              </w:rPr>
              <w:t xml:space="preserve">izmaksātājs </w:t>
            </w:r>
            <w:r w:rsidRPr="00DC4FB9">
              <w:rPr>
                <w:rFonts w:ascii="Times New Roman" w:hAnsi="Times New Roman"/>
                <w:sz w:val="26"/>
                <w:szCs w:val="26"/>
              </w:rPr>
              <w:t xml:space="preserve">ietur </w:t>
            </w:r>
            <w:r>
              <w:rPr>
                <w:rFonts w:ascii="Times New Roman" w:hAnsi="Times New Roman"/>
                <w:sz w:val="26"/>
                <w:szCs w:val="26"/>
              </w:rPr>
              <w:t xml:space="preserve">nodokli pēc </w:t>
            </w:r>
            <w:r w:rsidRPr="00DC4FB9">
              <w:rPr>
                <w:rFonts w:ascii="Times New Roman" w:hAnsi="Times New Roman"/>
                <w:sz w:val="26"/>
                <w:szCs w:val="26"/>
              </w:rPr>
              <w:t xml:space="preserve">10% </w:t>
            </w:r>
            <w:r>
              <w:rPr>
                <w:rFonts w:ascii="Times New Roman" w:hAnsi="Times New Roman"/>
                <w:sz w:val="26"/>
                <w:szCs w:val="26"/>
              </w:rPr>
              <w:t>likmes</w:t>
            </w:r>
            <w:r w:rsidRPr="00DC4FB9">
              <w:rPr>
                <w:rFonts w:ascii="Times New Roman" w:hAnsi="Times New Roman"/>
                <w:sz w:val="26"/>
                <w:szCs w:val="26"/>
              </w:rPr>
              <w:t xml:space="preserve">. Savukārt </w:t>
            </w:r>
            <w:r>
              <w:rPr>
                <w:rFonts w:ascii="Times New Roman" w:hAnsi="Times New Roman"/>
                <w:sz w:val="26"/>
                <w:szCs w:val="26"/>
              </w:rPr>
              <w:t xml:space="preserve">sabiedrībai - Latvijas rezidentam </w:t>
            </w:r>
            <w:r w:rsidRPr="00DC4FB9">
              <w:rPr>
                <w:rFonts w:ascii="Times New Roman" w:hAnsi="Times New Roman"/>
                <w:sz w:val="26"/>
                <w:szCs w:val="26"/>
              </w:rPr>
              <w:t xml:space="preserve">saņemot dividendes no nerezidenta, kurš </w:t>
            </w:r>
            <w:r>
              <w:rPr>
                <w:rFonts w:ascii="Times New Roman" w:hAnsi="Times New Roman"/>
                <w:sz w:val="26"/>
                <w:szCs w:val="26"/>
              </w:rPr>
              <w:t xml:space="preserve">nav ES vai EEZ valsts rezidents, </w:t>
            </w:r>
            <w:r w:rsidRPr="00441CDA">
              <w:rPr>
                <w:rFonts w:ascii="Times New Roman" w:hAnsi="Times New Roman"/>
                <w:sz w:val="26"/>
                <w:szCs w:val="26"/>
              </w:rPr>
              <w:t>vai kurā</w:t>
            </w:r>
            <w:r w:rsidRPr="00DC4FB9">
              <w:rPr>
                <w:rFonts w:ascii="Times New Roman" w:hAnsi="Times New Roman"/>
                <w:sz w:val="26"/>
                <w:szCs w:val="26"/>
              </w:rPr>
              <w:t xml:space="preserve"> </w:t>
            </w:r>
            <w:r>
              <w:rPr>
                <w:rFonts w:ascii="Times New Roman" w:hAnsi="Times New Roman"/>
                <w:sz w:val="26"/>
                <w:szCs w:val="26"/>
              </w:rPr>
              <w:t xml:space="preserve">Latvijas rezidenta </w:t>
            </w:r>
            <w:r w:rsidRPr="00DC4FB9">
              <w:rPr>
                <w:rFonts w:ascii="Times New Roman" w:hAnsi="Times New Roman"/>
                <w:sz w:val="26"/>
                <w:szCs w:val="26"/>
              </w:rPr>
              <w:t xml:space="preserve">līdzdalība ir līdz 25%, </w:t>
            </w:r>
            <w:r>
              <w:rPr>
                <w:rFonts w:ascii="Times New Roman" w:hAnsi="Times New Roman"/>
                <w:sz w:val="26"/>
                <w:szCs w:val="26"/>
              </w:rPr>
              <w:t xml:space="preserve">tās tiek iekļautas </w:t>
            </w:r>
            <w:r w:rsidRPr="00DC4FB9">
              <w:rPr>
                <w:rFonts w:ascii="Times New Roman" w:hAnsi="Times New Roman"/>
                <w:sz w:val="26"/>
                <w:szCs w:val="26"/>
              </w:rPr>
              <w:t xml:space="preserve">apliekamajā ienākumā. Likums </w:t>
            </w:r>
            <w:r>
              <w:rPr>
                <w:rFonts w:ascii="Times New Roman" w:hAnsi="Times New Roman"/>
                <w:sz w:val="26"/>
                <w:szCs w:val="26"/>
              </w:rPr>
              <w:t xml:space="preserve"> arī </w:t>
            </w:r>
            <w:r w:rsidRPr="00DC4FB9">
              <w:rPr>
                <w:rFonts w:ascii="Times New Roman" w:hAnsi="Times New Roman"/>
                <w:sz w:val="26"/>
                <w:szCs w:val="26"/>
              </w:rPr>
              <w:t xml:space="preserve">paredz, ka izmaksājot </w:t>
            </w:r>
            <w:r>
              <w:rPr>
                <w:rFonts w:ascii="Times New Roman" w:hAnsi="Times New Roman"/>
                <w:sz w:val="26"/>
                <w:szCs w:val="26"/>
              </w:rPr>
              <w:t xml:space="preserve">autoratlīdzību </w:t>
            </w:r>
            <w:r w:rsidRPr="00DC4FB9">
              <w:rPr>
                <w:rFonts w:ascii="Times New Roman" w:hAnsi="Times New Roman"/>
                <w:sz w:val="26"/>
                <w:szCs w:val="26"/>
              </w:rPr>
              <w:t xml:space="preserve">nerezidentam, kas nav ES vai EEZ valsts rezidents, </w:t>
            </w:r>
            <w:r>
              <w:rPr>
                <w:rFonts w:ascii="Times New Roman" w:hAnsi="Times New Roman"/>
                <w:sz w:val="26"/>
                <w:szCs w:val="26"/>
              </w:rPr>
              <w:t xml:space="preserve">nodoklis </w:t>
            </w:r>
            <w:r w:rsidRPr="00DC4FB9">
              <w:rPr>
                <w:rFonts w:ascii="Times New Roman" w:hAnsi="Times New Roman"/>
                <w:sz w:val="26"/>
                <w:szCs w:val="26"/>
              </w:rPr>
              <w:t xml:space="preserve">izmaksas brīdī </w:t>
            </w:r>
            <w:r>
              <w:rPr>
                <w:rFonts w:ascii="Times New Roman" w:hAnsi="Times New Roman"/>
                <w:sz w:val="26"/>
                <w:szCs w:val="26"/>
              </w:rPr>
              <w:t xml:space="preserve">tiek ieturēts pēc </w:t>
            </w:r>
            <w:r w:rsidRPr="00DC4FB9">
              <w:rPr>
                <w:rFonts w:ascii="Times New Roman" w:hAnsi="Times New Roman"/>
                <w:sz w:val="26"/>
                <w:szCs w:val="26"/>
              </w:rPr>
              <w:t>15% vai 5% likm</w:t>
            </w:r>
            <w:r>
              <w:rPr>
                <w:rFonts w:ascii="Times New Roman" w:hAnsi="Times New Roman"/>
                <w:sz w:val="26"/>
                <w:szCs w:val="26"/>
              </w:rPr>
              <w:t>es</w:t>
            </w:r>
            <w:r w:rsidRPr="00DC4FB9">
              <w:rPr>
                <w:rFonts w:ascii="Times New Roman" w:hAnsi="Times New Roman"/>
                <w:sz w:val="26"/>
                <w:szCs w:val="26"/>
              </w:rPr>
              <w:t xml:space="preserve">. </w:t>
            </w:r>
            <w:r>
              <w:rPr>
                <w:rFonts w:ascii="Times New Roman" w:hAnsi="Times New Roman"/>
                <w:sz w:val="26"/>
                <w:szCs w:val="26"/>
              </w:rPr>
              <w:t xml:space="preserve">Savukārt no nerezidenta Latvijā gūtajiem </w:t>
            </w:r>
            <w:r w:rsidRPr="00DC4FB9">
              <w:rPr>
                <w:rFonts w:ascii="Times New Roman" w:hAnsi="Times New Roman"/>
                <w:sz w:val="26"/>
                <w:szCs w:val="26"/>
              </w:rPr>
              <w:t>procent</w:t>
            </w:r>
            <w:r>
              <w:rPr>
                <w:rFonts w:ascii="Times New Roman" w:hAnsi="Times New Roman"/>
                <w:sz w:val="26"/>
                <w:szCs w:val="26"/>
              </w:rPr>
              <w:t>iem,</w:t>
            </w:r>
            <w:r w:rsidRPr="00DC4FB9">
              <w:rPr>
                <w:rFonts w:ascii="Times New Roman" w:hAnsi="Times New Roman"/>
                <w:sz w:val="26"/>
                <w:szCs w:val="26"/>
              </w:rPr>
              <w:t xml:space="preserve"> </w:t>
            </w:r>
            <w:r>
              <w:rPr>
                <w:rFonts w:ascii="Times New Roman" w:hAnsi="Times New Roman"/>
                <w:sz w:val="26"/>
                <w:szCs w:val="26"/>
              </w:rPr>
              <w:t>nodoklis ir jāietur pēc 10% likmes</w:t>
            </w:r>
            <w:r w:rsidRPr="00DC4FB9">
              <w:rPr>
                <w:rFonts w:ascii="Times New Roman" w:hAnsi="Times New Roman"/>
                <w:sz w:val="26"/>
                <w:szCs w:val="26"/>
              </w:rPr>
              <w:t xml:space="preserve"> ja </w:t>
            </w:r>
            <w:r>
              <w:rPr>
                <w:rFonts w:ascii="Times New Roman" w:hAnsi="Times New Roman"/>
                <w:sz w:val="26"/>
                <w:szCs w:val="26"/>
              </w:rPr>
              <w:t xml:space="preserve">procentu </w:t>
            </w:r>
            <w:r w:rsidRPr="00DC4FB9">
              <w:rPr>
                <w:rFonts w:ascii="Times New Roman" w:hAnsi="Times New Roman"/>
                <w:sz w:val="26"/>
                <w:szCs w:val="26"/>
              </w:rPr>
              <w:t xml:space="preserve">maksātājs un saņēmējs ir saistīti uzņēmumi vai personas, </w:t>
            </w:r>
            <w:r>
              <w:rPr>
                <w:rFonts w:ascii="Times New Roman" w:hAnsi="Times New Roman"/>
                <w:sz w:val="26"/>
                <w:szCs w:val="26"/>
              </w:rPr>
              <w:t xml:space="preserve">vai pēc 5% likmes, ja </w:t>
            </w:r>
            <w:r w:rsidRPr="00DC4FB9">
              <w:rPr>
                <w:rFonts w:ascii="Times New Roman" w:hAnsi="Times New Roman"/>
                <w:sz w:val="26"/>
                <w:szCs w:val="26"/>
              </w:rPr>
              <w:t>procentu</w:t>
            </w:r>
            <w:r>
              <w:rPr>
                <w:rFonts w:ascii="Times New Roman" w:hAnsi="Times New Roman"/>
                <w:sz w:val="26"/>
                <w:szCs w:val="26"/>
              </w:rPr>
              <w:t>s</w:t>
            </w:r>
            <w:r w:rsidRPr="00DC4FB9">
              <w:rPr>
                <w:rFonts w:ascii="Times New Roman" w:hAnsi="Times New Roman"/>
                <w:sz w:val="26"/>
                <w:szCs w:val="26"/>
              </w:rPr>
              <w:t xml:space="preserve"> </w:t>
            </w:r>
            <w:r>
              <w:rPr>
                <w:rFonts w:ascii="Times New Roman" w:hAnsi="Times New Roman"/>
                <w:sz w:val="26"/>
                <w:szCs w:val="26"/>
              </w:rPr>
              <w:t xml:space="preserve">izmaksā </w:t>
            </w:r>
            <w:r w:rsidRPr="00DC4FB9">
              <w:rPr>
                <w:rFonts w:ascii="Times New Roman" w:hAnsi="Times New Roman"/>
                <w:sz w:val="26"/>
                <w:szCs w:val="26"/>
              </w:rPr>
              <w:t>Latvijas Republikā reģistrētās komercbankas ar tām saistītiem uzņēmumiem vai personām</w:t>
            </w:r>
            <w:r>
              <w:rPr>
                <w:rFonts w:ascii="Times New Roman" w:hAnsi="Times New Roman"/>
                <w:sz w:val="26"/>
                <w:szCs w:val="26"/>
              </w:rPr>
              <w:t xml:space="preserve">. </w:t>
            </w:r>
          </w:p>
          <w:p w:rsidR="00CB1130" w:rsidRDefault="00CB1130" w:rsidP="004D26EA">
            <w:pPr>
              <w:pStyle w:val="BodyTextIndent"/>
              <w:spacing w:after="0" w:line="240" w:lineRule="auto"/>
              <w:ind w:left="-17" w:firstLine="709"/>
              <w:contextualSpacing/>
              <w:jc w:val="both"/>
              <w:rPr>
                <w:rFonts w:ascii="Times New Roman" w:hAnsi="Times New Roman"/>
                <w:sz w:val="26"/>
                <w:szCs w:val="26"/>
              </w:rPr>
            </w:pPr>
            <w:r>
              <w:rPr>
                <w:rFonts w:ascii="Times New Roman" w:hAnsi="Times New Roman"/>
                <w:sz w:val="26"/>
                <w:szCs w:val="26"/>
              </w:rPr>
              <w:t xml:space="preserve">Savukārt attiecībā uz dividendēm, procentiem un </w:t>
            </w:r>
            <w:proofErr w:type="spellStart"/>
            <w:r>
              <w:rPr>
                <w:rFonts w:ascii="Times New Roman" w:hAnsi="Times New Roman"/>
                <w:sz w:val="26"/>
                <w:szCs w:val="26"/>
              </w:rPr>
              <w:t>autoratlīdzībām</w:t>
            </w:r>
            <w:proofErr w:type="spellEnd"/>
            <w:r>
              <w:rPr>
                <w:rFonts w:ascii="Times New Roman" w:hAnsi="Times New Roman"/>
                <w:sz w:val="26"/>
                <w:szCs w:val="26"/>
              </w:rPr>
              <w:t>, ko izmaksā un saņem no ES vai EEZ valsts rezidenta, kas ir uzņēmumu ienākuma nodokļa maksātājs tiek piemēroti attiecīgajās Padomes direktīvās noteiktie atvieglotie nodokļu uzlikšanas noteikumi.</w:t>
            </w:r>
          </w:p>
          <w:p w:rsidR="00CB1130" w:rsidRPr="00865267" w:rsidRDefault="00CB1130" w:rsidP="004D26EA">
            <w:pPr>
              <w:pStyle w:val="BodyTextIndent"/>
              <w:spacing w:after="0" w:line="240" w:lineRule="auto"/>
              <w:ind w:left="-17" w:firstLine="709"/>
              <w:contextualSpacing/>
              <w:jc w:val="both"/>
              <w:rPr>
                <w:rFonts w:ascii="Times New Roman" w:hAnsi="Times New Roman"/>
                <w:sz w:val="26"/>
                <w:szCs w:val="26"/>
              </w:rPr>
            </w:pPr>
            <w:r w:rsidRPr="00DC4FB9">
              <w:rPr>
                <w:rFonts w:ascii="Times New Roman" w:hAnsi="Times New Roman"/>
                <w:sz w:val="26"/>
                <w:szCs w:val="26"/>
              </w:rPr>
              <w:t xml:space="preserve">Lai radītu pietiekami pievilcīgu nodokļu režīmu Latvijā, kas piesaistītu arī citu valstu uzņēmējus veikt savu darbību, izmantojot Latvijā nodibinātas sabiedrības, kā arī mazinātu Latvijas uzņēmēju interesi izmantot mākslīgas struktūras zemu nodokļu un beznodokļu valstīs vai teritorijās, likumā ir nepieciešams veikt grozījumus attiecībā uz </w:t>
            </w:r>
            <w:r w:rsidRPr="00DC4FB9">
              <w:rPr>
                <w:rFonts w:ascii="Times New Roman" w:eastAsia="Times New Roman" w:hAnsi="Times New Roman"/>
                <w:sz w:val="26"/>
                <w:szCs w:val="26"/>
              </w:rPr>
              <w:t xml:space="preserve">dividenžu saņemšanu un izmaksu, procentu, </w:t>
            </w:r>
            <w:r>
              <w:rPr>
                <w:rFonts w:ascii="Times New Roman" w:eastAsia="Times New Roman" w:hAnsi="Times New Roman"/>
                <w:sz w:val="26"/>
                <w:szCs w:val="26"/>
              </w:rPr>
              <w:t xml:space="preserve">un </w:t>
            </w:r>
            <w:r w:rsidRPr="00DC4FB9">
              <w:rPr>
                <w:rFonts w:ascii="Times New Roman" w:eastAsia="Times New Roman" w:hAnsi="Times New Roman"/>
                <w:sz w:val="26"/>
                <w:szCs w:val="26"/>
              </w:rPr>
              <w:t>maksājumu par intelektuālo īpašumu izmaksu</w:t>
            </w:r>
            <w:r>
              <w:rPr>
                <w:rFonts w:ascii="Times New Roman" w:eastAsia="Times New Roman" w:hAnsi="Times New Roman"/>
                <w:sz w:val="26"/>
                <w:szCs w:val="26"/>
              </w:rPr>
              <w:t xml:space="preserve">, paredzot pakāpenisku izmaksas brīdī ieturamo nodokļu no minētajiem maksājumiem atcelšanu. Papildus minētajam likumā nepieciešamas arī noteikt, ka ienākumi vai zaudējumi </w:t>
            </w:r>
            <w:r w:rsidRPr="00DC4FB9">
              <w:rPr>
                <w:rFonts w:ascii="Times New Roman" w:eastAsia="Times New Roman" w:hAnsi="Times New Roman"/>
                <w:sz w:val="26"/>
                <w:szCs w:val="26"/>
              </w:rPr>
              <w:t xml:space="preserve">no kapitāla daļu un akciju atsavināšanas </w:t>
            </w:r>
            <w:r>
              <w:rPr>
                <w:rFonts w:ascii="Times New Roman" w:eastAsia="Times New Roman" w:hAnsi="Times New Roman"/>
                <w:sz w:val="26"/>
                <w:szCs w:val="26"/>
              </w:rPr>
              <w:t xml:space="preserve">netiek ņemti vērā nosakot nodokļa maksātāja ar nodokli apliekamo ienākumu, </w:t>
            </w:r>
            <w:r w:rsidRPr="00865267">
              <w:rPr>
                <w:rFonts w:ascii="Times New Roman" w:eastAsia="Times New Roman" w:hAnsi="Times New Roman"/>
                <w:sz w:val="26"/>
                <w:szCs w:val="26"/>
              </w:rPr>
              <w:t xml:space="preserve">izņemot </w:t>
            </w:r>
            <w:r w:rsidRPr="00865267">
              <w:rPr>
                <w:rFonts w:ascii="Times New Roman" w:hAnsi="Times New Roman"/>
                <w:sz w:val="26"/>
                <w:szCs w:val="26"/>
              </w:rPr>
              <w:t>tād</w:t>
            </w:r>
            <w:r>
              <w:rPr>
                <w:rFonts w:ascii="Times New Roman" w:hAnsi="Times New Roman"/>
                <w:sz w:val="26"/>
                <w:szCs w:val="26"/>
              </w:rPr>
              <w:t>u valstu</w:t>
            </w:r>
            <w:r w:rsidRPr="00865267">
              <w:rPr>
                <w:rFonts w:ascii="Times New Roman" w:hAnsi="Times New Roman"/>
                <w:sz w:val="26"/>
                <w:szCs w:val="26"/>
              </w:rPr>
              <w:t xml:space="preserve"> vai teritorij</w:t>
            </w:r>
            <w:r>
              <w:rPr>
                <w:rFonts w:ascii="Times New Roman" w:hAnsi="Times New Roman"/>
                <w:sz w:val="26"/>
                <w:szCs w:val="26"/>
              </w:rPr>
              <w:t>u</w:t>
            </w:r>
            <w:r w:rsidRPr="00865267">
              <w:rPr>
                <w:rFonts w:ascii="Times New Roman" w:hAnsi="Times New Roman"/>
                <w:sz w:val="26"/>
                <w:szCs w:val="26"/>
              </w:rPr>
              <w:t>, kas saskaņā ar Ministru kabineta noteikumiem ir atzīta par zemu nodokļu vai beznodokļu valsti vai teritoriju</w:t>
            </w:r>
            <w:r>
              <w:rPr>
                <w:rFonts w:ascii="Times New Roman" w:hAnsi="Times New Roman"/>
                <w:sz w:val="26"/>
                <w:szCs w:val="26"/>
              </w:rPr>
              <w:t>, rezidentu akciju vai kapitāla daļu atsavināšanu</w:t>
            </w:r>
            <w:r w:rsidRPr="00865267">
              <w:rPr>
                <w:rFonts w:ascii="Times New Roman" w:hAnsi="Times New Roman"/>
                <w:sz w:val="26"/>
                <w:szCs w:val="26"/>
              </w:rPr>
              <w:t>.</w:t>
            </w:r>
          </w:p>
          <w:p w:rsidR="00CB1130" w:rsidRPr="00E36EE6" w:rsidRDefault="00CB1130" w:rsidP="004D26EA">
            <w:pPr>
              <w:pStyle w:val="BodyTextIndent"/>
              <w:spacing w:after="0" w:line="240" w:lineRule="auto"/>
              <w:ind w:left="-17" w:firstLine="709"/>
              <w:contextualSpacing/>
              <w:jc w:val="both"/>
              <w:rPr>
                <w:rFonts w:ascii="Times New Roman" w:hAnsi="Times New Roman"/>
                <w:sz w:val="26"/>
                <w:szCs w:val="26"/>
              </w:rPr>
            </w:pPr>
            <w:r w:rsidRPr="00DC4FB9">
              <w:rPr>
                <w:rFonts w:ascii="Times New Roman" w:eastAsia="Times New Roman" w:hAnsi="Times New Roman"/>
                <w:sz w:val="26"/>
                <w:szCs w:val="26"/>
              </w:rPr>
              <w:t>Tādējādi</w:t>
            </w:r>
            <w:r w:rsidRPr="00DC4FB9">
              <w:rPr>
                <w:rFonts w:ascii="Times New Roman" w:hAnsi="Times New Roman"/>
                <w:sz w:val="26"/>
                <w:szCs w:val="26"/>
              </w:rPr>
              <w:t xml:space="preserve"> likuma regulējums veicinātu uzņēmumu reģionālo vadības biroju, uzņēmumu grupu finanšu vadības centru, uzņēmumu grupu autortiesību centru, holdinga sabiedrību izvietošanu Latvijā.</w:t>
            </w:r>
          </w:p>
          <w:p w:rsidR="00CB1130" w:rsidRPr="00E36EE6" w:rsidRDefault="00CB1130" w:rsidP="004D26EA">
            <w:pPr>
              <w:pStyle w:val="BodyTextIndent"/>
              <w:spacing w:after="0" w:line="240" w:lineRule="auto"/>
              <w:ind w:left="-17" w:firstLine="709"/>
              <w:contextualSpacing/>
              <w:jc w:val="both"/>
              <w:rPr>
                <w:rFonts w:ascii="Times New Roman" w:hAnsi="Times New Roman"/>
                <w:i/>
                <w:sz w:val="26"/>
                <w:szCs w:val="26"/>
              </w:rPr>
            </w:pPr>
            <w:r w:rsidRPr="00E36EE6">
              <w:rPr>
                <w:rFonts w:ascii="Times New Roman" w:hAnsi="Times New Roman"/>
                <w:i/>
                <w:sz w:val="26"/>
                <w:szCs w:val="26"/>
              </w:rPr>
              <w:t>Spēku zaudējusi norma</w:t>
            </w:r>
          </w:p>
          <w:p w:rsidR="00CB1130" w:rsidRPr="00E36EE6" w:rsidRDefault="00CB1130" w:rsidP="004D26EA">
            <w:pPr>
              <w:pStyle w:val="naisf"/>
              <w:spacing w:before="0" w:beforeAutospacing="0" w:after="0" w:afterAutospacing="0"/>
              <w:ind w:firstLine="721"/>
              <w:contextualSpacing/>
              <w:jc w:val="both"/>
              <w:rPr>
                <w:sz w:val="26"/>
                <w:szCs w:val="26"/>
              </w:rPr>
            </w:pPr>
            <w:r w:rsidRPr="00E36EE6">
              <w:rPr>
                <w:sz w:val="26"/>
                <w:szCs w:val="26"/>
              </w:rPr>
              <w:t xml:space="preserve">Ņemot vērā, ka likuma </w:t>
            </w:r>
            <w:bookmarkStart w:id="1" w:name="bkm193"/>
            <w:r>
              <w:rPr>
                <w:sz w:val="26"/>
                <w:szCs w:val="26"/>
              </w:rPr>
              <w:t>pāre</w:t>
            </w:r>
            <w:r w:rsidRPr="00E36EE6">
              <w:rPr>
                <w:sz w:val="26"/>
                <w:szCs w:val="26"/>
              </w:rPr>
              <w:t>jas noteikumu 16.punkts nosaka, ka  8.</w:t>
            </w:r>
            <w:r w:rsidRPr="00E36EE6">
              <w:rPr>
                <w:sz w:val="26"/>
                <w:szCs w:val="26"/>
                <w:vertAlign w:val="superscript"/>
              </w:rPr>
              <w:t>1</w:t>
            </w:r>
            <w:r w:rsidRPr="00E36EE6">
              <w:rPr>
                <w:sz w:val="26"/>
                <w:szCs w:val="26"/>
              </w:rPr>
              <w:t xml:space="preserve"> panta normas piemērojamas speciālajām rezervēm, kas izveidotas 1999.—2007.gadā, savukārt pasažieru pārvadājumos izmantojamo autobusu iegāde ir jāveic triju taksācijas periodu laikā, tad likuma</w:t>
            </w:r>
            <w:bookmarkEnd w:id="1"/>
            <w:r w:rsidRPr="00E36EE6">
              <w:rPr>
                <w:sz w:val="26"/>
                <w:szCs w:val="26"/>
              </w:rPr>
              <w:t xml:space="preserve"> 8.</w:t>
            </w:r>
            <w:r w:rsidRPr="00E36EE6">
              <w:rPr>
                <w:sz w:val="26"/>
                <w:szCs w:val="26"/>
                <w:vertAlign w:val="superscript"/>
              </w:rPr>
              <w:t>1</w:t>
            </w:r>
            <w:r w:rsidRPr="00E36EE6">
              <w:rPr>
                <w:sz w:val="26"/>
                <w:szCs w:val="26"/>
              </w:rPr>
              <w:t>panta normas vairs nevar piemērot un ir izslēdzamas.</w:t>
            </w:r>
          </w:p>
          <w:p w:rsidR="00CB1130" w:rsidRPr="00E36EE6" w:rsidRDefault="00CB1130" w:rsidP="004D26EA">
            <w:pPr>
              <w:spacing w:after="0" w:line="240" w:lineRule="auto"/>
              <w:ind w:firstLine="721"/>
              <w:contextualSpacing/>
              <w:jc w:val="both"/>
              <w:rPr>
                <w:rFonts w:ascii="Times New Roman" w:hAnsi="Times New Roman"/>
                <w:i/>
                <w:sz w:val="26"/>
                <w:szCs w:val="26"/>
              </w:rPr>
            </w:pPr>
            <w:r w:rsidRPr="00E36EE6">
              <w:rPr>
                <w:rFonts w:ascii="Times New Roman" w:hAnsi="Times New Roman"/>
                <w:i/>
                <w:sz w:val="26"/>
                <w:szCs w:val="26"/>
              </w:rPr>
              <w:lastRenderedPageBreak/>
              <w:t>Zaudēto parādu norakstīšana</w:t>
            </w:r>
          </w:p>
          <w:p w:rsidR="00CB1130" w:rsidRDefault="00CB1130" w:rsidP="004D26EA">
            <w:pPr>
              <w:spacing w:after="0" w:line="240" w:lineRule="auto"/>
              <w:ind w:firstLine="721"/>
              <w:contextualSpacing/>
              <w:jc w:val="both"/>
              <w:rPr>
                <w:rFonts w:ascii="Times New Roman" w:hAnsi="Times New Roman"/>
                <w:sz w:val="26"/>
                <w:szCs w:val="26"/>
              </w:rPr>
            </w:pPr>
            <w:r w:rsidRPr="00E36EE6">
              <w:rPr>
                <w:rFonts w:ascii="Times New Roman" w:hAnsi="Times New Roman"/>
                <w:sz w:val="26"/>
                <w:szCs w:val="26"/>
              </w:rPr>
              <w:t>Likumā saistībā ar zaudētajiem parādiem ir normas, kurās ietverta atsauce uz bankrota procedūru (tās uzsākšanu vai pabeigšanu). Likuma 9.panta 1.</w:t>
            </w:r>
            <w:r w:rsidRPr="00E36EE6">
              <w:rPr>
                <w:rFonts w:ascii="Times New Roman" w:hAnsi="Times New Roman"/>
                <w:sz w:val="26"/>
                <w:szCs w:val="26"/>
                <w:vertAlign w:val="superscript"/>
              </w:rPr>
              <w:t>1</w:t>
            </w:r>
            <w:r w:rsidRPr="00E36EE6">
              <w:rPr>
                <w:rFonts w:ascii="Times New Roman" w:hAnsi="Times New Roman"/>
                <w:sz w:val="26"/>
                <w:szCs w:val="26"/>
              </w:rPr>
              <w:t>daļa nosaka, ka, izpildot arī citus nosacījumus, ½ no zaudētajiem parādiem var norakstīt, debitoram uzsākot bankrota procedūru, bet par atlikušo summu ar uzņēmumu ienākuma nodokli apliekamo ienākumu var samazināt pēc debitora bankrota procedūras pabeigšanas. Jaunā Maksātnespējas likuma redakcija bankrota procedūru attiecina tikai uz debitoriem – fiziskām personām. Savukārt</w:t>
            </w:r>
            <w:r>
              <w:rPr>
                <w:rFonts w:ascii="Times New Roman" w:hAnsi="Times New Roman"/>
                <w:sz w:val="26"/>
                <w:szCs w:val="26"/>
              </w:rPr>
              <w:t xml:space="preserve"> attiecībā uz </w:t>
            </w:r>
            <w:r w:rsidRPr="00E36EE6">
              <w:rPr>
                <w:rFonts w:ascii="Times New Roman" w:hAnsi="Times New Roman"/>
                <w:sz w:val="26"/>
                <w:szCs w:val="26"/>
              </w:rPr>
              <w:t xml:space="preserve">juridiskām personām agrākajai bankrota procedūras pabeigšanai </w:t>
            </w:r>
            <w:r>
              <w:rPr>
                <w:rFonts w:ascii="Times New Roman" w:hAnsi="Times New Roman"/>
                <w:sz w:val="26"/>
                <w:szCs w:val="26"/>
              </w:rPr>
              <w:t xml:space="preserve">saskaņā ar jaunā Maksātnespējas likuma redakciju </w:t>
            </w:r>
            <w:r w:rsidRPr="00E36EE6">
              <w:rPr>
                <w:rFonts w:ascii="Times New Roman" w:hAnsi="Times New Roman"/>
                <w:sz w:val="26"/>
                <w:szCs w:val="26"/>
              </w:rPr>
              <w:t>atbilst maksātnespējas proces</w:t>
            </w:r>
            <w:r>
              <w:rPr>
                <w:rFonts w:ascii="Times New Roman" w:hAnsi="Times New Roman"/>
                <w:sz w:val="26"/>
                <w:szCs w:val="26"/>
              </w:rPr>
              <w:t>a</w:t>
            </w:r>
            <w:r w:rsidRPr="00E36EE6">
              <w:rPr>
                <w:rFonts w:ascii="Times New Roman" w:hAnsi="Times New Roman"/>
                <w:sz w:val="26"/>
                <w:szCs w:val="26"/>
              </w:rPr>
              <w:t xml:space="preserve"> pabeig</w:t>
            </w:r>
            <w:r>
              <w:rPr>
                <w:rFonts w:ascii="Times New Roman" w:hAnsi="Times New Roman"/>
                <w:sz w:val="26"/>
                <w:szCs w:val="26"/>
              </w:rPr>
              <w:t>šana</w:t>
            </w:r>
            <w:r w:rsidRPr="00E36EE6">
              <w:rPr>
                <w:rFonts w:ascii="Times New Roman" w:hAnsi="Times New Roman"/>
                <w:sz w:val="26"/>
                <w:szCs w:val="26"/>
              </w:rPr>
              <w:t xml:space="preserve">, par kuru ir pieņemts tiesas nolēmums. </w:t>
            </w:r>
          </w:p>
          <w:p w:rsidR="00CB1130" w:rsidRPr="007E7297" w:rsidRDefault="00CB1130" w:rsidP="004D26EA">
            <w:pPr>
              <w:pStyle w:val="ListParagraph"/>
              <w:ind w:left="0" w:firstLine="709"/>
              <w:jc w:val="both"/>
              <w:rPr>
                <w:sz w:val="26"/>
                <w:szCs w:val="26"/>
              </w:rPr>
            </w:pPr>
            <w:r>
              <w:rPr>
                <w:sz w:val="26"/>
                <w:szCs w:val="26"/>
              </w:rPr>
              <w:t xml:space="preserve">Papildus tam likuma normas neatrunā parāda norakstīšanu par summām </w:t>
            </w:r>
            <w:r w:rsidRPr="007E7297">
              <w:rPr>
                <w:sz w:val="26"/>
                <w:szCs w:val="26"/>
              </w:rPr>
              <w:t xml:space="preserve">kas, saskaņā ar tiesas lēmumu, atbilst parādnieka </w:t>
            </w:r>
            <w:r w:rsidRPr="007E7297">
              <w:rPr>
                <w:bCs/>
                <w:sz w:val="26"/>
                <w:szCs w:val="26"/>
              </w:rPr>
              <w:t xml:space="preserve">tiesiskās aizsardzības procesā vai ārpustiesas tiesiskās aizsardzības procesā </w:t>
            </w:r>
            <w:r w:rsidRPr="00441CDA">
              <w:rPr>
                <w:sz w:val="26"/>
                <w:szCs w:val="26"/>
              </w:rPr>
              <w:t>tiesiskās aizsardzības procesa</w:t>
            </w:r>
            <w:r w:rsidRPr="007E7297">
              <w:rPr>
                <w:sz w:val="26"/>
                <w:szCs w:val="26"/>
              </w:rPr>
              <w:t xml:space="preserve"> pasākumu plānā noteiktajam proporcionālam pamatparāda, līgumsoda vai procentu dzēšanas vai samazinājuma apmēram.</w:t>
            </w:r>
          </w:p>
          <w:p w:rsidR="00CB1130" w:rsidRPr="00E36EE6" w:rsidRDefault="00CB1130" w:rsidP="004D26EA">
            <w:pPr>
              <w:spacing w:after="0" w:line="240" w:lineRule="auto"/>
              <w:ind w:firstLine="720"/>
              <w:contextualSpacing/>
              <w:rPr>
                <w:rFonts w:ascii="Times New Roman" w:hAnsi="Times New Roman"/>
                <w:i/>
                <w:sz w:val="26"/>
                <w:szCs w:val="26"/>
              </w:rPr>
            </w:pPr>
            <w:r w:rsidRPr="00E36EE6">
              <w:rPr>
                <w:rFonts w:ascii="Times New Roman" w:hAnsi="Times New Roman"/>
                <w:i/>
                <w:sz w:val="26"/>
                <w:szCs w:val="26"/>
              </w:rPr>
              <w:t xml:space="preserve">Banku ķīlas </w:t>
            </w:r>
            <w:r>
              <w:rPr>
                <w:rFonts w:ascii="Times New Roman" w:hAnsi="Times New Roman"/>
                <w:i/>
                <w:sz w:val="26"/>
                <w:szCs w:val="26"/>
              </w:rPr>
              <w:t>pārņemšanas</w:t>
            </w:r>
            <w:r w:rsidRPr="00E36EE6">
              <w:rPr>
                <w:rFonts w:ascii="Times New Roman" w:hAnsi="Times New Roman"/>
                <w:i/>
                <w:sz w:val="26"/>
                <w:szCs w:val="26"/>
              </w:rPr>
              <w:t xml:space="preserve"> izdevumi</w:t>
            </w:r>
          </w:p>
          <w:p w:rsidR="00CB1130" w:rsidRPr="00E36EE6"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 xml:space="preserve">Ņemot vērā, ka </w:t>
            </w:r>
            <w:r>
              <w:rPr>
                <w:rFonts w:ascii="Times New Roman" w:hAnsi="Times New Roman"/>
                <w:sz w:val="26"/>
                <w:szCs w:val="26"/>
              </w:rPr>
              <w:t xml:space="preserve">krīzes ietekmē </w:t>
            </w:r>
            <w:r w:rsidRPr="00E36EE6">
              <w:rPr>
                <w:rFonts w:ascii="Times New Roman" w:hAnsi="Times New Roman"/>
                <w:sz w:val="26"/>
                <w:szCs w:val="26"/>
              </w:rPr>
              <w:t>personas, kuras saņēmušas aizņēmumu, nespēj to at</w:t>
            </w:r>
            <w:r>
              <w:rPr>
                <w:rFonts w:ascii="Times New Roman" w:hAnsi="Times New Roman"/>
                <w:sz w:val="26"/>
                <w:szCs w:val="26"/>
              </w:rPr>
              <w:t xml:space="preserve">maksāt </w:t>
            </w:r>
            <w:r w:rsidRPr="00E36EE6">
              <w:rPr>
                <w:rFonts w:ascii="Times New Roman" w:hAnsi="Times New Roman"/>
                <w:sz w:val="26"/>
                <w:szCs w:val="26"/>
              </w:rPr>
              <w:t xml:space="preserve">kredītiestādēm, kā arī nespēj vai arī nevēlas uzturēt ieķīlāto īpašumu, lai pasargātu to no bojāejas, sabrukuma vai izpostījuma, kredītiestādes ir spiestas veikt šo ieķīlāto īpašumu uzturēšanu, saglabājot tiesības šos līdzekļus atgūt no parādnieka. Likumā nav viennozīmīgi noteikts, ka attiecībā uz kredītiestādēm minētie </w:t>
            </w:r>
            <w:r w:rsidRPr="00E36EE6">
              <w:rPr>
                <w:rFonts w:ascii="Times New Roman" w:hAnsi="Times New Roman"/>
                <w:bCs/>
                <w:sz w:val="26"/>
                <w:szCs w:val="26"/>
                <w:lang w:eastAsia="lv-LV"/>
              </w:rPr>
              <w:t xml:space="preserve">parāda piedziņas procesa laikā radušies ķīlas uzturēšanas izdevumi un ķīlas priekšmeta pārņemšanas izdevumi, kuri, </w:t>
            </w:r>
            <w:r w:rsidRPr="00E36EE6">
              <w:rPr>
                <w:rFonts w:ascii="Times New Roman" w:hAnsi="Times New Roman"/>
                <w:sz w:val="26"/>
                <w:szCs w:val="26"/>
              </w:rPr>
              <w:t xml:space="preserve">pastāvot pamatotām šaubām tos atgūt, </w:t>
            </w:r>
            <w:r>
              <w:rPr>
                <w:rFonts w:ascii="Times New Roman" w:hAnsi="Times New Roman"/>
                <w:sz w:val="26"/>
                <w:szCs w:val="26"/>
              </w:rPr>
              <w:t xml:space="preserve">un par kuriem netiek izveidoti uzkrājumi nedrošiem parādiem, kuriem piemēro likuma 7.panta normas, bet ņemot vērā Finanšu un kapitāla tirgus komisijas norādes </w:t>
            </w:r>
            <w:r w:rsidRPr="00E36EE6">
              <w:rPr>
                <w:rFonts w:ascii="Times New Roman" w:hAnsi="Times New Roman"/>
                <w:sz w:val="26"/>
                <w:szCs w:val="26"/>
              </w:rPr>
              <w:t>ir iekļau</w:t>
            </w:r>
            <w:r>
              <w:rPr>
                <w:rFonts w:ascii="Times New Roman" w:hAnsi="Times New Roman"/>
                <w:sz w:val="26"/>
                <w:szCs w:val="26"/>
              </w:rPr>
              <w:t>jami</w:t>
            </w:r>
            <w:r w:rsidRPr="00E36EE6">
              <w:rPr>
                <w:rFonts w:ascii="Times New Roman" w:hAnsi="Times New Roman"/>
                <w:sz w:val="26"/>
                <w:szCs w:val="26"/>
              </w:rPr>
              <w:t xml:space="preserve"> kredītiestādes izdevumos attiecīgajā pārskata periodā,</w:t>
            </w:r>
            <w:r w:rsidRPr="00E36EE6">
              <w:rPr>
                <w:rFonts w:ascii="Times New Roman" w:hAnsi="Times New Roman"/>
                <w:bCs/>
                <w:color w:val="000000"/>
                <w:spacing w:val="-5"/>
                <w:sz w:val="26"/>
                <w:szCs w:val="26"/>
                <w:lang w:eastAsia="lv-LV"/>
              </w:rPr>
              <w:t xml:space="preserve"> </w:t>
            </w:r>
            <w:r w:rsidRPr="00E36EE6">
              <w:rPr>
                <w:rFonts w:ascii="Times New Roman" w:hAnsi="Times New Roman"/>
                <w:sz w:val="26"/>
                <w:szCs w:val="26"/>
              </w:rPr>
              <w:t xml:space="preserve">ir uzskatāmi par </w:t>
            </w:r>
            <w:r>
              <w:rPr>
                <w:rFonts w:ascii="Times New Roman" w:hAnsi="Times New Roman"/>
                <w:sz w:val="26"/>
                <w:szCs w:val="26"/>
              </w:rPr>
              <w:t>ar</w:t>
            </w:r>
            <w:r w:rsidRPr="00E36EE6">
              <w:rPr>
                <w:rFonts w:ascii="Times New Roman" w:hAnsi="Times New Roman"/>
                <w:sz w:val="26"/>
                <w:szCs w:val="26"/>
              </w:rPr>
              <w:t xml:space="preserve"> saimniecisko darbību saistīti</w:t>
            </w:r>
            <w:r>
              <w:rPr>
                <w:rFonts w:ascii="Times New Roman" w:hAnsi="Times New Roman"/>
                <w:sz w:val="26"/>
                <w:szCs w:val="26"/>
              </w:rPr>
              <w:t>em izdevumiem</w:t>
            </w:r>
            <w:r w:rsidRPr="00E36EE6">
              <w:rPr>
                <w:rFonts w:ascii="Times New Roman" w:hAnsi="Times New Roman"/>
                <w:sz w:val="26"/>
                <w:szCs w:val="26"/>
              </w:rPr>
              <w:t>.</w:t>
            </w:r>
            <w:r>
              <w:rPr>
                <w:rFonts w:ascii="Times New Roman" w:hAnsi="Times New Roman"/>
                <w:sz w:val="26"/>
                <w:szCs w:val="26"/>
              </w:rPr>
              <w:t xml:space="preserve"> Minētais attiecas arī uz kredītiestādes apmaksātiem nekustamā īpašuma nodokļa parādnieka parāda maksājumiem par šo īpašumu, lai ieķīlāto nekustamo īpašumu varētu pārņemt kredītiestādes īpašumā.</w:t>
            </w:r>
          </w:p>
          <w:p w:rsidR="00CB1130" w:rsidRPr="0014517C"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 xml:space="preserve">Savukārt, tā kā parādnieks, kas ir juridiska persona, kredītiestādes apmaksātos rēķinus var iekļaut izdevumos, tādējādi palielināt savus zaudējumus, kurus savukārt var pārnest uz citu saistītu uzņēmumu, </w:t>
            </w:r>
            <w:r>
              <w:rPr>
                <w:rFonts w:ascii="Times New Roman" w:hAnsi="Times New Roman"/>
                <w:sz w:val="26"/>
                <w:szCs w:val="26"/>
              </w:rPr>
              <w:t xml:space="preserve">likumā ir </w:t>
            </w:r>
            <w:r w:rsidRPr="00E36EE6">
              <w:rPr>
                <w:rFonts w:ascii="Times New Roman" w:hAnsi="Times New Roman"/>
                <w:sz w:val="26"/>
                <w:szCs w:val="26"/>
              </w:rPr>
              <w:t xml:space="preserve">nepieciešams </w:t>
            </w:r>
            <w:r w:rsidRPr="00E36EE6">
              <w:rPr>
                <w:rFonts w:ascii="Times New Roman" w:hAnsi="Times New Roman"/>
                <w:sz w:val="26"/>
                <w:szCs w:val="26"/>
              </w:rPr>
              <w:lastRenderedPageBreak/>
              <w:t>noteikt, ka gadījumā, ja kredītiestāde, pārņemot ķīlu, apmaksā parādnieka</w:t>
            </w:r>
            <w:r>
              <w:rPr>
                <w:rFonts w:ascii="Times New Roman" w:hAnsi="Times New Roman"/>
                <w:sz w:val="26"/>
                <w:szCs w:val="26"/>
              </w:rPr>
              <w:t xml:space="preserve"> </w:t>
            </w:r>
            <w:r w:rsidRPr="00E36EE6">
              <w:rPr>
                <w:rFonts w:ascii="Times New Roman" w:hAnsi="Times New Roman"/>
                <w:sz w:val="26"/>
                <w:szCs w:val="26"/>
              </w:rPr>
              <w:t>ķīlas uzturēšanas izdevumus,</w:t>
            </w:r>
            <w:r>
              <w:rPr>
                <w:rFonts w:ascii="Times New Roman" w:hAnsi="Times New Roman"/>
                <w:sz w:val="26"/>
                <w:szCs w:val="26"/>
              </w:rPr>
              <w:t xml:space="preserve"> ķīlas pārņemšanas izdevumus un</w:t>
            </w:r>
            <w:r w:rsidRPr="00E36EE6">
              <w:rPr>
                <w:rFonts w:ascii="Times New Roman" w:hAnsi="Times New Roman"/>
                <w:sz w:val="26"/>
                <w:szCs w:val="26"/>
              </w:rPr>
              <w:t xml:space="preserve"> </w:t>
            </w:r>
            <w:r w:rsidRPr="0014517C">
              <w:rPr>
                <w:rFonts w:ascii="Times New Roman" w:hAnsi="Times New Roman"/>
                <w:bCs/>
                <w:sz w:val="26"/>
                <w:szCs w:val="26"/>
                <w:lang w:eastAsia="lv-LV"/>
              </w:rPr>
              <w:t xml:space="preserve">nekustamā īpašuma nodokļa </w:t>
            </w:r>
            <w:r>
              <w:rPr>
                <w:rFonts w:ascii="Times New Roman" w:hAnsi="Times New Roman"/>
                <w:bCs/>
                <w:sz w:val="26"/>
                <w:szCs w:val="26"/>
                <w:lang w:eastAsia="lv-LV"/>
              </w:rPr>
              <w:t xml:space="preserve">parāda maksājumus </w:t>
            </w:r>
            <w:r w:rsidRPr="0014517C">
              <w:rPr>
                <w:rFonts w:ascii="Times New Roman" w:hAnsi="Times New Roman"/>
                <w:bCs/>
                <w:sz w:val="26"/>
                <w:szCs w:val="26"/>
                <w:lang w:eastAsia="lv-LV"/>
              </w:rPr>
              <w:t xml:space="preserve">par attiecīgo </w:t>
            </w:r>
            <w:r>
              <w:rPr>
                <w:rFonts w:ascii="Times New Roman" w:hAnsi="Times New Roman"/>
                <w:bCs/>
                <w:sz w:val="26"/>
                <w:szCs w:val="26"/>
                <w:lang w:eastAsia="lv-LV"/>
              </w:rPr>
              <w:t>pārņemto</w:t>
            </w:r>
            <w:r w:rsidRPr="0014517C">
              <w:rPr>
                <w:rFonts w:ascii="Times New Roman" w:hAnsi="Times New Roman"/>
                <w:bCs/>
                <w:sz w:val="26"/>
                <w:szCs w:val="26"/>
                <w:lang w:eastAsia="lv-LV"/>
              </w:rPr>
              <w:t xml:space="preserve"> nekustamo īpašumu</w:t>
            </w:r>
            <w:r>
              <w:rPr>
                <w:rFonts w:ascii="Times New Roman" w:hAnsi="Times New Roman"/>
                <w:bCs/>
                <w:sz w:val="26"/>
                <w:szCs w:val="26"/>
                <w:lang w:eastAsia="lv-LV"/>
              </w:rPr>
              <w:t>, tad</w:t>
            </w:r>
            <w:r w:rsidRPr="0014517C">
              <w:rPr>
                <w:rFonts w:ascii="Times New Roman" w:hAnsi="Times New Roman"/>
                <w:sz w:val="26"/>
                <w:szCs w:val="26"/>
              </w:rPr>
              <w:t xml:space="preserve"> par šiem izdevumiem jāpalielina </w:t>
            </w:r>
            <w:r>
              <w:rPr>
                <w:rFonts w:ascii="Times New Roman" w:hAnsi="Times New Roman"/>
                <w:sz w:val="26"/>
                <w:szCs w:val="26"/>
              </w:rPr>
              <w:t xml:space="preserve">parādnieka </w:t>
            </w:r>
            <w:r w:rsidRPr="0014517C">
              <w:rPr>
                <w:rFonts w:ascii="Times New Roman" w:hAnsi="Times New Roman"/>
                <w:sz w:val="26"/>
                <w:szCs w:val="26"/>
              </w:rPr>
              <w:t xml:space="preserve">ar uzņēmumu ienākuma nodokli apliekamais ienākums. </w:t>
            </w:r>
          </w:p>
          <w:p w:rsidR="00CB1130" w:rsidRPr="00E36EE6" w:rsidRDefault="00CB1130" w:rsidP="004D26EA">
            <w:pPr>
              <w:spacing w:after="0" w:line="240" w:lineRule="auto"/>
              <w:ind w:firstLine="720"/>
              <w:contextualSpacing/>
              <w:jc w:val="both"/>
              <w:rPr>
                <w:rFonts w:ascii="Times New Roman" w:hAnsi="Times New Roman"/>
                <w:i/>
                <w:sz w:val="26"/>
                <w:szCs w:val="26"/>
              </w:rPr>
            </w:pPr>
            <w:r w:rsidRPr="00E36EE6">
              <w:rPr>
                <w:rFonts w:ascii="Times New Roman" w:hAnsi="Times New Roman"/>
                <w:i/>
                <w:sz w:val="26"/>
                <w:szCs w:val="26"/>
              </w:rPr>
              <w:t>Izdevumi, kuriem nepiemēro palielinošo koeficientu</w:t>
            </w:r>
          </w:p>
          <w:p w:rsidR="00CB1130"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Ņemot vērā, ka komersantu, kuri veikuši ziedojumus sabiedriskā labuma organizācij</w:t>
            </w:r>
            <w:r>
              <w:rPr>
                <w:rFonts w:ascii="Times New Roman" w:hAnsi="Times New Roman"/>
                <w:sz w:val="26"/>
                <w:szCs w:val="26"/>
              </w:rPr>
              <w:t>ām vai citām likuma 20.</w:t>
            </w:r>
            <w:r w:rsidRPr="00795A56">
              <w:rPr>
                <w:rFonts w:ascii="Times New Roman" w:hAnsi="Times New Roman"/>
                <w:sz w:val="26"/>
                <w:szCs w:val="26"/>
                <w:vertAlign w:val="superscript"/>
              </w:rPr>
              <w:t>1</w:t>
            </w:r>
            <w:r>
              <w:rPr>
                <w:rFonts w:ascii="Times New Roman" w:hAnsi="Times New Roman"/>
                <w:sz w:val="26"/>
                <w:szCs w:val="26"/>
              </w:rPr>
              <w:t>. pantā noteiktajām organizācijām</w:t>
            </w:r>
            <w:r w:rsidRPr="00E36EE6">
              <w:rPr>
                <w:rFonts w:ascii="Times New Roman" w:hAnsi="Times New Roman"/>
                <w:sz w:val="26"/>
                <w:szCs w:val="26"/>
              </w:rPr>
              <w:t xml:space="preserve">, taksācijas perioda rezultāts var būt zaudējumi, </w:t>
            </w:r>
            <w:r>
              <w:rPr>
                <w:rFonts w:ascii="Times New Roman" w:hAnsi="Times New Roman"/>
                <w:sz w:val="26"/>
                <w:szCs w:val="26"/>
              </w:rPr>
              <w:t xml:space="preserve">bet to uz ziedojumu veikšanas brīdi ne vienmēr uzņēmumi zina, </w:t>
            </w:r>
            <w:r w:rsidRPr="00E36EE6">
              <w:rPr>
                <w:rFonts w:ascii="Times New Roman" w:hAnsi="Times New Roman"/>
                <w:sz w:val="26"/>
                <w:szCs w:val="26"/>
              </w:rPr>
              <w:t xml:space="preserve">tad nav pamata </w:t>
            </w:r>
            <w:r>
              <w:rPr>
                <w:rFonts w:ascii="Times New Roman" w:hAnsi="Times New Roman"/>
                <w:sz w:val="26"/>
                <w:szCs w:val="26"/>
              </w:rPr>
              <w:t xml:space="preserve">attiecībā uz </w:t>
            </w:r>
            <w:r w:rsidRPr="00E36EE6">
              <w:rPr>
                <w:rFonts w:ascii="Times New Roman" w:hAnsi="Times New Roman"/>
                <w:sz w:val="26"/>
                <w:szCs w:val="26"/>
              </w:rPr>
              <w:t xml:space="preserve">minētajiem izdevumiem piemērot palielinošo koeficientu 1,5, </w:t>
            </w:r>
            <w:r>
              <w:rPr>
                <w:rFonts w:ascii="Times New Roman" w:hAnsi="Times New Roman"/>
                <w:sz w:val="26"/>
                <w:szCs w:val="26"/>
              </w:rPr>
              <w:t xml:space="preserve">jo, </w:t>
            </w:r>
            <w:r w:rsidRPr="00E36EE6">
              <w:rPr>
                <w:rFonts w:ascii="Times New Roman" w:hAnsi="Times New Roman"/>
                <w:sz w:val="26"/>
                <w:szCs w:val="26"/>
              </w:rPr>
              <w:t>ja tā darbības rezultāts būtu peļņa</w:t>
            </w:r>
            <w:r>
              <w:rPr>
                <w:rFonts w:ascii="Times New Roman" w:hAnsi="Times New Roman"/>
                <w:sz w:val="26"/>
                <w:szCs w:val="26"/>
              </w:rPr>
              <w:t xml:space="preserve">, </w:t>
            </w:r>
            <w:r w:rsidRPr="00E36EE6">
              <w:rPr>
                <w:rFonts w:ascii="Times New Roman" w:hAnsi="Times New Roman"/>
                <w:sz w:val="26"/>
                <w:szCs w:val="26"/>
              </w:rPr>
              <w:t>šim nodokļa maksātājam būtu tiesības piemērot atlaidi</w:t>
            </w:r>
            <w:r>
              <w:rPr>
                <w:rFonts w:ascii="Times New Roman" w:hAnsi="Times New Roman"/>
                <w:sz w:val="26"/>
                <w:szCs w:val="26"/>
              </w:rPr>
              <w:t>.</w:t>
            </w:r>
            <w:r w:rsidRPr="00E36EE6">
              <w:rPr>
                <w:rFonts w:ascii="Times New Roman" w:hAnsi="Times New Roman"/>
                <w:sz w:val="26"/>
                <w:szCs w:val="26"/>
              </w:rPr>
              <w:t xml:space="preserve"> </w:t>
            </w:r>
            <w:r>
              <w:rPr>
                <w:rFonts w:ascii="Times New Roman" w:hAnsi="Times New Roman"/>
                <w:sz w:val="26"/>
                <w:szCs w:val="26"/>
              </w:rPr>
              <w:t xml:space="preserve">Tikai peļņas neesamība nevar būt kritērijs, kāpēc taksācijas periodā veiktos ziedojumus sabiedriskā labuma organizācijām vajadzētu kvalificēt par tādiem ar saimniecisko darbību nesaistītiem izdevumiem, kuriem jāpiemēro palielinošais koeficients 1,5. </w:t>
            </w:r>
          </w:p>
          <w:p w:rsidR="00CB1130" w:rsidRDefault="00CB1130" w:rsidP="004D26EA">
            <w:pPr>
              <w:spacing w:after="0" w:line="240" w:lineRule="auto"/>
              <w:ind w:firstLine="720"/>
              <w:contextualSpacing/>
              <w:jc w:val="both"/>
              <w:rPr>
                <w:rFonts w:ascii="Times New Roman" w:hAnsi="Times New Roman"/>
                <w:i/>
                <w:sz w:val="26"/>
                <w:szCs w:val="26"/>
              </w:rPr>
            </w:pPr>
            <w:r w:rsidRPr="000B76AA">
              <w:rPr>
                <w:rFonts w:ascii="Times New Roman" w:hAnsi="Times New Roman"/>
                <w:i/>
                <w:sz w:val="26"/>
                <w:szCs w:val="26"/>
              </w:rPr>
              <w:t xml:space="preserve">Zaudējumu pārnešanas kārtība </w:t>
            </w:r>
          </w:p>
          <w:p w:rsidR="00CB1130" w:rsidRPr="000B76AA" w:rsidRDefault="00CB1130" w:rsidP="004D26EA">
            <w:pPr>
              <w:spacing w:after="0" w:line="240" w:lineRule="auto"/>
              <w:ind w:firstLine="720"/>
              <w:contextualSpacing/>
              <w:jc w:val="both"/>
              <w:rPr>
                <w:rFonts w:ascii="Times New Roman" w:hAnsi="Times New Roman"/>
                <w:sz w:val="26"/>
                <w:szCs w:val="26"/>
              </w:rPr>
            </w:pPr>
            <w:r w:rsidRPr="000B76AA">
              <w:rPr>
                <w:rFonts w:ascii="Times New Roman" w:hAnsi="Times New Roman"/>
                <w:sz w:val="26"/>
                <w:szCs w:val="26"/>
              </w:rPr>
              <w:t xml:space="preserve">Likums paredz, ka </w:t>
            </w:r>
            <w:r>
              <w:rPr>
                <w:rFonts w:ascii="Times New Roman" w:hAnsi="Times New Roman"/>
                <w:sz w:val="26"/>
                <w:szCs w:val="26"/>
              </w:rPr>
              <w:t xml:space="preserve">iepriekšējo taksācijas periodu </w:t>
            </w:r>
            <w:r w:rsidRPr="000B76AA">
              <w:rPr>
                <w:rFonts w:ascii="Times New Roman" w:hAnsi="Times New Roman"/>
                <w:sz w:val="26"/>
                <w:szCs w:val="26"/>
              </w:rPr>
              <w:t xml:space="preserve">zaudējumus var pārnest </w:t>
            </w:r>
            <w:r>
              <w:rPr>
                <w:rFonts w:ascii="Times New Roman" w:hAnsi="Times New Roman"/>
                <w:sz w:val="26"/>
                <w:szCs w:val="26"/>
              </w:rPr>
              <w:t xml:space="preserve">un segt turpmākajos </w:t>
            </w:r>
            <w:r w:rsidRPr="000B76AA">
              <w:rPr>
                <w:rFonts w:ascii="Times New Roman" w:hAnsi="Times New Roman"/>
                <w:sz w:val="26"/>
                <w:szCs w:val="26"/>
              </w:rPr>
              <w:t>8 taksācijas period</w:t>
            </w:r>
            <w:r>
              <w:rPr>
                <w:rFonts w:ascii="Times New Roman" w:hAnsi="Times New Roman"/>
                <w:sz w:val="26"/>
                <w:szCs w:val="26"/>
              </w:rPr>
              <w:t>o</w:t>
            </w:r>
            <w:r w:rsidRPr="000B76AA">
              <w:rPr>
                <w:rFonts w:ascii="Times New Roman" w:hAnsi="Times New Roman"/>
                <w:sz w:val="26"/>
                <w:szCs w:val="26"/>
              </w:rPr>
              <w:t>s. Ņemot vērā, ka lielākaj</w:t>
            </w:r>
            <w:r>
              <w:rPr>
                <w:rFonts w:ascii="Times New Roman" w:hAnsi="Times New Roman"/>
                <w:sz w:val="26"/>
                <w:szCs w:val="26"/>
              </w:rPr>
              <w:t>ā</w:t>
            </w:r>
            <w:r w:rsidRPr="000B76AA">
              <w:rPr>
                <w:rFonts w:ascii="Times New Roman" w:hAnsi="Times New Roman"/>
                <w:sz w:val="26"/>
                <w:szCs w:val="26"/>
              </w:rPr>
              <w:t xml:space="preserve"> daļ</w:t>
            </w:r>
            <w:r>
              <w:rPr>
                <w:rFonts w:ascii="Times New Roman" w:hAnsi="Times New Roman"/>
                <w:sz w:val="26"/>
                <w:szCs w:val="26"/>
              </w:rPr>
              <w:t>ā</w:t>
            </w:r>
            <w:r w:rsidRPr="000B76AA">
              <w:rPr>
                <w:rFonts w:ascii="Times New Roman" w:hAnsi="Times New Roman"/>
                <w:sz w:val="26"/>
                <w:szCs w:val="26"/>
              </w:rPr>
              <w:t xml:space="preserve"> ES valstu zaudējumu pārnešanas termiņš ir neierobe</w:t>
            </w:r>
            <w:r>
              <w:rPr>
                <w:rFonts w:ascii="Times New Roman" w:hAnsi="Times New Roman"/>
                <w:sz w:val="26"/>
                <w:szCs w:val="26"/>
              </w:rPr>
              <w:t xml:space="preserve">žots, tad potenciālie investori, vērtējot investīciju klimatu un nodokļu režīmu, Latvijā noteikto zaudējumu pārnešanas kārtību uzskatīta par  būtisku trūkumu. Uz šādu problēmu, kā investīciju šķērsli,  norāda Ārvalstu investoru padome Latvijā.  Līdz ar to likumā nepieciešams noteikt, ka minētais ierobežojums tiek atcelts attiecībā uz  zaudējumiem, kas radušies sākot ar 2008.gadu.  </w:t>
            </w:r>
          </w:p>
          <w:p w:rsidR="00CB1130" w:rsidRPr="00E36EE6" w:rsidRDefault="00CB1130" w:rsidP="004D26EA">
            <w:pPr>
              <w:pStyle w:val="naispant"/>
              <w:spacing w:before="0" w:beforeAutospacing="0" w:after="0" w:afterAutospacing="0"/>
              <w:ind w:firstLine="721"/>
              <w:contextualSpacing/>
              <w:rPr>
                <w:bCs/>
                <w:i/>
                <w:sz w:val="26"/>
                <w:szCs w:val="26"/>
              </w:rPr>
            </w:pPr>
            <w:bookmarkStart w:id="2" w:name="bkm226"/>
            <w:r w:rsidRPr="00E36EE6">
              <w:rPr>
                <w:bCs/>
                <w:i/>
                <w:sz w:val="26"/>
                <w:szCs w:val="26"/>
              </w:rPr>
              <w:t>Sākotnējie ilgtermiņa ieguldījumi</w:t>
            </w:r>
          </w:p>
          <w:p w:rsidR="00CB1130" w:rsidRPr="00E36EE6" w:rsidRDefault="00CB1130" w:rsidP="004D26EA">
            <w:pPr>
              <w:pStyle w:val="naispant"/>
              <w:spacing w:before="0" w:beforeAutospacing="0" w:after="0" w:afterAutospacing="0"/>
              <w:ind w:firstLine="721"/>
              <w:contextualSpacing/>
              <w:jc w:val="both"/>
              <w:rPr>
                <w:sz w:val="26"/>
                <w:szCs w:val="26"/>
              </w:rPr>
            </w:pPr>
            <w:r w:rsidRPr="00E36EE6">
              <w:rPr>
                <w:bCs/>
                <w:sz w:val="26"/>
                <w:szCs w:val="26"/>
              </w:rPr>
              <w:t>Likuma 17.</w:t>
            </w:r>
            <w:r w:rsidRPr="00E36EE6">
              <w:rPr>
                <w:bCs/>
                <w:sz w:val="26"/>
                <w:szCs w:val="26"/>
                <w:vertAlign w:val="superscript"/>
              </w:rPr>
              <w:t>2</w:t>
            </w:r>
            <w:r>
              <w:rPr>
                <w:bCs/>
                <w:sz w:val="26"/>
                <w:szCs w:val="26"/>
                <w:vertAlign w:val="superscript"/>
              </w:rPr>
              <w:t xml:space="preserve"> </w:t>
            </w:r>
            <w:r w:rsidRPr="00E36EE6">
              <w:rPr>
                <w:bCs/>
                <w:sz w:val="26"/>
                <w:szCs w:val="26"/>
              </w:rPr>
              <w:t xml:space="preserve">panta normas paredz nodokļa atlaidi </w:t>
            </w:r>
            <w:bookmarkEnd w:id="2"/>
            <w:r w:rsidRPr="00E36EE6">
              <w:rPr>
                <w:sz w:val="26"/>
                <w:szCs w:val="26"/>
              </w:rPr>
              <w:t>par atbalstāmo investīciju projekta ietvaros veiktajiem sākotnējiem ilgtermiņa ieguldījumiem, kuru kopējā summa pārsniedz 5 miljonus latu. Ņemot vērā, ka, izstrādājot šo normu, tika prognozēts, ka minētā atbalsta ietvaros kopumā līdz 2013.gada 31.decembrim tiks iesniegti 26 investīciju projekti, bet kopš 2011.gada 1.janvāra, kad stājās spēkā likuma 17.</w:t>
            </w:r>
            <w:r w:rsidRPr="00E36EE6">
              <w:rPr>
                <w:sz w:val="26"/>
                <w:szCs w:val="26"/>
                <w:vertAlign w:val="superscript"/>
              </w:rPr>
              <w:t>2</w:t>
            </w:r>
            <w:r w:rsidRPr="00E36EE6">
              <w:rPr>
                <w:sz w:val="26"/>
                <w:szCs w:val="26"/>
              </w:rPr>
              <w:t xml:space="preserve">pantā minētā atlaide, Ministru kabinets ir atbalstījis </w:t>
            </w:r>
            <w:r>
              <w:rPr>
                <w:sz w:val="26"/>
                <w:szCs w:val="26"/>
              </w:rPr>
              <w:t xml:space="preserve">tikai </w:t>
            </w:r>
            <w:r w:rsidRPr="00E36EE6">
              <w:rPr>
                <w:sz w:val="26"/>
                <w:szCs w:val="26"/>
              </w:rPr>
              <w:t>vienu atbalstāmo investīciju projektu, tad var secināt, ka nepieciešams pilnveidot esošo</w:t>
            </w:r>
            <w:r>
              <w:rPr>
                <w:sz w:val="26"/>
                <w:szCs w:val="26"/>
              </w:rPr>
              <w:t>s</w:t>
            </w:r>
            <w:r w:rsidRPr="00E36EE6">
              <w:rPr>
                <w:sz w:val="26"/>
                <w:szCs w:val="26"/>
              </w:rPr>
              <w:t xml:space="preserve"> atbalsta nosacījumus, lai nodrošinātu maksimāli labvēlīgus nosacījumus investīciju piesaistes veicināšanai.</w:t>
            </w:r>
          </w:p>
          <w:p w:rsidR="00CB1130" w:rsidRPr="00E36EE6" w:rsidRDefault="00CB1130" w:rsidP="004D26EA">
            <w:pPr>
              <w:spacing w:after="0" w:line="240" w:lineRule="auto"/>
              <w:ind w:firstLine="720"/>
              <w:contextualSpacing/>
              <w:jc w:val="both"/>
              <w:rPr>
                <w:rFonts w:ascii="Times New Roman" w:hAnsi="Times New Roman"/>
                <w:i/>
                <w:sz w:val="26"/>
                <w:szCs w:val="26"/>
              </w:rPr>
            </w:pPr>
            <w:r w:rsidRPr="00E36EE6">
              <w:rPr>
                <w:rFonts w:ascii="Times New Roman" w:hAnsi="Times New Roman"/>
                <w:i/>
                <w:sz w:val="26"/>
                <w:szCs w:val="26"/>
              </w:rPr>
              <w:t>Avansa maksājumi, ja apturēta saimnieciskā darbība</w:t>
            </w:r>
          </w:p>
          <w:p w:rsidR="00CB1130" w:rsidRPr="00E36EE6" w:rsidRDefault="00CB1130" w:rsidP="004D26EA">
            <w:pPr>
              <w:spacing w:after="0" w:line="240" w:lineRule="auto"/>
              <w:ind w:firstLine="720"/>
              <w:contextualSpacing/>
              <w:jc w:val="both"/>
              <w:rPr>
                <w:rFonts w:ascii="Times New Roman" w:hAnsi="Times New Roman"/>
                <w:sz w:val="26"/>
                <w:szCs w:val="26"/>
              </w:rPr>
            </w:pPr>
            <w:r>
              <w:rPr>
                <w:rFonts w:ascii="Times New Roman" w:hAnsi="Times New Roman"/>
                <w:sz w:val="26"/>
                <w:szCs w:val="26"/>
              </w:rPr>
              <w:lastRenderedPageBreak/>
              <w:t xml:space="preserve">Likumā nav paredzēta speciāla kārtība, kādā avansa maksājumus maksā vai nemaksā personas, kas apturējušas saimniecisko darbību. </w:t>
            </w:r>
            <w:r w:rsidRPr="00E36EE6">
              <w:rPr>
                <w:rFonts w:ascii="Times New Roman" w:hAnsi="Times New Roman"/>
                <w:sz w:val="26"/>
                <w:szCs w:val="26"/>
              </w:rPr>
              <w:t xml:space="preserve">Lai samazinātu administratīvo slogu, </w:t>
            </w:r>
            <w:r>
              <w:rPr>
                <w:rFonts w:ascii="Times New Roman" w:hAnsi="Times New Roman"/>
                <w:sz w:val="26"/>
                <w:szCs w:val="26"/>
              </w:rPr>
              <w:t xml:space="preserve">un </w:t>
            </w:r>
            <w:r w:rsidRPr="00E36EE6">
              <w:rPr>
                <w:rFonts w:ascii="Times New Roman" w:hAnsi="Times New Roman"/>
                <w:sz w:val="26"/>
                <w:szCs w:val="26"/>
              </w:rPr>
              <w:t>nodokļa maksātājam, kurš uz laiku aptur saimniecisko darbību, nevajadzētu iesniegt atsevišķu pieteikumu par turpmāko avansa maksājumu pārskatīšanu, likumā nepieciešams noteikt, ka uzņēmumu ienākuma nodokļa avansa maksājums nav jāveic par periodu, par kuru nodokļa maksātājs ir informējis Valsts ieņēmumu dienestu, ka saimnieciskā darbība uz laiku tiek apturēta. Tādējādi nodokļa maksātājam nebūtu arī jāiesniedz papildus iesniegums par avansa maksājumu apmēra pārskatīšanu par mēnešiem, kuros saimnieciskā darbība</w:t>
            </w:r>
            <w:r>
              <w:rPr>
                <w:rFonts w:ascii="Times New Roman" w:hAnsi="Times New Roman"/>
                <w:sz w:val="26"/>
                <w:szCs w:val="26"/>
              </w:rPr>
              <w:t xml:space="preserve"> ir apturēta</w:t>
            </w:r>
            <w:r w:rsidRPr="00E36EE6">
              <w:rPr>
                <w:rFonts w:ascii="Times New Roman" w:hAnsi="Times New Roman"/>
                <w:sz w:val="26"/>
                <w:szCs w:val="26"/>
              </w:rPr>
              <w:t>.</w:t>
            </w:r>
          </w:p>
          <w:p w:rsidR="00CB1130" w:rsidRPr="00E36EE6" w:rsidRDefault="00CB1130" w:rsidP="004D26EA">
            <w:pPr>
              <w:spacing w:after="0" w:line="240" w:lineRule="auto"/>
              <w:ind w:firstLine="720"/>
              <w:contextualSpacing/>
              <w:rPr>
                <w:rFonts w:ascii="Times New Roman" w:hAnsi="Times New Roman"/>
                <w:i/>
                <w:sz w:val="26"/>
                <w:szCs w:val="26"/>
              </w:rPr>
            </w:pPr>
            <w:r w:rsidRPr="00E36EE6">
              <w:rPr>
                <w:rFonts w:ascii="Times New Roman" w:hAnsi="Times New Roman"/>
                <w:i/>
                <w:sz w:val="26"/>
                <w:szCs w:val="26"/>
              </w:rPr>
              <w:t>Nodokļa likmes vienādošana</w:t>
            </w:r>
          </w:p>
          <w:p w:rsidR="00CB1130" w:rsidRPr="00E36EE6" w:rsidRDefault="00CB1130" w:rsidP="004D26EA">
            <w:pPr>
              <w:spacing w:after="0" w:line="240" w:lineRule="auto"/>
              <w:ind w:firstLine="720"/>
              <w:contextualSpacing/>
              <w:jc w:val="both"/>
              <w:rPr>
                <w:rFonts w:ascii="Times New Roman" w:hAnsi="Times New Roman"/>
                <w:sz w:val="26"/>
                <w:szCs w:val="26"/>
                <w:lang w:eastAsia="lv-LV"/>
              </w:rPr>
            </w:pPr>
            <w:r w:rsidRPr="00E36EE6">
              <w:rPr>
                <w:rFonts w:ascii="Times New Roman" w:hAnsi="Times New Roman"/>
                <w:sz w:val="26"/>
                <w:szCs w:val="26"/>
              </w:rPr>
              <w:t>Būtiski mainoties likuma nosacījumiem nodokļa maksātājiem pieejamo atvieglojumu veidu ziņā, kā arī pielāgojot likumu ES prasībām valsts atbalsta jomā, brīvostu un speciālo ekonomisko zonu kapitālsabiedrībām piemērotais uzņēmumu ienākuma nodokļa režīms salīdzinoši vairs nav tik izdevīgs kā sākotnēji, jo pastāv ierobežojums, kas paredz minētajiem komersantiem ar uzņēmumu ienākuma nodokli apliekamajam ienākumam piemērot 25 procentu likmi.</w:t>
            </w:r>
          </w:p>
        </w:tc>
      </w:tr>
      <w:tr w:rsidR="00CB1130" w:rsidRPr="00E36EE6" w:rsidTr="004D26EA">
        <w:trPr>
          <w:gridBefore w:val="1"/>
          <w:gridAfter w:val="1"/>
          <w:wBefore w:w="11" w:type="dxa"/>
          <w:wAfter w:w="85" w:type="dxa"/>
          <w:trHeight w:val="1071"/>
          <w:tblCellSpacing w:w="0" w:type="dxa"/>
        </w:trPr>
        <w:tc>
          <w:tcPr>
            <w:tcW w:w="635" w:type="dxa"/>
            <w:gridSpan w:val="2"/>
            <w:tcBorders>
              <w:top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lastRenderedPageBreak/>
              <w:t> 3.</w:t>
            </w:r>
          </w:p>
        </w:tc>
        <w:tc>
          <w:tcPr>
            <w:tcW w:w="2340" w:type="dxa"/>
            <w:gridSpan w:val="8"/>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Saistītie politikas ietekmes novērtējumi un pētījumi</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rPr>
              <w:t>Nav.</w:t>
            </w:r>
          </w:p>
        </w:tc>
      </w:tr>
      <w:tr w:rsidR="00CB1130" w:rsidRPr="00E36EE6" w:rsidTr="004D26EA">
        <w:trPr>
          <w:gridBefore w:val="1"/>
          <w:gridAfter w:val="1"/>
          <w:wBefore w:w="11" w:type="dxa"/>
          <w:wAfter w:w="85" w:type="dxa"/>
          <w:trHeight w:val="384"/>
          <w:tblCellSpacing w:w="0" w:type="dxa"/>
        </w:trPr>
        <w:tc>
          <w:tcPr>
            <w:tcW w:w="635" w:type="dxa"/>
            <w:gridSpan w:val="2"/>
            <w:tcBorders>
              <w:top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4.</w:t>
            </w:r>
          </w:p>
        </w:tc>
        <w:tc>
          <w:tcPr>
            <w:tcW w:w="2340" w:type="dxa"/>
            <w:gridSpan w:val="8"/>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Tiesiskā regulējuma mērķis un būtība</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pStyle w:val="BodyTextIndent"/>
              <w:spacing w:after="0" w:line="240" w:lineRule="auto"/>
              <w:ind w:left="-17" w:firstLine="709"/>
              <w:contextualSpacing/>
              <w:jc w:val="both"/>
              <w:rPr>
                <w:rFonts w:ascii="Times New Roman" w:hAnsi="Times New Roman"/>
                <w:i/>
                <w:sz w:val="26"/>
                <w:szCs w:val="26"/>
              </w:rPr>
            </w:pPr>
            <w:r w:rsidRPr="00E36EE6">
              <w:rPr>
                <w:rFonts w:ascii="Times New Roman" w:hAnsi="Times New Roman"/>
                <w:i/>
                <w:sz w:val="26"/>
                <w:szCs w:val="26"/>
              </w:rPr>
              <w:t>Būvju klasifikācijas kods</w:t>
            </w:r>
          </w:p>
          <w:p w:rsidR="00CB1130" w:rsidRPr="00E36EE6" w:rsidRDefault="00CB1130" w:rsidP="004D26EA">
            <w:pPr>
              <w:spacing w:after="0" w:line="240" w:lineRule="auto"/>
              <w:ind w:firstLine="692"/>
              <w:contextualSpacing/>
              <w:jc w:val="both"/>
              <w:rPr>
                <w:rFonts w:ascii="Times New Roman" w:hAnsi="Times New Roman"/>
                <w:sz w:val="26"/>
                <w:szCs w:val="26"/>
              </w:rPr>
            </w:pPr>
            <w:r w:rsidRPr="00E36EE6">
              <w:rPr>
                <w:rFonts w:ascii="Times New Roman" w:hAnsi="Times New Roman"/>
                <w:sz w:val="26"/>
                <w:szCs w:val="26"/>
              </w:rPr>
              <w:t>Lai novērstu situāciju, kad likuma 17.</w:t>
            </w:r>
            <w:r w:rsidRPr="00E36EE6">
              <w:rPr>
                <w:rFonts w:ascii="Times New Roman" w:hAnsi="Times New Roman"/>
                <w:sz w:val="26"/>
                <w:szCs w:val="26"/>
                <w:vertAlign w:val="superscript"/>
              </w:rPr>
              <w:t>2</w:t>
            </w:r>
            <w:r>
              <w:rPr>
                <w:rFonts w:ascii="Times New Roman" w:hAnsi="Times New Roman"/>
                <w:sz w:val="26"/>
                <w:szCs w:val="26"/>
                <w:vertAlign w:val="superscript"/>
              </w:rPr>
              <w:t xml:space="preserve"> </w:t>
            </w:r>
            <w:r w:rsidRPr="00E36EE6">
              <w:rPr>
                <w:rFonts w:ascii="Times New Roman" w:hAnsi="Times New Roman"/>
                <w:sz w:val="26"/>
                <w:szCs w:val="26"/>
              </w:rPr>
              <w:t xml:space="preserve">pantā paredzēto uzņēmumu ienākuma nodokļa atlaidi nevar piemērot </w:t>
            </w:r>
            <w:r>
              <w:rPr>
                <w:rFonts w:ascii="Times New Roman" w:hAnsi="Times New Roman"/>
                <w:sz w:val="26"/>
                <w:szCs w:val="26"/>
              </w:rPr>
              <w:t xml:space="preserve">attiecībā </w:t>
            </w:r>
            <w:r w:rsidRPr="00E36EE6">
              <w:rPr>
                <w:rFonts w:ascii="Times New Roman" w:hAnsi="Times New Roman"/>
                <w:sz w:val="26"/>
                <w:szCs w:val="26"/>
              </w:rPr>
              <w:t xml:space="preserve">uz telekomunikāciju nozares atsevišķām būvēm, </w:t>
            </w:r>
            <w:proofErr w:type="spellStart"/>
            <w:r w:rsidRPr="00E36EE6">
              <w:rPr>
                <w:rFonts w:ascii="Times New Roman" w:hAnsi="Times New Roman"/>
                <w:sz w:val="26"/>
                <w:szCs w:val="26"/>
              </w:rPr>
              <w:t>t.i</w:t>
            </w:r>
            <w:proofErr w:type="spellEnd"/>
            <w:r w:rsidRPr="00E36EE6">
              <w:rPr>
                <w:rFonts w:ascii="Times New Roman" w:hAnsi="Times New Roman"/>
                <w:sz w:val="26"/>
                <w:szCs w:val="26"/>
              </w:rPr>
              <w:t xml:space="preserve">., jauniem kabeļu tīkliem vai jauniem telekomunikāciju torņiem, mastiem </w:t>
            </w:r>
            <w:proofErr w:type="spellStart"/>
            <w:r w:rsidRPr="00E36EE6">
              <w:rPr>
                <w:rFonts w:ascii="Times New Roman" w:hAnsi="Times New Roman"/>
                <w:sz w:val="26"/>
                <w:szCs w:val="26"/>
              </w:rPr>
              <w:t>u.c</w:t>
            </w:r>
            <w:proofErr w:type="spellEnd"/>
            <w:r w:rsidRPr="00E36EE6">
              <w:rPr>
                <w:rFonts w:ascii="Times New Roman" w:hAnsi="Times New Roman"/>
                <w:sz w:val="26"/>
                <w:szCs w:val="26"/>
              </w:rPr>
              <w:t>. likuma 1.panta divdesmit septītā daļa tiek papildināta ar atsauci uz būvju klasifikācijas 22.kodu „Cauruļvadi, sakaru un elektropārvades līnijas”.</w:t>
            </w:r>
          </w:p>
          <w:p w:rsidR="00CB1130" w:rsidRPr="00E36EE6" w:rsidRDefault="00CB1130" w:rsidP="004D26EA">
            <w:pPr>
              <w:pStyle w:val="BodyTextIndent"/>
              <w:spacing w:after="0" w:line="240" w:lineRule="auto"/>
              <w:ind w:left="-17" w:firstLine="709"/>
              <w:contextualSpacing/>
              <w:jc w:val="both"/>
              <w:rPr>
                <w:rFonts w:ascii="Times New Roman" w:hAnsi="Times New Roman"/>
                <w:bCs/>
                <w:i/>
                <w:sz w:val="26"/>
                <w:szCs w:val="26"/>
              </w:rPr>
            </w:pPr>
            <w:r w:rsidRPr="00E36EE6">
              <w:rPr>
                <w:rFonts w:ascii="Times New Roman" w:hAnsi="Times New Roman"/>
                <w:bCs/>
                <w:i/>
                <w:sz w:val="26"/>
                <w:szCs w:val="26"/>
              </w:rPr>
              <w:t>Darba mašīnas</w:t>
            </w:r>
          </w:p>
          <w:p w:rsidR="00CB1130" w:rsidRPr="00E36EE6" w:rsidRDefault="00CB1130" w:rsidP="004D26EA">
            <w:pPr>
              <w:pStyle w:val="BodyTextIndent"/>
              <w:spacing w:after="0" w:line="240" w:lineRule="auto"/>
              <w:ind w:left="-17" w:firstLine="709"/>
              <w:contextualSpacing/>
              <w:jc w:val="both"/>
              <w:rPr>
                <w:rFonts w:ascii="Times New Roman" w:hAnsi="Times New Roman"/>
                <w:sz w:val="26"/>
                <w:szCs w:val="26"/>
              </w:rPr>
            </w:pPr>
            <w:r w:rsidRPr="00E36EE6">
              <w:rPr>
                <w:rFonts w:ascii="Times New Roman" w:hAnsi="Times New Roman"/>
                <w:sz w:val="26"/>
                <w:szCs w:val="26"/>
              </w:rPr>
              <w:t>Likuma 1.panta divdesmit astotā daļā, attiecībā uz darba mašīnām noteikt, ka</w:t>
            </w:r>
            <w:r w:rsidRPr="00E36EE6">
              <w:rPr>
                <w:rFonts w:ascii="Times New Roman" w:hAnsi="Times New Roman"/>
                <w:sz w:val="26"/>
                <w:szCs w:val="26"/>
                <w:lang w:eastAsia="lv-LV"/>
              </w:rPr>
              <w:t xml:space="preserve"> to </w:t>
            </w:r>
            <w:r w:rsidRPr="00E36EE6">
              <w:rPr>
                <w:rFonts w:ascii="Times New Roman" w:hAnsi="Times New Roman"/>
                <w:sz w:val="26"/>
                <w:szCs w:val="26"/>
              </w:rPr>
              <w:t xml:space="preserve">būtiska sastāvdaļa ir </w:t>
            </w:r>
            <w:r w:rsidRPr="00E36EE6">
              <w:rPr>
                <w:rFonts w:ascii="Times New Roman" w:hAnsi="Times New Roman"/>
                <w:sz w:val="26"/>
                <w:szCs w:val="26"/>
                <w:lang w:eastAsia="lv-LV"/>
              </w:rPr>
              <w:t xml:space="preserve">jebkura veida </w:t>
            </w:r>
            <w:proofErr w:type="spellStart"/>
            <w:r w:rsidRPr="00E36EE6">
              <w:rPr>
                <w:rFonts w:ascii="Times New Roman" w:hAnsi="Times New Roman"/>
                <w:sz w:val="26"/>
                <w:szCs w:val="26"/>
                <w:lang w:eastAsia="lv-LV"/>
              </w:rPr>
              <w:t>izpildsistēma</w:t>
            </w:r>
            <w:proofErr w:type="spellEnd"/>
            <w:r w:rsidRPr="00E36EE6">
              <w:rPr>
                <w:rFonts w:ascii="Times New Roman" w:hAnsi="Times New Roman"/>
                <w:sz w:val="26"/>
                <w:szCs w:val="26"/>
              </w:rPr>
              <w:t>.</w:t>
            </w:r>
          </w:p>
          <w:p w:rsidR="00CB1130" w:rsidRPr="00E36EE6" w:rsidRDefault="00CB1130" w:rsidP="004D26EA">
            <w:pPr>
              <w:pStyle w:val="BodyTextIndent"/>
              <w:spacing w:after="0" w:line="240" w:lineRule="auto"/>
              <w:ind w:left="-17" w:firstLine="709"/>
              <w:contextualSpacing/>
              <w:jc w:val="both"/>
              <w:rPr>
                <w:rFonts w:ascii="Times New Roman" w:hAnsi="Times New Roman"/>
                <w:i/>
                <w:sz w:val="26"/>
                <w:szCs w:val="26"/>
              </w:rPr>
            </w:pPr>
            <w:r w:rsidRPr="00E36EE6">
              <w:rPr>
                <w:rFonts w:ascii="Times New Roman" w:hAnsi="Times New Roman"/>
                <w:i/>
                <w:sz w:val="26"/>
                <w:szCs w:val="26"/>
              </w:rPr>
              <w:t>Nodokļa uzlikšana dividendēm, kapitāla pieaugumam</w:t>
            </w:r>
            <w:r>
              <w:rPr>
                <w:rFonts w:ascii="Times New Roman" w:hAnsi="Times New Roman"/>
                <w:i/>
                <w:sz w:val="26"/>
                <w:szCs w:val="26"/>
              </w:rPr>
              <w:t xml:space="preserve"> no kapitāla daļu un akciju atsavināšanas</w:t>
            </w:r>
            <w:r w:rsidRPr="00E36EE6">
              <w:rPr>
                <w:rFonts w:ascii="Times New Roman" w:hAnsi="Times New Roman"/>
                <w:i/>
                <w:sz w:val="26"/>
                <w:szCs w:val="26"/>
              </w:rPr>
              <w:t xml:space="preserve">, procentiem un  atlīdzībai par intelektuālā īpašuma izmantošanu </w:t>
            </w:r>
          </w:p>
          <w:p w:rsidR="00CB1130" w:rsidRPr="00E36EE6"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Lai izveido</w:t>
            </w:r>
            <w:r>
              <w:rPr>
                <w:rFonts w:ascii="Times New Roman" w:hAnsi="Times New Roman"/>
                <w:sz w:val="26"/>
                <w:szCs w:val="26"/>
              </w:rPr>
              <w:t>tu</w:t>
            </w:r>
            <w:r w:rsidRPr="00E36EE6">
              <w:rPr>
                <w:rFonts w:ascii="Times New Roman" w:hAnsi="Times New Roman"/>
                <w:sz w:val="26"/>
                <w:szCs w:val="26"/>
              </w:rPr>
              <w:t xml:space="preserve"> pievilcīgāku Latvijas uzņēmumu ienākuma nodokļa režīmu un mazinātu nepieciešamību izmantot ārzonu struktūras nodokļu samazināšanas </w:t>
            </w:r>
            <w:r w:rsidRPr="00E36EE6">
              <w:rPr>
                <w:rFonts w:ascii="Times New Roman" w:hAnsi="Times New Roman"/>
                <w:sz w:val="26"/>
                <w:szCs w:val="26"/>
              </w:rPr>
              <w:lastRenderedPageBreak/>
              <w:t xml:space="preserve">vajadzībām, likumā tiek noteikts, ka no nodokļa ir atbrīvotas: </w:t>
            </w:r>
          </w:p>
          <w:p w:rsidR="00CB1130" w:rsidRPr="00E36EE6" w:rsidRDefault="00CB1130" w:rsidP="004D26EA">
            <w:pPr>
              <w:pStyle w:val="ListParagraph"/>
              <w:numPr>
                <w:ilvl w:val="0"/>
                <w:numId w:val="1"/>
              </w:numPr>
              <w:ind w:left="0" w:firstLine="360"/>
              <w:jc w:val="both"/>
              <w:rPr>
                <w:sz w:val="26"/>
                <w:szCs w:val="26"/>
              </w:rPr>
            </w:pPr>
            <w:r w:rsidRPr="00E36EE6">
              <w:rPr>
                <w:sz w:val="26"/>
                <w:szCs w:val="26"/>
              </w:rPr>
              <w:t>dividendes, ko sabiedrība - Latvijas rezidents izmaksā nerezidentam, kas nav ES/EEZ vai ārzonas valsts rezidents</w:t>
            </w:r>
            <w:r>
              <w:rPr>
                <w:sz w:val="26"/>
                <w:szCs w:val="26"/>
              </w:rPr>
              <w:t xml:space="preserve"> (sākot ar 2013.gadu)</w:t>
            </w:r>
            <w:r w:rsidRPr="00E36EE6">
              <w:rPr>
                <w:sz w:val="26"/>
                <w:szCs w:val="26"/>
              </w:rPr>
              <w:t>;</w:t>
            </w:r>
          </w:p>
          <w:p w:rsidR="00CB1130" w:rsidRPr="00E36EE6" w:rsidRDefault="00CB1130" w:rsidP="004D26EA">
            <w:pPr>
              <w:pStyle w:val="ListParagraph"/>
              <w:numPr>
                <w:ilvl w:val="0"/>
                <w:numId w:val="1"/>
              </w:numPr>
              <w:ind w:left="0" w:firstLine="360"/>
              <w:jc w:val="both"/>
              <w:rPr>
                <w:sz w:val="26"/>
                <w:szCs w:val="26"/>
              </w:rPr>
            </w:pPr>
            <w:r w:rsidRPr="00E36EE6">
              <w:rPr>
                <w:sz w:val="26"/>
                <w:szCs w:val="26"/>
              </w:rPr>
              <w:t>dividendes, ko sabiedrība – Latvijas rezidents saņem no nerezidenta, ja dividenžu izmaksātājs ir tādas valsts rezidents, kas nav zemu nodokļu un beznodokļu valsts vai teritorija</w:t>
            </w:r>
            <w:r>
              <w:rPr>
                <w:sz w:val="26"/>
                <w:szCs w:val="26"/>
              </w:rPr>
              <w:t xml:space="preserve"> (sākot ar 2013.gadu)</w:t>
            </w:r>
            <w:r w:rsidRPr="00E36EE6">
              <w:rPr>
                <w:sz w:val="26"/>
                <w:szCs w:val="26"/>
              </w:rPr>
              <w:t xml:space="preserve">; </w:t>
            </w:r>
          </w:p>
          <w:p w:rsidR="00CB1130" w:rsidRPr="00E36EE6" w:rsidRDefault="00CB1130" w:rsidP="004D26EA">
            <w:pPr>
              <w:pStyle w:val="ListParagraph"/>
              <w:numPr>
                <w:ilvl w:val="0"/>
                <w:numId w:val="1"/>
              </w:numPr>
              <w:ind w:left="13" w:firstLine="347"/>
              <w:jc w:val="both"/>
              <w:rPr>
                <w:sz w:val="26"/>
                <w:szCs w:val="26"/>
              </w:rPr>
            </w:pPr>
            <w:r w:rsidRPr="00E36EE6">
              <w:rPr>
                <w:sz w:val="26"/>
                <w:szCs w:val="26"/>
              </w:rPr>
              <w:t xml:space="preserve">procentu maksājumi, ko sabiedrība - Latvijas rezidents izmaksā nerezidentam, kas nav ES/EEZ vai zemu nodokļu vai beznodokļu valsts vai teritorijas  rezidents, un kas tiek veikti pēc 2013.gada 31.decembra; </w:t>
            </w:r>
          </w:p>
          <w:p w:rsidR="00CB1130" w:rsidRPr="00E36EE6" w:rsidRDefault="00CB1130" w:rsidP="004D26EA">
            <w:pPr>
              <w:pStyle w:val="ListParagraph"/>
              <w:numPr>
                <w:ilvl w:val="0"/>
                <w:numId w:val="1"/>
              </w:numPr>
              <w:ind w:left="13" w:firstLine="347"/>
              <w:jc w:val="both"/>
              <w:rPr>
                <w:sz w:val="26"/>
                <w:szCs w:val="26"/>
              </w:rPr>
            </w:pPr>
            <w:r w:rsidRPr="00E36EE6">
              <w:rPr>
                <w:sz w:val="26"/>
                <w:szCs w:val="26"/>
              </w:rPr>
              <w:t>maksājumi par intelektuālo īpašumu, ko sabiedrība - Latvijas rezidents izmaksā nerezidentam, kas nav ES/EEZ vai zemu nodokļu vai beznodokļu valsts vai teritorijas  rezidents, un kas tiek veikti pēc 2013.gada 31.decembra;</w:t>
            </w:r>
          </w:p>
          <w:p w:rsidR="00CB1130" w:rsidRPr="00865267" w:rsidRDefault="00CB1130" w:rsidP="004D26EA">
            <w:pPr>
              <w:spacing w:after="0" w:line="240" w:lineRule="auto"/>
              <w:ind w:firstLine="709"/>
              <w:contextualSpacing/>
              <w:jc w:val="both"/>
              <w:rPr>
                <w:rFonts w:ascii="Times New Roman" w:hAnsi="Times New Roman"/>
                <w:sz w:val="26"/>
                <w:szCs w:val="26"/>
              </w:rPr>
            </w:pPr>
            <w:r>
              <w:rPr>
                <w:rFonts w:ascii="Times New Roman" w:eastAsia="Times New Roman" w:hAnsi="Times New Roman"/>
                <w:sz w:val="26"/>
                <w:szCs w:val="26"/>
              </w:rPr>
              <w:t>Papildus tam likumprojekts paredz</w:t>
            </w:r>
            <w:r w:rsidRPr="00DC4FB9">
              <w:rPr>
                <w:rFonts w:ascii="Times New Roman" w:eastAsia="Times New Roman" w:hAnsi="Times New Roman"/>
                <w:sz w:val="26"/>
                <w:szCs w:val="26"/>
              </w:rPr>
              <w:t>, k</w:t>
            </w:r>
            <w:r>
              <w:rPr>
                <w:rFonts w:ascii="Times New Roman" w:eastAsia="Times New Roman" w:hAnsi="Times New Roman"/>
                <w:sz w:val="26"/>
                <w:szCs w:val="26"/>
              </w:rPr>
              <w:t>a</w:t>
            </w:r>
            <w:r w:rsidRPr="00DC4FB9">
              <w:rPr>
                <w:rFonts w:ascii="Times New Roman" w:eastAsia="Times New Roman" w:hAnsi="Times New Roman"/>
                <w:sz w:val="26"/>
                <w:szCs w:val="26"/>
              </w:rPr>
              <w:t xml:space="preserve"> </w:t>
            </w:r>
            <w:r>
              <w:rPr>
                <w:rFonts w:ascii="Times New Roman" w:eastAsia="Times New Roman" w:hAnsi="Times New Roman"/>
                <w:sz w:val="26"/>
                <w:szCs w:val="26"/>
              </w:rPr>
              <w:t xml:space="preserve">sākot ar 2013.gadu ienākumi vai zaudējumi </w:t>
            </w:r>
            <w:r w:rsidRPr="00DC4FB9">
              <w:rPr>
                <w:rFonts w:ascii="Times New Roman" w:eastAsia="Times New Roman" w:hAnsi="Times New Roman"/>
                <w:sz w:val="26"/>
                <w:szCs w:val="26"/>
              </w:rPr>
              <w:t xml:space="preserve">no kapitāla daļu un akciju atsavināšanas </w:t>
            </w:r>
            <w:r>
              <w:rPr>
                <w:rFonts w:ascii="Times New Roman" w:eastAsia="Times New Roman" w:hAnsi="Times New Roman"/>
                <w:sz w:val="26"/>
                <w:szCs w:val="26"/>
              </w:rPr>
              <w:t xml:space="preserve">netiek ņemti vērā nosakot nodokļa maksātāja ar nodokli apliekamo ienākumu, </w:t>
            </w:r>
            <w:r w:rsidRPr="00865267">
              <w:rPr>
                <w:rFonts w:ascii="Times New Roman" w:eastAsia="Times New Roman" w:hAnsi="Times New Roman"/>
                <w:sz w:val="26"/>
                <w:szCs w:val="26"/>
              </w:rPr>
              <w:t>izņemot ienākumus</w:t>
            </w:r>
            <w:r w:rsidRPr="00865267">
              <w:rPr>
                <w:rFonts w:ascii="Times New Roman" w:hAnsi="Times New Roman"/>
                <w:sz w:val="26"/>
                <w:szCs w:val="26"/>
              </w:rPr>
              <w:t>, ja kapitālsabiedrība, kuras akciju iegāde ir notikusi, ir tādas valsts vai teritorijas rezidents, kas saskaņā ar Ministru kabineta noteikumiem ir atzīta par zemu nodokļu vai beznodokļu valsti vai teritoriju.</w:t>
            </w:r>
          </w:p>
          <w:p w:rsidR="00CB1130" w:rsidRPr="00C76A80" w:rsidRDefault="00CB1130" w:rsidP="004D26EA">
            <w:pPr>
              <w:pStyle w:val="NoSpacing"/>
              <w:ind w:left="734"/>
              <w:contextualSpacing/>
              <w:jc w:val="both"/>
              <w:rPr>
                <w:rFonts w:ascii="Times New Roman" w:hAnsi="Times New Roman"/>
                <w:i/>
                <w:sz w:val="26"/>
                <w:szCs w:val="26"/>
              </w:rPr>
            </w:pPr>
            <w:r w:rsidRPr="00C76A80">
              <w:rPr>
                <w:rFonts w:ascii="Times New Roman" w:hAnsi="Times New Roman"/>
                <w:sz w:val="26"/>
                <w:szCs w:val="26"/>
                <w:lang w:eastAsia="lv-LV"/>
              </w:rPr>
              <w:t xml:space="preserve"> </w:t>
            </w:r>
            <w:proofErr w:type="spellStart"/>
            <w:r w:rsidRPr="00C76A80">
              <w:rPr>
                <w:rFonts w:ascii="Times New Roman" w:hAnsi="Times New Roman"/>
                <w:i/>
                <w:sz w:val="26"/>
                <w:szCs w:val="26"/>
              </w:rPr>
              <w:t>Banku</w:t>
            </w:r>
            <w:proofErr w:type="spellEnd"/>
            <w:r w:rsidRPr="00C76A80">
              <w:rPr>
                <w:rFonts w:ascii="Times New Roman" w:hAnsi="Times New Roman"/>
                <w:i/>
                <w:sz w:val="26"/>
                <w:szCs w:val="26"/>
              </w:rPr>
              <w:t xml:space="preserve"> </w:t>
            </w:r>
            <w:proofErr w:type="spellStart"/>
            <w:r w:rsidRPr="00C76A80">
              <w:rPr>
                <w:rFonts w:ascii="Times New Roman" w:hAnsi="Times New Roman"/>
                <w:i/>
                <w:sz w:val="26"/>
                <w:szCs w:val="26"/>
              </w:rPr>
              <w:t>ķīlas</w:t>
            </w:r>
            <w:proofErr w:type="spellEnd"/>
            <w:r w:rsidRPr="00C76A80">
              <w:rPr>
                <w:rFonts w:ascii="Times New Roman" w:hAnsi="Times New Roman"/>
                <w:i/>
                <w:sz w:val="26"/>
                <w:szCs w:val="26"/>
              </w:rPr>
              <w:t xml:space="preserve"> </w:t>
            </w:r>
            <w:proofErr w:type="spellStart"/>
            <w:r>
              <w:rPr>
                <w:rFonts w:ascii="Times New Roman" w:hAnsi="Times New Roman"/>
                <w:i/>
                <w:sz w:val="26"/>
                <w:szCs w:val="26"/>
              </w:rPr>
              <w:t>pārņemšanas</w:t>
            </w:r>
            <w:proofErr w:type="spellEnd"/>
            <w:r w:rsidRPr="00C76A80">
              <w:rPr>
                <w:rFonts w:ascii="Times New Roman" w:hAnsi="Times New Roman"/>
                <w:i/>
                <w:sz w:val="26"/>
                <w:szCs w:val="26"/>
              </w:rPr>
              <w:t xml:space="preserve"> </w:t>
            </w:r>
            <w:proofErr w:type="spellStart"/>
            <w:r w:rsidRPr="00C76A80">
              <w:rPr>
                <w:rFonts w:ascii="Times New Roman" w:hAnsi="Times New Roman"/>
                <w:i/>
                <w:sz w:val="26"/>
                <w:szCs w:val="26"/>
              </w:rPr>
              <w:t>izdevumi</w:t>
            </w:r>
            <w:proofErr w:type="spellEnd"/>
          </w:p>
          <w:p w:rsidR="00CB1130" w:rsidRPr="00E36EE6"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 xml:space="preserve">Lai </w:t>
            </w:r>
            <w:r>
              <w:rPr>
                <w:rFonts w:ascii="Times New Roman" w:hAnsi="Times New Roman"/>
                <w:sz w:val="26"/>
                <w:szCs w:val="26"/>
              </w:rPr>
              <w:t>izslēgtu dažādas interpretācijas iespējas</w:t>
            </w:r>
            <w:r w:rsidRPr="00E36EE6">
              <w:rPr>
                <w:rFonts w:ascii="Times New Roman" w:hAnsi="Times New Roman"/>
                <w:sz w:val="26"/>
                <w:szCs w:val="26"/>
              </w:rPr>
              <w:t>,  likumprojekt</w:t>
            </w:r>
            <w:r>
              <w:rPr>
                <w:rFonts w:ascii="Times New Roman" w:hAnsi="Times New Roman"/>
                <w:sz w:val="26"/>
                <w:szCs w:val="26"/>
              </w:rPr>
              <w:t>ā tiek noteikts</w:t>
            </w:r>
            <w:r w:rsidRPr="00E36EE6">
              <w:rPr>
                <w:rFonts w:ascii="Times New Roman" w:hAnsi="Times New Roman"/>
                <w:sz w:val="26"/>
                <w:szCs w:val="26"/>
              </w:rPr>
              <w:t xml:space="preserve">, ka attiecībā uz kredītiestādēm </w:t>
            </w:r>
            <w:r w:rsidRPr="00E36EE6">
              <w:rPr>
                <w:rFonts w:ascii="Times New Roman" w:hAnsi="Times New Roman"/>
                <w:bCs/>
                <w:sz w:val="26"/>
                <w:szCs w:val="26"/>
                <w:lang w:eastAsia="lv-LV"/>
              </w:rPr>
              <w:t>parāda piedziņas procesa laikā radušies ķīlas uzturēšanas izdevumi</w:t>
            </w:r>
            <w:r>
              <w:rPr>
                <w:rFonts w:ascii="Times New Roman" w:hAnsi="Times New Roman"/>
                <w:bCs/>
                <w:sz w:val="26"/>
                <w:szCs w:val="26"/>
                <w:lang w:eastAsia="lv-LV"/>
              </w:rPr>
              <w:t>,</w:t>
            </w:r>
            <w:r w:rsidRPr="00E36EE6">
              <w:rPr>
                <w:rFonts w:ascii="Times New Roman" w:hAnsi="Times New Roman"/>
                <w:bCs/>
                <w:sz w:val="26"/>
                <w:szCs w:val="26"/>
                <w:lang w:eastAsia="lv-LV"/>
              </w:rPr>
              <w:t xml:space="preserve"> ķīlas priekšmeta pārņemšanas izdevumi</w:t>
            </w:r>
            <w:r>
              <w:rPr>
                <w:rFonts w:ascii="Times New Roman" w:hAnsi="Times New Roman"/>
                <w:bCs/>
                <w:sz w:val="26"/>
                <w:szCs w:val="26"/>
                <w:lang w:eastAsia="lv-LV"/>
              </w:rPr>
              <w:t xml:space="preserve">, </w:t>
            </w:r>
            <w:r w:rsidRPr="0014517C">
              <w:rPr>
                <w:rFonts w:ascii="Times New Roman" w:hAnsi="Times New Roman"/>
                <w:bCs/>
                <w:sz w:val="26"/>
                <w:szCs w:val="26"/>
                <w:lang w:eastAsia="lv-LV"/>
              </w:rPr>
              <w:t xml:space="preserve">nekustamā īpašuma nodokļa </w:t>
            </w:r>
            <w:r>
              <w:rPr>
                <w:rFonts w:ascii="Times New Roman" w:hAnsi="Times New Roman"/>
                <w:bCs/>
                <w:sz w:val="26"/>
                <w:szCs w:val="26"/>
                <w:lang w:eastAsia="lv-LV"/>
              </w:rPr>
              <w:t xml:space="preserve">parāda maksājumi </w:t>
            </w:r>
            <w:r w:rsidRPr="0014517C">
              <w:rPr>
                <w:rFonts w:ascii="Times New Roman" w:hAnsi="Times New Roman"/>
                <w:bCs/>
                <w:sz w:val="26"/>
                <w:szCs w:val="26"/>
                <w:lang w:eastAsia="lv-LV"/>
              </w:rPr>
              <w:t xml:space="preserve">par attiecīgo </w:t>
            </w:r>
            <w:r>
              <w:rPr>
                <w:rFonts w:ascii="Times New Roman" w:hAnsi="Times New Roman"/>
                <w:bCs/>
                <w:sz w:val="26"/>
                <w:szCs w:val="26"/>
                <w:lang w:eastAsia="lv-LV"/>
              </w:rPr>
              <w:t>pārņemto</w:t>
            </w:r>
            <w:r w:rsidRPr="0014517C">
              <w:rPr>
                <w:rFonts w:ascii="Times New Roman" w:hAnsi="Times New Roman"/>
                <w:bCs/>
                <w:sz w:val="26"/>
                <w:szCs w:val="26"/>
                <w:lang w:eastAsia="lv-LV"/>
              </w:rPr>
              <w:t xml:space="preserve"> nekustamo īpašumu</w:t>
            </w:r>
            <w:r w:rsidRPr="00E36EE6">
              <w:rPr>
                <w:rFonts w:ascii="Times New Roman" w:hAnsi="Times New Roman"/>
                <w:bCs/>
                <w:sz w:val="26"/>
                <w:szCs w:val="26"/>
                <w:lang w:eastAsia="lv-LV"/>
              </w:rPr>
              <w:t xml:space="preserve">, kuri, </w:t>
            </w:r>
            <w:r w:rsidRPr="00E36EE6">
              <w:rPr>
                <w:rFonts w:ascii="Times New Roman" w:hAnsi="Times New Roman"/>
                <w:sz w:val="26"/>
                <w:szCs w:val="26"/>
              </w:rPr>
              <w:t>pastāvot pamatotām šaubām tos atgūt,</w:t>
            </w:r>
            <w:r>
              <w:rPr>
                <w:rFonts w:ascii="Times New Roman" w:hAnsi="Times New Roman"/>
                <w:sz w:val="26"/>
                <w:szCs w:val="26"/>
              </w:rPr>
              <w:t xml:space="preserve"> un kuri</w:t>
            </w:r>
            <w:r w:rsidRPr="00E36EE6">
              <w:rPr>
                <w:rFonts w:ascii="Times New Roman" w:hAnsi="Times New Roman"/>
                <w:sz w:val="26"/>
                <w:szCs w:val="26"/>
              </w:rPr>
              <w:t xml:space="preserve"> ir iekļauti kredītiestādes izdevumos attiecīgajā pārskata periodā,</w:t>
            </w:r>
            <w:r w:rsidRPr="00E36EE6">
              <w:rPr>
                <w:rFonts w:ascii="Times New Roman" w:hAnsi="Times New Roman"/>
                <w:bCs/>
                <w:color w:val="000000"/>
                <w:spacing w:val="-5"/>
                <w:sz w:val="26"/>
                <w:szCs w:val="26"/>
                <w:lang w:eastAsia="lv-LV"/>
              </w:rPr>
              <w:t xml:space="preserve"> </w:t>
            </w:r>
            <w:r w:rsidRPr="00E36EE6">
              <w:rPr>
                <w:rFonts w:ascii="Times New Roman" w:hAnsi="Times New Roman"/>
                <w:sz w:val="26"/>
                <w:szCs w:val="26"/>
              </w:rPr>
              <w:t>ir uzskatāmi par izdevumiem, kas ir saistīti ar kredītiestādes saimniecisko darbību.</w:t>
            </w:r>
          </w:p>
          <w:p w:rsidR="00CB1130" w:rsidRPr="00E36EE6"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Likumprojekts paredz arī palielināt parādnieka</w:t>
            </w:r>
            <w:r>
              <w:rPr>
                <w:rFonts w:ascii="Times New Roman" w:hAnsi="Times New Roman"/>
                <w:sz w:val="26"/>
                <w:szCs w:val="26"/>
              </w:rPr>
              <w:t xml:space="preserve"> </w:t>
            </w:r>
            <w:r w:rsidRPr="00E36EE6">
              <w:rPr>
                <w:rFonts w:ascii="Times New Roman" w:hAnsi="Times New Roman"/>
                <w:sz w:val="26"/>
                <w:szCs w:val="26"/>
              </w:rPr>
              <w:t xml:space="preserve"> apliekamo ienākumu par kredītiestādes apmaksātajiem ķīlas uzturēšanas</w:t>
            </w:r>
            <w:r>
              <w:rPr>
                <w:rFonts w:ascii="Times New Roman" w:hAnsi="Times New Roman"/>
                <w:sz w:val="26"/>
                <w:szCs w:val="26"/>
              </w:rPr>
              <w:t xml:space="preserve"> izdevumiem, pārņemšanas izdevumiem un</w:t>
            </w:r>
            <w:r w:rsidRPr="00E36EE6">
              <w:rPr>
                <w:rFonts w:ascii="Times New Roman" w:hAnsi="Times New Roman"/>
                <w:sz w:val="26"/>
                <w:szCs w:val="26"/>
              </w:rPr>
              <w:t xml:space="preserve"> </w:t>
            </w:r>
            <w:r w:rsidRPr="0014517C">
              <w:rPr>
                <w:rFonts w:ascii="Times New Roman" w:hAnsi="Times New Roman"/>
                <w:bCs/>
                <w:sz w:val="26"/>
                <w:szCs w:val="26"/>
                <w:lang w:eastAsia="lv-LV"/>
              </w:rPr>
              <w:t xml:space="preserve">nekustamā īpašuma nodokļa </w:t>
            </w:r>
            <w:r>
              <w:rPr>
                <w:rFonts w:ascii="Times New Roman" w:hAnsi="Times New Roman"/>
                <w:bCs/>
                <w:sz w:val="26"/>
                <w:szCs w:val="26"/>
                <w:lang w:eastAsia="lv-LV"/>
              </w:rPr>
              <w:t xml:space="preserve">parāda maksājumiem </w:t>
            </w:r>
            <w:r w:rsidRPr="0014517C">
              <w:rPr>
                <w:rFonts w:ascii="Times New Roman" w:hAnsi="Times New Roman"/>
                <w:bCs/>
                <w:sz w:val="26"/>
                <w:szCs w:val="26"/>
                <w:lang w:eastAsia="lv-LV"/>
              </w:rPr>
              <w:t xml:space="preserve">par attiecīgo </w:t>
            </w:r>
            <w:r>
              <w:rPr>
                <w:rFonts w:ascii="Times New Roman" w:hAnsi="Times New Roman"/>
                <w:bCs/>
                <w:sz w:val="26"/>
                <w:szCs w:val="26"/>
                <w:lang w:eastAsia="lv-LV"/>
              </w:rPr>
              <w:t>pārņemto</w:t>
            </w:r>
            <w:r w:rsidRPr="0014517C">
              <w:rPr>
                <w:rFonts w:ascii="Times New Roman" w:hAnsi="Times New Roman"/>
                <w:bCs/>
                <w:sz w:val="26"/>
                <w:szCs w:val="26"/>
                <w:lang w:eastAsia="lv-LV"/>
              </w:rPr>
              <w:t xml:space="preserve"> nekustamo īpašumu</w:t>
            </w:r>
            <w:r>
              <w:rPr>
                <w:rFonts w:ascii="Times New Roman" w:hAnsi="Times New Roman"/>
                <w:bCs/>
                <w:sz w:val="26"/>
                <w:szCs w:val="26"/>
                <w:lang w:eastAsia="lv-LV"/>
              </w:rPr>
              <w:t>.</w:t>
            </w:r>
          </w:p>
          <w:p w:rsidR="00CB1130" w:rsidRPr="00E36EE6" w:rsidRDefault="00CB1130" w:rsidP="004D26EA">
            <w:pPr>
              <w:pStyle w:val="BodyTextIndent"/>
              <w:spacing w:after="0" w:line="240" w:lineRule="auto"/>
              <w:ind w:left="-17" w:firstLine="709"/>
              <w:contextualSpacing/>
              <w:jc w:val="both"/>
              <w:rPr>
                <w:rFonts w:ascii="Times New Roman" w:hAnsi="Times New Roman"/>
                <w:i/>
                <w:sz w:val="26"/>
                <w:szCs w:val="26"/>
              </w:rPr>
            </w:pPr>
            <w:r w:rsidRPr="00E36EE6">
              <w:rPr>
                <w:rFonts w:ascii="Times New Roman" w:hAnsi="Times New Roman"/>
                <w:i/>
                <w:sz w:val="26"/>
                <w:szCs w:val="26"/>
              </w:rPr>
              <w:t>Spēku zaudējusi norma</w:t>
            </w:r>
          </w:p>
          <w:p w:rsidR="00CB1130" w:rsidRPr="00E36EE6" w:rsidRDefault="00CB1130" w:rsidP="004D26EA">
            <w:pPr>
              <w:pStyle w:val="naisf"/>
              <w:spacing w:before="0" w:beforeAutospacing="0" w:after="0" w:afterAutospacing="0"/>
              <w:ind w:firstLine="721"/>
              <w:contextualSpacing/>
              <w:jc w:val="both"/>
              <w:rPr>
                <w:sz w:val="26"/>
                <w:szCs w:val="26"/>
              </w:rPr>
            </w:pPr>
            <w:r w:rsidRPr="00E36EE6">
              <w:rPr>
                <w:sz w:val="26"/>
                <w:szCs w:val="26"/>
              </w:rPr>
              <w:t>Ņemot vērā, ka likuma 8.</w:t>
            </w:r>
            <w:r w:rsidRPr="00E36EE6">
              <w:rPr>
                <w:sz w:val="26"/>
                <w:szCs w:val="26"/>
                <w:vertAlign w:val="superscript"/>
              </w:rPr>
              <w:t>1</w:t>
            </w:r>
            <w:r w:rsidRPr="00E36EE6">
              <w:rPr>
                <w:sz w:val="26"/>
                <w:szCs w:val="26"/>
              </w:rPr>
              <w:t>panta normas vairs nevar piemērot, minētais pants tiek izslēgts.</w:t>
            </w:r>
          </w:p>
          <w:p w:rsidR="00CB1130" w:rsidRPr="00E36EE6" w:rsidRDefault="00CB1130" w:rsidP="004D26EA">
            <w:pPr>
              <w:spacing w:after="0" w:line="240" w:lineRule="auto"/>
              <w:ind w:firstLine="721"/>
              <w:contextualSpacing/>
              <w:jc w:val="both"/>
              <w:rPr>
                <w:rFonts w:ascii="Times New Roman" w:hAnsi="Times New Roman"/>
                <w:i/>
                <w:sz w:val="26"/>
                <w:szCs w:val="26"/>
              </w:rPr>
            </w:pPr>
            <w:r w:rsidRPr="00E36EE6">
              <w:rPr>
                <w:rFonts w:ascii="Times New Roman" w:hAnsi="Times New Roman"/>
                <w:i/>
                <w:sz w:val="26"/>
                <w:szCs w:val="26"/>
              </w:rPr>
              <w:t>Zaudēto parādu norakstīšana</w:t>
            </w:r>
          </w:p>
          <w:p w:rsidR="00CB1130"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 xml:space="preserve">Ņemot vērā, ka Maksātnespējas likuma normas neparedz bankrota procedūru attiecībā uz juridiskajām </w:t>
            </w:r>
            <w:r w:rsidRPr="00E36EE6">
              <w:rPr>
                <w:rFonts w:ascii="Times New Roman" w:hAnsi="Times New Roman"/>
                <w:sz w:val="26"/>
                <w:szCs w:val="26"/>
              </w:rPr>
              <w:lastRenderedPageBreak/>
              <w:t>personām, savukārt maksātnespējas procesa laikā persona var atjaunot maksātspēju, likumprojekta normas paredz, ka ar nodokli apliekamo ienākumu var samazināt par zaudētajiem parādiem, kad maksātnespējas process tiek pabeigts un par to ir pieņemts tiesas nolēmums.</w:t>
            </w:r>
          </w:p>
          <w:p w:rsidR="00CB1130" w:rsidRDefault="00CB1130" w:rsidP="004D26EA">
            <w:pPr>
              <w:pStyle w:val="ListParagraph"/>
              <w:ind w:left="0" w:firstLine="709"/>
              <w:jc w:val="both"/>
              <w:rPr>
                <w:sz w:val="26"/>
                <w:szCs w:val="26"/>
              </w:rPr>
            </w:pPr>
            <w:r>
              <w:rPr>
                <w:sz w:val="26"/>
                <w:szCs w:val="26"/>
              </w:rPr>
              <w:t xml:space="preserve">Papildus tam likumprojekts paredz samazināt apliekamo ienākumu par parāda summām </w:t>
            </w:r>
            <w:r w:rsidRPr="007E7297">
              <w:rPr>
                <w:sz w:val="26"/>
                <w:szCs w:val="26"/>
              </w:rPr>
              <w:t xml:space="preserve">kas, saskaņā ar tiesas lēmumu, atbilst parādnieka </w:t>
            </w:r>
            <w:r w:rsidRPr="007E7297">
              <w:rPr>
                <w:bCs/>
                <w:sz w:val="26"/>
                <w:szCs w:val="26"/>
              </w:rPr>
              <w:t xml:space="preserve">tiesiskās aizsardzības procesā vai ārpustiesas tiesiskās aizsardzības procesā </w:t>
            </w:r>
            <w:r w:rsidRPr="007E7297">
              <w:rPr>
                <w:sz w:val="26"/>
                <w:szCs w:val="26"/>
              </w:rPr>
              <w:t>tiesiskās aizsardzības procesa pasākumu plānā noteiktajam proporcionāla</w:t>
            </w:r>
            <w:r>
              <w:rPr>
                <w:sz w:val="26"/>
                <w:szCs w:val="26"/>
              </w:rPr>
              <w:t>ja</w:t>
            </w:r>
            <w:r w:rsidRPr="007E7297">
              <w:rPr>
                <w:sz w:val="26"/>
                <w:szCs w:val="26"/>
              </w:rPr>
              <w:t>m pamatparāda, līgumsoda vai procentu dzēšanas vai samazinājuma apmēram.</w:t>
            </w:r>
          </w:p>
          <w:p w:rsidR="00CB1130" w:rsidRPr="007E7297" w:rsidRDefault="00CB1130" w:rsidP="004D26EA">
            <w:pPr>
              <w:pStyle w:val="ListParagraph"/>
              <w:ind w:left="0" w:firstLine="709"/>
              <w:jc w:val="both"/>
              <w:rPr>
                <w:sz w:val="26"/>
                <w:szCs w:val="26"/>
              </w:rPr>
            </w:pPr>
            <w:r>
              <w:rPr>
                <w:sz w:val="26"/>
                <w:szCs w:val="26"/>
              </w:rPr>
              <w:t xml:space="preserve">Savukārt parādniekam ir tiesības samazināt apliekamo ienākumu, ja kreditora saistības tiek samazinātas </w:t>
            </w:r>
            <w:r w:rsidRPr="007E7297">
              <w:rPr>
                <w:sz w:val="26"/>
                <w:szCs w:val="26"/>
              </w:rPr>
              <w:t>saskaņā ar tiesas lēmumu, atbils</w:t>
            </w:r>
            <w:r>
              <w:rPr>
                <w:sz w:val="26"/>
                <w:szCs w:val="26"/>
              </w:rPr>
              <w:t>toši</w:t>
            </w:r>
            <w:r w:rsidRPr="007E7297">
              <w:rPr>
                <w:sz w:val="26"/>
                <w:szCs w:val="26"/>
              </w:rPr>
              <w:t xml:space="preserve"> parādnieka </w:t>
            </w:r>
            <w:r w:rsidRPr="007E7297">
              <w:rPr>
                <w:bCs/>
                <w:sz w:val="26"/>
                <w:szCs w:val="26"/>
              </w:rPr>
              <w:t xml:space="preserve">tiesiskās aizsardzības procesā vai ārpustiesas tiesiskās aizsardzības procesā </w:t>
            </w:r>
            <w:r w:rsidRPr="007E7297">
              <w:rPr>
                <w:sz w:val="26"/>
                <w:szCs w:val="26"/>
              </w:rPr>
              <w:t>tiesiskās aizsardzības procesa pasākumu plānā</w:t>
            </w:r>
            <w:r>
              <w:rPr>
                <w:sz w:val="26"/>
                <w:szCs w:val="26"/>
              </w:rPr>
              <w:t xml:space="preserve"> noteiktajai attiecināmai summai, ja šī summa netika iekļauta izdevumos.</w:t>
            </w:r>
          </w:p>
          <w:p w:rsidR="00CB1130" w:rsidRPr="00E36EE6" w:rsidRDefault="00CB1130" w:rsidP="004D26EA">
            <w:pPr>
              <w:spacing w:after="0" w:line="240" w:lineRule="auto"/>
              <w:ind w:firstLine="720"/>
              <w:contextualSpacing/>
              <w:jc w:val="both"/>
              <w:rPr>
                <w:rFonts w:ascii="Times New Roman" w:hAnsi="Times New Roman"/>
                <w:i/>
                <w:sz w:val="26"/>
                <w:szCs w:val="26"/>
              </w:rPr>
            </w:pPr>
            <w:r w:rsidRPr="00E36EE6">
              <w:rPr>
                <w:rFonts w:ascii="Times New Roman" w:hAnsi="Times New Roman"/>
                <w:i/>
                <w:sz w:val="26"/>
                <w:szCs w:val="26"/>
              </w:rPr>
              <w:t>Izdevumi, kuriem nepiemēro palielinošo koeficientu</w:t>
            </w:r>
          </w:p>
          <w:p w:rsidR="00CB1130"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Lai netiktu piemērots palielinošs koeficients 1,5 tiem ziedojumiem, par kuriem nodokļa maksātājam saskaņā ar likuma 20.</w:t>
            </w:r>
            <w:r w:rsidRPr="00E36EE6">
              <w:rPr>
                <w:rFonts w:ascii="Times New Roman" w:hAnsi="Times New Roman"/>
                <w:sz w:val="26"/>
                <w:szCs w:val="26"/>
                <w:vertAlign w:val="superscript"/>
              </w:rPr>
              <w:t>1</w:t>
            </w:r>
            <w:r w:rsidRPr="00E36EE6">
              <w:rPr>
                <w:rFonts w:ascii="Times New Roman" w:hAnsi="Times New Roman"/>
                <w:sz w:val="26"/>
                <w:szCs w:val="26"/>
              </w:rPr>
              <w:t>pantu būtu tiesības piemērot nodokļa atlaidi, ja šā nodokļa maksātāja darbības rezultāts būtu peļņa, tiek precizēta minētā likuma 4.panta pirmā daļa.</w:t>
            </w:r>
          </w:p>
          <w:p w:rsidR="00CB1130" w:rsidRDefault="00CB1130" w:rsidP="004D26EA">
            <w:pPr>
              <w:spacing w:after="0" w:line="240" w:lineRule="auto"/>
              <w:ind w:firstLine="720"/>
              <w:contextualSpacing/>
              <w:jc w:val="both"/>
              <w:rPr>
                <w:rFonts w:ascii="Times New Roman" w:hAnsi="Times New Roman"/>
                <w:i/>
                <w:sz w:val="26"/>
                <w:szCs w:val="26"/>
              </w:rPr>
            </w:pPr>
            <w:r w:rsidRPr="000B76AA">
              <w:rPr>
                <w:rFonts w:ascii="Times New Roman" w:hAnsi="Times New Roman"/>
                <w:i/>
                <w:sz w:val="26"/>
                <w:szCs w:val="26"/>
              </w:rPr>
              <w:t xml:space="preserve">Zaudējumu pārnešanas kārtība </w:t>
            </w:r>
          </w:p>
          <w:p w:rsidR="00CB1130" w:rsidRPr="003E047F" w:rsidRDefault="00CB1130" w:rsidP="004D26EA">
            <w:pPr>
              <w:spacing w:after="0" w:line="240" w:lineRule="auto"/>
              <w:ind w:firstLine="720"/>
              <w:contextualSpacing/>
              <w:jc w:val="both"/>
              <w:rPr>
                <w:rFonts w:ascii="Times New Roman" w:hAnsi="Times New Roman"/>
                <w:sz w:val="26"/>
                <w:szCs w:val="26"/>
              </w:rPr>
            </w:pPr>
            <w:r w:rsidRPr="00825809">
              <w:rPr>
                <w:rFonts w:ascii="Times New Roman" w:hAnsi="Times New Roman"/>
                <w:sz w:val="26"/>
                <w:szCs w:val="26"/>
              </w:rPr>
              <w:t xml:space="preserve">Likumprojekts paredz, ka zaudējumus, kas radušies līdz 2007.gadam  </w:t>
            </w:r>
            <w:r w:rsidRPr="00825809">
              <w:rPr>
                <w:rFonts w:ascii="Times New Roman" w:hAnsi="Times New Roman"/>
                <w:sz w:val="26"/>
                <w:szCs w:val="26"/>
                <w:lang w:eastAsia="lv-LV"/>
              </w:rPr>
              <w:t>var segt hronoloģiskā secībā no nākamo astoņu taksācijas periodu apliekamā ienākuma</w:t>
            </w:r>
            <w:r>
              <w:rPr>
                <w:rFonts w:ascii="Times New Roman" w:hAnsi="Times New Roman"/>
                <w:sz w:val="26"/>
                <w:szCs w:val="26"/>
                <w:lang w:eastAsia="lv-LV"/>
              </w:rPr>
              <w:t xml:space="preserve"> (līdzšinējā kārtība), bet </w:t>
            </w:r>
            <w:r w:rsidRPr="00825809">
              <w:rPr>
                <w:rFonts w:ascii="Times New Roman" w:hAnsi="Times New Roman"/>
                <w:sz w:val="26"/>
                <w:szCs w:val="26"/>
                <w:lang w:eastAsia="lv-LV"/>
              </w:rPr>
              <w:t>zaudējum</w:t>
            </w:r>
            <w:r>
              <w:rPr>
                <w:rFonts w:ascii="Times New Roman" w:hAnsi="Times New Roman"/>
                <w:sz w:val="26"/>
                <w:szCs w:val="26"/>
                <w:lang w:eastAsia="lv-LV"/>
              </w:rPr>
              <w:t>us</w:t>
            </w:r>
            <w:r w:rsidRPr="003E047F">
              <w:rPr>
                <w:rFonts w:ascii="Times New Roman" w:hAnsi="Times New Roman"/>
                <w:sz w:val="26"/>
                <w:szCs w:val="26"/>
                <w:lang w:eastAsia="lv-LV"/>
              </w:rPr>
              <w:t>, kas radušies sākot ar 2008.gadu, var segt neierobežotā laika posmā hronoloģiskā secībā no nākamo taksācijas periodu apliekamā ienākuma.</w:t>
            </w:r>
          </w:p>
          <w:p w:rsidR="00CB1130" w:rsidRPr="00E36EE6" w:rsidRDefault="00CB1130" w:rsidP="004D26EA">
            <w:pPr>
              <w:pStyle w:val="naispant"/>
              <w:spacing w:before="0" w:beforeAutospacing="0" w:after="0" w:afterAutospacing="0"/>
              <w:ind w:firstLine="721"/>
              <w:contextualSpacing/>
              <w:rPr>
                <w:bCs/>
                <w:i/>
                <w:sz w:val="26"/>
                <w:szCs w:val="26"/>
              </w:rPr>
            </w:pPr>
            <w:r w:rsidRPr="00E36EE6">
              <w:rPr>
                <w:bCs/>
                <w:i/>
                <w:sz w:val="26"/>
                <w:szCs w:val="26"/>
              </w:rPr>
              <w:t>Sākotnējie ilgtermiņa ieguldījumi</w:t>
            </w:r>
          </w:p>
          <w:p w:rsidR="00CB1130" w:rsidRPr="00E36EE6" w:rsidRDefault="00CB1130" w:rsidP="004D26EA">
            <w:pPr>
              <w:spacing w:after="0" w:line="240" w:lineRule="auto"/>
              <w:ind w:firstLine="721"/>
              <w:contextualSpacing/>
              <w:jc w:val="both"/>
              <w:rPr>
                <w:rFonts w:ascii="Times New Roman" w:hAnsi="Times New Roman"/>
                <w:sz w:val="26"/>
                <w:szCs w:val="26"/>
              </w:rPr>
            </w:pPr>
            <w:r>
              <w:rPr>
                <w:rFonts w:ascii="Times New Roman" w:hAnsi="Times New Roman"/>
                <w:sz w:val="26"/>
                <w:szCs w:val="26"/>
              </w:rPr>
              <w:t>Ar grozījumiem likuma 17.</w:t>
            </w:r>
            <w:r w:rsidRPr="00825809">
              <w:rPr>
                <w:rFonts w:ascii="Times New Roman" w:hAnsi="Times New Roman"/>
                <w:sz w:val="26"/>
                <w:szCs w:val="26"/>
                <w:vertAlign w:val="superscript"/>
              </w:rPr>
              <w:t>2</w:t>
            </w:r>
            <w:r>
              <w:rPr>
                <w:rFonts w:ascii="Times New Roman" w:hAnsi="Times New Roman"/>
                <w:sz w:val="26"/>
                <w:szCs w:val="26"/>
              </w:rPr>
              <w:t xml:space="preserve"> pantā tiek plānots panākt, ka nodokļa atlaide tiktu piemērota vismaz tādā apmērā kāds tika plānots to ieviešot, kā arī lai kopējās investīcijas Latvijā, kas atbilstoši projektam būs mazākā apmērā un tiks ieguldītas ilgākā laika periodā, tomēr  sasniegtu plānoto apjomu, neatkarīgi no nodokļu maksātāju skaita, kas piemēro atlaidi. </w:t>
            </w:r>
            <w:r w:rsidRPr="00E36EE6">
              <w:rPr>
                <w:rFonts w:ascii="Times New Roman" w:hAnsi="Times New Roman"/>
                <w:sz w:val="26"/>
                <w:szCs w:val="26"/>
              </w:rPr>
              <w:t>Lai nodrošinātu maksimāli labvēlīgus nosacījumus investīciju piesaiste</w:t>
            </w:r>
            <w:r>
              <w:rPr>
                <w:rFonts w:ascii="Times New Roman" w:hAnsi="Times New Roman"/>
                <w:sz w:val="26"/>
                <w:szCs w:val="26"/>
              </w:rPr>
              <w:t>i</w:t>
            </w:r>
            <w:r w:rsidRPr="00E36EE6">
              <w:rPr>
                <w:rFonts w:ascii="Times New Roman" w:hAnsi="Times New Roman"/>
                <w:sz w:val="26"/>
                <w:szCs w:val="26"/>
              </w:rPr>
              <w:t>, likuma 17.</w:t>
            </w:r>
            <w:r w:rsidRPr="00E36EE6">
              <w:rPr>
                <w:rFonts w:ascii="Times New Roman" w:hAnsi="Times New Roman"/>
                <w:sz w:val="26"/>
                <w:szCs w:val="26"/>
                <w:vertAlign w:val="superscript"/>
              </w:rPr>
              <w:t>2</w:t>
            </w:r>
            <w:r>
              <w:rPr>
                <w:rFonts w:ascii="Times New Roman" w:hAnsi="Times New Roman"/>
                <w:sz w:val="26"/>
                <w:szCs w:val="26"/>
                <w:vertAlign w:val="superscript"/>
              </w:rPr>
              <w:t xml:space="preserve"> </w:t>
            </w:r>
            <w:r w:rsidRPr="00E36EE6">
              <w:rPr>
                <w:rFonts w:ascii="Times New Roman" w:hAnsi="Times New Roman"/>
                <w:sz w:val="26"/>
                <w:szCs w:val="26"/>
              </w:rPr>
              <w:t xml:space="preserve">pantā tiek samazināts ieguldāmo investīciju apmērs no 5 miljoniem latu uz 3 miljoniem latu, pagarinot investīciju realizācijas periodu no 3 līdz 5 gadiem. </w:t>
            </w:r>
            <w:r>
              <w:rPr>
                <w:rFonts w:ascii="Times New Roman" w:hAnsi="Times New Roman"/>
                <w:sz w:val="26"/>
                <w:szCs w:val="26"/>
              </w:rPr>
              <w:t xml:space="preserve">Ņemot vērā, ka valsts atbalsta saņēmēji bieži vien izmanto dažādus valsts atbalsta modeļus, tad ir jāparedz, ka </w:t>
            </w:r>
            <w:r w:rsidRPr="00E36EE6">
              <w:rPr>
                <w:rFonts w:ascii="Times New Roman" w:hAnsi="Times New Roman"/>
                <w:sz w:val="26"/>
                <w:szCs w:val="26"/>
              </w:rPr>
              <w:t>nodokļa maksātājs var prasīt samazināt piemērojamo nodokļa atlaid</w:t>
            </w:r>
            <w:r>
              <w:rPr>
                <w:rFonts w:ascii="Times New Roman" w:hAnsi="Times New Roman"/>
                <w:sz w:val="26"/>
                <w:szCs w:val="26"/>
              </w:rPr>
              <w:t xml:space="preserve">es intensitāti </w:t>
            </w:r>
            <w:r>
              <w:rPr>
                <w:rFonts w:ascii="Times New Roman" w:hAnsi="Times New Roman"/>
                <w:sz w:val="26"/>
                <w:szCs w:val="26"/>
              </w:rPr>
              <w:lastRenderedPageBreak/>
              <w:t>(procentus)</w:t>
            </w:r>
            <w:r w:rsidRPr="00E36EE6">
              <w:rPr>
                <w:rFonts w:ascii="Times New Roman" w:hAnsi="Times New Roman"/>
                <w:sz w:val="26"/>
                <w:szCs w:val="26"/>
              </w:rPr>
              <w:t xml:space="preserve">, kas dod iespēju </w:t>
            </w:r>
            <w:r>
              <w:rPr>
                <w:rFonts w:ascii="Times New Roman" w:hAnsi="Times New Roman"/>
                <w:sz w:val="26"/>
                <w:szCs w:val="26"/>
              </w:rPr>
              <w:t>likuma 17.</w:t>
            </w:r>
            <w:r w:rsidRPr="00825809">
              <w:rPr>
                <w:rFonts w:ascii="Times New Roman" w:hAnsi="Times New Roman"/>
                <w:sz w:val="26"/>
                <w:szCs w:val="26"/>
                <w:vertAlign w:val="superscript"/>
              </w:rPr>
              <w:t>2</w:t>
            </w:r>
            <w:r>
              <w:rPr>
                <w:rFonts w:ascii="Times New Roman" w:hAnsi="Times New Roman"/>
                <w:sz w:val="26"/>
                <w:szCs w:val="26"/>
              </w:rPr>
              <w:t xml:space="preserve"> pantā</w:t>
            </w:r>
            <w:r w:rsidRPr="00E36EE6">
              <w:rPr>
                <w:rFonts w:ascii="Times New Roman" w:hAnsi="Times New Roman"/>
                <w:sz w:val="26"/>
                <w:szCs w:val="26"/>
              </w:rPr>
              <w:t xml:space="preserve"> </w:t>
            </w:r>
            <w:r>
              <w:rPr>
                <w:rFonts w:ascii="Times New Roman" w:hAnsi="Times New Roman"/>
                <w:sz w:val="26"/>
                <w:szCs w:val="26"/>
              </w:rPr>
              <w:t xml:space="preserve">noteikto </w:t>
            </w:r>
            <w:r w:rsidRPr="00E36EE6">
              <w:rPr>
                <w:rFonts w:ascii="Times New Roman" w:hAnsi="Times New Roman"/>
                <w:sz w:val="26"/>
                <w:szCs w:val="26"/>
              </w:rPr>
              <w:t>atlaidi apvienot ar cit</w:t>
            </w:r>
            <w:r>
              <w:rPr>
                <w:rFonts w:ascii="Times New Roman" w:hAnsi="Times New Roman"/>
                <w:sz w:val="26"/>
                <w:szCs w:val="26"/>
              </w:rPr>
              <w:t>a veida</w:t>
            </w:r>
            <w:r w:rsidRPr="00E36EE6">
              <w:rPr>
                <w:rFonts w:ascii="Times New Roman" w:hAnsi="Times New Roman"/>
                <w:sz w:val="26"/>
                <w:szCs w:val="26"/>
              </w:rPr>
              <w:t xml:space="preserve"> valsts atbalstu, nepārsniedzot noteikto intensitātes apmēru. </w:t>
            </w:r>
          </w:p>
          <w:p w:rsidR="00CB1130" w:rsidRPr="00E36EE6" w:rsidRDefault="00CB1130" w:rsidP="004D26EA">
            <w:pPr>
              <w:spacing w:after="0" w:line="240" w:lineRule="auto"/>
              <w:ind w:firstLine="721"/>
              <w:contextualSpacing/>
              <w:jc w:val="both"/>
              <w:rPr>
                <w:rFonts w:ascii="Times New Roman" w:hAnsi="Times New Roman"/>
                <w:sz w:val="26"/>
                <w:szCs w:val="26"/>
              </w:rPr>
            </w:pPr>
            <w:r w:rsidRPr="00E36EE6">
              <w:rPr>
                <w:rFonts w:ascii="Times New Roman" w:hAnsi="Times New Roman"/>
                <w:sz w:val="26"/>
                <w:szCs w:val="26"/>
              </w:rPr>
              <w:t>Likuma 17.</w:t>
            </w:r>
            <w:r w:rsidRPr="00E36EE6">
              <w:rPr>
                <w:rFonts w:ascii="Times New Roman" w:hAnsi="Times New Roman"/>
                <w:sz w:val="26"/>
                <w:szCs w:val="26"/>
                <w:vertAlign w:val="superscript"/>
              </w:rPr>
              <w:t>2</w:t>
            </w:r>
            <w:r>
              <w:rPr>
                <w:rFonts w:ascii="Times New Roman" w:hAnsi="Times New Roman"/>
                <w:sz w:val="26"/>
                <w:szCs w:val="26"/>
                <w:vertAlign w:val="superscript"/>
              </w:rPr>
              <w:t xml:space="preserve"> </w:t>
            </w:r>
            <w:r w:rsidRPr="00E36EE6">
              <w:rPr>
                <w:rFonts w:ascii="Times New Roman" w:hAnsi="Times New Roman"/>
                <w:sz w:val="26"/>
                <w:szCs w:val="26"/>
              </w:rPr>
              <w:t xml:space="preserve">pants tiek papildināts ar </w:t>
            </w:r>
            <w:r>
              <w:rPr>
                <w:rFonts w:ascii="Times New Roman" w:hAnsi="Times New Roman"/>
                <w:sz w:val="26"/>
                <w:szCs w:val="26"/>
              </w:rPr>
              <w:t xml:space="preserve">atsauci uz </w:t>
            </w:r>
            <w:r w:rsidRPr="00E36EE6">
              <w:rPr>
                <w:rFonts w:ascii="Times New Roman" w:hAnsi="Times New Roman"/>
                <w:sz w:val="26"/>
                <w:szCs w:val="26"/>
              </w:rPr>
              <w:t>mēbeļu ražošanas nozari,</w:t>
            </w:r>
            <w:r w:rsidRPr="00E36EE6">
              <w:rPr>
                <w:sz w:val="26"/>
                <w:szCs w:val="26"/>
              </w:rPr>
              <w:t xml:space="preserve"> </w:t>
            </w:r>
            <w:r w:rsidRPr="00E36EE6">
              <w:rPr>
                <w:rFonts w:ascii="Times New Roman" w:hAnsi="Times New Roman"/>
                <w:sz w:val="26"/>
                <w:szCs w:val="26"/>
              </w:rPr>
              <w:t>zivju, vēžveidīgo un mīkstmiešu pārstrādes un konservēšanas nozari, kā arī piena produktu ražošanas nozari.</w:t>
            </w:r>
          </w:p>
          <w:p w:rsidR="00CB1130" w:rsidRPr="00E36EE6" w:rsidRDefault="00CB1130" w:rsidP="004D26EA">
            <w:pPr>
              <w:spacing w:after="0" w:line="240" w:lineRule="auto"/>
              <w:ind w:firstLine="720"/>
              <w:contextualSpacing/>
              <w:jc w:val="both"/>
              <w:rPr>
                <w:rFonts w:ascii="Times New Roman" w:hAnsi="Times New Roman"/>
                <w:i/>
                <w:sz w:val="26"/>
                <w:szCs w:val="26"/>
              </w:rPr>
            </w:pPr>
            <w:r w:rsidRPr="00E36EE6">
              <w:rPr>
                <w:rFonts w:ascii="Times New Roman" w:hAnsi="Times New Roman"/>
                <w:i/>
                <w:sz w:val="26"/>
                <w:szCs w:val="26"/>
              </w:rPr>
              <w:t>Avansa maksājumi, ja apturēta saimnieciskā darbība</w:t>
            </w:r>
          </w:p>
          <w:p w:rsidR="00CB1130" w:rsidRPr="00E36EE6"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Lai samazinātu administratīvo slogu nodokļa maksātājiem, kas uz laiku aptur saimniecisko darbību, likuma 23.pantā tiek noteikts, ka uzņēmumu ienākuma nodokļa avansa maksājums nav jāveic par periodu, kur</w:t>
            </w:r>
            <w:r>
              <w:rPr>
                <w:rFonts w:ascii="Times New Roman" w:hAnsi="Times New Roman"/>
                <w:sz w:val="26"/>
                <w:szCs w:val="26"/>
              </w:rPr>
              <w:t>ā</w:t>
            </w:r>
            <w:r w:rsidRPr="00E36EE6">
              <w:rPr>
                <w:rFonts w:ascii="Times New Roman" w:hAnsi="Times New Roman"/>
                <w:sz w:val="26"/>
                <w:szCs w:val="26"/>
              </w:rPr>
              <w:t xml:space="preserve"> nodokļa maksātājs</w:t>
            </w:r>
            <w:r>
              <w:rPr>
                <w:rFonts w:ascii="Times New Roman" w:hAnsi="Times New Roman"/>
                <w:sz w:val="26"/>
                <w:szCs w:val="26"/>
              </w:rPr>
              <w:t>,</w:t>
            </w:r>
            <w:r w:rsidRPr="00E36EE6">
              <w:rPr>
                <w:rFonts w:ascii="Times New Roman" w:hAnsi="Times New Roman"/>
                <w:sz w:val="26"/>
                <w:szCs w:val="26"/>
              </w:rPr>
              <w:t xml:space="preserve"> informēj</w:t>
            </w:r>
            <w:r>
              <w:rPr>
                <w:rFonts w:ascii="Times New Roman" w:hAnsi="Times New Roman"/>
                <w:sz w:val="26"/>
                <w:szCs w:val="26"/>
              </w:rPr>
              <w:t>ot</w:t>
            </w:r>
            <w:r w:rsidRPr="00E36EE6">
              <w:rPr>
                <w:rFonts w:ascii="Times New Roman" w:hAnsi="Times New Roman"/>
                <w:sz w:val="26"/>
                <w:szCs w:val="26"/>
              </w:rPr>
              <w:t xml:space="preserve"> Valsts ieņēmumu dienestu, </w:t>
            </w:r>
            <w:r>
              <w:rPr>
                <w:rFonts w:ascii="Times New Roman" w:hAnsi="Times New Roman"/>
                <w:sz w:val="26"/>
                <w:szCs w:val="26"/>
              </w:rPr>
              <w:t xml:space="preserve">uz laiku ir apturējis </w:t>
            </w:r>
            <w:r w:rsidRPr="00E36EE6">
              <w:rPr>
                <w:rFonts w:ascii="Times New Roman" w:hAnsi="Times New Roman"/>
                <w:sz w:val="26"/>
                <w:szCs w:val="26"/>
              </w:rPr>
              <w:t>saimniecisk</w:t>
            </w:r>
            <w:r>
              <w:rPr>
                <w:rFonts w:ascii="Times New Roman" w:hAnsi="Times New Roman"/>
                <w:sz w:val="26"/>
                <w:szCs w:val="26"/>
              </w:rPr>
              <w:t>o</w:t>
            </w:r>
            <w:r w:rsidRPr="00E36EE6">
              <w:rPr>
                <w:rFonts w:ascii="Times New Roman" w:hAnsi="Times New Roman"/>
                <w:sz w:val="26"/>
                <w:szCs w:val="26"/>
              </w:rPr>
              <w:t xml:space="preserve"> darbīb</w:t>
            </w:r>
            <w:r>
              <w:rPr>
                <w:rFonts w:ascii="Times New Roman" w:hAnsi="Times New Roman"/>
                <w:sz w:val="26"/>
                <w:szCs w:val="26"/>
              </w:rPr>
              <w:t xml:space="preserve">u. </w:t>
            </w:r>
            <w:r w:rsidRPr="00E36EE6">
              <w:rPr>
                <w:rFonts w:ascii="Times New Roman" w:hAnsi="Times New Roman"/>
                <w:sz w:val="26"/>
                <w:szCs w:val="26"/>
              </w:rPr>
              <w:t>Tādējādi nodokļa maksātājam nebūs arī jāiesniedz papildus iesniegums par avansa maksājumu apmēra pārskatīšanu par mēnešiem, kuros netiek veikta saimnieciskā darbība.</w:t>
            </w:r>
          </w:p>
          <w:p w:rsidR="00CB1130" w:rsidRPr="00E36EE6" w:rsidRDefault="00CB1130" w:rsidP="004D26EA">
            <w:pPr>
              <w:spacing w:after="0" w:line="240" w:lineRule="auto"/>
              <w:ind w:firstLine="720"/>
              <w:contextualSpacing/>
              <w:rPr>
                <w:rFonts w:ascii="Times New Roman" w:hAnsi="Times New Roman"/>
                <w:i/>
                <w:sz w:val="26"/>
                <w:szCs w:val="26"/>
              </w:rPr>
            </w:pPr>
            <w:r w:rsidRPr="00E36EE6">
              <w:rPr>
                <w:rFonts w:ascii="Times New Roman" w:hAnsi="Times New Roman"/>
                <w:i/>
                <w:sz w:val="26"/>
                <w:szCs w:val="26"/>
              </w:rPr>
              <w:t>Nodokļa likmes vienādošana</w:t>
            </w:r>
          </w:p>
          <w:p w:rsidR="00CB1130" w:rsidRPr="00E36EE6" w:rsidRDefault="00CB1130" w:rsidP="004D26EA">
            <w:pPr>
              <w:spacing w:after="0" w:line="240" w:lineRule="auto"/>
              <w:ind w:firstLine="720"/>
              <w:contextualSpacing/>
              <w:jc w:val="both"/>
              <w:rPr>
                <w:rFonts w:ascii="Times New Roman" w:hAnsi="Times New Roman"/>
                <w:sz w:val="26"/>
                <w:szCs w:val="26"/>
              </w:rPr>
            </w:pPr>
            <w:r w:rsidRPr="00E36EE6">
              <w:rPr>
                <w:rFonts w:ascii="Times New Roman" w:hAnsi="Times New Roman"/>
                <w:sz w:val="26"/>
                <w:szCs w:val="26"/>
              </w:rPr>
              <w:t>Lai uzņēmumu ienākuma nodokļa likmes būtu pievilcīgas komersantiem, kuri veic ieguldījumus brīvostās un speciālajās ekonomiskajās zonās, likum</w:t>
            </w:r>
            <w:r>
              <w:rPr>
                <w:rFonts w:ascii="Times New Roman" w:hAnsi="Times New Roman"/>
                <w:sz w:val="26"/>
                <w:szCs w:val="26"/>
              </w:rPr>
              <w:t>projekts</w:t>
            </w:r>
            <w:r w:rsidRPr="00E36EE6">
              <w:rPr>
                <w:rFonts w:ascii="Times New Roman" w:hAnsi="Times New Roman"/>
                <w:sz w:val="26"/>
                <w:szCs w:val="26"/>
              </w:rPr>
              <w:t xml:space="preserve"> paredz atcelt  tajā paredzēto ierobežojumu un minēto kapitālsabiedrību apliekamajam ienākumam piemērot vispārējo uzņēmumu ienākuma nodokļa likmi, </w:t>
            </w:r>
            <w:proofErr w:type="spellStart"/>
            <w:r w:rsidRPr="00E36EE6">
              <w:rPr>
                <w:rFonts w:ascii="Times New Roman" w:hAnsi="Times New Roman"/>
                <w:sz w:val="26"/>
                <w:szCs w:val="26"/>
              </w:rPr>
              <w:t>t.i</w:t>
            </w:r>
            <w:proofErr w:type="spellEnd"/>
            <w:r w:rsidRPr="00E36EE6">
              <w:rPr>
                <w:rFonts w:ascii="Times New Roman" w:hAnsi="Times New Roman"/>
                <w:sz w:val="26"/>
                <w:szCs w:val="26"/>
              </w:rPr>
              <w:t>., 15 procentu likmi.</w:t>
            </w:r>
          </w:p>
          <w:p w:rsidR="00CB1130" w:rsidRPr="009470C6" w:rsidRDefault="00CB1130" w:rsidP="004D26EA">
            <w:pPr>
              <w:tabs>
                <w:tab w:val="left" w:pos="817"/>
              </w:tabs>
              <w:spacing w:after="0" w:line="240" w:lineRule="auto"/>
              <w:ind w:firstLine="863"/>
              <w:jc w:val="both"/>
              <w:rPr>
                <w:rFonts w:ascii="Times New Roman" w:hAnsi="Times New Roman"/>
                <w:bCs/>
                <w:i/>
                <w:sz w:val="26"/>
                <w:szCs w:val="26"/>
              </w:rPr>
            </w:pPr>
            <w:r w:rsidRPr="009470C6">
              <w:rPr>
                <w:rFonts w:ascii="Times New Roman" w:hAnsi="Times New Roman"/>
                <w:bCs/>
                <w:i/>
                <w:sz w:val="26"/>
                <w:szCs w:val="26"/>
              </w:rPr>
              <w:t>Citi tehniski precizējumi</w:t>
            </w:r>
          </w:p>
          <w:p w:rsidR="00CB1130" w:rsidRPr="00E36EE6" w:rsidRDefault="00CB1130" w:rsidP="004D26EA">
            <w:pPr>
              <w:tabs>
                <w:tab w:val="left" w:pos="817"/>
              </w:tabs>
              <w:spacing w:after="0" w:line="240" w:lineRule="auto"/>
              <w:ind w:firstLine="863"/>
              <w:jc w:val="both"/>
              <w:rPr>
                <w:rFonts w:ascii="Times New Roman" w:hAnsi="Times New Roman"/>
                <w:sz w:val="26"/>
                <w:szCs w:val="26"/>
              </w:rPr>
            </w:pPr>
            <w:r w:rsidRPr="00E36EE6">
              <w:rPr>
                <w:rFonts w:ascii="Times New Roman" w:hAnsi="Times New Roman"/>
                <w:bCs/>
                <w:sz w:val="26"/>
                <w:szCs w:val="26"/>
              </w:rPr>
              <w:t>Ministru kabineta 2011.gada 12.aprīļa noteikumi Nr.287 „Kārtība, kādā iesniedzams un vērtējams investīciju projekta pieteikums atbalstāmā investīciju projekta statusa iegūšanai” paredz kārtību</w:t>
            </w:r>
            <w:r>
              <w:rPr>
                <w:rFonts w:ascii="Times New Roman" w:hAnsi="Times New Roman"/>
                <w:bCs/>
                <w:sz w:val="26"/>
                <w:szCs w:val="26"/>
              </w:rPr>
              <w:t>,</w:t>
            </w:r>
            <w:r w:rsidRPr="00E36EE6">
              <w:rPr>
                <w:rFonts w:ascii="Times New Roman" w:hAnsi="Times New Roman"/>
                <w:bCs/>
                <w:sz w:val="26"/>
                <w:szCs w:val="26"/>
              </w:rPr>
              <w:t xml:space="preserve"> kādā piemērojami  nosacījumi nodokļa atlaides apvienošanai ar citu atbalstu, </w:t>
            </w:r>
            <w:r w:rsidRPr="00E36EE6">
              <w:rPr>
                <w:rFonts w:ascii="Times New Roman" w:hAnsi="Times New Roman"/>
                <w:sz w:val="26"/>
                <w:szCs w:val="26"/>
              </w:rPr>
              <w:t>kā arī tiek sniegta informācija Ekonomikas ministrijai par projekta īstenošanu. Līdz ar to tiek precizēts likuma 27.panta desmitajā daļas deleģējums.</w:t>
            </w:r>
          </w:p>
          <w:p w:rsidR="00CB1130" w:rsidRPr="00E36EE6" w:rsidRDefault="00CB1130" w:rsidP="004D26EA">
            <w:pPr>
              <w:tabs>
                <w:tab w:val="left" w:pos="817"/>
              </w:tabs>
              <w:spacing w:after="0" w:line="240" w:lineRule="auto"/>
              <w:ind w:firstLine="863"/>
              <w:jc w:val="both"/>
              <w:rPr>
                <w:rFonts w:ascii="Times New Roman" w:hAnsi="Times New Roman"/>
                <w:sz w:val="26"/>
                <w:szCs w:val="26"/>
              </w:rPr>
            </w:pPr>
            <w:r w:rsidRPr="00E36EE6">
              <w:rPr>
                <w:rFonts w:ascii="Times New Roman" w:hAnsi="Times New Roman"/>
                <w:sz w:val="26"/>
                <w:szCs w:val="26"/>
              </w:rPr>
              <w:t>Likumprojektā ir ietverti arī citi tehniski precizējumi.</w:t>
            </w:r>
          </w:p>
        </w:tc>
      </w:tr>
      <w:tr w:rsidR="00CB1130" w:rsidRPr="00E36EE6" w:rsidTr="004D26EA">
        <w:trPr>
          <w:gridBefore w:val="1"/>
          <w:gridAfter w:val="1"/>
          <w:wBefore w:w="11" w:type="dxa"/>
          <w:wAfter w:w="85" w:type="dxa"/>
          <w:trHeight w:val="476"/>
          <w:tblCellSpacing w:w="0" w:type="dxa"/>
        </w:trPr>
        <w:tc>
          <w:tcPr>
            <w:tcW w:w="635" w:type="dxa"/>
            <w:gridSpan w:val="2"/>
            <w:tcBorders>
              <w:top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lastRenderedPageBreak/>
              <w:t> 5.</w:t>
            </w:r>
          </w:p>
        </w:tc>
        <w:tc>
          <w:tcPr>
            <w:tcW w:w="2340" w:type="dxa"/>
            <w:gridSpan w:val="8"/>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Projekta izstrādē iesaistītās institūcijas</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before="100" w:beforeAutospacing="1" w:after="100" w:afterAutospacing="1" w:line="240" w:lineRule="auto"/>
              <w:ind w:firstLine="694"/>
              <w:jc w:val="both"/>
              <w:rPr>
                <w:rFonts w:ascii="Times New Roman" w:eastAsia="Times New Roman" w:hAnsi="Times New Roman"/>
                <w:color w:val="FF0000"/>
                <w:sz w:val="26"/>
                <w:szCs w:val="26"/>
                <w:lang w:eastAsia="lv-LV"/>
              </w:rPr>
            </w:pPr>
            <w:r w:rsidRPr="00E36EE6">
              <w:rPr>
                <w:rFonts w:ascii="Times New Roman" w:eastAsia="Times New Roman" w:hAnsi="Times New Roman"/>
                <w:sz w:val="26"/>
                <w:szCs w:val="26"/>
                <w:lang w:eastAsia="lv-LV"/>
              </w:rPr>
              <w:t xml:space="preserve">Likumprojekta izstrādē tika iesaistīts </w:t>
            </w:r>
            <w:r w:rsidRPr="00E36EE6">
              <w:rPr>
                <w:rFonts w:ascii="Times New Roman" w:hAnsi="Times New Roman"/>
                <w:sz w:val="26"/>
                <w:szCs w:val="26"/>
              </w:rPr>
              <w:t>Valsts ieņēmumu dienests.</w:t>
            </w:r>
          </w:p>
        </w:tc>
      </w:tr>
      <w:tr w:rsidR="00CB1130" w:rsidRPr="00E36EE6" w:rsidTr="004D26EA">
        <w:trPr>
          <w:gridBefore w:val="1"/>
          <w:gridAfter w:val="1"/>
          <w:wBefore w:w="11" w:type="dxa"/>
          <w:wAfter w:w="85" w:type="dxa"/>
          <w:trHeight w:val="1340"/>
          <w:tblCellSpacing w:w="0" w:type="dxa"/>
        </w:trPr>
        <w:tc>
          <w:tcPr>
            <w:tcW w:w="635" w:type="dxa"/>
            <w:gridSpan w:val="2"/>
            <w:tcBorders>
              <w:top w:val="outset" w:sz="6" w:space="0" w:color="auto"/>
              <w:bottom w:val="outset" w:sz="6" w:space="0" w:color="auto"/>
              <w:right w:val="outset" w:sz="6" w:space="0" w:color="auto"/>
            </w:tcBorders>
          </w:tcPr>
          <w:p w:rsidR="00CB1130" w:rsidRPr="00E36EE6" w:rsidRDefault="00CB1130" w:rsidP="004D26EA">
            <w:pPr>
              <w:spacing w:after="0" w:line="240" w:lineRule="auto"/>
              <w:contextualSpacing/>
              <w:rPr>
                <w:rFonts w:ascii="Times New Roman" w:hAnsi="Times New Roman"/>
                <w:sz w:val="26"/>
                <w:szCs w:val="26"/>
                <w:lang w:eastAsia="lv-LV"/>
              </w:rPr>
            </w:pPr>
            <w:r w:rsidRPr="00E36EE6">
              <w:rPr>
                <w:rFonts w:ascii="Times New Roman" w:hAnsi="Times New Roman"/>
                <w:sz w:val="26"/>
                <w:szCs w:val="26"/>
                <w:lang w:eastAsia="lv-LV"/>
              </w:rPr>
              <w:t> 6.</w:t>
            </w:r>
          </w:p>
        </w:tc>
        <w:tc>
          <w:tcPr>
            <w:tcW w:w="2340" w:type="dxa"/>
            <w:gridSpan w:val="8"/>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contextualSpacing/>
              <w:rPr>
                <w:rFonts w:ascii="Times New Roman" w:hAnsi="Times New Roman"/>
                <w:sz w:val="26"/>
                <w:szCs w:val="26"/>
                <w:lang w:eastAsia="lv-LV"/>
              </w:rPr>
            </w:pPr>
            <w:r w:rsidRPr="00E36EE6">
              <w:rPr>
                <w:rFonts w:ascii="Times New Roman" w:hAnsi="Times New Roman"/>
                <w:sz w:val="26"/>
                <w:szCs w:val="26"/>
                <w:lang w:eastAsia="lv-LV"/>
              </w:rPr>
              <w:t> Iemesli, kādēļ netika nodrošināta sabiedrības līdzdalība</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after="0" w:line="240" w:lineRule="auto"/>
              <w:ind w:firstLine="694"/>
              <w:contextualSpacing/>
              <w:jc w:val="both"/>
              <w:rPr>
                <w:rFonts w:ascii="Times New Roman" w:hAnsi="Times New Roman"/>
                <w:sz w:val="26"/>
                <w:szCs w:val="26"/>
                <w:lang w:eastAsia="lv-LV"/>
              </w:rPr>
            </w:pPr>
            <w:r w:rsidRPr="00E36EE6">
              <w:rPr>
                <w:rFonts w:ascii="Times New Roman" w:hAnsi="Times New Roman"/>
                <w:sz w:val="26"/>
                <w:szCs w:val="26"/>
                <w:lang w:eastAsia="lv-LV"/>
              </w:rPr>
              <w:t>Likumprojektā minētie grozījumi ir izstrādāti ņemot vērā komercsabiedrību   izvērtētos ierosinājumus.</w:t>
            </w:r>
          </w:p>
        </w:tc>
      </w:tr>
      <w:tr w:rsidR="00CB1130" w:rsidRPr="00E36EE6" w:rsidTr="004D26EA">
        <w:trPr>
          <w:gridBefore w:val="1"/>
          <w:gridAfter w:val="1"/>
          <w:wBefore w:w="11" w:type="dxa"/>
          <w:wAfter w:w="85" w:type="dxa"/>
          <w:tblCellSpacing w:w="0" w:type="dxa"/>
        </w:trPr>
        <w:tc>
          <w:tcPr>
            <w:tcW w:w="635" w:type="dxa"/>
            <w:gridSpan w:val="2"/>
            <w:tcBorders>
              <w:top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7.</w:t>
            </w:r>
          </w:p>
        </w:tc>
        <w:tc>
          <w:tcPr>
            <w:tcW w:w="2340" w:type="dxa"/>
            <w:gridSpan w:val="8"/>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 Cita informācija</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after="0" w:line="240" w:lineRule="auto"/>
              <w:rPr>
                <w:rFonts w:ascii="Times New Roman" w:hAnsi="Times New Roman"/>
                <w:sz w:val="26"/>
                <w:szCs w:val="26"/>
                <w:lang w:eastAsia="lv-LV"/>
              </w:rPr>
            </w:pPr>
            <w:r w:rsidRPr="00E36EE6">
              <w:rPr>
                <w:rFonts w:ascii="Times New Roman" w:hAnsi="Times New Roman"/>
                <w:sz w:val="26"/>
                <w:szCs w:val="26"/>
                <w:lang w:eastAsia="lv-LV"/>
              </w:rPr>
              <w:t>Nav.</w:t>
            </w:r>
          </w:p>
        </w:tc>
      </w:tr>
      <w:tr w:rsidR="00CB1130" w:rsidRPr="00E36EE6" w:rsidTr="004D26EA">
        <w:trPr>
          <w:gridBefore w:val="1"/>
          <w:gridAfter w:val="1"/>
          <w:wBefore w:w="11" w:type="dxa"/>
          <w:wAfter w:w="85" w:type="dxa"/>
          <w:tblCellSpacing w:w="0" w:type="dxa"/>
        </w:trPr>
        <w:tc>
          <w:tcPr>
            <w:tcW w:w="9143" w:type="dxa"/>
            <w:gridSpan w:val="20"/>
            <w:tcBorders>
              <w:top w:val="outset" w:sz="6" w:space="0" w:color="auto"/>
              <w:bottom w:val="outset" w:sz="6" w:space="0" w:color="auto"/>
            </w:tcBorders>
            <w:vAlign w:val="center"/>
          </w:tcPr>
          <w:p w:rsidR="00CB1130" w:rsidRPr="00E36EE6" w:rsidRDefault="00CB1130" w:rsidP="004D26EA">
            <w:pPr>
              <w:spacing w:before="100" w:beforeAutospacing="1" w:after="100" w:afterAutospacing="1" w:line="240" w:lineRule="auto"/>
              <w:ind w:firstLine="694"/>
              <w:jc w:val="center"/>
              <w:rPr>
                <w:rFonts w:ascii="Times New Roman" w:hAnsi="Times New Roman"/>
                <w:b/>
                <w:sz w:val="26"/>
                <w:szCs w:val="26"/>
                <w:lang w:eastAsia="lv-LV"/>
              </w:rPr>
            </w:pPr>
            <w:r w:rsidRPr="00E36EE6">
              <w:rPr>
                <w:rFonts w:ascii="Times New Roman" w:hAnsi="Times New Roman"/>
                <w:b/>
                <w:sz w:val="26"/>
                <w:szCs w:val="26"/>
                <w:lang w:eastAsia="lv-LV"/>
              </w:rPr>
              <w:t>II. Tiesību akta projekta ietekme uz sabiedrību</w:t>
            </w:r>
          </w:p>
        </w:tc>
      </w:tr>
      <w:tr w:rsidR="00CB1130" w:rsidRPr="00E36EE6" w:rsidTr="004D26EA">
        <w:trPr>
          <w:gridBefore w:val="1"/>
          <w:gridAfter w:val="1"/>
          <w:wBefore w:w="11" w:type="dxa"/>
          <w:wAfter w:w="85" w:type="dxa"/>
          <w:trHeight w:val="467"/>
          <w:tblCellSpacing w:w="0" w:type="dxa"/>
        </w:trPr>
        <w:tc>
          <w:tcPr>
            <w:tcW w:w="626" w:type="dxa"/>
            <w:tcBorders>
              <w:top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lastRenderedPageBreak/>
              <w:t> 1.</w:t>
            </w:r>
          </w:p>
        </w:tc>
        <w:tc>
          <w:tcPr>
            <w:tcW w:w="2349" w:type="dxa"/>
            <w:gridSpan w:val="9"/>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xml:space="preserve"> Sabiedrības </w:t>
            </w:r>
            <w:proofErr w:type="spellStart"/>
            <w:r w:rsidRPr="00E36EE6">
              <w:rPr>
                <w:rFonts w:ascii="Times New Roman" w:hAnsi="Times New Roman"/>
                <w:sz w:val="26"/>
                <w:szCs w:val="26"/>
                <w:lang w:eastAsia="lv-LV"/>
              </w:rPr>
              <w:t>mērķgrupa</w:t>
            </w:r>
            <w:proofErr w:type="spellEnd"/>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before="100" w:beforeAutospacing="1" w:after="100" w:afterAutospacing="1" w:line="240" w:lineRule="auto"/>
              <w:ind w:firstLine="694"/>
              <w:jc w:val="both"/>
              <w:rPr>
                <w:rFonts w:ascii="Times New Roman" w:hAnsi="Times New Roman"/>
                <w:sz w:val="26"/>
                <w:szCs w:val="26"/>
                <w:lang w:eastAsia="lv-LV"/>
              </w:rPr>
            </w:pPr>
            <w:r w:rsidRPr="00E36EE6">
              <w:rPr>
                <w:rFonts w:ascii="Times New Roman" w:eastAsia="Times New Roman" w:hAnsi="Times New Roman"/>
                <w:sz w:val="26"/>
                <w:szCs w:val="26"/>
                <w:lang w:eastAsia="lv-LV"/>
              </w:rPr>
              <w:t xml:space="preserve"> Likumprojekts ietekmēs vidēji </w:t>
            </w:r>
            <w:r w:rsidRPr="006B79AA">
              <w:rPr>
                <w:rFonts w:ascii="Times New Roman" w:hAnsi="Times New Roman"/>
                <w:sz w:val="26"/>
                <w:szCs w:val="26"/>
              </w:rPr>
              <w:t>76 207</w:t>
            </w:r>
            <w:r w:rsidRPr="006B79AA">
              <w:rPr>
                <w:rFonts w:ascii="Times New Roman" w:eastAsia="Times New Roman" w:hAnsi="Times New Roman"/>
                <w:sz w:val="26"/>
                <w:szCs w:val="26"/>
                <w:lang w:eastAsia="lv-LV"/>
              </w:rPr>
              <w:t xml:space="preserve"> </w:t>
            </w:r>
            <w:r w:rsidRPr="00E36EE6">
              <w:rPr>
                <w:rFonts w:ascii="Times New Roman" w:eastAsia="Times New Roman" w:hAnsi="Times New Roman"/>
                <w:sz w:val="26"/>
                <w:szCs w:val="26"/>
                <w:lang w:eastAsia="lv-LV"/>
              </w:rPr>
              <w:t xml:space="preserve">uzņēmumu ienākuma nodokļa maksātājus, kuri </w:t>
            </w:r>
            <w:r>
              <w:rPr>
                <w:rFonts w:ascii="Times New Roman" w:eastAsia="Times New Roman" w:hAnsi="Times New Roman"/>
                <w:sz w:val="26"/>
                <w:szCs w:val="26"/>
                <w:lang w:eastAsia="lv-LV"/>
              </w:rPr>
              <w:t xml:space="preserve">var pārnest zaudējumus, veic darījumus ar nerezidentiem, </w:t>
            </w:r>
            <w:proofErr w:type="spellStart"/>
            <w:r>
              <w:rPr>
                <w:rFonts w:ascii="Times New Roman" w:eastAsia="Times New Roman" w:hAnsi="Times New Roman"/>
                <w:sz w:val="26"/>
                <w:szCs w:val="26"/>
                <w:lang w:eastAsia="lv-LV"/>
              </w:rPr>
              <w:t>t.sk</w:t>
            </w:r>
            <w:proofErr w:type="spellEnd"/>
            <w:r>
              <w:rPr>
                <w:rFonts w:ascii="Times New Roman" w:eastAsia="Times New Roman" w:hAnsi="Times New Roman"/>
                <w:sz w:val="26"/>
                <w:szCs w:val="26"/>
                <w:lang w:eastAsia="lv-LV"/>
              </w:rPr>
              <w:t>., 32 kredītiestādes, kuras pārņem no parādniekiem ieķīlātos īpašumus, par kuriem parādnieks nespēj norēķināties.</w:t>
            </w:r>
          </w:p>
        </w:tc>
      </w:tr>
      <w:tr w:rsidR="00CB1130" w:rsidRPr="00E36EE6" w:rsidTr="004D26EA">
        <w:trPr>
          <w:gridBefore w:val="1"/>
          <w:gridAfter w:val="1"/>
          <w:wBefore w:w="11" w:type="dxa"/>
          <w:wAfter w:w="85" w:type="dxa"/>
          <w:trHeight w:val="523"/>
          <w:tblCellSpacing w:w="0" w:type="dxa"/>
        </w:trPr>
        <w:tc>
          <w:tcPr>
            <w:tcW w:w="626" w:type="dxa"/>
            <w:tcBorders>
              <w:top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2.</w:t>
            </w:r>
          </w:p>
        </w:tc>
        <w:tc>
          <w:tcPr>
            <w:tcW w:w="2349" w:type="dxa"/>
            <w:gridSpan w:val="9"/>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xml:space="preserve"> Citas sabiedrības grupas (bez </w:t>
            </w:r>
            <w:proofErr w:type="spellStart"/>
            <w:r w:rsidRPr="00E36EE6">
              <w:rPr>
                <w:rFonts w:ascii="Times New Roman" w:hAnsi="Times New Roman"/>
                <w:sz w:val="26"/>
                <w:szCs w:val="26"/>
                <w:lang w:eastAsia="lv-LV"/>
              </w:rPr>
              <w:t>mērķgrupas</w:t>
            </w:r>
            <w:proofErr w:type="spellEnd"/>
            <w:r w:rsidRPr="00E36EE6">
              <w:rPr>
                <w:rFonts w:ascii="Times New Roman" w:hAnsi="Times New Roman"/>
                <w:sz w:val="26"/>
                <w:szCs w:val="26"/>
                <w:lang w:eastAsia="lv-LV"/>
              </w:rPr>
              <w:t>), kuras tiesiskais regulējums arī ietekmē vai varētu ietekmēt</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Nav.</w:t>
            </w:r>
          </w:p>
        </w:tc>
      </w:tr>
      <w:tr w:rsidR="00CB1130" w:rsidRPr="00E36EE6" w:rsidTr="004D26EA">
        <w:trPr>
          <w:gridBefore w:val="1"/>
          <w:gridAfter w:val="1"/>
          <w:wBefore w:w="11" w:type="dxa"/>
          <w:wAfter w:w="85" w:type="dxa"/>
          <w:trHeight w:val="517"/>
          <w:tblCellSpacing w:w="0" w:type="dxa"/>
        </w:trPr>
        <w:tc>
          <w:tcPr>
            <w:tcW w:w="626" w:type="dxa"/>
            <w:tcBorders>
              <w:top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3.</w:t>
            </w:r>
          </w:p>
        </w:tc>
        <w:tc>
          <w:tcPr>
            <w:tcW w:w="2349" w:type="dxa"/>
            <w:gridSpan w:val="9"/>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Tiesiskā regulējuma finansiālā ietekme</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after="0" w:line="240" w:lineRule="auto"/>
              <w:ind w:firstLine="692"/>
              <w:contextualSpacing/>
              <w:jc w:val="both"/>
              <w:rPr>
                <w:rFonts w:ascii="Times New Roman" w:hAnsi="Times New Roman"/>
                <w:sz w:val="26"/>
                <w:szCs w:val="26"/>
                <w:lang w:eastAsia="lv-LV"/>
              </w:rPr>
            </w:pPr>
          </w:p>
        </w:tc>
      </w:tr>
      <w:tr w:rsidR="00CB1130" w:rsidRPr="00E36EE6" w:rsidTr="004D26EA">
        <w:trPr>
          <w:gridBefore w:val="1"/>
          <w:gridAfter w:val="1"/>
          <w:wBefore w:w="11" w:type="dxa"/>
          <w:wAfter w:w="85" w:type="dxa"/>
          <w:trHeight w:val="517"/>
          <w:tblCellSpacing w:w="0" w:type="dxa"/>
        </w:trPr>
        <w:tc>
          <w:tcPr>
            <w:tcW w:w="626" w:type="dxa"/>
            <w:tcBorders>
              <w:top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4.</w:t>
            </w:r>
          </w:p>
        </w:tc>
        <w:tc>
          <w:tcPr>
            <w:tcW w:w="2349" w:type="dxa"/>
            <w:gridSpan w:val="9"/>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Tiesiskā regulējuma nefinansiālā ietekme</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after="0" w:line="240" w:lineRule="auto"/>
              <w:ind w:firstLine="694"/>
              <w:jc w:val="both"/>
              <w:rPr>
                <w:rFonts w:ascii="Times New Roman" w:hAnsi="Times New Roman"/>
                <w:sz w:val="26"/>
                <w:szCs w:val="26"/>
                <w:lang w:eastAsia="lv-LV"/>
              </w:rPr>
            </w:pPr>
          </w:p>
        </w:tc>
      </w:tr>
      <w:tr w:rsidR="00CB1130" w:rsidRPr="00E36EE6" w:rsidTr="004D26EA">
        <w:trPr>
          <w:gridBefore w:val="1"/>
          <w:gridAfter w:val="1"/>
          <w:wBefore w:w="11" w:type="dxa"/>
          <w:wAfter w:w="85" w:type="dxa"/>
          <w:trHeight w:val="531"/>
          <w:tblCellSpacing w:w="0" w:type="dxa"/>
        </w:trPr>
        <w:tc>
          <w:tcPr>
            <w:tcW w:w="626" w:type="dxa"/>
            <w:tcBorders>
              <w:top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5.</w:t>
            </w:r>
          </w:p>
        </w:tc>
        <w:tc>
          <w:tcPr>
            <w:tcW w:w="2349" w:type="dxa"/>
            <w:gridSpan w:val="9"/>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Administratīvās procedūras raksturojums</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before="100" w:beforeAutospacing="1" w:after="100" w:afterAutospacing="1" w:line="240" w:lineRule="auto"/>
              <w:ind w:firstLine="694"/>
              <w:jc w:val="both"/>
              <w:rPr>
                <w:rFonts w:ascii="Times New Roman" w:hAnsi="Times New Roman"/>
                <w:sz w:val="26"/>
                <w:szCs w:val="26"/>
                <w:lang w:eastAsia="lv-LV"/>
              </w:rPr>
            </w:pPr>
          </w:p>
        </w:tc>
      </w:tr>
      <w:tr w:rsidR="00CB1130" w:rsidRPr="00E36EE6" w:rsidTr="004D26EA">
        <w:trPr>
          <w:gridBefore w:val="1"/>
          <w:gridAfter w:val="1"/>
          <w:wBefore w:w="11" w:type="dxa"/>
          <w:wAfter w:w="85" w:type="dxa"/>
          <w:trHeight w:val="357"/>
          <w:tblCellSpacing w:w="0" w:type="dxa"/>
        </w:trPr>
        <w:tc>
          <w:tcPr>
            <w:tcW w:w="626" w:type="dxa"/>
            <w:tcBorders>
              <w:top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6.</w:t>
            </w:r>
          </w:p>
        </w:tc>
        <w:tc>
          <w:tcPr>
            <w:tcW w:w="2349" w:type="dxa"/>
            <w:gridSpan w:val="9"/>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Administratīvo izmaksu monetārs novērtējums</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Nav.</w:t>
            </w:r>
          </w:p>
        </w:tc>
      </w:tr>
      <w:tr w:rsidR="00CB1130" w:rsidRPr="00E36EE6" w:rsidTr="004D26EA">
        <w:trPr>
          <w:gridBefore w:val="1"/>
          <w:gridAfter w:val="1"/>
          <w:wBefore w:w="11" w:type="dxa"/>
          <w:wAfter w:w="85" w:type="dxa"/>
          <w:tblCellSpacing w:w="0" w:type="dxa"/>
        </w:trPr>
        <w:tc>
          <w:tcPr>
            <w:tcW w:w="626" w:type="dxa"/>
            <w:tcBorders>
              <w:top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7.</w:t>
            </w:r>
          </w:p>
        </w:tc>
        <w:tc>
          <w:tcPr>
            <w:tcW w:w="2349" w:type="dxa"/>
            <w:gridSpan w:val="9"/>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 Cita informācija</w:t>
            </w:r>
          </w:p>
        </w:tc>
        <w:tc>
          <w:tcPr>
            <w:tcW w:w="6168" w:type="dxa"/>
            <w:gridSpan w:val="10"/>
            <w:tcBorders>
              <w:top w:val="outset" w:sz="6" w:space="0" w:color="auto"/>
              <w:left w:val="outset" w:sz="6" w:space="0" w:color="auto"/>
              <w:bottom w:val="outset" w:sz="6" w:space="0" w:color="auto"/>
            </w:tcBorders>
          </w:tcPr>
          <w:p w:rsidR="00CB1130" w:rsidRPr="00E36EE6" w:rsidRDefault="00CB1130" w:rsidP="004D26EA">
            <w:pPr>
              <w:spacing w:before="100" w:beforeAutospacing="1" w:after="100" w:afterAutospacing="1" w:line="240" w:lineRule="auto"/>
              <w:rPr>
                <w:rFonts w:ascii="Times New Roman" w:hAnsi="Times New Roman"/>
                <w:sz w:val="26"/>
                <w:szCs w:val="26"/>
                <w:lang w:eastAsia="lv-LV"/>
              </w:rPr>
            </w:pPr>
            <w:r w:rsidRPr="00E36EE6">
              <w:rPr>
                <w:rFonts w:ascii="Times New Roman" w:hAnsi="Times New Roman"/>
                <w:sz w:val="26"/>
                <w:szCs w:val="26"/>
                <w:lang w:eastAsia="lv-LV"/>
              </w:rPr>
              <w:t>Nav.</w:t>
            </w:r>
          </w:p>
        </w:tc>
      </w:tr>
      <w:tr w:rsidR="00CB1130" w:rsidRPr="00E36EE6" w:rsidTr="004D26EA">
        <w:trPr>
          <w:gridBefore w:val="1"/>
          <w:wBefore w:w="11" w:type="dxa"/>
          <w:trHeight w:val="65"/>
          <w:tblCellSpacing w:w="0" w:type="dxa"/>
        </w:trPr>
        <w:tc>
          <w:tcPr>
            <w:tcW w:w="9228" w:type="dxa"/>
            <w:gridSpan w:val="21"/>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before="100" w:beforeAutospacing="1" w:after="100" w:afterAutospacing="1" w:line="240" w:lineRule="auto"/>
              <w:jc w:val="center"/>
              <w:rPr>
                <w:rFonts w:ascii="Times New Roman" w:hAnsi="Times New Roman"/>
                <w:b/>
                <w:sz w:val="26"/>
                <w:szCs w:val="26"/>
                <w:lang w:eastAsia="lv-LV"/>
              </w:rPr>
            </w:pPr>
            <w:r w:rsidRPr="00E36EE6">
              <w:rPr>
                <w:rFonts w:ascii="Times New Roman" w:hAnsi="Times New Roman"/>
                <w:b/>
                <w:sz w:val="26"/>
                <w:szCs w:val="26"/>
                <w:lang w:eastAsia="lv-LV"/>
              </w:rPr>
              <w:t>III. Tiesību akta projekta ietekme uz valsts budžetu un pašvaldību budžetiem</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vMerge w:val="restart"/>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Rādītāji</w:t>
            </w:r>
          </w:p>
        </w:tc>
        <w:tc>
          <w:tcPr>
            <w:tcW w:w="2543" w:type="dxa"/>
            <w:gridSpan w:val="7"/>
            <w:vMerge w:val="restart"/>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2010. gads</w:t>
            </w:r>
          </w:p>
        </w:tc>
        <w:tc>
          <w:tcPr>
            <w:tcW w:w="5080" w:type="dxa"/>
            <w:gridSpan w:val="10"/>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Turpmākie trīs gadi (</w:t>
            </w:r>
            <w:proofErr w:type="spellStart"/>
            <w:r w:rsidRPr="00E36EE6">
              <w:rPr>
                <w:rFonts w:ascii="Times New Roman" w:hAnsi="Times New Roman"/>
                <w:sz w:val="26"/>
                <w:szCs w:val="26"/>
              </w:rPr>
              <w:t>tūkst</w:t>
            </w:r>
            <w:proofErr w:type="spellEnd"/>
            <w:smartTag w:uri="schemas-tilde-lv/tildestengine" w:element="currency2">
              <w:smartTagPr>
                <w:attr w:name="currency_id" w:val="48"/>
                <w:attr w:name="currency_key" w:val="LVL"/>
                <w:attr w:name="currency_value" w:val="."/>
                <w:attr w:name="currency_text" w:val="latu"/>
              </w:smartTagPr>
              <w:r w:rsidRPr="00E36EE6">
                <w:rPr>
                  <w:rFonts w:ascii="Times New Roman" w:hAnsi="Times New Roman"/>
                  <w:sz w:val="26"/>
                  <w:szCs w:val="26"/>
                </w:rPr>
                <w:t>. latu</w:t>
              </w:r>
            </w:smartTag>
            <w:r w:rsidRPr="00E36EE6">
              <w:rPr>
                <w:rFonts w:ascii="Times New Roman" w:hAnsi="Times New Roman"/>
                <w:sz w:val="26"/>
                <w:szCs w:val="26"/>
              </w:rPr>
              <w:t>)</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p>
        </w:tc>
        <w:tc>
          <w:tcPr>
            <w:tcW w:w="2543" w:type="dxa"/>
            <w:gridSpan w:val="7"/>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p>
        </w:tc>
        <w:tc>
          <w:tcPr>
            <w:tcW w:w="1825" w:type="dxa"/>
            <w:gridSpan w:val="4"/>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201</w:t>
            </w:r>
            <w:r>
              <w:rPr>
                <w:rFonts w:ascii="Times New Roman" w:hAnsi="Times New Roman"/>
                <w:sz w:val="26"/>
                <w:szCs w:val="26"/>
              </w:rPr>
              <w:t>2</w:t>
            </w:r>
            <w:r w:rsidRPr="00E36EE6">
              <w:rPr>
                <w:rFonts w:ascii="Times New Roman" w:hAnsi="Times New Roman"/>
                <w:sz w:val="26"/>
                <w:szCs w:val="26"/>
              </w:rPr>
              <w:t>.</w:t>
            </w:r>
          </w:p>
        </w:tc>
        <w:tc>
          <w:tcPr>
            <w:tcW w:w="1826" w:type="dxa"/>
            <w:gridSpan w:val="4"/>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201</w:t>
            </w:r>
            <w:r>
              <w:rPr>
                <w:rFonts w:ascii="Times New Roman" w:hAnsi="Times New Roman"/>
                <w:sz w:val="26"/>
                <w:szCs w:val="26"/>
              </w:rPr>
              <w:t>3</w:t>
            </w:r>
            <w:r w:rsidRPr="00E36EE6">
              <w:rPr>
                <w:rFonts w:ascii="Times New Roman" w:hAnsi="Times New Roman"/>
                <w:sz w:val="26"/>
                <w:szCs w:val="26"/>
              </w:rPr>
              <w:t>.</w:t>
            </w:r>
          </w:p>
        </w:tc>
        <w:tc>
          <w:tcPr>
            <w:tcW w:w="1429" w:type="dxa"/>
            <w:gridSpan w:val="2"/>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201</w:t>
            </w:r>
            <w:r>
              <w:rPr>
                <w:rFonts w:ascii="Times New Roman" w:hAnsi="Times New Roman"/>
                <w:sz w:val="26"/>
                <w:szCs w:val="26"/>
              </w:rPr>
              <w:t>4</w:t>
            </w:r>
            <w:r w:rsidRPr="00E36EE6">
              <w:rPr>
                <w:rFonts w:ascii="Times New Roman" w:hAnsi="Times New Roman"/>
                <w:sz w:val="26"/>
                <w:szCs w:val="26"/>
              </w:rPr>
              <w:t>.</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p>
        </w:tc>
        <w:tc>
          <w:tcPr>
            <w:tcW w:w="1240" w:type="dxa"/>
            <w:gridSpan w:val="5"/>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Saskaņā ar valsts budžetu kārtējam gadam</w:t>
            </w:r>
          </w:p>
        </w:tc>
        <w:tc>
          <w:tcPr>
            <w:tcW w:w="1303" w:type="dxa"/>
            <w:gridSpan w:val="2"/>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Izmaiņas kārtējā gadā, salīdzinot ar budžetu kārtējam gadam</w:t>
            </w:r>
          </w:p>
        </w:tc>
        <w:tc>
          <w:tcPr>
            <w:tcW w:w="1825" w:type="dxa"/>
            <w:gridSpan w:val="4"/>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Izmaiņas, salīdzinot ar kārtējo (n) gadu</w:t>
            </w:r>
          </w:p>
        </w:tc>
        <w:tc>
          <w:tcPr>
            <w:tcW w:w="1826" w:type="dxa"/>
            <w:gridSpan w:val="4"/>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Izmaiņas, salīdzinot ar kārtējo (n) gadu</w:t>
            </w:r>
          </w:p>
        </w:tc>
        <w:tc>
          <w:tcPr>
            <w:tcW w:w="1429" w:type="dxa"/>
            <w:gridSpan w:val="2"/>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Izmaiņas, salīdzinot ar kārtējo (n) gadu</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1</w:t>
            </w:r>
          </w:p>
        </w:tc>
        <w:tc>
          <w:tcPr>
            <w:tcW w:w="1240" w:type="dxa"/>
            <w:gridSpan w:val="5"/>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2</w:t>
            </w:r>
          </w:p>
        </w:tc>
        <w:tc>
          <w:tcPr>
            <w:tcW w:w="1303" w:type="dxa"/>
            <w:gridSpan w:val="2"/>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3</w:t>
            </w:r>
          </w:p>
        </w:tc>
        <w:tc>
          <w:tcPr>
            <w:tcW w:w="1825" w:type="dxa"/>
            <w:gridSpan w:val="4"/>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4</w:t>
            </w:r>
          </w:p>
        </w:tc>
        <w:tc>
          <w:tcPr>
            <w:tcW w:w="1826" w:type="dxa"/>
            <w:gridSpan w:val="4"/>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5</w:t>
            </w:r>
          </w:p>
        </w:tc>
        <w:tc>
          <w:tcPr>
            <w:tcW w:w="1429" w:type="dxa"/>
            <w:gridSpan w:val="2"/>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6</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1. Budžeta ieņēmumi:</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ind w:left="785"/>
              <w:rPr>
                <w:sz w:val="26"/>
                <w:szCs w:val="26"/>
              </w:rPr>
            </w:pPr>
            <w:r>
              <w:rPr>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numPr>
                <w:ilvl w:val="0"/>
                <w:numId w:val="2"/>
              </w:numPr>
              <w:rPr>
                <w:sz w:val="26"/>
                <w:szCs w:val="26"/>
              </w:rPr>
            </w:pPr>
            <w:r>
              <w:rPr>
                <w:sz w:val="26"/>
                <w:szCs w:val="26"/>
              </w:rPr>
              <w:t>2 938</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numPr>
                <w:ilvl w:val="0"/>
                <w:numId w:val="2"/>
              </w:numPr>
              <w:rPr>
                <w:sz w:val="26"/>
                <w:szCs w:val="26"/>
              </w:rPr>
            </w:pPr>
            <w:r>
              <w:rPr>
                <w:sz w:val="26"/>
                <w:szCs w:val="26"/>
              </w:rPr>
              <w:t>7 972</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1.1. valsts pamatbudžets, tai skaitā ieņēmumi no maksas pakalpo-</w:t>
            </w:r>
            <w:proofErr w:type="spellStart"/>
            <w:r w:rsidRPr="00E36EE6">
              <w:rPr>
                <w:rFonts w:ascii="Times New Roman" w:hAnsi="Times New Roman"/>
                <w:sz w:val="26"/>
                <w:szCs w:val="26"/>
              </w:rPr>
              <w:t>jumiem</w:t>
            </w:r>
            <w:proofErr w:type="spellEnd"/>
            <w:r w:rsidRPr="00E36EE6">
              <w:rPr>
                <w:rFonts w:ascii="Times New Roman" w:hAnsi="Times New Roman"/>
                <w:sz w:val="26"/>
                <w:szCs w:val="26"/>
              </w:rPr>
              <w:t xml:space="preserve"> un citi pašu ieņēmumi</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ind w:left="785"/>
              <w:rPr>
                <w:sz w:val="26"/>
                <w:szCs w:val="26"/>
              </w:rPr>
            </w:pPr>
            <w:r>
              <w:rPr>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numPr>
                <w:ilvl w:val="0"/>
                <w:numId w:val="2"/>
              </w:numPr>
              <w:rPr>
                <w:sz w:val="26"/>
                <w:szCs w:val="26"/>
              </w:rPr>
            </w:pPr>
            <w:r>
              <w:rPr>
                <w:sz w:val="26"/>
                <w:szCs w:val="26"/>
              </w:rPr>
              <w:t>2 938</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numPr>
                <w:ilvl w:val="0"/>
                <w:numId w:val="2"/>
              </w:numPr>
              <w:rPr>
                <w:sz w:val="26"/>
                <w:szCs w:val="26"/>
              </w:rPr>
            </w:pPr>
            <w:r>
              <w:rPr>
                <w:sz w:val="26"/>
                <w:szCs w:val="26"/>
              </w:rPr>
              <w:t>7 972</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xml:space="preserve"> 1.2. valsts </w:t>
            </w:r>
            <w:r w:rsidRPr="00E36EE6">
              <w:rPr>
                <w:rFonts w:ascii="Times New Roman" w:hAnsi="Times New Roman"/>
                <w:sz w:val="26"/>
                <w:szCs w:val="26"/>
              </w:rPr>
              <w:lastRenderedPageBreak/>
              <w:t>speciālais budžets</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lastRenderedPageBreak/>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lastRenderedPageBreak/>
              <w:t> 1.3. pašvaldību budžets</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2. Budžeta izdevumi:</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2.1. valsts pamatbudžets</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2.2. valsts speciālais budžets</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2.3. pašvaldību budžets</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3. Finansiālā ietekme:</w:t>
            </w:r>
          </w:p>
        </w:tc>
        <w:tc>
          <w:tcPr>
            <w:tcW w:w="1240" w:type="dxa"/>
            <w:gridSpan w:val="5"/>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ind w:left="81"/>
              <w:jc w:val="both"/>
              <w:rPr>
                <w:sz w:val="26"/>
                <w:szCs w:val="26"/>
              </w:rPr>
            </w:pPr>
            <w:r>
              <w:rPr>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numPr>
                <w:ilvl w:val="0"/>
                <w:numId w:val="2"/>
              </w:numPr>
              <w:rPr>
                <w:sz w:val="26"/>
                <w:szCs w:val="26"/>
              </w:rPr>
            </w:pPr>
            <w:r>
              <w:rPr>
                <w:sz w:val="26"/>
                <w:szCs w:val="26"/>
              </w:rPr>
              <w:t>2 938</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CB50D6" w:rsidRDefault="00CB1130" w:rsidP="004D26EA">
            <w:pPr>
              <w:pStyle w:val="ListParagraph"/>
              <w:numPr>
                <w:ilvl w:val="0"/>
                <w:numId w:val="2"/>
              </w:numPr>
              <w:rPr>
                <w:sz w:val="26"/>
                <w:szCs w:val="26"/>
              </w:rPr>
            </w:pPr>
            <w:r>
              <w:rPr>
                <w:sz w:val="26"/>
                <w:szCs w:val="26"/>
              </w:rPr>
              <w:t>7 972</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3.1. valsts pamatbudžets</w:t>
            </w:r>
          </w:p>
          <w:p w:rsidR="00CB1130" w:rsidRDefault="00CB1130" w:rsidP="004D26EA">
            <w:pPr>
              <w:spacing w:after="0" w:line="240" w:lineRule="auto"/>
              <w:rPr>
                <w:rFonts w:ascii="Times New Roman" w:hAnsi="Times New Roman"/>
                <w:i/>
                <w:sz w:val="26"/>
                <w:szCs w:val="26"/>
              </w:rPr>
            </w:pPr>
            <w:r>
              <w:rPr>
                <w:rFonts w:ascii="Times New Roman" w:hAnsi="Times New Roman"/>
                <w:sz w:val="26"/>
                <w:szCs w:val="26"/>
              </w:rPr>
              <w:t>Tajā skaitā:</w:t>
            </w:r>
            <w:r w:rsidRPr="00E36EE6">
              <w:rPr>
                <w:rFonts w:ascii="Times New Roman" w:hAnsi="Times New Roman"/>
                <w:sz w:val="26"/>
                <w:szCs w:val="26"/>
              </w:rPr>
              <w:t xml:space="preserve"> </w:t>
            </w:r>
            <w:r>
              <w:rPr>
                <w:rFonts w:ascii="Times New Roman" w:hAnsi="Times New Roman"/>
                <w:sz w:val="26"/>
                <w:szCs w:val="26"/>
              </w:rPr>
              <w:t>1.</w:t>
            </w:r>
            <w:r w:rsidRPr="00983931">
              <w:rPr>
                <w:rFonts w:ascii="Times New Roman" w:hAnsi="Times New Roman"/>
                <w:i/>
                <w:sz w:val="26"/>
                <w:szCs w:val="26"/>
              </w:rPr>
              <w:t>Nodokļa uzlikšana dividendēm, kapitāla pieaugumam no kapitāla daļu un akciju atsavināšanas</w:t>
            </w:r>
            <w:r w:rsidRPr="00072A5E">
              <w:rPr>
                <w:rFonts w:ascii="Times New Roman" w:hAnsi="Times New Roman"/>
                <w:i/>
                <w:sz w:val="26"/>
                <w:szCs w:val="26"/>
              </w:rPr>
              <w:t xml:space="preserve">, procentiem un  atlīdzībai par intelektuālā īpašuma </w:t>
            </w:r>
            <w:r w:rsidRPr="00913DCD">
              <w:rPr>
                <w:rFonts w:ascii="Times New Roman" w:hAnsi="Times New Roman"/>
                <w:i/>
                <w:sz w:val="26"/>
                <w:szCs w:val="26"/>
              </w:rPr>
              <w:t>izmantošanu</w:t>
            </w:r>
            <w:r>
              <w:rPr>
                <w:rFonts w:ascii="Times New Roman" w:hAnsi="Times New Roman"/>
                <w:i/>
                <w:sz w:val="26"/>
                <w:szCs w:val="26"/>
              </w:rPr>
              <w:t xml:space="preserve"> </w:t>
            </w:r>
          </w:p>
          <w:p w:rsidR="00CB1130" w:rsidRDefault="00CB1130" w:rsidP="004D26EA">
            <w:pPr>
              <w:spacing w:after="0" w:line="240" w:lineRule="auto"/>
              <w:rPr>
                <w:rFonts w:ascii="Times New Roman" w:hAnsi="Times New Roman"/>
                <w:i/>
                <w:sz w:val="26"/>
                <w:szCs w:val="26"/>
              </w:rPr>
            </w:pPr>
          </w:p>
          <w:p w:rsidR="00CB1130" w:rsidRPr="00E36EE6" w:rsidRDefault="00CB1130" w:rsidP="004D26EA">
            <w:pPr>
              <w:spacing w:after="0" w:line="240" w:lineRule="auto"/>
              <w:rPr>
                <w:rFonts w:ascii="Times New Roman" w:hAnsi="Times New Roman"/>
                <w:sz w:val="26"/>
                <w:szCs w:val="26"/>
              </w:rPr>
            </w:pPr>
            <w:r>
              <w:rPr>
                <w:rFonts w:ascii="Times New Roman" w:hAnsi="Times New Roman"/>
                <w:sz w:val="26"/>
                <w:szCs w:val="26"/>
              </w:rPr>
              <w:t xml:space="preserve">2. </w:t>
            </w:r>
            <w:r w:rsidRPr="00983931">
              <w:rPr>
                <w:rFonts w:ascii="Times New Roman" w:hAnsi="Times New Roman"/>
                <w:i/>
                <w:sz w:val="26"/>
                <w:szCs w:val="26"/>
              </w:rPr>
              <w:t>Nodokļa likmes vienādošana</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Default="00CB1130" w:rsidP="004D26EA">
            <w:pPr>
              <w:pStyle w:val="ListParagraph"/>
              <w:ind w:left="81"/>
              <w:rPr>
                <w:sz w:val="26"/>
                <w:szCs w:val="26"/>
              </w:rPr>
            </w:pPr>
            <w:r>
              <w:rPr>
                <w:sz w:val="26"/>
                <w:szCs w:val="26"/>
              </w:rPr>
              <w:t>0</w:t>
            </w: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Pr="00B13BD3" w:rsidRDefault="00CB1130" w:rsidP="004D26EA">
            <w:pPr>
              <w:pStyle w:val="ListParagraph"/>
              <w:ind w:left="785"/>
              <w:rPr>
                <w:sz w:val="26"/>
                <w:szCs w:val="26"/>
              </w:rPr>
            </w:pPr>
          </w:p>
        </w:tc>
        <w:tc>
          <w:tcPr>
            <w:tcW w:w="1826" w:type="dxa"/>
            <w:gridSpan w:val="4"/>
            <w:tcBorders>
              <w:top w:val="outset" w:sz="6" w:space="0" w:color="auto"/>
              <w:left w:val="outset" w:sz="6" w:space="0" w:color="auto"/>
              <w:bottom w:val="outset" w:sz="6" w:space="0" w:color="auto"/>
              <w:right w:val="outset" w:sz="6" w:space="0" w:color="auto"/>
            </w:tcBorders>
          </w:tcPr>
          <w:p w:rsidR="00CB1130" w:rsidRDefault="00CB1130" w:rsidP="004D26EA">
            <w:pPr>
              <w:pStyle w:val="ListParagraph"/>
              <w:numPr>
                <w:ilvl w:val="0"/>
                <w:numId w:val="2"/>
              </w:numPr>
              <w:rPr>
                <w:sz w:val="26"/>
                <w:szCs w:val="26"/>
              </w:rPr>
            </w:pPr>
            <w:r>
              <w:rPr>
                <w:sz w:val="26"/>
                <w:szCs w:val="26"/>
              </w:rPr>
              <w:t>2 938</w:t>
            </w: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pStyle w:val="ListParagraph"/>
              <w:numPr>
                <w:ilvl w:val="0"/>
                <w:numId w:val="2"/>
              </w:numPr>
              <w:rPr>
                <w:sz w:val="26"/>
                <w:szCs w:val="26"/>
              </w:rPr>
            </w:pPr>
            <w:r>
              <w:rPr>
                <w:sz w:val="26"/>
                <w:szCs w:val="26"/>
              </w:rPr>
              <w:t>1 762</w:t>
            </w:r>
          </w:p>
          <w:p w:rsidR="00CB1130" w:rsidRDefault="00CB1130" w:rsidP="004D26EA">
            <w:pPr>
              <w:rPr>
                <w:sz w:val="26"/>
                <w:szCs w:val="26"/>
              </w:rPr>
            </w:pPr>
          </w:p>
          <w:p w:rsidR="00CB1130" w:rsidRDefault="00CB1130" w:rsidP="004D26EA">
            <w:pPr>
              <w:pStyle w:val="ListParagraph"/>
              <w:ind w:left="785"/>
              <w:rPr>
                <w:sz w:val="26"/>
                <w:szCs w:val="26"/>
              </w:rPr>
            </w:pPr>
          </w:p>
          <w:p w:rsidR="00CB1130" w:rsidRPr="00582BBF" w:rsidRDefault="00CB1130" w:rsidP="004D26EA">
            <w:pPr>
              <w:pStyle w:val="ListParagraph"/>
              <w:numPr>
                <w:ilvl w:val="0"/>
                <w:numId w:val="2"/>
              </w:numPr>
              <w:rPr>
                <w:sz w:val="26"/>
                <w:szCs w:val="26"/>
              </w:rPr>
            </w:pPr>
            <w:r>
              <w:rPr>
                <w:sz w:val="26"/>
                <w:szCs w:val="26"/>
              </w:rPr>
              <w:t>1 176</w:t>
            </w:r>
          </w:p>
        </w:tc>
        <w:tc>
          <w:tcPr>
            <w:tcW w:w="1429" w:type="dxa"/>
            <w:gridSpan w:val="2"/>
            <w:tcBorders>
              <w:top w:val="outset" w:sz="6" w:space="0" w:color="auto"/>
              <w:left w:val="outset" w:sz="6" w:space="0" w:color="auto"/>
              <w:bottom w:val="outset" w:sz="6" w:space="0" w:color="auto"/>
              <w:right w:val="outset" w:sz="6" w:space="0" w:color="auto"/>
            </w:tcBorders>
          </w:tcPr>
          <w:p w:rsidR="00CB1130" w:rsidRDefault="00CB1130" w:rsidP="004D26EA">
            <w:pPr>
              <w:pStyle w:val="ListParagraph"/>
              <w:numPr>
                <w:ilvl w:val="0"/>
                <w:numId w:val="2"/>
              </w:numPr>
              <w:rPr>
                <w:sz w:val="26"/>
                <w:szCs w:val="26"/>
              </w:rPr>
            </w:pPr>
            <w:r>
              <w:rPr>
                <w:sz w:val="26"/>
                <w:szCs w:val="26"/>
              </w:rPr>
              <w:t>7 972</w:t>
            </w: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rPr>
                <w:sz w:val="26"/>
                <w:szCs w:val="26"/>
              </w:rPr>
            </w:pPr>
          </w:p>
          <w:p w:rsidR="00CB1130" w:rsidRDefault="00CB1130" w:rsidP="004D26EA">
            <w:pPr>
              <w:pStyle w:val="ListParagraph"/>
              <w:numPr>
                <w:ilvl w:val="0"/>
                <w:numId w:val="2"/>
              </w:numPr>
              <w:rPr>
                <w:sz w:val="26"/>
                <w:szCs w:val="26"/>
              </w:rPr>
            </w:pPr>
            <w:r>
              <w:rPr>
                <w:sz w:val="26"/>
                <w:szCs w:val="26"/>
              </w:rPr>
              <w:t>6 745</w:t>
            </w:r>
          </w:p>
          <w:p w:rsidR="00CB1130" w:rsidRDefault="00CB1130" w:rsidP="004D26EA">
            <w:pPr>
              <w:rPr>
                <w:sz w:val="26"/>
                <w:szCs w:val="26"/>
              </w:rPr>
            </w:pPr>
          </w:p>
          <w:p w:rsidR="00CB1130" w:rsidRPr="00CA0332" w:rsidRDefault="00CB1130" w:rsidP="004D26EA">
            <w:pPr>
              <w:pStyle w:val="ListParagraph"/>
              <w:rPr>
                <w:sz w:val="26"/>
                <w:szCs w:val="26"/>
              </w:rPr>
            </w:pPr>
          </w:p>
          <w:p w:rsidR="00CB1130" w:rsidRPr="00FA091D" w:rsidRDefault="00CB1130" w:rsidP="004D26EA">
            <w:pPr>
              <w:pStyle w:val="ListParagraph"/>
              <w:numPr>
                <w:ilvl w:val="0"/>
                <w:numId w:val="2"/>
              </w:numPr>
              <w:rPr>
                <w:sz w:val="26"/>
                <w:szCs w:val="26"/>
              </w:rPr>
            </w:pPr>
            <w:r>
              <w:rPr>
                <w:sz w:val="26"/>
                <w:szCs w:val="26"/>
              </w:rPr>
              <w:t>1 227</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3.2. speciālais budžets</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3.3. pašvaldību budžets</w:t>
            </w:r>
          </w:p>
        </w:tc>
        <w:tc>
          <w:tcPr>
            <w:tcW w:w="1240" w:type="dxa"/>
            <w:gridSpan w:val="5"/>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vMerge w:val="restart"/>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4. Finanšu līdzekļi papildu izde</w:t>
            </w:r>
            <w:r w:rsidRPr="00E36EE6">
              <w:rPr>
                <w:rFonts w:ascii="Times New Roman" w:hAnsi="Times New Roman"/>
                <w:sz w:val="26"/>
                <w:szCs w:val="26"/>
              </w:rPr>
              <w:softHyphen/>
              <w:t xml:space="preserve">vumu </w:t>
            </w:r>
            <w:r w:rsidRPr="00E36EE6">
              <w:rPr>
                <w:rFonts w:ascii="Times New Roman" w:hAnsi="Times New Roman"/>
                <w:sz w:val="26"/>
                <w:szCs w:val="26"/>
              </w:rPr>
              <w:lastRenderedPageBreak/>
              <w:t>finansēšanai (kompensējošu izdevumu samazinājumu norāda ar "+" zīmi)</w:t>
            </w:r>
          </w:p>
        </w:tc>
        <w:tc>
          <w:tcPr>
            <w:tcW w:w="1240" w:type="dxa"/>
            <w:gridSpan w:val="5"/>
            <w:vMerge w:val="restart"/>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lastRenderedPageBreak/>
              <w:t>X</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rPr>
                <w:rFonts w:ascii="Times New Roman" w:hAnsi="Times New Roman"/>
                <w:sz w:val="26"/>
                <w:szCs w:val="26"/>
              </w:rPr>
            </w:pPr>
          </w:p>
        </w:tc>
        <w:tc>
          <w:tcPr>
            <w:tcW w:w="1240" w:type="dxa"/>
            <w:gridSpan w:val="5"/>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rPr>
                <w:rFonts w:ascii="Times New Roman" w:hAnsi="Times New Roman"/>
                <w:sz w:val="26"/>
                <w:szCs w:val="26"/>
              </w:rPr>
            </w:pPr>
          </w:p>
        </w:tc>
        <w:tc>
          <w:tcPr>
            <w:tcW w:w="1240" w:type="dxa"/>
            <w:gridSpan w:val="5"/>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jc w:val="center"/>
              <w:rPr>
                <w:rFonts w:ascii="Times New Roman" w:hAnsi="Times New Roman"/>
                <w:sz w:val="26"/>
                <w:szCs w:val="26"/>
              </w:rPr>
            </w:pP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lastRenderedPageBreak/>
              <w:t> 5. Precizēta finansiālā ietekme:</w:t>
            </w:r>
          </w:p>
        </w:tc>
        <w:tc>
          <w:tcPr>
            <w:tcW w:w="1240" w:type="dxa"/>
            <w:gridSpan w:val="5"/>
            <w:vMerge w:val="restart"/>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jc w:val="center"/>
              <w:rPr>
                <w:rFonts w:ascii="Times New Roman" w:hAnsi="Times New Roman"/>
                <w:sz w:val="26"/>
                <w:szCs w:val="26"/>
              </w:rPr>
            </w:pPr>
            <w:r w:rsidRPr="00E36EE6">
              <w:rPr>
                <w:rFonts w:ascii="Times New Roman" w:hAnsi="Times New Roman"/>
                <w:sz w:val="26"/>
                <w:szCs w:val="26"/>
              </w:rPr>
              <w:t>X</w:t>
            </w: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5.1. valsts pamatbudžets</w:t>
            </w:r>
          </w:p>
        </w:tc>
        <w:tc>
          <w:tcPr>
            <w:tcW w:w="1240" w:type="dxa"/>
            <w:gridSpan w:val="5"/>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rPr>
                <w:rFonts w:ascii="Times New Roman" w:hAnsi="Times New Roman"/>
                <w:sz w:val="26"/>
                <w:szCs w:val="26"/>
              </w:rPr>
            </w:pP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5.2. speciālais budžets</w:t>
            </w:r>
          </w:p>
        </w:tc>
        <w:tc>
          <w:tcPr>
            <w:tcW w:w="1240" w:type="dxa"/>
            <w:gridSpan w:val="5"/>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rPr>
                <w:rFonts w:ascii="Times New Roman" w:hAnsi="Times New Roman"/>
                <w:sz w:val="26"/>
                <w:szCs w:val="26"/>
              </w:rPr>
            </w:pP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65"/>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5.3. pašvaldību budžets</w:t>
            </w:r>
          </w:p>
        </w:tc>
        <w:tc>
          <w:tcPr>
            <w:tcW w:w="1240" w:type="dxa"/>
            <w:gridSpan w:val="5"/>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rPr>
                <w:rFonts w:ascii="Times New Roman" w:hAnsi="Times New Roman"/>
                <w:sz w:val="26"/>
                <w:szCs w:val="26"/>
              </w:rPr>
            </w:pPr>
          </w:p>
        </w:tc>
        <w:tc>
          <w:tcPr>
            <w:tcW w:w="1303"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826"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c>
          <w:tcPr>
            <w:tcW w:w="1429" w:type="dxa"/>
            <w:gridSpan w:val="2"/>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0</w:t>
            </w:r>
          </w:p>
        </w:tc>
      </w:tr>
      <w:tr w:rsidR="00CB1130" w:rsidRPr="00E36EE6" w:rsidTr="004D26EA">
        <w:tblPrEx>
          <w:tblLook w:val="0000" w:firstRow="0" w:lastRow="0" w:firstColumn="0" w:lastColumn="0" w:noHBand="0" w:noVBand="0"/>
        </w:tblPrEx>
        <w:trPr>
          <w:gridBefore w:val="1"/>
          <w:wBefore w:w="11" w:type="dxa"/>
          <w:trHeight w:val="2174"/>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6. Detalizēts ieņēmumu un izdevu</w:t>
            </w:r>
            <w:r w:rsidRPr="00E36EE6">
              <w:rPr>
                <w:rFonts w:ascii="Times New Roman" w:hAnsi="Times New Roman"/>
                <w:sz w:val="26"/>
                <w:szCs w:val="26"/>
              </w:rPr>
              <w:softHyphen/>
              <w:t>mu aprēķins (ja nepieciešams, detalizētu ieņēmumu un izdevumu aprēķinu var pievienot anotācijas pielikumā):</w:t>
            </w:r>
          </w:p>
        </w:tc>
        <w:tc>
          <w:tcPr>
            <w:tcW w:w="7623" w:type="dxa"/>
            <w:gridSpan w:val="17"/>
            <w:vMerge w:val="restart"/>
            <w:tcBorders>
              <w:top w:val="single" w:sz="4"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ind w:firstLine="720"/>
              <w:contextualSpacing/>
              <w:jc w:val="right"/>
              <w:rPr>
                <w:rFonts w:ascii="Times New Roman" w:hAnsi="Times New Roman"/>
                <w:sz w:val="26"/>
                <w:szCs w:val="26"/>
              </w:rPr>
            </w:pPr>
          </w:p>
          <w:p w:rsidR="00CB1130" w:rsidRPr="00AB4479" w:rsidRDefault="00CB1130" w:rsidP="004D26EA">
            <w:pPr>
              <w:spacing w:after="0" w:line="240" w:lineRule="auto"/>
              <w:contextualSpacing/>
              <w:jc w:val="both"/>
              <w:rPr>
                <w:sz w:val="26"/>
                <w:szCs w:val="26"/>
              </w:rPr>
            </w:pPr>
            <w:r w:rsidRPr="00983931">
              <w:rPr>
                <w:rFonts w:ascii="Times New Roman" w:hAnsi="Times New Roman"/>
                <w:i/>
                <w:sz w:val="26"/>
                <w:szCs w:val="26"/>
              </w:rPr>
              <w:t>Nodokļa uzlikšana dividendēm, kapitāla pieaugumam no kapitāla daļu un akciju atsavināšanas</w:t>
            </w:r>
            <w:r w:rsidRPr="00072A5E">
              <w:rPr>
                <w:rFonts w:ascii="Times New Roman" w:hAnsi="Times New Roman"/>
                <w:i/>
                <w:sz w:val="26"/>
                <w:szCs w:val="26"/>
              </w:rPr>
              <w:t>, procentiem un  atlīdzībai par intelektuālā īpašuma izmantošanu</w:t>
            </w:r>
          </w:p>
          <w:p w:rsidR="00CB1130" w:rsidRPr="00AB4479" w:rsidRDefault="00CB1130" w:rsidP="004D26EA">
            <w:pPr>
              <w:spacing w:after="0" w:line="240" w:lineRule="auto"/>
              <w:contextualSpacing/>
              <w:jc w:val="both"/>
              <w:rPr>
                <w:sz w:val="26"/>
                <w:szCs w:val="26"/>
              </w:rPr>
            </w:pPr>
            <w:r w:rsidRPr="009470C6">
              <w:rPr>
                <w:rFonts w:ascii="Times New Roman" w:hAnsi="Times New Roman"/>
                <w:sz w:val="26"/>
                <w:szCs w:val="26"/>
              </w:rPr>
              <w:t xml:space="preserve">Pēc </w:t>
            </w:r>
            <w:r>
              <w:rPr>
                <w:rFonts w:ascii="Times New Roman" w:hAnsi="Times New Roman"/>
                <w:sz w:val="26"/>
                <w:szCs w:val="26"/>
              </w:rPr>
              <w:t>uzņēmumu ienākuma nodokļa</w:t>
            </w:r>
            <w:r w:rsidRPr="009470C6">
              <w:rPr>
                <w:rFonts w:ascii="Times New Roman" w:hAnsi="Times New Roman"/>
                <w:sz w:val="26"/>
                <w:szCs w:val="26"/>
              </w:rPr>
              <w:t xml:space="preserve"> deklarāciju apkopotās informācijas 2010.gadā ieturamā nodokļa summa par sabiedrību - Latvijas rezidentu izmaksātajām dividendēm nerezidentam, kas nav ES/EEZ vai ārzonas valsts rezidents (</w:t>
            </w:r>
            <w:r>
              <w:rPr>
                <w:rFonts w:ascii="Times New Roman" w:hAnsi="Times New Roman"/>
                <w:sz w:val="26"/>
                <w:szCs w:val="26"/>
              </w:rPr>
              <w:t>deklarācijas 90.</w:t>
            </w:r>
            <w:r w:rsidRPr="009470C6">
              <w:rPr>
                <w:rFonts w:ascii="Times New Roman" w:hAnsi="Times New Roman"/>
                <w:sz w:val="26"/>
                <w:szCs w:val="26"/>
              </w:rPr>
              <w:t>rinda) veidoja 1602 tūkst.</w:t>
            </w:r>
            <w:r>
              <w:rPr>
                <w:rFonts w:ascii="Times New Roman" w:hAnsi="Times New Roman"/>
                <w:sz w:val="26"/>
                <w:szCs w:val="26"/>
              </w:rPr>
              <w:t>latu</w:t>
            </w:r>
            <w:r w:rsidRPr="009470C6">
              <w:rPr>
                <w:rFonts w:ascii="Times New Roman" w:hAnsi="Times New Roman"/>
                <w:sz w:val="26"/>
                <w:szCs w:val="26"/>
              </w:rPr>
              <w:t xml:space="preserve">. Pieņemot, ka šī summa palielināsies par 10%, </w:t>
            </w:r>
            <w:r w:rsidR="004D26EA">
              <w:rPr>
                <w:rFonts w:ascii="Times New Roman" w:hAnsi="Times New Roman"/>
                <w:sz w:val="26"/>
                <w:szCs w:val="26"/>
              </w:rPr>
              <w:t>budžeta ieņēmumu samazinājums</w:t>
            </w:r>
            <w:r w:rsidRPr="009470C6">
              <w:rPr>
                <w:rFonts w:ascii="Times New Roman" w:hAnsi="Times New Roman"/>
                <w:sz w:val="26"/>
                <w:szCs w:val="26"/>
              </w:rPr>
              <w:t xml:space="preserve"> 2013.gadā būs 1762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470C6">
              <w:rPr>
                <w:rFonts w:ascii="Times New Roman" w:hAnsi="Times New Roman"/>
                <w:sz w:val="26"/>
                <w:szCs w:val="26"/>
              </w:rPr>
              <w:t>.</w:t>
            </w:r>
          </w:p>
          <w:p w:rsidR="00CB1130" w:rsidRPr="008C7A61" w:rsidRDefault="00CB1130" w:rsidP="004D26EA">
            <w:pPr>
              <w:spacing w:after="0" w:line="240" w:lineRule="auto"/>
              <w:contextualSpacing/>
              <w:jc w:val="both"/>
              <w:rPr>
                <w:sz w:val="26"/>
                <w:szCs w:val="26"/>
              </w:rPr>
            </w:pPr>
          </w:p>
          <w:p w:rsidR="00CB1130" w:rsidRPr="00AB4479" w:rsidRDefault="00CB1130" w:rsidP="004D26EA">
            <w:pPr>
              <w:spacing w:after="0" w:line="240" w:lineRule="auto"/>
              <w:contextualSpacing/>
              <w:jc w:val="both"/>
              <w:rPr>
                <w:sz w:val="26"/>
                <w:szCs w:val="26"/>
              </w:rPr>
            </w:pPr>
            <w:r w:rsidRPr="009470C6">
              <w:rPr>
                <w:rFonts w:ascii="Times New Roman" w:hAnsi="Times New Roman"/>
                <w:sz w:val="26"/>
                <w:szCs w:val="26"/>
              </w:rPr>
              <w:t>Dividenžu summa, kas saņemama no citiem maksātājiem (</w:t>
            </w:r>
            <w:r>
              <w:rPr>
                <w:rFonts w:ascii="Times New Roman" w:hAnsi="Times New Roman"/>
                <w:sz w:val="26"/>
                <w:szCs w:val="26"/>
              </w:rPr>
              <w:t>deklarācijas 60</w:t>
            </w:r>
            <w:r w:rsidRPr="009470C6">
              <w:rPr>
                <w:rFonts w:ascii="Times New Roman" w:hAnsi="Times New Roman"/>
                <w:sz w:val="26"/>
                <w:szCs w:val="26"/>
              </w:rPr>
              <w:t xml:space="preserve">.rinda) bija 174298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470C6">
              <w:rPr>
                <w:rFonts w:ascii="Times New Roman" w:hAnsi="Times New Roman"/>
                <w:sz w:val="26"/>
                <w:szCs w:val="26"/>
              </w:rPr>
              <w:t>. Pieņemot, ka dividendes, ko sabiedrība – Latvijas rezidents saņem no nerezidenta, kas nav zemu nodokļu un beznodokļu valsts vai teritorija, veido 5%, fiskālā ietekme 2014.gadā būs 174298</w:t>
            </w:r>
            <w:r>
              <w:rPr>
                <w:rFonts w:ascii="Times New Roman" w:hAnsi="Times New Roman"/>
                <w:sz w:val="26"/>
                <w:szCs w:val="26"/>
              </w:rPr>
              <w:t xml:space="preserve">,- x </w:t>
            </w:r>
            <w:r w:rsidRPr="009470C6">
              <w:rPr>
                <w:rFonts w:ascii="Times New Roman" w:hAnsi="Times New Roman"/>
                <w:sz w:val="26"/>
                <w:szCs w:val="26"/>
              </w:rPr>
              <w:t>5%</w:t>
            </w:r>
            <w:r>
              <w:rPr>
                <w:rFonts w:ascii="Times New Roman" w:hAnsi="Times New Roman"/>
                <w:sz w:val="26"/>
                <w:szCs w:val="26"/>
              </w:rPr>
              <w:t xml:space="preserve"> x </w:t>
            </w:r>
            <w:r w:rsidRPr="009470C6">
              <w:rPr>
                <w:rFonts w:ascii="Times New Roman" w:hAnsi="Times New Roman"/>
                <w:sz w:val="26"/>
                <w:szCs w:val="26"/>
              </w:rPr>
              <w:t>15%</w:t>
            </w:r>
            <w:r>
              <w:rPr>
                <w:rFonts w:ascii="Times New Roman" w:hAnsi="Times New Roman"/>
                <w:sz w:val="26"/>
                <w:szCs w:val="26"/>
              </w:rPr>
              <w:t xml:space="preserve"> x </w:t>
            </w:r>
            <w:r w:rsidRPr="009470C6">
              <w:rPr>
                <w:rFonts w:ascii="Times New Roman" w:hAnsi="Times New Roman"/>
                <w:sz w:val="26"/>
                <w:szCs w:val="26"/>
              </w:rPr>
              <w:t xml:space="preserve">110% (pieņemot, ka šī summa palielināsies par 10%)=1438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470C6">
              <w:rPr>
                <w:rFonts w:ascii="Times New Roman" w:hAnsi="Times New Roman"/>
                <w:sz w:val="26"/>
                <w:szCs w:val="26"/>
              </w:rPr>
              <w:t>.</w:t>
            </w:r>
          </w:p>
          <w:p w:rsidR="00CB1130" w:rsidRPr="008C7A61" w:rsidRDefault="00CB1130" w:rsidP="004D26EA">
            <w:pPr>
              <w:spacing w:after="0" w:line="240" w:lineRule="auto"/>
              <w:contextualSpacing/>
              <w:jc w:val="both"/>
              <w:rPr>
                <w:sz w:val="26"/>
                <w:szCs w:val="26"/>
              </w:rPr>
            </w:pPr>
          </w:p>
          <w:p w:rsidR="00CB1130" w:rsidRPr="00AB4479" w:rsidRDefault="00CB1130" w:rsidP="004D26EA">
            <w:pPr>
              <w:spacing w:after="0" w:line="240" w:lineRule="auto"/>
              <w:contextualSpacing/>
              <w:jc w:val="both"/>
              <w:rPr>
                <w:sz w:val="26"/>
                <w:szCs w:val="26"/>
              </w:rPr>
            </w:pPr>
            <w:r w:rsidRPr="009470C6">
              <w:rPr>
                <w:rFonts w:ascii="Times New Roman" w:hAnsi="Times New Roman"/>
                <w:sz w:val="26"/>
                <w:szCs w:val="26"/>
              </w:rPr>
              <w:t>Ieturamā nodokļa summa par sabiedrību - Latvijas rezidentu izmaksātajiem procentu maksājumiem nerezidentam, kas nav ES/EEZ vai ārzonas valsts rezidents (</w:t>
            </w:r>
            <w:r>
              <w:rPr>
                <w:rFonts w:ascii="Times New Roman" w:hAnsi="Times New Roman"/>
                <w:sz w:val="26"/>
                <w:szCs w:val="26"/>
              </w:rPr>
              <w:t>deklarācijas 90</w:t>
            </w:r>
            <w:r w:rsidRPr="009470C6">
              <w:rPr>
                <w:rFonts w:ascii="Times New Roman" w:hAnsi="Times New Roman"/>
                <w:sz w:val="26"/>
                <w:szCs w:val="26"/>
              </w:rPr>
              <w:t>. rinda) veidoja 2083</w:t>
            </w:r>
            <w:r>
              <w:rPr>
                <w:rFonts w:ascii="Times New Roman" w:hAnsi="Times New Roman"/>
                <w:sz w:val="26"/>
                <w:szCs w:val="26"/>
              </w:rPr>
              <w:t>,-</w:t>
            </w:r>
            <w:r w:rsidRPr="009470C6">
              <w:rPr>
                <w:rFonts w:ascii="Times New Roman" w:hAnsi="Times New Roman"/>
                <w:sz w:val="26"/>
                <w:szCs w:val="26"/>
              </w:rPr>
              <w:t> tūkst.</w:t>
            </w:r>
            <w:r>
              <w:rPr>
                <w:rFonts w:ascii="Times New Roman" w:hAnsi="Times New Roman"/>
                <w:sz w:val="26"/>
                <w:szCs w:val="26"/>
              </w:rPr>
              <w:t>latu</w:t>
            </w:r>
            <w:r w:rsidRPr="009470C6">
              <w:rPr>
                <w:rFonts w:ascii="Times New Roman" w:hAnsi="Times New Roman"/>
                <w:sz w:val="26"/>
                <w:szCs w:val="26"/>
              </w:rPr>
              <w:t xml:space="preserve">. Pieņemot, ka šī summa palielināsies par 10%, </w:t>
            </w:r>
            <w:r w:rsidR="004D26EA">
              <w:rPr>
                <w:rFonts w:ascii="Times New Roman" w:hAnsi="Times New Roman"/>
                <w:sz w:val="26"/>
                <w:szCs w:val="26"/>
              </w:rPr>
              <w:t>budžeta ieņēmumu samazinājums</w:t>
            </w:r>
            <w:r w:rsidR="004D26EA" w:rsidRPr="009470C6">
              <w:rPr>
                <w:rFonts w:ascii="Times New Roman" w:hAnsi="Times New Roman"/>
                <w:sz w:val="26"/>
                <w:szCs w:val="26"/>
              </w:rPr>
              <w:t xml:space="preserve"> </w:t>
            </w:r>
            <w:r w:rsidRPr="009470C6">
              <w:rPr>
                <w:rFonts w:ascii="Times New Roman" w:hAnsi="Times New Roman"/>
                <w:sz w:val="26"/>
                <w:szCs w:val="26"/>
              </w:rPr>
              <w:t>2014.gadā būs 2291tūkst.</w:t>
            </w:r>
            <w:r>
              <w:rPr>
                <w:rFonts w:ascii="Times New Roman" w:hAnsi="Times New Roman"/>
                <w:sz w:val="26"/>
                <w:szCs w:val="26"/>
              </w:rPr>
              <w:t>latu</w:t>
            </w:r>
            <w:r w:rsidRPr="009470C6">
              <w:rPr>
                <w:rFonts w:ascii="Times New Roman" w:hAnsi="Times New Roman"/>
                <w:sz w:val="26"/>
                <w:szCs w:val="26"/>
              </w:rPr>
              <w:t>.</w:t>
            </w:r>
          </w:p>
          <w:p w:rsidR="00CB1130" w:rsidRPr="008C7A61" w:rsidRDefault="00CB1130" w:rsidP="004D26EA">
            <w:pPr>
              <w:spacing w:after="0" w:line="240" w:lineRule="auto"/>
              <w:contextualSpacing/>
              <w:jc w:val="both"/>
              <w:rPr>
                <w:sz w:val="26"/>
                <w:szCs w:val="26"/>
              </w:rPr>
            </w:pPr>
          </w:p>
          <w:p w:rsidR="00CB1130" w:rsidRDefault="00CB1130" w:rsidP="004D26EA">
            <w:pPr>
              <w:spacing w:after="0" w:line="240" w:lineRule="auto"/>
              <w:contextualSpacing/>
              <w:jc w:val="both"/>
              <w:rPr>
                <w:rFonts w:ascii="Times New Roman" w:hAnsi="Times New Roman"/>
                <w:sz w:val="26"/>
                <w:szCs w:val="26"/>
              </w:rPr>
            </w:pPr>
            <w:r w:rsidRPr="009470C6">
              <w:rPr>
                <w:rFonts w:ascii="Times New Roman" w:hAnsi="Times New Roman"/>
                <w:sz w:val="26"/>
                <w:szCs w:val="26"/>
              </w:rPr>
              <w:t>Ieturamā nodokļa summa par sabiedrību - Latvijas rezidentu maksājumiem par intelektuālo īpašumu nerezidentam, kas nav ES/EEZ vai ārzonas valsts rezidents (</w:t>
            </w:r>
            <w:r>
              <w:rPr>
                <w:rFonts w:ascii="Times New Roman" w:hAnsi="Times New Roman"/>
                <w:sz w:val="26"/>
                <w:szCs w:val="26"/>
              </w:rPr>
              <w:t>deklarācijas 90</w:t>
            </w:r>
            <w:r w:rsidRPr="009470C6">
              <w:rPr>
                <w:rFonts w:ascii="Times New Roman" w:hAnsi="Times New Roman"/>
                <w:sz w:val="26"/>
                <w:szCs w:val="26"/>
              </w:rPr>
              <w:t>.rinda) veidoja 1116 tūkst.</w:t>
            </w:r>
            <w:r>
              <w:rPr>
                <w:rFonts w:ascii="Times New Roman" w:hAnsi="Times New Roman"/>
                <w:sz w:val="26"/>
                <w:szCs w:val="26"/>
              </w:rPr>
              <w:t>latu</w:t>
            </w:r>
            <w:r w:rsidRPr="009470C6">
              <w:rPr>
                <w:rFonts w:ascii="Times New Roman" w:hAnsi="Times New Roman"/>
                <w:sz w:val="26"/>
                <w:szCs w:val="26"/>
              </w:rPr>
              <w:t xml:space="preserve">. Pieņemot, ka šī summa palielināsies par 10%, </w:t>
            </w:r>
            <w:r w:rsidR="004D26EA">
              <w:rPr>
                <w:rFonts w:ascii="Times New Roman" w:hAnsi="Times New Roman"/>
                <w:sz w:val="26"/>
                <w:szCs w:val="26"/>
              </w:rPr>
              <w:t>budžeta ieņēmumu samazinājums</w:t>
            </w:r>
            <w:r w:rsidR="004D26EA" w:rsidRPr="009470C6">
              <w:rPr>
                <w:rFonts w:ascii="Times New Roman" w:hAnsi="Times New Roman"/>
                <w:sz w:val="26"/>
                <w:szCs w:val="26"/>
              </w:rPr>
              <w:t xml:space="preserve"> </w:t>
            </w:r>
            <w:r w:rsidRPr="009470C6">
              <w:rPr>
                <w:rFonts w:ascii="Times New Roman" w:hAnsi="Times New Roman"/>
                <w:sz w:val="26"/>
                <w:szCs w:val="26"/>
              </w:rPr>
              <w:t xml:space="preserve">2014.gadā būs 1228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Pr>
                <w:rFonts w:ascii="Times New Roman" w:hAnsi="Times New Roman"/>
                <w:sz w:val="26"/>
                <w:szCs w:val="26"/>
              </w:rPr>
              <w:t xml:space="preserve">. </w:t>
            </w:r>
          </w:p>
          <w:p w:rsidR="00CB1130" w:rsidRDefault="00CB1130" w:rsidP="004D26EA">
            <w:pPr>
              <w:spacing w:after="0" w:line="240" w:lineRule="auto"/>
              <w:contextualSpacing/>
              <w:jc w:val="both"/>
              <w:rPr>
                <w:rFonts w:ascii="Times New Roman" w:hAnsi="Times New Roman"/>
                <w:sz w:val="26"/>
                <w:szCs w:val="26"/>
              </w:rPr>
            </w:pPr>
          </w:p>
          <w:p w:rsidR="00CB1130" w:rsidRPr="009470C6" w:rsidRDefault="00CB1130" w:rsidP="004D26EA">
            <w:pPr>
              <w:spacing w:after="0" w:line="240" w:lineRule="auto"/>
              <w:contextualSpacing/>
              <w:jc w:val="both"/>
              <w:rPr>
                <w:rFonts w:ascii="Times New Roman" w:hAnsi="Times New Roman"/>
                <w:sz w:val="26"/>
                <w:szCs w:val="26"/>
              </w:rPr>
            </w:pPr>
            <w:r w:rsidRPr="009470C6">
              <w:rPr>
                <w:rFonts w:ascii="Times New Roman" w:hAnsi="Times New Roman"/>
                <w:sz w:val="26"/>
                <w:szCs w:val="26"/>
              </w:rPr>
              <w:lastRenderedPageBreak/>
              <w:t>Apliekamais ienākums no to vērtspapīru pārdošanas, kuri neatrodas publiskajā apgrozībā (</w:t>
            </w:r>
            <w:r>
              <w:rPr>
                <w:rFonts w:ascii="Times New Roman" w:hAnsi="Times New Roman"/>
                <w:sz w:val="26"/>
                <w:szCs w:val="26"/>
              </w:rPr>
              <w:t xml:space="preserve">deklarācijas </w:t>
            </w:r>
            <w:r w:rsidRPr="009470C6">
              <w:rPr>
                <w:rFonts w:ascii="Times New Roman" w:hAnsi="Times New Roman"/>
                <w:sz w:val="26"/>
                <w:szCs w:val="26"/>
              </w:rPr>
              <w:t>4</w:t>
            </w:r>
            <w:r>
              <w:rPr>
                <w:rFonts w:ascii="Times New Roman" w:hAnsi="Times New Roman"/>
                <w:sz w:val="26"/>
                <w:szCs w:val="26"/>
              </w:rPr>
              <w:t>.1</w:t>
            </w:r>
            <w:r w:rsidRPr="009470C6">
              <w:rPr>
                <w:rFonts w:ascii="Times New Roman" w:hAnsi="Times New Roman"/>
                <w:sz w:val="26"/>
                <w:szCs w:val="26"/>
              </w:rPr>
              <w:t>.rinda) bija 3106</w:t>
            </w:r>
            <w:r>
              <w:rPr>
                <w:rFonts w:ascii="Times New Roman" w:hAnsi="Times New Roman"/>
                <w:sz w:val="26"/>
                <w:szCs w:val="26"/>
              </w:rPr>
              <w:t>,-</w:t>
            </w:r>
            <w:r w:rsidRPr="009470C6">
              <w:rPr>
                <w:rFonts w:ascii="Times New Roman" w:hAnsi="Times New Roman"/>
                <w:sz w:val="26"/>
                <w:szCs w:val="26"/>
              </w:rPr>
              <w:t xml:space="preserve">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470C6">
              <w:rPr>
                <w:rFonts w:ascii="Times New Roman" w:hAnsi="Times New Roman"/>
                <w:sz w:val="26"/>
                <w:szCs w:val="26"/>
              </w:rPr>
              <w:t xml:space="preserve">. Pieņemot, ka </w:t>
            </w:r>
            <w:r w:rsidRPr="00072A5E">
              <w:rPr>
                <w:rFonts w:ascii="Times New Roman" w:hAnsi="Times New Roman"/>
                <w:sz w:val="26"/>
                <w:szCs w:val="26"/>
                <w:lang w:eastAsia="lv-LV"/>
              </w:rPr>
              <w:t>ienākums no kapitāla daļu un akciju atsavināšanas sabiedrībā</w:t>
            </w:r>
            <w:r w:rsidRPr="009470C6">
              <w:rPr>
                <w:rFonts w:ascii="Times New Roman" w:hAnsi="Times New Roman"/>
                <w:sz w:val="26"/>
                <w:szCs w:val="26"/>
              </w:rPr>
              <w:t>, ko sabiedrība – Latvijas rezidents saņem no nerezidenta, kas nav zemu nodokļu un beznodokļu valsts vai teritorija, veido 5%, fiskālā ietekme 2014.gadā būs 3106</w:t>
            </w:r>
            <w:r>
              <w:rPr>
                <w:rFonts w:ascii="Times New Roman" w:hAnsi="Times New Roman"/>
                <w:sz w:val="26"/>
                <w:szCs w:val="26"/>
              </w:rPr>
              <w:t xml:space="preserve">,- x </w:t>
            </w:r>
            <w:r w:rsidRPr="009470C6">
              <w:rPr>
                <w:rFonts w:ascii="Times New Roman" w:hAnsi="Times New Roman"/>
                <w:sz w:val="26"/>
                <w:szCs w:val="26"/>
              </w:rPr>
              <w:t>5%</w:t>
            </w:r>
            <w:r>
              <w:rPr>
                <w:rFonts w:ascii="Times New Roman" w:hAnsi="Times New Roman"/>
                <w:sz w:val="26"/>
                <w:szCs w:val="26"/>
              </w:rPr>
              <w:t xml:space="preserve"> x </w:t>
            </w:r>
            <w:r w:rsidRPr="009470C6">
              <w:rPr>
                <w:rFonts w:ascii="Times New Roman" w:hAnsi="Times New Roman"/>
                <w:sz w:val="26"/>
                <w:szCs w:val="26"/>
              </w:rPr>
              <w:t>15%</w:t>
            </w:r>
            <w:r>
              <w:rPr>
                <w:rFonts w:ascii="Times New Roman" w:hAnsi="Times New Roman"/>
                <w:sz w:val="26"/>
                <w:szCs w:val="26"/>
              </w:rPr>
              <w:t xml:space="preserve"> x </w:t>
            </w:r>
            <w:r w:rsidRPr="009470C6">
              <w:rPr>
                <w:rFonts w:ascii="Times New Roman" w:hAnsi="Times New Roman"/>
                <w:sz w:val="26"/>
                <w:szCs w:val="26"/>
              </w:rPr>
              <w:t xml:space="preserve">110% (pieņemot, ka šī summa palielināsies vēl par 10%)=26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470C6">
              <w:rPr>
                <w:rFonts w:ascii="Times New Roman" w:hAnsi="Times New Roman"/>
                <w:sz w:val="26"/>
                <w:szCs w:val="26"/>
              </w:rPr>
              <w:t>.</w:t>
            </w:r>
          </w:p>
          <w:p w:rsidR="00CB1130" w:rsidRPr="009470C6" w:rsidRDefault="00CB1130" w:rsidP="004D26EA">
            <w:pPr>
              <w:spacing w:after="0" w:line="240" w:lineRule="auto"/>
              <w:contextualSpacing/>
              <w:jc w:val="both"/>
              <w:rPr>
                <w:rFonts w:ascii="Times New Roman" w:hAnsi="Times New Roman"/>
                <w:sz w:val="26"/>
                <w:szCs w:val="26"/>
              </w:rPr>
            </w:pPr>
          </w:p>
          <w:p w:rsidR="00CB1130" w:rsidRPr="009470C6" w:rsidRDefault="00CB1130" w:rsidP="004D26EA">
            <w:pPr>
              <w:spacing w:after="0" w:line="240" w:lineRule="auto"/>
              <w:contextualSpacing/>
              <w:jc w:val="both"/>
              <w:rPr>
                <w:rFonts w:ascii="Times New Roman" w:hAnsi="Times New Roman"/>
                <w:sz w:val="26"/>
                <w:szCs w:val="26"/>
              </w:rPr>
            </w:pPr>
            <w:r w:rsidRPr="009470C6">
              <w:rPr>
                <w:rFonts w:ascii="Times New Roman" w:hAnsi="Times New Roman"/>
                <w:sz w:val="26"/>
                <w:szCs w:val="26"/>
              </w:rPr>
              <w:t xml:space="preserve">Kopējā ietekme no visu minēto normu ieviešanas 2013.gadā būs </w:t>
            </w:r>
            <w:r>
              <w:rPr>
                <w:rFonts w:ascii="Times New Roman" w:hAnsi="Times New Roman"/>
                <w:sz w:val="26"/>
                <w:szCs w:val="26"/>
              </w:rPr>
              <w:t>-</w:t>
            </w:r>
            <w:r w:rsidRPr="009470C6">
              <w:rPr>
                <w:rFonts w:ascii="Times New Roman" w:hAnsi="Times New Roman"/>
                <w:sz w:val="26"/>
                <w:szCs w:val="26"/>
              </w:rPr>
              <w:t>1762</w:t>
            </w:r>
            <w:r>
              <w:rPr>
                <w:rFonts w:ascii="Times New Roman" w:hAnsi="Times New Roman"/>
                <w:sz w:val="26"/>
                <w:szCs w:val="26"/>
              </w:rPr>
              <w:t xml:space="preserve"> </w:t>
            </w:r>
            <w:r w:rsidRPr="009470C6">
              <w:rPr>
                <w:rFonts w:ascii="Times New Roman" w:hAnsi="Times New Roman"/>
                <w:sz w:val="26"/>
                <w:szCs w:val="26"/>
              </w:rPr>
              <w:t xml:space="preserve">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470C6">
              <w:rPr>
                <w:rFonts w:ascii="Times New Roman" w:hAnsi="Times New Roman"/>
                <w:sz w:val="26"/>
                <w:szCs w:val="26"/>
              </w:rPr>
              <w:t>, 2014.gadā -</w:t>
            </w:r>
            <w:r>
              <w:rPr>
                <w:rFonts w:ascii="Times New Roman" w:hAnsi="Times New Roman"/>
                <w:sz w:val="26"/>
                <w:szCs w:val="26"/>
              </w:rPr>
              <w:t xml:space="preserve">674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470C6">
              <w:rPr>
                <w:rFonts w:ascii="Times New Roman" w:hAnsi="Times New Roman"/>
                <w:sz w:val="26"/>
                <w:szCs w:val="26"/>
              </w:rPr>
              <w:t>.</w:t>
            </w:r>
          </w:p>
          <w:p w:rsidR="00CB1130" w:rsidRPr="009470C6" w:rsidRDefault="00CB1130" w:rsidP="004D26EA">
            <w:pPr>
              <w:spacing w:after="0" w:line="240" w:lineRule="auto"/>
              <w:contextualSpacing/>
              <w:jc w:val="both"/>
              <w:rPr>
                <w:rFonts w:ascii="Times New Roman" w:hAnsi="Times New Roman"/>
                <w:sz w:val="26"/>
                <w:szCs w:val="26"/>
              </w:rPr>
            </w:pPr>
          </w:p>
          <w:p w:rsidR="00CB1130" w:rsidRPr="00983931" w:rsidRDefault="00CB1130" w:rsidP="004D26EA">
            <w:pPr>
              <w:spacing w:after="0" w:line="240" w:lineRule="auto"/>
              <w:contextualSpacing/>
              <w:rPr>
                <w:rFonts w:ascii="Times New Roman" w:hAnsi="Times New Roman"/>
                <w:i/>
                <w:sz w:val="26"/>
                <w:szCs w:val="26"/>
              </w:rPr>
            </w:pPr>
            <w:r w:rsidRPr="00983931">
              <w:rPr>
                <w:rFonts w:ascii="Times New Roman" w:hAnsi="Times New Roman"/>
                <w:i/>
                <w:sz w:val="26"/>
                <w:szCs w:val="26"/>
              </w:rPr>
              <w:t>Nodokļa likmes vienādošana</w:t>
            </w:r>
          </w:p>
          <w:p w:rsidR="00CB1130" w:rsidRPr="00B37A95" w:rsidRDefault="00CB1130" w:rsidP="00013605">
            <w:pPr>
              <w:spacing w:after="0" w:line="240" w:lineRule="auto"/>
              <w:contextualSpacing/>
              <w:jc w:val="both"/>
              <w:rPr>
                <w:rFonts w:ascii="Times New Roman" w:hAnsi="Times New Roman"/>
                <w:sz w:val="26"/>
                <w:szCs w:val="26"/>
              </w:rPr>
            </w:pPr>
            <w:r w:rsidRPr="002D2421">
              <w:rPr>
                <w:rFonts w:ascii="Times New Roman" w:hAnsi="Times New Roman"/>
                <w:sz w:val="26"/>
                <w:szCs w:val="26"/>
              </w:rPr>
              <w:t>2010.gad</w:t>
            </w:r>
            <w:r>
              <w:rPr>
                <w:rFonts w:ascii="Times New Roman" w:hAnsi="Times New Roman"/>
                <w:sz w:val="26"/>
                <w:szCs w:val="26"/>
              </w:rPr>
              <w:t>ā</w:t>
            </w:r>
            <w:r w:rsidRPr="002D2421">
              <w:rPr>
                <w:rFonts w:ascii="Times New Roman" w:hAnsi="Times New Roman"/>
                <w:sz w:val="26"/>
                <w:szCs w:val="26"/>
              </w:rPr>
              <w:t xml:space="preserve"> brīvostu un speciālo ekonomisko zonu uzņēmumiem aprēķināt</w:t>
            </w:r>
            <w:r>
              <w:rPr>
                <w:rFonts w:ascii="Times New Roman" w:hAnsi="Times New Roman"/>
                <w:sz w:val="26"/>
                <w:szCs w:val="26"/>
              </w:rPr>
              <w:t>ā</w:t>
            </w:r>
            <w:r w:rsidRPr="002D2421">
              <w:rPr>
                <w:rFonts w:ascii="Times New Roman" w:hAnsi="Times New Roman"/>
                <w:sz w:val="26"/>
                <w:szCs w:val="26"/>
              </w:rPr>
              <w:t xml:space="preserve"> </w:t>
            </w:r>
            <w:r>
              <w:rPr>
                <w:rFonts w:ascii="Times New Roman" w:hAnsi="Times New Roman"/>
                <w:sz w:val="26"/>
                <w:szCs w:val="26"/>
              </w:rPr>
              <w:t>uzņēmumu ienākuma nodokļa avansa summa</w:t>
            </w:r>
            <w:r w:rsidRPr="002D2421">
              <w:rPr>
                <w:rFonts w:ascii="Times New Roman" w:hAnsi="Times New Roman"/>
                <w:sz w:val="26"/>
                <w:szCs w:val="26"/>
              </w:rPr>
              <w:t xml:space="preserve"> bija </w:t>
            </w:r>
            <w:r>
              <w:rPr>
                <w:rFonts w:ascii="Times New Roman" w:hAnsi="Times New Roman"/>
                <w:sz w:val="26"/>
                <w:szCs w:val="26"/>
              </w:rPr>
              <w:t>2557,-</w:t>
            </w:r>
            <w:r w:rsidRPr="009470C6">
              <w:rPr>
                <w:rFonts w:ascii="Times New Roman" w:hAnsi="Times New Roman"/>
                <w:sz w:val="26"/>
                <w:szCs w:val="26"/>
              </w:rPr>
              <w:t xml:space="preserve"> </w:t>
            </w:r>
            <w:proofErr w:type="spellStart"/>
            <w:r w:rsidRPr="009470C6">
              <w:rPr>
                <w:rFonts w:ascii="Times New Roman" w:hAnsi="Times New Roman"/>
                <w:sz w:val="26"/>
                <w:szCs w:val="26"/>
              </w:rPr>
              <w:t>tūkst.</w:t>
            </w:r>
            <w:r>
              <w:rPr>
                <w:rFonts w:ascii="Times New Roman" w:hAnsi="Times New Roman"/>
                <w:sz w:val="26"/>
                <w:szCs w:val="26"/>
              </w:rPr>
              <w:t>latu</w:t>
            </w:r>
            <w:proofErr w:type="spellEnd"/>
            <w:r w:rsidRPr="00983931">
              <w:rPr>
                <w:rFonts w:ascii="Times New Roman" w:hAnsi="Times New Roman"/>
                <w:sz w:val="26"/>
                <w:szCs w:val="26"/>
              </w:rPr>
              <w:t xml:space="preserve">. Pieņemot, </w:t>
            </w:r>
            <w:r>
              <w:rPr>
                <w:rFonts w:ascii="Times New Roman" w:hAnsi="Times New Roman"/>
                <w:sz w:val="26"/>
                <w:szCs w:val="26"/>
              </w:rPr>
              <w:t xml:space="preserve">ka </w:t>
            </w:r>
            <w:r w:rsidRPr="00081180">
              <w:rPr>
                <w:rFonts w:ascii="Times New Roman" w:hAnsi="Times New Roman"/>
                <w:sz w:val="26"/>
                <w:szCs w:val="26"/>
              </w:rPr>
              <w:t>201</w:t>
            </w:r>
            <w:r>
              <w:rPr>
                <w:rFonts w:ascii="Times New Roman" w:hAnsi="Times New Roman"/>
                <w:sz w:val="26"/>
                <w:szCs w:val="26"/>
              </w:rPr>
              <w:t>3</w:t>
            </w:r>
            <w:r w:rsidRPr="00081180">
              <w:rPr>
                <w:rFonts w:ascii="Times New Roman" w:hAnsi="Times New Roman"/>
                <w:sz w:val="26"/>
                <w:szCs w:val="26"/>
              </w:rPr>
              <w:t xml:space="preserve">.gadā </w:t>
            </w:r>
            <w:r w:rsidRPr="00913DCD">
              <w:rPr>
                <w:rFonts w:ascii="Times New Roman" w:hAnsi="Times New Roman"/>
                <w:sz w:val="26"/>
                <w:szCs w:val="26"/>
              </w:rPr>
              <w:t>šī summa palielināsies par 1</w:t>
            </w:r>
            <w:r>
              <w:rPr>
                <w:rFonts w:ascii="Times New Roman" w:hAnsi="Times New Roman"/>
                <w:sz w:val="26"/>
                <w:szCs w:val="26"/>
              </w:rPr>
              <w:t>5</w:t>
            </w:r>
            <w:r w:rsidRPr="00913DCD">
              <w:rPr>
                <w:rFonts w:ascii="Times New Roman" w:hAnsi="Times New Roman"/>
                <w:sz w:val="26"/>
                <w:szCs w:val="26"/>
              </w:rPr>
              <w:t xml:space="preserve">%, fiskālā ietekme būs </w:t>
            </w:r>
            <w:r>
              <w:rPr>
                <w:rFonts w:ascii="Times New Roman" w:hAnsi="Times New Roman"/>
                <w:sz w:val="26"/>
                <w:szCs w:val="26"/>
              </w:rPr>
              <w:t xml:space="preserve">2557,- x 115% x 15/25-2557 x 115%= </w:t>
            </w:r>
            <w:r w:rsidRPr="00913DCD">
              <w:rPr>
                <w:rFonts w:ascii="Times New Roman" w:hAnsi="Times New Roman"/>
                <w:sz w:val="26"/>
                <w:szCs w:val="26"/>
              </w:rPr>
              <w:t>-</w:t>
            </w:r>
            <w:r>
              <w:rPr>
                <w:rFonts w:ascii="Times New Roman" w:hAnsi="Times New Roman"/>
                <w:sz w:val="26"/>
                <w:szCs w:val="26"/>
              </w:rPr>
              <w:t>1176,-</w:t>
            </w:r>
            <w:r w:rsidRPr="00913DCD">
              <w:rPr>
                <w:rFonts w:ascii="Times New Roman" w:hAnsi="Times New Roman"/>
                <w:sz w:val="26"/>
                <w:szCs w:val="26"/>
              </w:rPr>
              <w:t xml:space="preserve"> </w:t>
            </w:r>
            <w:proofErr w:type="spellStart"/>
            <w:r w:rsidRPr="00913DCD">
              <w:rPr>
                <w:rFonts w:ascii="Times New Roman" w:hAnsi="Times New Roman"/>
                <w:sz w:val="26"/>
                <w:szCs w:val="26"/>
              </w:rPr>
              <w:t>tūkst.</w:t>
            </w:r>
            <w:r>
              <w:rPr>
                <w:rFonts w:ascii="Times New Roman" w:hAnsi="Times New Roman"/>
                <w:sz w:val="26"/>
                <w:szCs w:val="26"/>
              </w:rPr>
              <w:t>latu</w:t>
            </w:r>
            <w:proofErr w:type="spellEnd"/>
            <w:r>
              <w:rPr>
                <w:rFonts w:ascii="Times New Roman" w:hAnsi="Times New Roman"/>
                <w:sz w:val="26"/>
                <w:szCs w:val="26"/>
              </w:rPr>
              <w:t xml:space="preserve">; </w:t>
            </w:r>
            <w:r w:rsidRPr="00081180">
              <w:rPr>
                <w:rFonts w:ascii="Times New Roman" w:hAnsi="Times New Roman"/>
                <w:sz w:val="26"/>
                <w:szCs w:val="26"/>
              </w:rPr>
              <w:t>201</w:t>
            </w:r>
            <w:r>
              <w:rPr>
                <w:rFonts w:ascii="Times New Roman" w:hAnsi="Times New Roman"/>
                <w:sz w:val="26"/>
                <w:szCs w:val="26"/>
              </w:rPr>
              <w:t>4</w:t>
            </w:r>
            <w:r w:rsidRPr="00081180">
              <w:rPr>
                <w:rFonts w:ascii="Times New Roman" w:hAnsi="Times New Roman"/>
                <w:sz w:val="26"/>
                <w:szCs w:val="26"/>
              </w:rPr>
              <w:t xml:space="preserve">.gadā </w:t>
            </w:r>
            <w:r w:rsidRPr="00913DCD">
              <w:rPr>
                <w:rFonts w:ascii="Times New Roman" w:hAnsi="Times New Roman"/>
                <w:sz w:val="26"/>
                <w:szCs w:val="26"/>
              </w:rPr>
              <w:t xml:space="preserve">šī summa palielināsies par </w:t>
            </w:r>
            <w:r>
              <w:rPr>
                <w:rFonts w:ascii="Times New Roman" w:hAnsi="Times New Roman"/>
                <w:sz w:val="26"/>
                <w:szCs w:val="26"/>
              </w:rPr>
              <w:t>2</w:t>
            </w:r>
            <w:r w:rsidRPr="00913DCD">
              <w:rPr>
                <w:rFonts w:ascii="Times New Roman" w:hAnsi="Times New Roman"/>
                <w:sz w:val="26"/>
                <w:szCs w:val="26"/>
              </w:rPr>
              <w:t xml:space="preserve">0%, fiskālā ietekme būs </w:t>
            </w:r>
            <w:r>
              <w:rPr>
                <w:rFonts w:ascii="Times New Roman" w:hAnsi="Times New Roman"/>
                <w:sz w:val="26"/>
                <w:szCs w:val="26"/>
              </w:rPr>
              <w:t>2557,- x 120% x 15/25-2557 x 110%=</w:t>
            </w:r>
            <w:r w:rsidRPr="00913DCD">
              <w:rPr>
                <w:rFonts w:ascii="Times New Roman" w:hAnsi="Times New Roman"/>
                <w:sz w:val="26"/>
                <w:szCs w:val="26"/>
              </w:rPr>
              <w:t>-</w:t>
            </w:r>
            <w:r>
              <w:rPr>
                <w:rFonts w:ascii="Times New Roman" w:hAnsi="Times New Roman"/>
                <w:sz w:val="26"/>
                <w:szCs w:val="26"/>
              </w:rPr>
              <w:t xml:space="preserve">1227 </w:t>
            </w:r>
            <w:proofErr w:type="spellStart"/>
            <w:r w:rsidRPr="00913DCD">
              <w:rPr>
                <w:rFonts w:ascii="Times New Roman" w:hAnsi="Times New Roman"/>
                <w:sz w:val="26"/>
                <w:szCs w:val="26"/>
              </w:rPr>
              <w:t>tūkst.</w:t>
            </w:r>
            <w:r>
              <w:rPr>
                <w:rFonts w:ascii="Times New Roman" w:hAnsi="Times New Roman"/>
                <w:sz w:val="26"/>
                <w:szCs w:val="26"/>
              </w:rPr>
              <w:t>latu</w:t>
            </w:r>
            <w:proofErr w:type="spellEnd"/>
            <w:r w:rsidRPr="00913DCD">
              <w:rPr>
                <w:rFonts w:ascii="Times New Roman" w:hAnsi="Times New Roman"/>
                <w:sz w:val="26"/>
                <w:szCs w:val="26"/>
              </w:rPr>
              <w:t>.</w:t>
            </w:r>
          </w:p>
        </w:tc>
      </w:tr>
      <w:tr w:rsidR="00CB1130" w:rsidRPr="00E36EE6" w:rsidTr="004D26EA">
        <w:tblPrEx>
          <w:tblLook w:val="0000" w:firstRow="0" w:lastRow="0" w:firstColumn="0" w:lastColumn="0" w:noHBand="0" w:noVBand="0"/>
        </w:tblPrEx>
        <w:trPr>
          <w:gridBefore w:val="1"/>
          <w:wBefore w:w="11" w:type="dxa"/>
          <w:trHeight w:val="763"/>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rPr>
                <w:rFonts w:ascii="Times New Roman" w:hAnsi="Times New Roman"/>
                <w:sz w:val="26"/>
                <w:szCs w:val="26"/>
              </w:rPr>
            </w:pPr>
            <w:r w:rsidRPr="00E36EE6">
              <w:rPr>
                <w:rFonts w:ascii="Times New Roman" w:hAnsi="Times New Roman"/>
                <w:sz w:val="26"/>
                <w:szCs w:val="26"/>
              </w:rPr>
              <w:t> 6.1. detalizēts ieņēmumu aprēķins</w:t>
            </w:r>
          </w:p>
        </w:tc>
        <w:tc>
          <w:tcPr>
            <w:tcW w:w="7623" w:type="dxa"/>
            <w:gridSpan w:val="17"/>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spacing w:after="0" w:line="240" w:lineRule="auto"/>
              <w:rPr>
                <w:rFonts w:ascii="Times New Roman" w:hAnsi="Times New Roman"/>
                <w:sz w:val="26"/>
                <w:szCs w:val="26"/>
              </w:rPr>
            </w:pPr>
          </w:p>
        </w:tc>
      </w:tr>
      <w:tr w:rsidR="00CB1130" w:rsidRPr="00E36EE6" w:rsidTr="004D26EA">
        <w:tblPrEx>
          <w:tblLook w:val="0000" w:firstRow="0" w:lastRow="0" w:firstColumn="0" w:lastColumn="0" w:noHBand="0" w:noVBand="0"/>
        </w:tblPrEx>
        <w:trPr>
          <w:gridBefore w:val="1"/>
          <w:wBefore w:w="11" w:type="dxa"/>
          <w:trHeight w:val="1064"/>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rPr>
                <w:rFonts w:ascii="Times New Roman" w:hAnsi="Times New Roman"/>
                <w:sz w:val="26"/>
                <w:szCs w:val="26"/>
              </w:rPr>
            </w:pPr>
            <w:r w:rsidRPr="00E36EE6">
              <w:rPr>
                <w:rFonts w:ascii="Times New Roman" w:hAnsi="Times New Roman"/>
                <w:sz w:val="26"/>
                <w:szCs w:val="26"/>
              </w:rPr>
              <w:t>6.2. detalizēts izdevumu aprēķins</w:t>
            </w:r>
          </w:p>
        </w:tc>
        <w:tc>
          <w:tcPr>
            <w:tcW w:w="7623" w:type="dxa"/>
            <w:gridSpan w:val="17"/>
            <w:vMerge/>
            <w:tcBorders>
              <w:top w:val="outset" w:sz="6" w:space="0" w:color="auto"/>
              <w:left w:val="outset" w:sz="6" w:space="0" w:color="auto"/>
              <w:bottom w:val="outset" w:sz="6" w:space="0" w:color="auto"/>
              <w:right w:val="outset" w:sz="6" w:space="0" w:color="auto"/>
            </w:tcBorders>
            <w:vAlign w:val="center"/>
          </w:tcPr>
          <w:p w:rsidR="00CB1130" w:rsidRPr="00E36EE6" w:rsidRDefault="00CB1130" w:rsidP="004D26EA">
            <w:pPr>
              <w:rPr>
                <w:rFonts w:ascii="Times New Roman" w:hAnsi="Times New Roman"/>
                <w:sz w:val="26"/>
                <w:szCs w:val="26"/>
              </w:rPr>
            </w:pPr>
          </w:p>
        </w:tc>
      </w:tr>
      <w:tr w:rsidR="00CB1130" w:rsidRPr="00E36EE6" w:rsidTr="004D26EA">
        <w:tblPrEx>
          <w:tblLook w:val="0000" w:firstRow="0" w:lastRow="0" w:firstColumn="0" w:lastColumn="0" w:noHBand="0" w:noVBand="0"/>
        </w:tblPrEx>
        <w:trPr>
          <w:gridBefore w:val="1"/>
          <w:wBefore w:w="11" w:type="dxa"/>
          <w:trHeight w:val="371"/>
          <w:tblCellSpacing w:w="0" w:type="dxa"/>
        </w:trPr>
        <w:tc>
          <w:tcPr>
            <w:tcW w:w="1605" w:type="dxa"/>
            <w:gridSpan w:val="4"/>
            <w:tcBorders>
              <w:top w:val="outset" w:sz="6" w:space="0" w:color="auto"/>
              <w:left w:val="outset" w:sz="6" w:space="0" w:color="auto"/>
              <w:bottom w:val="outset" w:sz="6" w:space="0" w:color="auto"/>
              <w:right w:val="outset" w:sz="6" w:space="0" w:color="auto"/>
            </w:tcBorders>
          </w:tcPr>
          <w:p w:rsidR="00CB1130" w:rsidRPr="00E36EE6" w:rsidRDefault="00CB1130" w:rsidP="004D26EA">
            <w:pPr>
              <w:rPr>
                <w:rFonts w:ascii="Times New Roman" w:hAnsi="Times New Roman"/>
                <w:sz w:val="26"/>
                <w:szCs w:val="26"/>
              </w:rPr>
            </w:pPr>
            <w:r w:rsidRPr="00E36EE6">
              <w:rPr>
                <w:rFonts w:ascii="Times New Roman" w:hAnsi="Times New Roman"/>
                <w:sz w:val="26"/>
                <w:szCs w:val="26"/>
              </w:rPr>
              <w:lastRenderedPageBreak/>
              <w:t> 7. Cita informācija</w:t>
            </w:r>
          </w:p>
        </w:tc>
        <w:tc>
          <w:tcPr>
            <w:tcW w:w="7623" w:type="dxa"/>
            <w:gridSpan w:val="17"/>
            <w:tcBorders>
              <w:top w:val="outset" w:sz="6" w:space="0" w:color="auto"/>
              <w:left w:val="outset" w:sz="6" w:space="0" w:color="auto"/>
              <w:bottom w:val="outset" w:sz="6" w:space="0" w:color="auto"/>
              <w:right w:val="outset" w:sz="6" w:space="0" w:color="auto"/>
            </w:tcBorders>
          </w:tcPr>
          <w:p w:rsidR="00775EB2" w:rsidRDefault="00CB1130" w:rsidP="00775EB2">
            <w:pPr>
              <w:pStyle w:val="naispant"/>
              <w:spacing w:before="0" w:beforeAutospacing="0" w:after="0" w:afterAutospacing="0"/>
              <w:ind w:firstLine="721"/>
              <w:contextualSpacing/>
              <w:jc w:val="both"/>
              <w:rPr>
                <w:bCs/>
                <w:sz w:val="26"/>
                <w:szCs w:val="26"/>
              </w:rPr>
            </w:pPr>
            <w:r w:rsidRPr="00E36EE6">
              <w:rPr>
                <w:sz w:val="26"/>
                <w:szCs w:val="26"/>
              </w:rPr>
              <w:t xml:space="preserve">Attiecībā uz normām, kas </w:t>
            </w:r>
            <w:r w:rsidR="005E7D57">
              <w:rPr>
                <w:sz w:val="26"/>
                <w:szCs w:val="26"/>
              </w:rPr>
              <w:t>atvieglo s</w:t>
            </w:r>
            <w:r w:rsidRPr="00E36EE6">
              <w:rPr>
                <w:bCs/>
                <w:sz w:val="26"/>
                <w:szCs w:val="26"/>
              </w:rPr>
              <w:t xml:space="preserve">ākotnējo ilgtermiņa ieguldījumu </w:t>
            </w:r>
            <w:r w:rsidR="005E7D57">
              <w:rPr>
                <w:bCs/>
                <w:sz w:val="26"/>
                <w:szCs w:val="26"/>
              </w:rPr>
              <w:t>veikšanu papildus fiskālā ietekme</w:t>
            </w:r>
            <w:r w:rsidR="00E1320D">
              <w:rPr>
                <w:bCs/>
                <w:sz w:val="26"/>
                <w:szCs w:val="26"/>
              </w:rPr>
              <w:t xml:space="preserve"> netiek plānota. </w:t>
            </w:r>
            <w:r w:rsidR="00E749DC">
              <w:rPr>
                <w:bCs/>
                <w:sz w:val="26"/>
                <w:szCs w:val="26"/>
              </w:rPr>
              <w:t xml:space="preserve">Tā kā </w:t>
            </w:r>
            <w:r w:rsidRPr="00E36EE6">
              <w:rPr>
                <w:bCs/>
                <w:sz w:val="26"/>
                <w:szCs w:val="26"/>
              </w:rPr>
              <w:t xml:space="preserve"> </w:t>
            </w:r>
            <w:r w:rsidR="00E749DC">
              <w:rPr>
                <w:bCs/>
                <w:sz w:val="26"/>
                <w:szCs w:val="26"/>
              </w:rPr>
              <w:t>izstrādājot 17.</w:t>
            </w:r>
            <w:r w:rsidR="00E749DC" w:rsidRPr="00E749DC">
              <w:rPr>
                <w:bCs/>
                <w:sz w:val="26"/>
                <w:szCs w:val="26"/>
                <w:vertAlign w:val="superscript"/>
              </w:rPr>
              <w:t>2</w:t>
            </w:r>
            <w:r w:rsidR="00E749DC">
              <w:rPr>
                <w:bCs/>
                <w:sz w:val="26"/>
                <w:szCs w:val="26"/>
              </w:rPr>
              <w:t>panta normas</w:t>
            </w:r>
            <w:r w:rsidR="00CA05DB">
              <w:rPr>
                <w:bCs/>
                <w:sz w:val="26"/>
                <w:szCs w:val="26"/>
              </w:rPr>
              <w:t>,</w:t>
            </w:r>
            <w:r w:rsidR="00E749DC">
              <w:rPr>
                <w:bCs/>
                <w:sz w:val="26"/>
                <w:szCs w:val="26"/>
              </w:rPr>
              <w:t xml:space="preserve"> </w:t>
            </w:r>
            <w:r w:rsidRPr="00E36EE6">
              <w:rPr>
                <w:bCs/>
                <w:sz w:val="26"/>
                <w:szCs w:val="26"/>
              </w:rPr>
              <w:t>plānotais budžeta ieņēmumu samazinājums</w:t>
            </w:r>
            <w:r w:rsidR="00CA05DB">
              <w:rPr>
                <w:bCs/>
                <w:sz w:val="26"/>
                <w:szCs w:val="26"/>
              </w:rPr>
              <w:t xml:space="preserve"> </w:t>
            </w:r>
            <w:r w:rsidRPr="00E36EE6">
              <w:rPr>
                <w:bCs/>
                <w:sz w:val="26"/>
                <w:szCs w:val="26"/>
              </w:rPr>
              <w:t xml:space="preserve">bija 31,9 </w:t>
            </w:r>
            <w:proofErr w:type="spellStart"/>
            <w:r w:rsidRPr="00E36EE6">
              <w:rPr>
                <w:bCs/>
                <w:sz w:val="26"/>
                <w:szCs w:val="26"/>
              </w:rPr>
              <w:t>milj.latu</w:t>
            </w:r>
            <w:proofErr w:type="spellEnd"/>
            <w:r w:rsidRPr="00E36EE6">
              <w:rPr>
                <w:bCs/>
                <w:sz w:val="26"/>
                <w:szCs w:val="26"/>
              </w:rPr>
              <w:t xml:space="preserve"> apmērā</w:t>
            </w:r>
            <w:r w:rsidR="00E749DC">
              <w:rPr>
                <w:bCs/>
                <w:sz w:val="26"/>
                <w:szCs w:val="26"/>
              </w:rPr>
              <w:t xml:space="preserve">, </w:t>
            </w:r>
            <w:r w:rsidR="00CA05DB">
              <w:rPr>
                <w:bCs/>
                <w:sz w:val="26"/>
                <w:szCs w:val="26"/>
              </w:rPr>
              <w:t xml:space="preserve">pie tam tika plānots, ka tiks pieteikti gadā vidēji 8 </w:t>
            </w:r>
            <w:r w:rsidR="00E749DC">
              <w:rPr>
                <w:bCs/>
                <w:sz w:val="26"/>
                <w:szCs w:val="26"/>
              </w:rPr>
              <w:t xml:space="preserve">sākotnējo </w:t>
            </w:r>
            <w:r w:rsidR="00CA05DB">
              <w:rPr>
                <w:bCs/>
                <w:sz w:val="26"/>
                <w:szCs w:val="26"/>
              </w:rPr>
              <w:t>ilgtermiņu ieguldījumu projekti, bet</w:t>
            </w:r>
            <w:r w:rsidRPr="00E36EE6">
              <w:rPr>
                <w:bCs/>
                <w:sz w:val="26"/>
                <w:szCs w:val="26"/>
              </w:rPr>
              <w:t xml:space="preserve"> 2011.gadā Ekonomikas ministrijā ir iesniegts tikai 1 projekts, kas </w:t>
            </w:r>
            <w:r w:rsidR="00721F1F">
              <w:rPr>
                <w:bCs/>
                <w:sz w:val="26"/>
                <w:szCs w:val="26"/>
              </w:rPr>
              <w:t>nākotnē dos</w:t>
            </w:r>
            <w:r w:rsidRPr="00E36EE6">
              <w:rPr>
                <w:bCs/>
                <w:sz w:val="26"/>
                <w:szCs w:val="26"/>
              </w:rPr>
              <w:t xml:space="preserve"> iespēju piemērot minēto nodokļa atlaidi</w:t>
            </w:r>
            <w:r w:rsidR="00CA05DB">
              <w:rPr>
                <w:bCs/>
                <w:sz w:val="26"/>
                <w:szCs w:val="26"/>
              </w:rPr>
              <w:t xml:space="preserve"> tikai</w:t>
            </w:r>
            <w:r w:rsidRPr="00E36EE6">
              <w:rPr>
                <w:bCs/>
                <w:sz w:val="26"/>
                <w:szCs w:val="26"/>
              </w:rPr>
              <w:t xml:space="preserve"> par 1,98 </w:t>
            </w:r>
            <w:proofErr w:type="spellStart"/>
            <w:r w:rsidRPr="00E36EE6">
              <w:rPr>
                <w:bCs/>
                <w:sz w:val="26"/>
                <w:szCs w:val="26"/>
              </w:rPr>
              <w:t>milj.latu</w:t>
            </w:r>
            <w:proofErr w:type="spellEnd"/>
            <w:r w:rsidR="00E749DC">
              <w:rPr>
                <w:bCs/>
                <w:sz w:val="26"/>
                <w:szCs w:val="26"/>
              </w:rPr>
              <w:t xml:space="preserve">, </w:t>
            </w:r>
            <w:r w:rsidR="00CA05DB">
              <w:rPr>
                <w:bCs/>
                <w:sz w:val="26"/>
                <w:szCs w:val="26"/>
              </w:rPr>
              <w:t>ir secināms, ka šobrīd spēkā esošais atbalsta režīms ir neefektīgs un ir nepieciešams atvieglot tā piemērošan</w:t>
            </w:r>
            <w:r w:rsidR="00C446A7">
              <w:rPr>
                <w:bCs/>
                <w:sz w:val="26"/>
                <w:szCs w:val="26"/>
              </w:rPr>
              <w:t>u</w:t>
            </w:r>
            <w:r w:rsidR="00CA05DB">
              <w:rPr>
                <w:bCs/>
                <w:sz w:val="26"/>
                <w:szCs w:val="26"/>
              </w:rPr>
              <w:t>.</w:t>
            </w:r>
          </w:p>
          <w:p w:rsidR="00CB1130" w:rsidRPr="00E36EE6" w:rsidRDefault="00CB1130" w:rsidP="00CA05DB">
            <w:pPr>
              <w:pStyle w:val="naispant"/>
              <w:spacing w:before="0" w:beforeAutospacing="0" w:after="0" w:afterAutospacing="0"/>
              <w:ind w:firstLine="721"/>
              <w:contextualSpacing/>
              <w:jc w:val="both"/>
              <w:rPr>
                <w:sz w:val="26"/>
                <w:szCs w:val="26"/>
              </w:rPr>
            </w:pPr>
            <w:r w:rsidRPr="009470C6">
              <w:rPr>
                <w:sz w:val="26"/>
                <w:szCs w:val="26"/>
              </w:rPr>
              <w:t>Pārējās likumprojekt</w:t>
            </w:r>
            <w:r w:rsidR="00CA05DB">
              <w:rPr>
                <w:sz w:val="26"/>
                <w:szCs w:val="26"/>
              </w:rPr>
              <w:t>ā noteiktās likuma</w:t>
            </w:r>
            <w:r w:rsidRPr="009470C6">
              <w:rPr>
                <w:sz w:val="26"/>
                <w:szCs w:val="26"/>
              </w:rPr>
              <w:t xml:space="preserve"> izmaiņas </w:t>
            </w:r>
            <w:r w:rsidRPr="009470C6">
              <w:rPr>
                <w:iCs/>
                <w:sz w:val="26"/>
                <w:szCs w:val="26"/>
              </w:rPr>
              <w:t>no budžeta ieņēmumu un izdevumu viedokļa vērtējamas kā nebūtiskas vai neitrālas.</w:t>
            </w:r>
          </w:p>
        </w:tc>
      </w:tr>
      <w:tr w:rsidR="00CB1130" w:rsidRPr="00E36EE6" w:rsidTr="004D26EA">
        <w:tblPrEx>
          <w:tblLook w:val="0000" w:firstRow="0" w:lastRow="0" w:firstColumn="0" w:lastColumn="0" w:noHBand="0" w:noVBand="0"/>
        </w:tblPrEx>
        <w:trPr>
          <w:gridBefore w:val="1"/>
          <w:wBefore w:w="11" w:type="dxa"/>
          <w:tblCellSpacing w:w="0" w:type="dxa"/>
        </w:trPr>
        <w:tc>
          <w:tcPr>
            <w:tcW w:w="9228" w:type="dxa"/>
            <w:gridSpan w:val="21"/>
            <w:tcBorders>
              <w:top w:val="outset" w:sz="6" w:space="0" w:color="auto"/>
              <w:left w:val="outset" w:sz="6" w:space="0" w:color="auto"/>
              <w:bottom w:val="outset" w:sz="6" w:space="0" w:color="auto"/>
              <w:right w:val="outset" w:sz="6" w:space="0" w:color="auto"/>
            </w:tcBorders>
          </w:tcPr>
          <w:p w:rsidR="00CB1130" w:rsidRPr="00E36EE6" w:rsidRDefault="00CB1130" w:rsidP="004D26EA">
            <w:pPr>
              <w:spacing w:after="0" w:line="240" w:lineRule="auto"/>
              <w:jc w:val="center"/>
              <w:rPr>
                <w:rFonts w:ascii="Times New Roman" w:hAnsi="Times New Roman"/>
                <w:b/>
                <w:sz w:val="26"/>
                <w:szCs w:val="26"/>
              </w:rPr>
            </w:pPr>
            <w:r w:rsidRPr="00E36EE6">
              <w:rPr>
                <w:rFonts w:ascii="Times New Roman" w:hAnsi="Times New Roman"/>
                <w:b/>
                <w:sz w:val="26"/>
                <w:szCs w:val="26"/>
              </w:rPr>
              <w:t>IV. Tiesību akta projekta  ietekme uz spēkā esošo tiesību normu sistēmu</w:t>
            </w:r>
          </w:p>
        </w:tc>
      </w:tr>
      <w:tr w:rsidR="00CB1130" w:rsidRPr="00E36EE6" w:rsidTr="004D26EA">
        <w:tblPrEx>
          <w:tblLook w:val="0000" w:firstRow="0" w:lastRow="0" w:firstColumn="0" w:lastColumn="0" w:noHBand="0" w:noVBand="0"/>
        </w:tblPrEx>
        <w:trPr>
          <w:gridBefore w:val="1"/>
          <w:wBefore w:w="11" w:type="dxa"/>
          <w:tblCellSpacing w:w="0" w:type="dxa"/>
        </w:trPr>
        <w:tc>
          <w:tcPr>
            <w:tcW w:w="724" w:type="dxa"/>
            <w:gridSpan w:val="3"/>
            <w:tcBorders>
              <w:top w:val="outset" w:sz="6" w:space="0" w:color="auto"/>
              <w:left w:val="outset" w:sz="6" w:space="0" w:color="auto"/>
              <w:bottom w:val="outset" w:sz="6" w:space="0" w:color="auto"/>
              <w:right w:val="outset" w:sz="6" w:space="0" w:color="auto"/>
            </w:tcBorders>
          </w:tcPr>
          <w:p w:rsidR="00CB1130" w:rsidRPr="000F07DF" w:rsidRDefault="00CB1130" w:rsidP="004D26EA">
            <w:pPr>
              <w:spacing w:before="100" w:beforeAutospacing="1" w:after="100" w:afterAutospacing="1"/>
              <w:rPr>
                <w:rFonts w:ascii="Times New Roman" w:eastAsia="Times New Roman" w:hAnsi="Times New Roman"/>
                <w:sz w:val="26"/>
                <w:szCs w:val="26"/>
                <w:lang w:eastAsia="lv-LV"/>
              </w:rPr>
            </w:pPr>
            <w:r w:rsidRPr="000F07DF">
              <w:rPr>
                <w:rFonts w:ascii="Times New Roman" w:eastAsia="Times New Roman" w:hAnsi="Times New Roman"/>
                <w:sz w:val="26"/>
                <w:szCs w:val="26"/>
                <w:lang w:eastAsia="lv-LV"/>
              </w:rPr>
              <w:t> 1.</w:t>
            </w:r>
          </w:p>
        </w:tc>
        <w:tc>
          <w:tcPr>
            <w:tcW w:w="4762" w:type="dxa"/>
            <w:gridSpan w:val="11"/>
            <w:tcBorders>
              <w:top w:val="outset" w:sz="6" w:space="0" w:color="auto"/>
              <w:left w:val="outset" w:sz="6" w:space="0" w:color="auto"/>
              <w:bottom w:val="outset" w:sz="6" w:space="0" w:color="auto"/>
              <w:right w:val="outset" w:sz="6" w:space="0" w:color="auto"/>
            </w:tcBorders>
          </w:tcPr>
          <w:p w:rsidR="00CB1130" w:rsidRPr="000F07DF" w:rsidRDefault="00CB1130" w:rsidP="004D26EA">
            <w:pPr>
              <w:spacing w:before="100" w:beforeAutospacing="1" w:after="100" w:afterAutospacing="1"/>
              <w:rPr>
                <w:rFonts w:ascii="Times New Roman" w:eastAsia="Times New Roman" w:hAnsi="Times New Roman"/>
                <w:sz w:val="26"/>
                <w:szCs w:val="26"/>
                <w:lang w:eastAsia="lv-LV"/>
              </w:rPr>
            </w:pPr>
            <w:r w:rsidRPr="000F07DF">
              <w:rPr>
                <w:rFonts w:ascii="Times New Roman" w:eastAsia="Times New Roman" w:hAnsi="Times New Roman"/>
                <w:sz w:val="26"/>
                <w:szCs w:val="26"/>
                <w:lang w:eastAsia="lv-LV"/>
              </w:rPr>
              <w:t> Nepieciešamie saistītie tiesību aktu projekti</w:t>
            </w:r>
          </w:p>
        </w:tc>
        <w:tc>
          <w:tcPr>
            <w:tcW w:w="3742" w:type="dxa"/>
            <w:gridSpan w:val="7"/>
            <w:tcBorders>
              <w:top w:val="outset" w:sz="6" w:space="0" w:color="auto"/>
              <w:left w:val="outset" w:sz="6" w:space="0" w:color="auto"/>
              <w:bottom w:val="outset" w:sz="6" w:space="0" w:color="auto"/>
              <w:right w:val="outset" w:sz="6" w:space="0" w:color="auto"/>
            </w:tcBorders>
          </w:tcPr>
          <w:p w:rsidR="00CB1130" w:rsidRPr="000F07DF" w:rsidRDefault="00CB1130" w:rsidP="004D26EA">
            <w:pPr>
              <w:spacing w:after="0" w:line="240" w:lineRule="auto"/>
              <w:jc w:val="both"/>
              <w:rPr>
                <w:rFonts w:ascii="Times New Roman" w:hAnsi="Times New Roman"/>
                <w:sz w:val="26"/>
                <w:szCs w:val="26"/>
                <w:lang w:eastAsia="lv-LV"/>
              </w:rPr>
            </w:pPr>
            <w:r w:rsidRPr="00E36EE6">
              <w:rPr>
                <w:rFonts w:ascii="Times New Roman" w:hAnsi="Times New Roman"/>
                <w:sz w:val="26"/>
                <w:szCs w:val="26"/>
              </w:rPr>
              <w:t xml:space="preserve">Ekonomikas ministrijai </w:t>
            </w:r>
            <w:r>
              <w:rPr>
                <w:rFonts w:ascii="Times New Roman" w:hAnsi="Times New Roman"/>
                <w:sz w:val="26"/>
                <w:szCs w:val="26"/>
              </w:rPr>
              <w:t>veikt grozījumus</w:t>
            </w:r>
            <w:r w:rsidRPr="00E36EE6">
              <w:rPr>
                <w:rFonts w:ascii="Times New Roman" w:hAnsi="Times New Roman"/>
                <w:sz w:val="26"/>
                <w:szCs w:val="26"/>
              </w:rPr>
              <w:t xml:space="preserve"> Ministru kabineta 2011.gada 12.aprīļa noteikum</w:t>
            </w:r>
            <w:r>
              <w:rPr>
                <w:rFonts w:ascii="Times New Roman" w:hAnsi="Times New Roman"/>
                <w:sz w:val="26"/>
                <w:szCs w:val="26"/>
              </w:rPr>
              <w:t>o</w:t>
            </w:r>
            <w:r w:rsidRPr="00E36EE6">
              <w:rPr>
                <w:rFonts w:ascii="Times New Roman" w:hAnsi="Times New Roman"/>
                <w:sz w:val="26"/>
                <w:szCs w:val="26"/>
              </w:rPr>
              <w:t>s Nr.287 „Kārtība, kādā iesniedzams un vērtējams investīciju projekta pieteikums atbalstāmā investīciju projekta   statusa iegūšanai”</w:t>
            </w:r>
            <w:r>
              <w:rPr>
                <w:rFonts w:ascii="Times New Roman" w:hAnsi="Times New Roman"/>
                <w:sz w:val="26"/>
                <w:szCs w:val="26"/>
              </w:rPr>
              <w:t>.</w:t>
            </w:r>
            <w:r w:rsidRPr="00E36EE6">
              <w:rPr>
                <w:rFonts w:ascii="Times New Roman" w:hAnsi="Times New Roman"/>
                <w:sz w:val="26"/>
                <w:szCs w:val="26"/>
              </w:rPr>
              <w:t xml:space="preserve"> </w:t>
            </w:r>
          </w:p>
        </w:tc>
      </w:tr>
      <w:tr w:rsidR="00CB1130" w:rsidRPr="00E36EE6" w:rsidTr="004D26EA">
        <w:tblPrEx>
          <w:tblLook w:val="0000" w:firstRow="0" w:lastRow="0" w:firstColumn="0" w:lastColumn="0" w:noHBand="0" w:noVBand="0"/>
        </w:tblPrEx>
        <w:trPr>
          <w:gridBefore w:val="1"/>
          <w:wBefore w:w="11" w:type="dxa"/>
          <w:tblCellSpacing w:w="0" w:type="dxa"/>
        </w:trPr>
        <w:tc>
          <w:tcPr>
            <w:tcW w:w="724" w:type="dxa"/>
            <w:gridSpan w:val="3"/>
            <w:tcBorders>
              <w:top w:val="outset" w:sz="6" w:space="0" w:color="auto"/>
              <w:left w:val="outset" w:sz="6" w:space="0" w:color="auto"/>
              <w:bottom w:val="outset" w:sz="6" w:space="0" w:color="auto"/>
              <w:right w:val="outset" w:sz="6" w:space="0" w:color="auto"/>
            </w:tcBorders>
          </w:tcPr>
          <w:p w:rsidR="00CB1130" w:rsidRPr="000F07DF" w:rsidRDefault="00CB1130" w:rsidP="004D26EA">
            <w:pPr>
              <w:spacing w:before="100" w:beforeAutospacing="1" w:after="100" w:afterAutospacing="1"/>
              <w:rPr>
                <w:rFonts w:ascii="Times New Roman" w:eastAsia="Times New Roman" w:hAnsi="Times New Roman"/>
                <w:sz w:val="26"/>
                <w:szCs w:val="26"/>
                <w:lang w:eastAsia="lv-LV"/>
              </w:rPr>
            </w:pPr>
            <w:r w:rsidRPr="000F07DF">
              <w:rPr>
                <w:rFonts w:ascii="Times New Roman" w:eastAsia="Times New Roman" w:hAnsi="Times New Roman"/>
                <w:sz w:val="26"/>
                <w:szCs w:val="26"/>
                <w:lang w:eastAsia="lv-LV"/>
              </w:rPr>
              <w:t> 2.</w:t>
            </w:r>
          </w:p>
        </w:tc>
        <w:tc>
          <w:tcPr>
            <w:tcW w:w="4762" w:type="dxa"/>
            <w:gridSpan w:val="11"/>
            <w:tcBorders>
              <w:top w:val="outset" w:sz="6" w:space="0" w:color="auto"/>
              <w:left w:val="outset" w:sz="6" w:space="0" w:color="auto"/>
              <w:bottom w:val="outset" w:sz="6" w:space="0" w:color="auto"/>
              <w:right w:val="outset" w:sz="6" w:space="0" w:color="auto"/>
            </w:tcBorders>
          </w:tcPr>
          <w:p w:rsidR="00CB1130" w:rsidRPr="000F07DF" w:rsidRDefault="00CB1130" w:rsidP="004D26EA">
            <w:pPr>
              <w:spacing w:before="100" w:beforeAutospacing="1" w:after="100" w:afterAutospacing="1"/>
              <w:rPr>
                <w:rFonts w:ascii="Times New Roman" w:eastAsia="Times New Roman" w:hAnsi="Times New Roman"/>
                <w:sz w:val="26"/>
                <w:szCs w:val="26"/>
                <w:lang w:eastAsia="lv-LV"/>
              </w:rPr>
            </w:pPr>
            <w:r w:rsidRPr="000F07DF">
              <w:rPr>
                <w:rFonts w:ascii="Times New Roman" w:eastAsia="Times New Roman" w:hAnsi="Times New Roman"/>
                <w:sz w:val="26"/>
                <w:szCs w:val="26"/>
                <w:lang w:eastAsia="lv-LV"/>
              </w:rPr>
              <w:t> Cita informācija</w:t>
            </w:r>
          </w:p>
        </w:tc>
        <w:tc>
          <w:tcPr>
            <w:tcW w:w="3742" w:type="dxa"/>
            <w:gridSpan w:val="7"/>
            <w:tcBorders>
              <w:top w:val="outset" w:sz="6" w:space="0" w:color="auto"/>
              <w:left w:val="outset" w:sz="6" w:space="0" w:color="auto"/>
              <w:bottom w:val="outset" w:sz="6" w:space="0" w:color="auto"/>
              <w:right w:val="outset" w:sz="6" w:space="0" w:color="auto"/>
            </w:tcBorders>
          </w:tcPr>
          <w:p w:rsidR="00CB1130" w:rsidRPr="000F07DF" w:rsidRDefault="00CB1130" w:rsidP="004D26EA">
            <w:pPr>
              <w:spacing w:before="100" w:beforeAutospacing="1" w:after="100" w:afterAutospacing="1"/>
              <w:ind w:hanging="15"/>
              <w:rPr>
                <w:rFonts w:ascii="Times New Roman" w:eastAsia="Times New Roman" w:hAnsi="Times New Roman"/>
                <w:sz w:val="26"/>
                <w:szCs w:val="26"/>
                <w:lang w:eastAsia="lv-LV"/>
              </w:rPr>
            </w:pPr>
            <w:r w:rsidRPr="000F07DF">
              <w:rPr>
                <w:rFonts w:ascii="Times New Roman" w:eastAsia="Times New Roman" w:hAnsi="Times New Roman"/>
                <w:sz w:val="26"/>
                <w:szCs w:val="26"/>
                <w:lang w:eastAsia="lv-LV"/>
              </w:rPr>
              <w:t> Nav.</w:t>
            </w:r>
            <w:r w:rsidRPr="000F07DF">
              <w:rPr>
                <w:rFonts w:ascii="Times New Roman" w:hAnsi="Times New Roman"/>
                <w:sz w:val="26"/>
                <w:szCs w:val="26"/>
              </w:rPr>
              <w:t xml:space="preserve"> </w:t>
            </w:r>
          </w:p>
        </w:tc>
      </w:tr>
      <w:tr w:rsidR="00CB1130" w:rsidRPr="006B7FF4" w:rsidTr="004D26EA">
        <w:tblPrEx>
          <w:tblLook w:val="0000" w:firstRow="0" w:lastRow="0" w:firstColumn="0" w:lastColumn="0" w:noHBand="0" w:noVBand="0"/>
        </w:tblPrEx>
        <w:trPr>
          <w:gridBefore w:val="1"/>
          <w:wBefore w:w="11" w:type="dxa"/>
          <w:tblCellSpacing w:w="0" w:type="dxa"/>
        </w:trPr>
        <w:tc>
          <w:tcPr>
            <w:tcW w:w="9228" w:type="dxa"/>
            <w:gridSpan w:val="21"/>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after="0" w:line="240" w:lineRule="auto"/>
              <w:jc w:val="center"/>
              <w:rPr>
                <w:rFonts w:ascii="Times New Roman" w:hAnsi="Times New Roman"/>
                <w:b/>
                <w:sz w:val="26"/>
                <w:szCs w:val="26"/>
              </w:rPr>
            </w:pPr>
            <w:r w:rsidRPr="006B7FF4">
              <w:rPr>
                <w:rFonts w:ascii="Times New Roman" w:hAnsi="Times New Roman"/>
                <w:sz w:val="26"/>
                <w:szCs w:val="26"/>
              </w:rPr>
              <w:t xml:space="preserve">  </w:t>
            </w:r>
            <w:r w:rsidRPr="006B7FF4">
              <w:rPr>
                <w:rFonts w:ascii="Times New Roman" w:hAnsi="Times New Roman"/>
                <w:b/>
                <w:sz w:val="26"/>
                <w:szCs w:val="26"/>
              </w:rPr>
              <w:t>V. Tiesību akta projekta atbilstība Latvijas Republikas starptautiskajām saistībām</w:t>
            </w:r>
          </w:p>
        </w:tc>
      </w:tr>
      <w:tr w:rsidR="00CB1130" w:rsidRPr="006B7FF4" w:rsidTr="004D26EA">
        <w:tblPrEx>
          <w:tblLook w:val="04A0" w:firstRow="1" w:lastRow="0" w:firstColumn="1" w:lastColumn="0" w:noHBand="0" w:noVBand="1"/>
        </w:tblPrEx>
        <w:trPr>
          <w:tblCellSpacing w:w="0" w:type="dxa"/>
        </w:trPr>
        <w:tc>
          <w:tcPr>
            <w:tcW w:w="2514" w:type="dxa"/>
            <w:gridSpan w:val="6"/>
            <w:tcBorders>
              <w:top w:val="outset" w:sz="6" w:space="0" w:color="auto"/>
              <w:left w:val="outset" w:sz="6" w:space="0" w:color="auto"/>
              <w:bottom w:val="outset" w:sz="6" w:space="0" w:color="auto"/>
              <w:right w:val="outset" w:sz="6" w:space="0" w:color="auto"/>
            </w:tcBorders>
            <w:hideMark/>
          </w:tcPr>
          <w:p w:rsidR="00CB1130" w:rsidRPr="006B7FF4" w:rsidRDefault="00CB1130" w:rsidP="004D26EA">
            <w:pPr>
              <w:spacing w:before="100" w:beforeAutospacing="1" w:after="100" w:afterAutospacing="1"/>
              <w:rPr>
                <w:rFonts w:ascii="Times New Roman" w:eastAsia="Times New Roman" w:hAnsi="Times New Roman"/>
                <w:sz w:val="26"/>
                <w:szCs w:val="26"/>
                <w:lang w:eastAsia="lv-LV"/>
              </w:rPr>
            </w:pPr>
            <w:r w:rsidRPr="006B7FF4">
              <w:rPr>
                <w:rFonts w:ascii="Times New Roman" w:eastAsia="Times New Roman" w:hAnsi="Times New Roman"/>
                <w:sz w:val="26"/>
                <w:szCs w:val="26"/>
                <w:lang w:eastAsia="lv-LV"/>
              </w:rPr>
              <w:t> Saistības pret Eiropas Savienību</w:t>
            </w:r>
          </w:p>
        </w:tc>
        <w:tc>
          <w:tcPr>
            <w:tcW w:w="6725" w:type="dxa"/>
            <w:gridSpan w:val="16"/>
            <w:tcBorders>
              <w:top w:val="outset" w:sz="6" w:space="0" w:color="auto"/>
              <w:left w:val="outset" w:sz="6" w:space="0" w:color="auto"/>
              <w:bottom w:val="outset" w:sz="6" w:space="0" w:color="auto"/>
              <w:right w:val="outset" w:sz="6" w:space="0" w:color="auto"/>
            </w:tcBorders>
            <w:hideMark/>
          </w:tcPr>
          <w:p w:rsidR="00CB1130" w:rsidRDefault="00CB1130" w:rsidP="004D26EA">
            <w:pPr>
              <w:jc w:val="both"/>
              <w:rPr>
                <w:rFonts w:ascii="Times New Roman" w:hAnsi="Times New Roman"/>
                <w:sz w:val="26"/>
                <w:szCs w:val="26"/>
              </w:rPr>
            </w:pPr>
            <w:r w:rsidRPr="00563E58">
              <w:rPr>
                <w:rFonts w:ascii="Times New Roman" w:hAnsi="Times New Roman"/>
                <w:sz w:val="26"/>
                <w:szCs w:val="26"/>
              </w:rPr>
              <w:t xml:space="preserve">Eiropas Komisijas 2008.gada 6.augusta Regulu (EK) Nr.800/2008, kas atzīst noteiktas atbalsta kategorijas par saderīgām ar kopējo tirgu, piemērojot Līguma 87. un 88.pantu (vispārējā grupu atbrīvojuma regula) (publicēta Eiropas Savienības Oficiālajā Vēstnesī 2008.gada 9.augustā, Nr.L214), </w:t>
            </w:r>
            <w:r w:rsidRPr="00563E58">
              <w:rPr>
                <w:rFonts w:ascii="Times New Roman" w:hAnsi="Times New Roman"/>
                <w:sz w:val="26"/>
                <w:szCs w:val="26"/>
              </w:rPr>
              <w:lastRenderedPageBreak/>
              <w:t xml:space="preserve">kas atzīst noteiktas atbalsta kategorijas par saderīgām ar kopējo tirgu (turpmāk - Komisijas Regula Nr.800/2008). </w:t>
            </w:r>
          </w:p>
          <w:p w:rsidR="00CB1130" w:rsidRPr="006B7FF4" w:rsidRDefault="00CB1130" w:rsidP="004D26EA">
            <w:pPr>
              <w:spacing w:after="0" w:line="240" w:lineRule="auto"/>
              <w:contextualSpacing/>
              <w:jc w:val="both"/>
              <w:rPr>
                <w:rFonts w:ascii="Times New Roman" w:eastAsia="Times New Roman" w:hAnsi="Times New Roman"/>
                <w:sz w:val="26"/>
                <w:szCs w:val="26"/>
                <w:lang w:eastAsia="lv-LV"/>
              </w:rPr>
            </w:pPr>
            <w:r>
              <w:rPr>
                <w:rFonts w:ascii="Times New Roman" w:hAnsi="Times New Roman"/>
                <w:sz w:val="26"/>
                <w:szCs w:val="26"/>
              </w:rPr>
              <w:t xml:space="preserve">Valstu reģionālā atbalsta pamatnostādnes 2007.-2013.gadam (2006/C 54/08) </w:t>
            </w:r>
            <w:r w:rsidRPr="00563E58">
              <w:rPr>
                <w:rFonts w:ascii="Times New Roman" w:hAnsi="Times New Roman"/>
                <w:sz w:val="26"/>
                <w:szCs w:val="26"/>
              </w:rPr>
              <w:t>(publicēta Eiropas Savienības Oficiālajā Vēstnesī</w:t>
            </w:r>
            <w:r>
              <w:rPr>
                <w:rFonts w:ascii="Times New Roman" w:hAnsi="Times New Roman"/>
                <w:sz w:val="26"/>
                <w:szCs w:val="26"/>
              </w:rPr>
              <w:t xml:space="preserve"> 2006.gada 4</w:t>
            </w:r>
            <w:r w:rsidRPr="00563E58">
              <w:rPr>
                <w:rFonts w:ascii="Times New Roman" w:hAnsi="Times New Roman"/>
                <w:sz w:val="26"/>
                <w:szCs w:val="26"/>
              </w:rPr>
              <w:t>.</w:t>
            </w:r>
            <w:r>
              <w:rPr>
                <w:rFonts w:ascii="Times New Roman" w:hAnsi="Times New Roman"/>
                <w:sz w:val="26"/>
                <w:szCs w:val="26"/>
              </w:rPr>
              <w:t>martā</w:t>
            </w:r>
            <w:r w:rsidRPr="00563E58">
              <w:rPr>
                <w:rFonts w:ascii="Times New Roman" w:hAnsi="Times New Roman"/>
                <w:sz w:val="26"/>
                <w:szCs w:val="26"/>
              </w:rPr>
              <w:t>, Nr.</w:t>
            </w:r>
            <w:r>
              <w:rPr>
                <w:rFonts w:ascii="Times New Roman" w:hAnsi="Times New Roman"/>
                <w:sz w:val="26"/>
                <w:szCs w:val="26"/>
              </w:rPr>
              <w:t>C54</w:t>
            </w:r>
            <w:r w:rsidRPr="00563E58">
              <w:rPr>
                <w:rFonts w:ascii="Times New Roman" w:hAnsi="Times New Roman"/>
                <w:sz w:val="26"/>
                <w:szCs w:val="26"/>
              </w:rPr>
              <w:t>)</w:t>
            </w:r>
            <w:r>
              <w:rPr>
                <w:rFonts w:ascii="Times New Roman" w:hAnsi="Times New Roman"/>
                <w:sz w:val="26"/>
                <w:szCs w:val="26"/>
              </w:rPr>
              <w:t>.</w:t>
            </w:r>
          </w:p>
        </w:tc>
      </w:tr>
      <w:tr w:rsidR="00CB1130" w:rsidRPr="006B7FF4" w:rsidTr="004D26EA">
        <w:tblPrEx>
          <w:tblLook w:val="04A0" w:firstRow="1" w:lastRow="0" w:firstColumn="1" w:lastColumn="0" w:noHBand="0" w:noVBand="1"/>
        </w:tblPrEx>
        <w:trPr>
          <w:tblCellSpacing w:w="0" w:type="dxa"/>
        </w:trPr>
        <w:tc>
          <w:tcPr>
            <w:tcW w:w="2514" w:type="dxa"/>
            <w:gridSpan w:val="6"/>
            <w:tcBorders>
              <w:top w:val="outset" w:sz="6" w:space="0" w:color="auto"/>
              <w:left w:val="outset" w:sz="6" w:space="0" w:color="auto"/>
              <w:bottom w:val="outset" w:sz="6" w:space="0" w:color="auto"/>
              <w:right w:val="outset" w:sz="6" w:space="0" w:color="auto"/>
            </w:tcBorders>
            <w:hideMark/>
          </w:tcPr>
          <w:p w:rsidR="00CB1130" w:rsidRPr="006B7FF4" w:rsidRDefault="00CB1130" w:rsidP="004D26EA">
            <w:pPr>
              <w:spacing w:before="100" w:beforeAutospacing="1" w:after="100" w:afterAutospacing="1"/>
              <w:rPr>
                <w:rFonts w:ascii="Times New Roman" w:eastAsia="Times New Roman" w:hAnsi="Times New Roman"/>
                <w:sz w:val="26"/>
                <w:szCs w:val="26"/>
                <w:lang w:eastAsia="lv-LV"/>
              </w:rPr>
            </w:pPr>
            <w:r w:rsidRPr="006B7FF4">
              <w:rPr>
                <w:rFonts w:ascii="Times New Roman" w:eastAsia="Times New Roman" w:hAnsi="Times New Roman"/>
                <w:sz w:val="26"/>
                <w:szCs w:val="26"/>
                <w:lang w:eastAsia="lv-LV"/>
              </w:rPr>
              <w:lastRenderedPageBreak/>
              <w:t> Citas starptautiskās saistības</w:t>
            </w:r>
          </w:p>
        </w:tc>
        <w:tc>
          <w:tcPr>
            <w:tcW w:w="6725" w:type="dxa"/>
            <w:gridSpan w:val="16"/>
            <w:tcBorders>
              <w:top w:val="outset" w:sz="6" w:space="0" w:color="auto"/>
              <w:left w:val="outset" w:sz="6" w:space="0" w:color="auto"/>
              <w:bottom w:val="outset" w:sz="6" w:space="0" w:color="auto"/>
              <w:right w:val="outset" w:sz="6" w:space="0" w:color="auto"/>
            </w:tcBorders>
            <w:hideMark/>
          </w:tcPr>
          <w:p w:rsidR="00CB1130" w:rsidRPr="006B7FF4" w:rsidRDefault="00CB1130" w:rsidP="004D26EA">
            <w:pPr>
              <w:pStyle w:val="ListParagraph"/>
              <w:ind w:left="0"/>
              <w:contextualSpacing w:val="0"/>
              <w:jc w:val="both"/>
              <w:rPr>
                <w:sz w:val="26"/>
                <w:szCs w:val="26"/>
                <w:lang w:eastAsia="lv-LV"/>
              </w:rPr>
            </w:pPr>
            <w:r>
              <w:rPr>
                <w:sz w:val="26"/>
                <w:szCs w:val="26"/>
                <w:lang w:eastAsia="lv-LV"/>
              </w:rPr>
              <w:t xml:space="preserve"> </w:t>
            </w:r>
            <w:r w:rsidRPr="00563E58">
              <w:rPr>
                <w:sz w:val="26"/>
                <w:szCs w:val="26"/>
                <w:lang w:eastAsia="lv-LV"/>
              </w:rPr>
              <w:t>Nav</w:t>
            </w:r>
          </w:p>
        </w:tc>
      </w:tr>
      <w:tr w:rsidR="00CB1130" w:rsidRPr="00563E58" w:rsidTr="004D26EA">
        <w:tblPrEx>
          <w:tblLook w:val="04A0" w:firstRow="1" w:lastRow="0" w:firstColumn="1" w:lastColumn="0" w:noHBand="0" w:noVBand="1"/>
        </w:tblPrEx>
        <w:trPr>
          <w:trHeight w:val="328"/>
          <w:tblCellSpacing w:w="0" w:type="dxa"/>
        </w:trPr>
        <w:tc>
          <w:tcPr>
            <w:tcW w:w="2514" w:type="dxa"/>
            <w:gridSpan w:val="6"/>
            <w:tcBorders>
              <w:top w:val="outset" w:sz="6" w:space="0" w:color="auto"/>
              <w:left w:val="outset" w:sz="6" w:space="0" w:color="auto"/>
              <w:bottom w:val="outset" w:sz="6" w:space="0" w:color="auto"/>
              <w:right w:val="outset" w:sz="6" w:space="0" w:color="auto"/>
            </w:tcBorders>
            <w:hideMark/>
          </w:tcPr>
          <w:p w:rsidR="00CB1130" w:rsidRPr="00563E58" w:rsidRDefault="00CB1130" w:rsidP="004D26EA">
            <w:pPr>
              <w:spacing w:before="100" w:beforeAutospacing="1" w:after="100" w:afterAutospacing="1"/>
              <w:rPr>
                <w:rFonts w:ascii="Times New Roman" w:eastAsia="Times New Roman" w:hAnsi="Times New Roman"/>
                <w:sz w:val="26"/>
                <w:szCs w:val="26"/>
                <w:lang w:eastAsia="lv-LV"/>
              </w:rPr>
            </w:pPr>
            <w:r w:rsidRPr="00563E58">
              <w:rPr>
                <w:rFonts w:ascii="Times New Roman" w:eastAsia="Times New Roman" w:hAnsi="Times New Roman"/>
                <w:sz w:val="26"/>
                <w:szCs w:val="26"/>
                <w:lang w:eastAsia="lv-LV"/>
              </w:rPr>
              <w:t> Cita informācija</w:t>
            </w:r>
          </w:p>
        </w:tc>
        <w:tc>
          <w:tcPr>
            <w:tcW w:w="6725" w:type="dxa"/>
            <w:gridSpan w:val="16"/>
            <w:tcBorders>
              <w:top w:val="outset" w:sz="6" w:space="0" w:color="auto"/>
              <w:left w:val="outset" w:sz="6" w:space="0" w:color="auto"/>
              <w:bottom w:val="outset" w:sz="6" w:space="0" w:color="auto"/>
              <w:right w:val="outset" w:sz="6" w:space="0" w:color="auto"/>
            </w:tcBorders>
            <w:hideMark/>
          </w:tcPr>
          <w:p w:rsidR="00CB1130" w:rsidRPr="00563E58" w:rsidRDefault="00CB1130" w:rsidP="004D26EA">
            <w:pPr>
              <w:contextualSpacing/>
              <w:jc w:val="both"/>
              <w:rPr>
                <w:rFonts w:ascii="Times New Roman" w:hAnsi="Times New Roman"/>
                <w:sz w:val="26"/>
                <w:szCs w:val="26"/>
              </w:rPr>
            </w:pPr>
            <w:r w:rsidRPr="00563E58">
              <w:rPr>
                <w:rFonts w:ascii="Times New Roman" w:eastAsia="Times New Roman" w:hAnsi="Times New Roman"/>
                <w:sz w:val="26"/>
                <w:szCs w:val="26"/>
                <w:lang w:eastAsia="lv-LV"/>
              </w:rPr>
              <w:t> Nav</w:t>
            </w:r>
          </w:p>
        </w:tc>
      </w:tr>
      <w:tr w:rsidR="00CB1130" w:rsidRPr="00563E58" w:rsidTr="004D26EA">
        <w:tblPrEx>
          <w:tblLook w:val="04A0" w:firstRow="1" w:lastRow="0" w:firstColumn="1" w:lastColumn="0" w:noHBand="0" w:noVBand="1"/>
        </w:tblPrEx>
        <w:trPr>
          <w:trHeight w:val="328"/>
          <w:tblCellSpacing w:w="0" w:type="dxa"/>
        </w:trPr>
        <w:tc>
          <w:tcPr>
            <w:tcW w:w="9239" w:type="dxa"/>
            <w:gridSpan w:val="22"/>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125" w:after="125"/>
              <w:jc w:val="center"/>
              <w:rPr>
                <w:rFonts w:ascii="Times New Roman" w:hAnsi="Times New Roman"/>
                <w:b/>
                <w:bCs/>
                <w:sz w:val="26"/>
                <w:szCs w:val="26"/>
              </w:rPr>
            </w:pPr>
            <w:r w:rsidRPr="006B7FF4">
              <w:rPr>
                <w:rFonts w:ascii="Times New Roman" w:hAnsi="Times New Roman"/>
                <w:b/>
                <w:bCs/>
                <w:sz w:val="26"/>
                <w:szCs w:val="26"/>
              </w:rPr>
              <w:t>1.tabula</w:t>
            </w:r>
          </w:p>
          <w:p w:rsidR="00CB1130" w:rsidRPr="00563E58" w:rsidRDefault="00CB1130" w:rsidP="004D26EA">
            <w:pPr>
              <w:contextualSpacing/>
              <w:jc w:val="center"/>
              <w:rPr>
                <w:rFonts w:ascii="Times New Roman" w:eastAsia="Times New Roman" w:hAnsi="Times New Roman"/>
                <w:sz w:val="26"/>
                <w:szCs w:val="26"/>
                <w:lang w:eastAsia="lv-LV"/>
              </w:rPr>
            </w:pPr>
            <w:r w:rsidRPr="006B7FF4">
              <w:rPr>
                <w:rFonts w:ascii="Times New Roman" w:hAnsi="Times New Roman"/>
                <w:b/>
                <w:bCs/>
                <w:sz w:val="26"/>
                <w:szCs w:val="26"/>
              </w:rPr>
              <w:t>Tiesību akta projekta atbilstība ES tiesību aktiem</w:t>
            </w:r>
          </w:p>
        </w:tc>
      </w:tr>
      <w:tr w:rsidR="00CB1130" w:rsidRPr="00563E58" w:rsidTr="004D26EA">
        <w:tblPrEx>
          <w:tblLook w:val="04A0" w:firstRow="1" w:lastRow="0" w:firstColumn="1" w:lastColumn="0" w:noHBand="0" w:noVBand="1"/>
        </w:tblPrEx>
        <w:trPr>
          <w:trHeight w:val="328"/>
          <w:tblCellSpacing w:w="0" w:type="dxa"/>
        </w:trPr>
        <w:tc>
          <w:tcPr>
            <w:tcW w:w="2514" w:type="dxa"/>
            <w:gridSpan w:val="6"/>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jc w:val="center"/>
              <w:rPr>
                <w:rFonts w:ascii="Times New Roman" w:hAnsi="Times New Roman"/>
                <w:sz w:val="26"/>
                <w:szCs w:val="26"/>
              </w:rPr>
            </w:pPr>
            <w:r w:rsidRPr="006B7FF4">
              <w:rPr>
                <w:rFonts w:ascii="Times New Roman" w:hAnsi="Times New Roman"/>
                <w:sz w:val="26"/>
                <w:szCs w:val="26"/>
              </w:rPr>
              <w:t> Attiecīgā ES tiesību akta datums, numurs un nosaukums</w:t>
            </w:r>
          </w:p>
        </w:tc>
        <w:tc>
          <w:tcPr>
            <w:tcW w:w="6725" w:type="dxa"/>
            <w:gridSpan w:val="16"/>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jc w:val="both"/>
              <w:rPr>
                <w:rFonts w:ascii="Times New Roman" w:hAnsi="Times New Roman"/>
                <w:sz w:val="26"/>
                <w:szCs w:val="26"/>
              </w:rPr>
            </w:pPr>
            <w:r w:rsidRPr="006B7FF4">
              <w:rPr>
                <w:rFonts w:ascii="Times New Roman" w:hAnsi="Times New Roman"/>
                <w:sz w:val="26"/>
                <w:szCs w:val="26"/>
              </w:rPr>
              <w:t xml:space="preserve">Nav attiecināms. </w:t>
            </w:r>
          </w:p>
        </w:tc>
      </w:tr>
      <w:tr w:rsidR="00CB1130" w:rsidRPr="00563E58" w:rsidTr="004D26EA">
        <w:tblPrEx>
          <w:tblLook w:val="04A0" w:firstRow="1" w:lastRow="0" w:firstColumn="1" w:lastColumn="0" w:noHBand="0" w:noVBand="1"/>
        </w:tblPrEx>
        <w:trPr>
          <w:trHeight w:val="328"/>
          <w:tblCellSpacing w:w="0" w:type="dxa"/>
        </w:trPr>
        <w:tc>
          <w:tcPr>
            <w:tcW w:w="2514" w:type="dxa"/>
            <w:gridSpan w:val="6"/>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line="165" w:lineRule="atLeast"/>
              <w:jc w:val="center"/>
              <w:rPr>
                <w:rFonts w:ascii="Times New Roman" w:hAnsi="Times New Roman"/>
                <w:sz w:val="26"/>
                <w:szCs w:val="26"/>
              </w:rPr>
            </w:pPr>
            <w:r w:rsidRPr="006B7FF4">
              <w:rPr>
                <w:rFonts w:ascii="Times New Roman" w:hAnsi="Times New Roman"/>
                <w:sz w:val="26"/>
                <w:szCs w:val="26"/>
              </w:rPr>
              <w:t> A</w:t>
            </w:r>
          </w:p>
        </w:tc>
        <w:tc>
          <w:tcPr>
            <w:tcW w:w="2156" w:type="dxa"/>
            <w:gridSpan w:val="7"/>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line="165" w:lineRule="atLeast"/>
              <w:jc w:val="center"/>
              <w:rPr>
                <w:rFonts w:ascii="Times New Roman" w:hAnsi="Times New Roman"/>
                <w:sz w:val="26"/>
                <w:szCs w:val="26"/>
              </w:rPr>
            </w:pPr>
            <w:r w:rsidRPr="006B7FF4">
              <w:rPr>
                <w:rFonts w:ascii="Times New Roman" w:hAnsi="Times New Roman"/>
                <w:sz w:val="26"/>
                <w:szCs w:val="26"/>
              </w:rPr>
              <w:t> B</w:t>
            </w:r>
          </w:p>
        </w:tc>
        <w:tc>
          <w:tcPr>
            <w:tcW w:w="2467" w:type="dxa"/>
            <w:gridSpan w:val="6"/>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line="165" w:lineRule="atLeast"/>
              <w:jc w:val="center"/>
              <w:rPr>
                <w:rFonts w:ascii="Times New Roman" w:hAnsi="Times New Roman"/>
                <w:sz w:val="26"/>
                <w:szCs w:val="26"/>
              </w:rPr>
            </w:pPr>
            <w:r w:rsidRPr="006B7FF4">
              <w:rPr>
                <w:rFonts w:ascii="Times New Roman" w:hAnsi="Times New Roman"/>
                <w:sz w:val="26"/>
                <w:szCs w:val="26"/>
              </w:rPr>
              <w:t> C</w:t>
            </w:r>
          </w:p>
        </w:tc>
        <w:tc>
          <w:tcPr>
            <w:tcW w:w="2102" w:type="dxa"/>
            <w:gridSpan w:val="3"/>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line="165" w:lineRule="atLeast"/>
              <w:jc w:val="center"/>
              <w:rPr>
                <w:rFonts w:ascii="Times New Roman" w:hAnsi="Times New Roman"/>
                <w:sz w:val="26"/>
                <w:szCs w:val="26"/>
              </w:rPr>
            </w:pPr>
            <w:r w:rsidRPr="006B7FF4">
              <w:rPr>
                <w:rFonts w:ascii="Times New Roman" w:hAnsi="Times New Roman"/>
                <w:sz w:val="26"/>
                <w:szCs w:val="26"/>
              </w:rPr>
              <w:t> D</w:t>
            </w:r>
          </w:p>
        </w:tc>
      </w:tr>
      <w:tr w:rsidR="00CB1130" w:rsidRPr="00563E58" w:rsidTr="004D26EA">
        <w:tblPrEx>
          <w:tblLook w:val="04A0" w:firstRow="1" w:lastRow="0" w:firstColumn="1" w:lastColumn="0" w:noHBand="0" w:noVBand="1"/>
        </w:tblPrEx>
        <w:trPr>
          <w:trHeight w:val="328"/>
          <w:tblCellSpacing w:w="0" w:type="dxa"/>
        </w:trPr>
        <w:tc>
          <w:tcPr>
            <w:tcW w:w="2514" w:type="dxa"/>
            <w:gridSpan w:val="6"/>
            <w:tcBorders>
              <w:top w:val="outset" w:sz="6" w:space="0" w:color="auto"/>
              <w:left w:val="outset" w:sz="6" w:space="0" w:color="auto"/>
              <w:bottom w:val="outset" w:sz="6" w:space="0" w:color="auto"/>
              <w:right w:val="outset" w:sz="6" w:space="0" w:color="auto"/>
            </w:tcBorders>
          </w:tcPr>
          <w:p w:rsidR="00CB1130" w:rsidRPr="006B7FF4" w:rsidRDefault="00CB1130" w:rsidP="004D26EA">
            <w:pPr>
              <w:contextualSpacing/>
              <w:jc w:val="both"/>
              <w:rPr>
                <w:rFonts w:ascii="Times New Roman" w:hAnsi="Times New Roman"/>
                <w:sz w:val="26"/>
                <w:szCs w:val="26"/>
              </w:rPr>
            </w:pPr>
            <w:r w:rsidRPr="006B7FF4">
              <w:rPr>
                <w:rFonts w:ascii="Times New Roman" w:hAnsi="Times New Roman"/>
                <w:sz w:val="26"/>
                <w:szCs w:val="26"/>
              </w:rPr>
              <w:t> Komisijas Regulas 800/</w:t>
            </w:r>
            <w:r w:rsidRPr="00D54965">
              <w:rPr>
                <w:rFonts w:ascii="Times New Roman" w:hAnsi="Times New Roman"/>
                <w:sz w:val="26"/>
                <w:szCs w:val="26"/>
              </w:rPr>
              <w:t>2008</w:t>
            </w:r>
            <w:r>
              <w:rPr>
                <w:rFonts w:ascii="Times New Roman" w:hAnsi="Times New Roman"/>
                <w:sz w:val="26"/>
                <w:szCs w:val="26"/>
              </w:rPr>
              <w:t xml:space="preserve"> 12.panta 1.punkts.</w:t>
            </w: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r w:rsidRPr="006B7FF4">
              <w:rPr>
                <w:rFonts w:ascii="Times New Roman" w:hAnsi="Times New Roman"/>
                <w:sz w:val="26"/>
                <w:szCs w:val="26"/>
              </w:rPr>
              <w:t xml:space="preserve">Komisijas Regulas 800/2008 </w:t>
            </w:r>
            <w:r>
              <w:rPr>
                <w:rFonts w:ascii="Times New Roman" w:hAnsi="Times New Roman"/>
                <w:sz w:val="26"/>
                <w:szCs w:val="26"/>
              </w:rPr>
              <w:t>13.panta 3.punkts.</w:t>
            </w:r>
          </w:p>
          <w:p w:rsidR="00CB1130" w:rsidRDefault="00CB1130" w:rsidP="004D26EA">
            <w:pPr>
              <w:contextualSpacing/>
              <w:jc w:val="both"/>
              <w:rPr>
                <w:rFonts w:ascii="Times New Roman" w:hAnsi="Times New Roman"/>
                <w:sz w:val="26"/>
                <w:szCs w:val="26"/>
              </w:rPr>
            </w:pPr>
          </w:p>
          <w:p w:rsidR="00CB1130" w:rsidRPr="00315EBA" w:rsidRDefault="00CB1130" w:rsidP="004D26EA">
            <w:pPr>
              <w:pStyle w:val="NormalWeb"/>
              <w:spacing w:before="0" w:beforeAutospacing="0" w:after="0" w:afterAutospacing="0" w:line="240" w:lineRule="auto"/>
              <w:contextualSpacing/>
              <w:rPr>
                <w:sz w:val="26"/>
                <w:szCs w:val="26"/>
              </w:rPr>
            </w:pPr>
            <w:r w:rsidRPr="00D0553F">
              <w:rPr>
                <w:rStyle w:val="Strong"/>
                <w:b w:val="0"/>
                <w:sz w:val="26"/>
                <w:szCs w:val="26"/>
              </w:rPr>
              <w:t>Valstu reģionālā atbals</w:t>
            </w:r>
            <w:r>
              <w:rPr>
                <w:rStyle w:val="Strong"/>
                <w:b w:val="0"/>
                <w:sz w:val="26"/>
                <w:szCs w:val="26"/>
              </w:rPr>
              <w:t>ta pamatnostādnes 2007. — 2013.g</w:t>
            </w:r>
            <w:r w:rsidRPr="00D0553F">
              <w:rPr>
                <w:rStyle w:val="Strong"/>
                <w:b w:val="0"/>
                <w:sz w:val="26"/>
                <w:szCs w:val="26"/>
              </w:rPr>
              <w:t xml:space="preserve">adam </w:t>
            </w:r>
            <w:r>
              <w:rPr>
                <w:rStyle w:val="Strong"/>
                <w:b w:val="0"/>
                <w:sz w:val="26"/>
                <w:szCs w:val="26"/>
              </w:rPr>
              <w:t>(</w:t>
            </w:r>
            <w:r w:rsidRPr="00315EBA">
              <w:rPr>
                <w:rStyle w:val="Emphasis"/>
                <w:sz w:val="26"/>
                <w:szCs w:val="26"/>
              </w:rPr>
              <w:t xml:space="preserve">Oficiālais Vēstnesis C 054 , 04/03/2006 </w:t>
            </w:r>
            <w:proofErr w:type="spellStart"/>
            <w:r w:rsidRPr="00315EBA">
              <w:rPr>
                <w:rStyle w:val="Emphasis"/>
                <w:sz w:val="26"/>
                <w:szCs w:val="26"/>
              </w:rPr>
              <w:t>Lpp</w:t>
            </w:r>
            <w:proofErr w:type="spellEnd"/>
            <w:r w:rsidRPr="00315EBA">
              <w:rPr>
                <w:rStyle w:val="Emphasis"/>
                <w:sz w:val="26"/>
                <w:szCs w:val="26"/>
              </w:rPr>
              <w:t xml:space="preserve">. 0013 </w:t>
            </w:r>
            <w:r>
              <w:rPr>
                <w:rStyle w:val="Emphasis"/>
                <w:sz w:val="26"/>
                <w:szCs w:val="26"/>
              </w:rPr>
              <w:t>–</w:t>
            </w:r>
            <w:r w:rsidRPr="00315EBA">
              <w:rPr>
                <w:rStyle w:val="Emphasis"/>
                <w:sz w:val="26"/>
                <w:szCs w:val="26"/>
              </w:rPr>
              <w:t xml:space="preserve"> 0044</w:t>
            </w:r>
            <w:r>
              <w:rPr>
                <w:rStyle w:val="Emphasis"/>
                <w:sz w:val="26"/>
                <w:szCs w:val="26"/>
              </w:rPr>
              <w:t>)</w:t>
            </w:r>
          </w:p>
          <w:p w:rsidR="00CB1130" w:rsidRPr="00D0553F" w:rsidRDefault="00CB1130" w:rsidP="004D26EA">
            <w:pPr>
              <w:spacing w:after="0" w:line="240" w:lineRule="auto"/>
              <w:contextualSpacing/>
              <w:rPr>
                <w:rStyle w:val="Strong"/>
                <w:rFonts w:ascii="Times New Roman" w:hAnsi="Times New Roman"/>
                <w:b w:val="0"/>
                <w:sz w:val="26"/>
                <w:szCs w:val="26"/>
              </w:rPr>
            </w:pPr>
            <w:r>
              <w:rPr>
                <w:rStyle w:val="Strong"/>
                <w:rFonts w:ascii="Times New Roman" w:hAnsi="Times New Roman"/>
                <w:b w:val="0"/>
                <w:sz w:val="26"/>
                <w:szCs w:val="26"/>
              </w:rPr>
              <w:t>68.punkts</w:t>
            </w: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r w:rsidRPr="006B7FF4">
              <w:rPr>
                <w:rFonts w:ascii="Times New Roman" w:hAnsi="Times New Roman"/>
                <w:sz w:val="26"/>
                <w:szCs w:val="26"/>
              </w:rPr>
              <w:t xml:space="preserve">Komisijas Regulas 800/2008 </w:t>
            </w:r>
            <w:r>
              <w:rPr>
                <w:rFonts w:ascii="Times New Roman" w:hAnsi="Times New Roman"/>
                <w:sz w:val="26"/>
                <w:szCs w:val="26"/>
              </w:rPr>
              <w:t>1.panta 3.punkts.</w:t>
            </w: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p>
          <w:p w:rsidR="00CB1130" w:rsidRDefault="00CB1130" w:rsidP="004D26EA">
            <w:pPr>
              <w:contextualSpacing/>
              <w:jc w:val="both"/>
              <w:rPr>
                <w:rFonts w:ascii="Times New Roman" w:hAnsi="Times New Roman"/>
                <w:sz w:val="26"/>
                <w:szCs w:val="26"/>
              </w:rPr>
            </w:pPr>
            <w:r w:rsidRPr="006B7FF4">
              <w:rPr>
                <w:rFonts w:ascii="Times New Roman" w:hAnsi="Times New Roman"/>
                <w:sz w:val="26"/>
                <w:szCs w:val="26"/>
              </w:rPr>
              <w:t xml:space="preserve">Komisijas Regulas 800/2008 </w:t>
            </w:r>
            <w:r>
              <w:rPr>
                <w:rFonts w:ascii="Times New Roman" w:hAnsi="Times New Roman"/>
                <w:sz w:val="26"/>
                <w:szCs w:val="26"/>
              </w:rPr>
              <w:t>3.panta 1.punkts.</w:t>
            </w:r>
          </w:p>
          <w:p w:rsidR="00CB1130" w:rsidRPr="006B7FF4" w:rsidRDefault="00CB1130" w:rsidP="004D26EA">
            <w:pPr>
              <w:contextualSpacing/>
              <w:jc w:val="both"/>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p>
        </w:tc>
        <w:tc>
          <w:tcPr>
            <w:tcW w:w="2156" w:type="dxa"/>
            <w:gridSpan w:val="7"/>
            <w:tcBorders>
              <w:top w:val="outset" w:sz="6" w:space="0" w:color="auto"/>
              <w:left w:val="outset" w:sz="6" w:space="0" w:color="auto"/>
              <w:bottom w:val="outset" w:sz="6" w:space="0" w:color="auto"/>
              <w:right w:val="outset" w:sz="6" w:space="0" w:color="auto"/>
            </w:tcBorders>
          </w:tcPr>
          <w:p w:rsidR="00CB1130" w:rsidRDefault="00CB1130" w:rsidP="004D26EA">
            <w:pPr>
              <w:spacing w:before="63" w:after="63"/>
              <w:rPr>
                <w:rFonts w:ascii="Times New Roman" w:hAnsi="Times New Roman"/>
                <w:sz w:val="26"/>
                <w:szCs w:val="26"/>
              </w:rPr>
            </w:pPr>
            <w:r w:rsidRPr="006B7FF4">
              <w:rPr>
                <w:rFonts w:ascii="Times New Roman" w:hAnsi="Times New Roman"/>
                <w:sz w:val="26"/>
                <w:szCs w:val="26"/>
              </w:rPr>
              <w:lastRenderedPageBreak/>
              <w:t> </w:t>
            </w:r>
            <w:r>
              <w:rPr>
                <w:rFonts w:ascii="Times New Roman" w:hAnsi="Times New Roman"/>
                <w:sz w:val="26"/>
                <w:szCs w:val="26"/>
              </w:rPr>
              <w:t>Likuma 1.panta divdesmit septītā daļa</w:t>
            </w: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r w:rsidRPr="006B7FF4">
              <w:rPr>
                <w:rFonts w:ascii="Times New Roman" w:hAnsi="Times New Roman"/>
                <w:sz w:val="26"/>
                <w:szCs w:val="26"/>
              </w:rPr>
              <w:t>Likuma 17.</w:t>
            </w:r>
            <w:r w:rsidRPr="006B7FF4">
              <w:rPr>
                <w:rFonts w:ascii="Times New Roman" w:hAnsi="Times New Roman"/>
                <w:sz w:val="26"/>
                <w:szCs w:val="26"/>
                <w:vertAlign w:val="superscript"/>
              </w:rPr>
              <w:t>2</w:t>
            </w:r>
            <w:r w:rsidRPr="006B7FF4">
              <w:rPr>
                <w:rFonts w:ascii="Times New Roman" w:hAnsi="Times New Roman"/>
                <w:sz w:val="26"/>
                <w:szCs w:val="26"/>
              </w:rPr>
              <w:t>panta</w:t>
            </w:r>
            <w:r>
              <w:rPr>
                <w:rFonts w:ascii="Times New Roman" w:hAnsi="Times New Roman"/>
                <w:sz w:val="26"/>
                <w:szCs w:val="26"/>
              </w:rPr>
              <w:t xml:space="preserve"> 1.</w:t>
            </w:r>
            <w:r w:rsidRPr="00DC0670">
              <w:rPr>
                <w:rFonts w:ascii="Times New Roman" w:hAnsi="Times New Roman"/>
                <w:sz w:val="26"/>
                <w:szCs w:val="26"/>
                <w:vertAlign w:val="superscript"/>
              </w:rPr>
              <w:t>1</w:t>
            </w:r>
            <w:r>
              <w:rPr>
                <w:rFonts w:ascii="Times New Roman" w:hAnsi="Times New Roman"/>
                <w:sz w:val="26"/>
                <w:szCs w:val="26"/>
              </w:rPr>
              <w:t>daļa</w:t>
            </w: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r w:rsidRPr="006B7FF4">
              <w:rPr>
                <w:rFonts w:ascii="Times New Roman" w:hAnsi="Times New Roman"/>
                <w:sz w:val="26"/>
                <w:szCs w:val="26"/>
              </w:rPr>
              <w:t>Likuma 17.</w:t>
            </w:r>
            <w:r w:rsidRPr="006B7FF4">
              <w:rPr>
                <w:rFonts w:ascii="Times New Roman" w:hAnsi="Times New Roman"/>
                <w:sz w:val="26"/>
                <w:szCs w:val="26"/>
                <w:vertAlign w:val="superscript"/>
              </w:rPr>
              <w:t>2</w:t>
            </w:r>
            <w:r w:rsidRPr="006B7FF4">
              <w:rPr>
                <w:rFonts w:ascii="Times New Roman" w:hAnsi="Times New Roman"/>
                <w:sz w:val="26"/>
                <w:szCs w:val="26"/>
              </w:rPr>
              <w:t>panta</w:t>
            </w:r>
            <w:r>
              <w:rPr>
                <w:rFonts w:ascii="Times New Roman" w:hAnsi="Times New Roman"/>
                <w:sz w:val="26"/>
                <w:szCs w:val="26"/>
              </w:rPr>
              <w:t xml:space="preserve"> ceturtās daļas 6.punkts</w:t>
            </w: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Likuma 17.</w:t>
            </w:r>
            <w:r w:rsidRPr="006B7FF4">
              <w:rPr>
                <w:rFonts w:ascii="Times New Roman" w:hAnsi="Times New Roman"/>
                <w:sz w:val="26"/>
                <w:szCs w:val="26"/>
                <w:vertAlign w:val="superscript"/>
              </w:rPr>
              <w:t>2</w:t>
            </w:r>
            <w:r w:rsidRPr="006B7FF4">
              <w:rPr>
                <w:rFonts w:ascii="Times New Roman" w:hAnsi="Times New Roman"/>
                <w:sz w:val="26"/>
                <w:szCs w:val="26"/>
              </w:rPr>
              <w:t xml:space="preserve">panta </w:t>
            </w:r>
            <w:r>
              <w:rPr>
                <w:rFonts w:ascii="Times New Roman" w:hAnsi="Times New Roman"/>
                <w:sz w:val="26"/>
                <w:szCs w:val="26"/>
              </w:rPr>
              <w:t xml:space="preserve">astotās daļas 1., 8., </w:t>
            </w:r>
            <w:r>
              <w:rPr>
                <w:rFonts w:ascii="Times New Roman" w:hAnsi="Times New Roman"/>
                <w:sz w:val="26"/>
                <w:szCs w:val="26"/>
              </w:rPr>
              <w:lastRenderedPageBreak/>
              <w:t>13. un 13.</w:t>
            </w:r>
            <w:r w:rsidRPr="00960F2E">
              <w:rPr>
                <w:rFonts w:ascii="Times New Roman" w:hAnsi="Times New Roman"/>
                <w:sz w:val="26"/>
                <w:szCs w:val="26"/>
                <w:vertAlign w:val="superscript"/>
              </w:rPr>
              <w:t>1</w:t>
            </w:r>
            <w:r>
              <w:rPr>
                <w:rFonts w:ascii="Times New Roman" w:hAnsi="Times New Roman"/>
                <w:sz w:val="26"/>
                <w:szCs w:val="26"/>
              </w:rPr>
              <w:t>punkts</w:t>
            </w:r>
            <w:r w:rsidRPr="006B7FF4">
              <w:rPr>
                <w:rFonts w:ascii="Times New Roman" w:hAnsi="Times New Roman"/>
                <w:sz w:val="26"/>
                <w:szCs w:val="26"/>
              </w:rPr>
              <w:t xml:space="preserve"> </w:t>
            </w:r>
          </w:p>
          <w:p w:rsidR="00CB1130" w:rsidRPr="006B7FF4"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r w:rsidRPr="006B7FF4">
              <w:rPr>
                <w:rFonts w:ascii="Times New Roman" w:hAnsi="Times New Roman"/>
                <w:sz w:val="26"/>
                <w:szCs w:val="26"/>
              </w:rPr>
              <w:t>Likuma 17.</w:t>
            </w:r>
            <w:r w:rsidRPr="006B7FF4">
              <w:rPr>
                <w:rFonts w:ascii="Times New Roman" w:hAnsi="Times New Roman"/>
                <w:sz w:val="26"/>
                <w:szCs w:val="26"/>
                <w:vertAlign w:val="superscript"/>
              </w:rPr>
              <w:t>2</w:t>
            </w:r>
            <w:r w:rsidRPr="006B7FF4">
              <w:rPr>
                <w:rFonts w:ascii="Times New Roman" w:hAnsi="Times New Roman"/>
                <w:sz w:val="26"/>
                <w:szCs w:val="26"/>
              </w:rPr>
              <w:t>panta</w:t>
            </w:r>
            <w:r>
              <w:rPr>
                <w:rFonts w:ascii="Times New Roman" w:hAnsi="Times New Roman"/>
                <w:sz w:val="26"/>
                <w:szCs w:val="26"/>
              </w:rPr>
              <w:t xml:space="preserve"> vienpadsmitā daļa</w:t>
            </w:r>
          </w:p>
          <w:p w:rsidR="00CB1130"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p>
        </w:tc>
        <w:tc>
          <w:tcPr>
            <w:tcW w:w="2467" w:type="dxa"/>
            <w:gridSpan w:val="6"/>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lastRenderedPageBreak/>
              <w:t> Pilnībā</w:t>
            </w:r>
          </w:p>
          <w:p w:rsidR="00CB1130" w:rsidRPr="006B7FF4"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Pilnībā</w:t>
            </w:r>
          </w:p>
          <w:p w:rsidR="00CB1130" w:rsidRPr="006B7FF4"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r>
              <w:rPr>
                <w:rFonts w:ascii="Times New Roman" w:hAnsi="Times New Roman"/>
                <w:sz w:val="26"/>
                <w:szCs w:val="26"/>
              </w:rPr>
              <w:t>Pilnībā</w:t>
            </w:r>
          </w:p>
          <w:p w:rsidR="00CB1130" w:rsidRPr="006B7FF4"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r>
              <w:rPr>
                <w:rFonts w:ascii="Times New Roman" w:hAnsi="Times New Roman"/>
                <w:sz w:val="26"/>
                <w:szCs w:val="26"/>
              </w:rPr>
              <w:t>Pilnībā</w:t>
            </w:r>
          </w:p>
          <w:p w:rsidR="00CB1130" w:rsidRPr="006B7FF4"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r>
              <w:rPr>
                <w:rFonts w:ascii="Times New Roman" w:hAnsi="Times New Roman"/>
                <w:sz w:val="26"/>
                <w:szCs w:val="26"/>
              </w:rPr>
              <w:t>Pilnībā</w:t>
            </w:r>
          </w:p>
        </w:tc>
        <w:tc>
          <w:tcPr>
            <w:tcW w:w="2102" w:type="dxa"/>
            <w:gridSpan w:val="3"/>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lastRenderedPageBreak/>
              <w:t> </w:t>
            </w:r>
            <w:r>
              <w:rPr>
                <w:rFonts w:ascii="Times New Roman" w:hAnsi="Times New Roman"/>
                <w:sz w:val="26"/>
                <w:szCs w:val="26"/>
              </w:rPr>
              <w:t>Likumprojekts paredz, ka sākotnējos ilgtermiņa ieguldījumus var veikt tikai likuma 17.</w:t>
            </w:r>
            <w:r>
              <w:rPr>
                <w:rFonts w:ascii="Times New Roman" w:hAnsi="Times New Roman"/>
                <w:sz w:val="26"/>
                <w:szCs w:val="26"/>
                <w:vertAlign w:val="superscript"/>
              </w:rPr>
              <w:t>2</w:t>
            </w:r>
            <w:r>
              <w:rPr>
                <w:rFonts w:ascii="Times New Roman" w:hAnsi="Times New Roman"/>
                <w:sz w:val="26"/>
                <w:szCs w:val="26"/>
              </w:rPr>
              <w:t>panta astotajā daļā minētajās atbalstāmajās prioritārajās nozarēs</w:t>
            </w:r>
          </w:p>
          <w:p w:rsidR="00CB1130" w:rsidRDefault="00CB1130" w:rsidP="004D26EA">
            <w:pPr>
              <w:spacing w:before="63" w:after="63"/>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r>
              <w:rPr>
                <w:rFonts w:ascii="Times New Roman" w:hAnsi="Times New Roman"/>
                <w:sz w:val="26"/>
                <w:szCs w:val="26"/>
              </w:rPr>
              <w:t>Neparedz stingrākas prasības.</w:t>
            </w:r>
          </w:p>
          <w:p w:rsidR="00CB1130" w:rsidRDefault="00CB1130" w:rsidP="004D26EA">
            <w:pPr>
              <w:spacing w:before="63" w:after="63"/>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r>
              <w:rPr>
                <w:rFonts w:ascii="Times New Roman" w:hAnsi="Times New Roman"/>
                <w:sz w:val="26"/>
                <w:szCs w:val="26"/>
              </w:rPr>
              <w:t>Neparedz stingrākas prasības.</w:t>
            </w: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before="63" w:after="63"/>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r>
              <w:rPr>
                <w:rFonts w:ascii="Times New Roman" w:hAnsi="Times New Roman"/>
                <w:sz w:val="26"/>
                <w:szCs w:val="26"/>
              </w:rPr>
              <w:t>Neparedz stingrākas prasības.</w:t>
            </w: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p>
          <w:p w:rsidR="00CB1130" w:rsidRDefault="00CB1130" w:rsidP="004D26EA">
            <w:pPr>
              <w:spacing w:after="0" w:line="240" w:lineRule="auto"/>
              <w:rPr>
                <w:rFonts w:ascii="Times New Roman" w:hAnsi="Times New Roman"/>
                <w:sz w:val="26"/>
                <w:szCs w:val="26"/>
              </w:rPr>
            </w:pPr>
            <w:r>
              <w:rPr>
                <w:rFonts w:ascii="Times New Roman" w:hAnsi="Times New Roman"/>
                <w:sz w:val="26"/>
                <w:szCs w:val="26"/>
              </w:rPr>
              <w:t>Neparedz stingrākas prasības.</w:t>
            </w:r>
          </w:p>
          <w:p w:rsidR="00CB1130" w:rsidRDefault="00CB1130" w:rsidP="004D26EA">
            <w:pPr>
              <w:spacing w:after="0" w:line="240" w:lineRule="auto"/>
              <w:rPr>
                <w:rFonts w:ascii="Times New Roman" w:hAnsi="Times New Roman"/>
                <w:sz w:val="26"/>
                <w:szCs w:val="26"/>
              </w:rPr>
            </w:pPr>
          </w:p>
          <w:p w:rsidR="00CB1130" w:rsidRPr="006B7FF4" w:rsidRDefault="00CB1130" w:rsidP="004D26EA">
            <w:pPr>
              <w:spacing w:before="63" w:after="63"/>
              <w:rPr>
                <w:rFonts w:ascii="Times New Roman" w:hAnsi="Times New Roman"/>
                <w:sz w:val="26"/>
                <w:szCs w:val="26"/>
              </w:rPr>
            </w:pPr>
          </w:p>
        </w:tc>
      </w:tr>
      <w:tr w:rsidR="00CB1130" w:rsidRPr="00563E58" w:rsidTr="004D26EA">
        <w:tblPrEx>
          <w:tblLook w:val="04A0" w:firstRow="1" w:lastRow="0" w:firstColumn="1" w:lastColumn="0" w:noHBand="0" w:noVBand="1"/>
        </w:tblPrEx>
        <w:trPr>
          <w:trHeight w:val="328"/>
          <w:tblCellSpacing w:w="0" w:type="dxa"/>
        </w:trPr>
        <w:tc>
          <w:tcPr>
            <w:tcW w:w="2514" w:type="dxa"/>
            <w:gridSpan w:val="6"/>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lastRenderedPageBreak/>
              <w:t>Kā ir izmantota ES tiesību aktā paredzētā rīcības brīvība dalībvalstij pārņemt vai ieviest noteiktas ES tiesību akta normas.</w:t>
            </w:r>
          </w:p>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Kādēļ?</w:t>
            </w:r>
          </w:p>
        </w:tc>
        <w:tc>
          <w:tcPr>
            <w:tcW w:w="2156" w:type="dxa"/>
            <w:gridSpan w:val="7"/>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highlight w:val="yellow"/>
              </w:rPr>
            </w:pPr>
            <w:r w:rsidRPr="006B7FF4">
              <w:rPr>
                <w:rFonts w:ascii="Times New Roman" w:hAnsi="Times New Roman"/>
                <w:sz w:val="26"/>
                <w:szCs w:val="26"/>
              </w:rPr>
              <w:t xml:space="preserve">  Tiesību </w:t>
            </w:r>
            <w:smartTag w:uri="schemas-tilde-lv/tildestengine" w:element="veidnes">
              <w:smartTagPr>
                <w:attr w:name="id" w:val="-1"/>
                <w:attr w:name="baseform" w:val="akts"/>
                <w:attr w:name="text" w:val="akts"/>
              </w:smartTagPr>
              <w:r w:rsidRPr="006B7FF4">
                <w:rPr>
                  <w:rFonts w:ascii="Times New Roman" w:hAnsi="Times New Roman"/>
                  <w:sz w:val="26"/>
                  <w:szCs w:val="26"/>
                </w:rPr>
                <w:t>akts</w:t>
              </w:r>
            </w:smartTag>
            <w:r w:rsidRPr="006B7FF4">
              <w:rPr>
                <w:rFonts w:ascii="Times New Roman" w:hAnsi="Times New Roman"/>
                <w:sz w:val="26"/>
                <w:szCs w:val="26"/>
              </w:rPr>
              <w:t xml:space="preserve"> neparedz rīcības brīvību</w:t>
            </w:r>
          </w:p>
        </w:tc>
        <w:tc>
          <w:tcPr>
            <w:tcW w:w="2467" w:type="dxa"/>
            <w:gridSpan w:val="6"/>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p>
        </w:tc>
        <w:tc>
          <w:tcPr>
            <w:tcW w:w="2102" w:type="dxa"/>
            <w:gridSpan w:val="3"/>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p>
        </w:tc>
      </w:tr>
      <w:tr w:rsidR="00CB1130" w:rsidRPr="00563E58" w:rsidTr="004D26EA">
        <w:tblPrEx>
          <w:tblLook w:val="04A0" w:firstRow="1" w:lastRow="0" w:firstColumn="1" w:lastColumn="0" w:noHBand="0" w:noVBand="1"/>
        </w:tblPrEx>
        <w:trPr>
          <w:trHeight w:val="328"/>
          <w:tblCellSpacing w:w="0" w:type="dxa"/>
        </w:trPr>
        <w:tc>
          <w:tcPr>
            <w:tcW w:w="2514" w:type="dxa"/>
            <w:gridSpan w:val="6"/>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25" w:type="dxa"/>
            <w:gridSpan w:val="16"/>
            <w:tcBorders>
              <w:top w:val="outset" w:sz="6" w:space="0" w:color="auto"/>
              <w:left w:val="outset" w:sz="6" w:space="0" w:color="auto"/>
              <w:bottom w:val="outset" w:sz="6" w:space="0" w:color="auto"/>
              <w:right w:val="outset" w:sz="6" w:space="0" w:color="auto"/>
            </w:tcBorders>
          </w:tcPr>
          <w:p w:rsidR="00CB1130" w:rsidRDefault="00CB1130" w:rsidP="004D26EA">
            <w:pPr>
              <w:spacing w:after="0" w:line="240" w:lineRule="auto"/>
              <w:contextualSpacing/>
              <w:jc w:val="both"/>
              <w:rPr>
                <w:rFonts w:ascii="Times New Roman" w:hAnsi="Times New Roman"/>
                <w:sz w:val="26"/>
                <w:szCs w:val="26"/>
              </w:rPr>
            </w:pPr>
            <w:r>
              <w:rPr>
                <w:rFonts w:ascii="Times New Roman" w:hAnsi="Times New Roman"/>
                <w:sz w:val="26"/>
                <w:szCs w:val="26"/>
              </w:rPr>
              <w:t xml:space="preserve">Grozījumi skar atbalsta programmu, par kuru Eiropas Komisijai ir nosūtīta kopsavilkuma informācija un kura reģistrēta Valsts atbalsta reģistrā ar numuru SA.33016 (2011/X). </w:t>
            </w:r>
            <w:r w:rsidRPr="006B7FF4">
              <w:rPr>
                <w:rFonts w:ascii="Times New Roman" w:hAnsi="Times New Roman"/>
                <w:sz w:val="26"/>
                <w:szCs w:val="26"/>
              </w:rPr>
              <w:t xml:space="preserve">Pēc </w:t>
            </w:r>
            <w:r>
              <w:rPr>
                <w:rFonts w:ascii="Times New Roman" w:hAnsi="Times New Roman"/>
                <w:sz w:val="26"/>
                <w:szCs w:val="26"/>
              </w:rPr>
              <w:t xml:space="preserve">likumprojekta un grozījumu,  </w:t>
            </w:r>
            <w:r w:rsidRPr="00E36EE6">
              <w:rPr>
                <w:rFonts w:ascii="Times New Roman" w:hAnsi="Times New Roman"/>
                <w:sz w:val="26"/>
                <w:szCs w:val="26"/>
              </w:rPr>
              <w:t>Ministru kabineta 2011.gada 12.aprīļa noteikum</w:t>
            </w:r>
            <w:r>
              <w:rPr>
                <w:rFonts w:ascii="Times New Roman" w:hAnsi="Times New Roman"/>
                <w:sz w:val="26"/>
                <w:szCs w:val="26"/>
              </w:rPr>
              <w:t>o</w:t>
            </w:r>
            <w:r w:rsidRPr="00E36EE6">
              <w:rPr>
                <w:rFonts w:ascii="Times New Roman" w:hAnsi="Times New Roman"/>
                <w:sz w:val="26"/>
                <w:szCs w:val="26"/>
              </w:rPr>
              <w:t>s Nr.287 „Kārtība, kādā iesniedzams un vērtējams investīciju projekta pieteikums atbalstāmā investīciju projekta   statusa iegūšanai”</w:t>
            </w:r>
            <w:r>
              <w:rPr>
                <w:rFonts w:ascii="Times New Roman" w:hAnsi="Times New Roman"/>
                <w:sz w:val="26"/>
                <w:szCs w:val="26"/>
              </w:rPr>
              <w:t>” spēkā stāšanās</w:t>
            </w:r>
            <w:r w:rsidRPr="006B7FF4">
              <w:rPr>
                <w:rFonts w:ascii="Times New Roman" w:hAnsi="Times New Roman"/>
                <w:sz w:val="26"/>
                <w:szCs w:val="26"/>
              </w:rPr>
              <w:t>, Ekonomikas ministrijai saskaņā ar Komisijas Regulas Nr.800/2008 9.panta 1.punktu ir jānosūta Eiropas Komisijai Komisijas Regulas Nr.800/2008 III pielikumā minētā informācija.</w:t>
            </w:r>
          </w:p>
          <w:p w:rsidR="00CB1130" w:rsidRPr="006B7FF4" w:rsidRDefault="00CB1130" w:rsidP="004D26EA">
            <w:pPr>
              <w:spacing w:after="0" w:line="240" w:lineRule="auto"/>
              <w:contextualSpacing/>
              <w:jc w:val="both"/>
              <w:rPr>
                <w:rFonts w:ascii="Times New Roman" w:hAnsi="Times New Roman"/>
                <w:sz w:val="26"/>
                <w:szCs w:val="26"/>
              </w:rPr>
            </w:pPr>
            <w:r>
              <w:rPr>
                <w:rFonts w:ascii="Times New Roman" w:hAnsi="Times New Roman"/>
                <w:sz w:val="26"/>
                <w:szCs w:val="26"/>
              </w:rPr>
              <w:t xml:space="preserve">Ja projekta ietvaros plānotās veicamo sākotnējo ilgtermiņa ieguldījumu izmaksas pārsniegs 100 miljonus </w:t>
            </w:r>
            <w:proofErr w:type="spellStart"/>
            <w:r>
              <w:rPr>
                <w:rFonts w:ascii="Times New Roman" w:hAnsi="Times New Roman"/>
                <w:i/>
                <w:sz w:val="26"/>
                <w:szCs w:val="26"/>
              </w:rPr>
              <w:t>euro</w:t>
            </w:r>
            <w:proofErr w:type="spellEnd"/>
            <w:r>
              <w:rPr>
                <w:rFonts w:ascii="Times New Roman" w:hAnsi="Times New Roman"/>
                <w:sz w:val="26"/>
                <w:szCs w:val="26"/>
              </w:rPr>
              <w:t xml:space="preserve"> ekvivalentu latos un piemērojamā nodokļa atlaide pārsniegs 28 miljonus 125 tūkstošu </w:t>
            </w:r>
            <w:proofErr w:type="spellStart"/>
            <w:r>
              <w:rPr>
                <w:rFonts w:ascii="Times New Roman" w:hAnsi="Times New Roman"/>
                <w:i/>
                <w:sz w:val="26"/>
                <w:szCs w:val="26"/>
              </w:rPr>
              <w:t>euro</w:t>
            </w:r>
            <w:proofErr w:type="spellEnd"/>
            <w:r>
              <w:rPr>
                <w:rFonts w:ascii="Times New Roman" w:hAnsi="Times New Roman"/>
                <w:sz w:val="26"/>
                <w:szCs w:val="26"/>
              </w:rPr>
              <w:t xml:space="preserve"> ekvivalentu latos, par plānoto lielo atbalstāmo investīciju projektu, Ekonomikas ministrijai atsevišķi jāpaziņo Eiropas Komisijai atbilstoši Komisijas regulas Nr.800/2008 6.panta 2.punktam. </w:t>
            </w:r>
          </w:p>
        </w:tc>
      </w:tr>
      <w:tr w:rsidR="00CB1130" w:rsidRPr="00563E58" w:rsidTr="004D26EA">
        <w:tblPrEx>
          <w:tblLook w:val="04A0" w:firstRow="1" w:lastRow="0" w:firstColumn="1" w:lastColumn="0" w:noHBand="0" w:noVBand="1"/>
        </w:tblPrEx>
        <w:trPr>
          <w:trHeight w:val="328"/>
          <w:tblCellSpacing w:w="0" w:type="dxa"/>
        </w:trPr>
        <w:tc>
          <w:tcPr>
            <w:tcW w:w="2514" w:type="dxa"/>
            <w:gridSpan w:val="6"/>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Cita informācija</w:t>
            </w:r>
          </w:p>
        </w:tc>
        <w:tc>
          <w:tcPr>
            <w:tcW w:w="6725" w:type="dxa"/>
            <w:gridSpan w:val="16"/>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xml:space="preserve">  Nav</w:t>
            </w:r>
          </w:p>
        </w:tc>
      </w:tr>
      <w:tr w:rsidR="00CB1130" w:rsidRPr="00563E58" w:rsidTr="004D26EA">
        <w:tblPrEx>
          <w:tblLook w:val="04A0" w:firstRow="1" w:lastRow="0" w:firstColumn="1" w:lastColumn="0" w:noHBand="0" w:noVBand="1"/>
        </w:tblPrEx>
        <w:trPr>
          <w:trHeight w:val="328"/>
          <w:tblCellSpacing w:w="0" w:type="dxa"/>
        </w:trPr>
        <w:tc>
          <w:tcPr>
            <w:tcW w:w="9239" w:type="dxa"/>
            <w:gridSpan w:val="22"/>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125" w:after="125"/>
              <w:jc w:val="center"/>
              <w:rPr>
                <w:rFonts w:ascii="Times New Roman" w:hAnsi="Times New Roman"/>
                <w:b/>
                <w:bCs/>
                <w:sz w:val="26"/>
                <w:szCs w:val="26"/>
              </w:rPr>
            </w:pPr>
            <w:r w:rsidRPr="006B7FF4">
              <w:rPr>
                <w:rFonts w:ascii="Times New Roman" w:hAnsi="Times New Roman"/>
                <w:b/>
                <w:bCs/>
                <w:sz w:val="26"/>
                <w:szCs w:val="26"/>
              </w:rPr>
              <w:t>2.tabula</w:t>
            </w:r>
          </w:p>
          <w:p w:rsidR="00CB1130" w:rsidRPr="006B7FF4" w:rsidRDefault="00CB1130" w:rsidP="004D26EA">
            <w:pPr>
              <w:spacing w:before="125" w:after="125"/>
              <w:jc w:val="center"/>
              <w:rPr>
                <w:rFonts w:ascii="Times New Roman" w:hAnsi="Times New Roman"/>
                <w:b/>
                <w:bCs/>
                <w:sz w:val="26"/>
                <w:szCs w:val="26"/>
              </w:rPr>
            </w:pPr>
            <w:r w:rsidRPr="006B7FF4">
              <w:rPr>
                <w:rFonts w:ascii="Times New Roman" w:hAnsi="Times New Roman"/>
                <w:b/>
                <w:bCs/>
                <w:sz w:val="26"/>
                <w:szCs w:val="26"/>
              </w:rPr>
              <w:t>Ar tiesību akta projektu uzņemtās saistības, kas izriet no starptautiskajiem tiesību aktiem vai starptautiskas institūcijas vai organizācijas dokumentiem</w:t>
            </w:r>
          </w:p>
          <w:p w:rsidR="00CB1130" w:rsidRPr="006B7FF4" w:rsidRDefault="00CB1130" w:rsidP="004D26EA">
            <w:pPr>
              <w:spacing w:before="63" w:after="63"/>
              <w:rPr>
                <w:rFonts w:ascii="Times New Roman" w:hAnsi="Times New Roman"/>
                <w:sz w:val="26"/>
                <w:szCs w:val="26"/>
              </w:rPr>
            </w:pPr>
            <w:r w:rsidRPr="006B7FF4">
              <w:rPr>
                <w:rFonts w:ascii="Times New Roman" w:hAnsi="Times New Roman"/>
                <w:b/>
                <w:bCs/>
                <w:sz w:val="26"/>
                <w:szCs w:val="26"/>
              </w:rPr>
              <w:t>Pasākumi šo saistību izpildei</w:t>
            </w:r>
          </w:p>
        </w:tc>
      </w:tr>
      <w:tr w:rsidR="00CB1130" w:rsidRPr="00563E58" w:rsidTr="004D26EA">
        <w:tblPrEx>
          <w:tblLook w:val="04A0" w:firstRow="1" w:lastRow="0" w:firstColumn="1" w:lastColumn="0" w:noHBand="0" w:noVBand="1"/>
        </w:tblPrEx>
        <w:trPr>
          <w:trHeight w:val="328"/>
          <w:tblCellSpacing w:w="0" w:type="dxa"/>
        </w:trPr>
        <w:tc>
          <w:tcPr>
            <w:tcW w:w="2687" w:type="dxa"/>
            <w:gridSpan w:val="9"/>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lastRenderedPageBreak/>
              <w:t> Attiecīgā starptautiskā tiesību akta vai starptautiskas institūcijas vai organizācijas dokumenta (turpmāk – starptautiskais dokuments) datums, numurs un nosaukums</w:t>
            </w:r>
          </w:p>
        </w:tc>
        <w:tc>
          <w:tcPr>
            <w:tcW w:w="6552" w:type="dxa"/>
            <w:gridSpan w:val="13"/>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Nav attiecināms</w:t>
            </w:r>
          </w:p>
        </w:tc>
      </w:tr>
      <w:tr w:rsidR="00CB1130" w:rsidRPr="00563E58" w:rsidTr="004D26EA">
        <w:tblPrEx>
          <w:tblLook w:val="04A0" w:firstRow="1" w:lastRow="0" w:firstColumn="1" w:lastColumn="0" w:noHBand="0" w:noVBand="1"/>
        </w:tblPrEx>
        <w:trPr>
          <w:trHeight w:val="328"/>
          <w:tblCellSpacing w:w="0" w:type="dxa"/>
        </w:trPr>
        <w:tc>
          <w:tcPr>
            <w:tcW w:w="2687" w:type="dxa"/>
            <w:gridSpan w:val="9"/>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jc w:val="center"/>
              <w:rPr>
                <w:rFonts w:ascii="Times New Roman" w:hAnsi="Times New Roman"/>
                <w:sz w:val="26"/>
                <w:szCs w:val="26"/>
              </w:rPr>
            </w:pPr>
            <w:r w:rsidRPr="006B7FF4">
              <w:rPr>
                <w:rFonts w:ascii="Times New Roman" w:hAnsi="Times New Roman"/>
                <w:sz w:val="26"/>
                <w:szCs w:val="26"/>
              </w:rPr>
              <w:t> A</w:t>
            </w:r>
          </w:p>
        </w:tc>
        <w:tc>
          <w:tcPr>
            <w:tcW w:w="2789" w:type="dxa"/>
            <w:gridSpan w:val="5"/>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jc w:val="center"/>
              <w:rPr>
                <w:rFonts w:ascii="Times New Roman" w:hAnsi="Times New Roman"/>
                <w:sz w:val="26"/>
                <w:szCs w:val="26"/>
              </w:rPr>
            </w:pPr>
            <w:r w:rsidRPr="006B7FF4">
              <w:rPr>
                <w:rFonts w:ascii="Times New Roman" w:hAnsi="Times New Roman"/>
                <w:sz w:val="26"/>
                <w:szCs w:val="26"/>
              </w:rPr>
              <w:t> B</w:t>
            </w:r>
          </w:p>
        </w:tc>
        <w:tc>
          <w:tcPr>
            <w:tcW w:w="3763" w:type="dxa"/>
            <w:gridSpan w:val="8"/>
            <w:tcBorders>
              <w:top w:val="outset" w:sz="6" w:space="0" w:color="auto"/>
              <w:left w:val="outset" w:sz="6" w:space="0" w:color="auto"/>
              <w:bottom w:val="outset" w:sz="6" w:space="0" w:color="auto"/>
              <w:right w:val="outset" w:sz="6" w:space="0" w:color="808080"/>
            </w:tcBorders>
            <w:vAlign w:val="center"/>
          </w:tcPr>
          <w:p w:rsidR="00CB1130" w:rsidRPr="006B7FF4" w:rsidRDefault="00CB1130" w:rsidP="004D26EA">
            <w:pPr>
              <w:spacing w:before="63" w:after="63"/>
              <w:jc w:val="center"/>
              <w:rPr>
                <w:rFonts w:ascii="Times New Roman" w:hAnsi="Times New Roman"/>
                <w:sz w:val="26"/>
                <w:szCs w:val="26"/>
              </w:rPr>
            </w:pPr>
            <w:r w:rsidRPr="006B7FF4">
              <w:rPr>
                <w:rFonts w:ascii="Times New Roman" w:hAnsi="Times New Roman"/>
                <w:sz w:val="26"/>
                <w:szCs w:val="26"/>
              </w:rPr>
              <w:t> C</w:t>
            </w:r>
          </w:p>
        </w:tc>
      </w:tr>
      <w:tr w:rsidR="00CB1130" w:rsidRPr="00563E58" w:rsidTr="004D26EA">
        <w:tblPrEx>
          <w:tblLook w:val="04A0" w:firstRow="1" w:lastRow="0" w:firstColumn="1" w:lastColumn="0" w:noHBand="0" w:noVBand="1"/>
        </w:tblPrEx>
        <w:trPr>
          <w:trHeight w:val="328"/>
          <w:tblCellSpacing w:w="0" w:type="dxa"/>
        </w:trPr>
        <w:tc>
          <w:tcPr>
            <w:tcW w:w="2687" w:type="dxa"/>
            <w:gridSpan w:val="9"/>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Starptautiskās saistības (pēc būtības), kas izriet no norādītā starptautiskā dokumenta.</w:t>
            </w:r>
          </w:p>
          <w:p w:rsidR="00CB1130" w:rsidRPr="006B7FF4" w:rsidRDefault="00CB1130" w:rsidP="004D26EA">
            <w:pPr>
              <w:spacing w:before="63" w:after="63"/>
              <w:rPr>
                <w:rFonts w:ascii="Times New Roman" w:hAnsi="Times New Roman"/>
                <w:sz w:val="26"/>
                <w:szCs w:val="26"/>
              </w:rPr>
            </w:pPr>
          </w:p>
        </w:tc>
        <w:tc>
          <w:tcPr>
            <w:tcW w:w="2789" w:type="dxa"/>
            <w:gridSpan w:val="5"/>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Ja pasākumi vai uzdevumi, ar ko tiks izpildītas starptautiskās saistības, tiek noteikti projektā, norāda attiecīgo projekta vienību.</w:t>
            </w:r>
          </w:p>
          <w:p w:rsidR="00CB1130" w:rsidRPr="006B7FF4" w:rsidRDefault="00CB1130" w:rsidP="004D26EA">
            <w:pPr>
              <w:spacing w:before="63" w:after="63"/>
              <w:rPr>
                <w:rFonts w:ascii="Times New Roman" w:hAnsi="Times New Roman"/>
                <w:sz w:val="26"/>
                <w:szCs w:val="26"/>
              </w:rPr>
            </w:pPr>
          </w:p>
        </w:tc>
        <w:tc>
          <w:tcPr>
            <w:tcW w:w="3763" w:type="dxa"/>
            <w:gridSpan w:val="8"/>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Informācija par to, vai starptautiskās saistības, kas minētas šīs tabulas A ailē, tiek izpildītas pilnībā vai daļēji.</w:t>
            </w:r>
          </w:p>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w:t>
            </w:r>
          </w:p>
          <w:p w:rsidR="00CB1130" w:rsidRPr="006B7FF4" w:rsidRDefault="00CB1130" w:rsidP="004D26EA">
            <w:pPr>
              <w:spacing w:before="63" w:after="63"/>
              <w:rPr>
                <w:rFonts w:ascii="Times New Roman" w:hAnsi="Times New Roman"/>
                <w:sz w:val="26"/>
                <w:szCs w:val="26"/>
              </w:rPr>
            </w:pPr>
          </w:p>
        </w:tc>
      </w:tr>
      <w:tr w:rsidR="00CB1130" w:rsidRPr="00563E58" w:rsidTr="004D26EA">
        <w:tblPrEx>
          <w:tblLook w:val="04A0" w:firstRow="1" w:lastRow="0" w:firstColumn="1" w:lastColumn="0" w:noHBand="0" w:noVBand="1"/>
        </w:tblPrEx>
        <w:trPr>
          <w:trHeight w:val="328"/>
          <w:tblCellSpacing w:w="0" w:type="dxa"/>
        </w:trPr>
        <w:tc>
          <w:tcPr>
            <w:tcW w:w="2687" w:type="dxa"/>
            <w:gridSpan w:val="9"/>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Nav attiecināms</w:t>
            </w:r>
          </w:p>
        </w:tc>
        <w:tc>
          <w:tcPr>
            <w:tcW w:w="2789" w:type="dxa"/>
            <w:gridSpan w:val="5"/>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Nav attiecināms</w:t>
            </w:r>
          </w:p>
        </w:tc>
        <w:tc>
          <w:tcPr>
            <w:tcW w:w="3763" w:type="dxa"/>
            <w:gridSpan w:val="8"/>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Nav attiecināms</w:t>
            </w:r>
          </w:p>
        </w:tc>
      </w:tr>
      <w:tr w:rsidR="00CB1130" w:rsidRPr="00563E58" w:rsidTr="004D26EA">
        <w:tblPrEx>
          <w:tblLook w:val="04A0" w:firstRow="1" w:lastRow="0" w:firstColumn="1" w:lastColumn="0" w:noHBand="0" w:noVBand="1"/>
        </w:tblPrEx>
        <w:trPr>
          <w:trHeight w:val="328"/>
          <w:tblCellSpacing w:w="0" w:type="dxa"/>
        </w:trPr>
        <w:tc>
          <w:tcPr>
            <w:tcW w:w="2687" w:type="dxa"/>
            <w:gridSpan w:val="9"/>
            <w:tcBorders>
              <w:top w:val="outset" w:sz="6" w:space="0" w:color="auto"/>
              <w:left w:val="outset" w:sz="6" w:space="0" w:color="auto"/>
              <w:bottom w:val="outset" w:sz="6" w:space="0" w:color="auto"/>
              <w:right w:val="outset" w:sz="6" w:space="0" w:color="auto"/>
            </w:tcBorders>
            <w:vAlign w:val="center"/>
          </w:tcPr>
          <w:p w:rsidR="00CB1130" w:rsidRPr="006B7FF4" w:rsidRDefault="00CB1130" w:rsidP="004D26EA">
            <w:pPr>
              <w:spacing w:before="63" w:after="63" w:line="161" w:lineRule="atLeast"/>
              <w:rPr>
                <w:rFonts w:ascii="Times New Roman" w:hAnsi="Times New Roman"/>
                <w:sz w:val="26"/>
                <w:szCs w:val="26"/>
              </w:rPr>
            </w:pPr>
            <w:r w:rsidRPr="006B7FF4">
              <w:rPr>
                <w:rFonts w:ascii="Times New Roman" w:hAnsi="Times New Roman"/>
                <w:sz w:val="26"/>
                <w:szCs w:val="26"/>
              </w:rPr>
              <w:t> Vai starptautiskajā dokumentā paredzētās saistības nav pretrunā ar jau esošajām Latvijas Republikas starptautiskajām saistībām</w:t>
            </w:r>
          </w:p>
        </w:tc>
        <w:tc>
          <w:tcPr>
            <w:tcW w:w="6552" w:type="dxa"/>
            <w:gridSpan w:val="13"/>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63" w:after="63" w:line="161" w:lineRule="atLeast"/>
              <w:rPr>
                <w:rFonts w:ascii="Times New Roman" w:hAnsi="Times New Roman"/>
                <w:sz w:val="26"/>
                <w:szCs w:val="26"/>
              </w:rPr>
            </w:pPr>
            <w:r w:rsidRPr="006B7FF4">
              <w:rPr>
                <w:rFonts w:ascii="Times New Roman" w:hAnsi="Times New Roman"/>
                <w:sz w:val="26"/>
                <w:szCs w:val="26"/>
              </w:rPr>
              <w:t>Dokumentā minētās saistības nav pretrunā.</w:t>
            </w:r>
          </w:p>
        </w:tc>
      </w:tr>
      <w:tr w:rsidR="00CB1130" w:rsidRPr="00563E58" w:rsidTr="004D26EA">
        <w:tblPrEx>
          <w:tblLook w:val="04A0" w:firstRow="1" w:lastRow="0" w:firstColumn="1" w:lastColumn="0" w:noHBand="0" w:noVBand="1"/>
        </w:tblPrEx>
        <w:trPr>
          <w:trHeight w:val="328"/>
          <w:tblCellSpacing w:w="0" w:type="dxa"/>
        </w:trPr>
        <w:tc>
          <w:tcPr>
            <w:tcW w:w="2687" w:type="dxa"/>
            <w:gridSpan w:val="9"/>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63" w:after="63"/>
              <w:rPr>
                <w:rFonts w:ascii="Times New Roman" w:hAnsi="Times New Roman"/>
                <w:sz w:val="26"/>
                <w:szCs w:val="26"/>
              </w:rPr>
            </w:pPr>
            <w:r w:rsidRPr="006B7FF4">
              <w:rPr>
                <w:rFonts w:ascii="Times New Roman" w:hAnsi="Times New Roman"/>
                <w:sz w:val="26"/>
                <w:szCs w:val="26"/>
              </w:rPr>
              <w:t> Cita informācija</w:t>
            </w:r>
          </w:p>
        </w:tc>
        <w:tc>
          <w:tcPr>
            <w:tcW w:w="6552" w:type="dxa"/>
            <w:gridSpan w:val="13"/>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63" w:after="63"/>
              <w:jc w:val="both"/>
              <w:rPr>
                <w:rFonts w:ascii="Times New Roman" w:hAnsi="Times New Roman"/>
                <w:sz w:val="26"/>
                <w:szCs w:val="26"/>
              </w:rPr>
            </w:pPr>
            <w:r w:rsidRPr="006B7FF4">
              <w:rPr>
                <w:rFonts w:ascii="Times New Roman" w:hAnsi="Times New Roman"/>
                <w:sz w:val="26"/>
                <w:szCs w:val="26"/>
              </w:rPr>
              <w:t>Nav</w:t>
            </w:r>
          </w:p>
        </w:tc>
      </w:tr>
      <w:tr w:rsidR="00CB1130" w:rsidRPr="00563E58" w:rsidTr="004D26EA">
        <w:tblPrEx>
          <w:tblLook w:val="04A0" w:firstRow="1" w:lastRow="0" w:firstColumn="1" w:lastColumn="0" w:noHBand="0" w:noVBand="1"/>
        </w:tblPrEx>
        <w:trPr>
          <w:trHeight w:val="328"/>
          <w:tblCellSpacing w:w="0" w:type="dxa"/>
        </w:trPr>
        <w:tc>
          <w:tcPr>
            <w:tcW w:w="9239" w:type="dxa"/>
            <w:gridSpan w:val="22"/>
            <w:tcBorders>
              <w:top w:val="outset" w:sz="6" w:space="0" w:color="auto"/>
              <w:left w:val="outset" w:sz="6" w:space="0" w:color="auto"/>
              <w:bottom w:val="outset" w:sz="6" w:space="0" w:color="auto"/>
              <w:right w:val="outset" w:sz="6" w:space="0" w:color="808080"/>
            </w:tcBorders>
          </w:tcPr>
          <w:p w:rsidR="00CB1130" w:rsidRPr="006B7FF4" w:rsidRDefault="00CB1130" w:rsidP="004D26EA">
            <w:pPr>
              <w:jc w:val="center"/>
              <w:rPr>
                <w:rFonts w:ascii="Times New Roman" w:hAnsi="Times New Roman"/>
                <w:sz w:val="26"/>
                <w:szCs w:val="26"/>
              </w:rPr>
            </w:pPr>
            <w:r w:rsidRPr="006B7FF4">
              <w:rPr>
                <w:rFonts w:ascii="Times New Roman" w:hAnsi="Times New Roman"/>
                <w:b/>
                <w:bCs/>
                <w:sz w:val="26"/>
                <w:szCs w:val="26"/>
              </w:rPr>
              <w:t>VI. Sabiedrības līdzdalība un šīs līdzdalības rezultāti</w:t>
            </w:r>
          </w:p>
        </w:tc>
      </w:tr>
      <w:tr w:rsidR="00CB1130" w:rsidRPr="00563E58" w:rsidTr="004D26EA">
        <w:tblPrEx>
          <w:tblLook w:val="04A0" w:firstRow="1" w:lastRow="0" w:firstColumn="1" w:lastColumn="0" w:noHBand="0" w:noVBand="1"/>
        </w:tblPrEx>
        <w:trPr>
          <w:trHeight w:val="328"/>
          <w:tblCellSpacing w:w="0" w:type="dxa"/>
        </w:trPr>
        <w:tc>
          <w:tcPr>
            <w:tcW w:w="9239" w:type="dxa"/>
            <w:gridSpan w:val="22"/>
            <w:tcBorders>
              <w:top w:val="outset" w:sz="6" w:space="0" w:color="auto"/>
              <w:left w:val="outset" w:sz="6" w:space="0" w:color="auto"/>
              <w:bottom w:val="outset" w:sz="6" w:space="0" w:color="auto"/>
              <w:right w:val="outset" w:sz="6" w:space="0" w:color="808080"/>
            </w:tcBorders>
          </w:tcPr>
          <w:p w:rsidR="00CB1130" w:rsidRPr="006B7FF4" w:rsidRDefault="00CB1130" w:rsidP="004D26EA">
            <w:pPr>
              <w:jc w:val="center"/>
              <w:rPr>
                <w:rFonts w:ascii="Times New Roman" w:hAnsi="Times New Roman"/>
                <w:b/>
                <w:bCs/>
                <w:sz w:val="26"/>
                <w:szCs w:val="26"/>
              </w:rPr>
            </w:pPr>
            <w:r w:rsidRPr="00E36EE6">
              <w:rPr>
                <w:rFonts w:ascii="Times New Roman" w:hAnsi="Times New Roman"/>
                <w:sz w:val="26"/>
                <w:szCs w:val="26"/>
              </w:rPr>
              <w:t>Nav attiecināms.</w:t>
            </w:r>
          </w:p>
        </w:tc>
      </w:tr>
      <w:tr w:rsidR="00CB1130" w:rsidRPr="00563E58" w:rsidTr="004D26EA">
        <w:tblPrEx>
          <w:tblLook w:val="04A0" w:firstRow="1" w:lastRow="0" w:firstColumn="1" w:lastColumn="0" w:noHBand="0" w:noVBand="1"/>
        </w:tblPrEx>
        <w:trPr>
          <w:trHeight w:val="328"/>
          <w:tblCellSpacing w:w="0" w:type="dxa"/>
        </w:trPr>
        <w:tc>
          <w:tcPr>
            <w:tcW w:w="9239" w:type="dxa"/>
            <w:gridSpan w:val="22"/>
            <w:tcBorders>
              <w:top w:val="outset" w:sz="6" w:space="0" w:color="auto"/>
              <w:left w:val="outset" w:sz="6" w:space="0" w:color="auto"/>
              <w:bottom w:val="outset" w:sz="6" w:space="0" w:color="auto"/>
              <w:right w:val="outset" w:sz="6" w:space="0" w:color="808080"/>
            </w:tcBorders>
          </w:tcPr>
          <w:p w:rsidR="00CB1130" w:rsidRPr="00E36EE6" w:rsidRDefault="00CB1130" w:rsidP="004D26EA">
            <w:pPr>
              <w:jc w:val="center"/>
              <w:rPr>
                <w:rFonts w:ascii="Times New Roman" w:hAnsi="Times New Roman"/>
                <w:sz w:val="26"/>
                <w:szCs w:val="26"/>
              </w:rPr>
            </w:pPr>
            <w:r w:rsidRPr="006B7FF4">
              <w:rPr>
                <w:rFonts w:ascii="Times New Roman" w:hAnsi="Times New Roman"/>
                <w:b/>
                <w:bCs/>
                <w:sz w:val="26"/>
                <w:szCs w:val="26"/>
              </w:rPr>
              <w:t>VII. Tiesību akta projekta izpildes nodrošināšana un tās ietekme uz institūcijām</w:t>
            </w:r>
          </w:p>
        </w:tc>
      </w:tr>
      <w:tr w:rsidR="00CB1130" w:rsidRPr="00563E58" w:rsidTr="004D26EA">
        <w:tblPrEx>
          <w:tblLook w:val="04A0" w:firstRow="1" w:lastRow="0" w:firstColumn="1" w:lastColumn="0" w:noHBand="0" w:noVBand="1"/>
        </w:tblPrEx>
        <w:trPr>
          <w:trHeight w:val="328"/>
          <w:tblCellSpacing w:w="0" w:type="dxa"/>
        </w:trPr>
        <w:tc>
          <w:tcPr>
            <w:tcW w:w="2582" w:type="dxa"/>
            <w:gridSpan w:val="7"/>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1.</w:t>
            </w:r>
          </w:p>
        </w:tc>
        <w:tc>
          <w:tcPr>
            <w:tcW w:w="3544" w:type="dxa"/>
            <w:gridSpan w:val="11"/>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Projekta izpildē iesaistītās institūcijas</w:t>
            </w:r>
          </w:p>
        </w:tc>
        <w:tc>
          <w:tcPr>
            <w:tcW w:w="3113" w:type="dxa"/>
            <w:gridSpan w:val="4"/>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Valsts ieņēmumu dienests un Ekonomikas ministrija</w:t>
            </w:r>
          </w:p>
        </w:tc>
      </w:tr>
      <w:tr w:rsidR="00CB1130" w:rsidRPr="00563E58" w:rsidTr="004D26EA">
        <w:tblPrEx>
          <w:tblLook w:val="04A0" w:firstRow="1" w:lastRow="0" w:firstColumn="1" w:lastColumn="0" w:noHBand="0" w:noVBand="1"/>
        </w:tblPrEx>
        <w:trPr>
          <w:trHeight w:val="328"/>
          <w:tblCellSpacing w:w="0" w:type="dxa"/>
        </w:trPr>
        <w:tc>
          <w:tcPr>
            <w:tcW w:w="2582" w:type="dxa"/>
            <w:gridSpan w:val="7"/>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2.</w:t>
            </w:r>
          </w:p>
        </w:tc>
        <w:tc>
          <w:tcPr>
            <w:tcW w:w="3544" w:type="dxa"/>
            <w:gridSpan w:val="11"/>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Projekta izpildes ietekme uz pārvaldes funkcijām</w:t>
            </w:r>
          </w:p>
        </w:tc>
        <w:tc>
          <w:tcPr>
            <w:tcW w:w="3113" w:type="dxa"/>
            <w:gridSpan w:val="4"/>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 xml:space="preserve">Ekonomikas ministrijai </w:t>
            </w:r>
            <w:r>
              <w:rPr>
                <w:rFonts w:ascii="Times New Roman" w:hAnsi="Times New Roman"/>
                <w:sz w:val="26"/>
                <w:szCs w:val="26"/>
              </w:rPr>
              <w:t xml:space="preserve">turpinās </w:t>
            </w:r>
            <w:r w:rsidRPr="006B7FF4">
              <w:rPr>
                <w:rFonts w:ascii="Times New Roman" w:hAnsi="Times New Roman"/>
                <w:sz w:val="26"/>
                <w:szCs w:val="26"/>
              </w:rPr>
              <w:t>vērtē</w:t>
            </w:r>
            <w:r>
              <w:rPr>
                <w:rFonts w:ascii="Times New Roman" w:hAnsi="Times New Roman"/>
                <w:sz w:val="26"/>
                <w:szCs w:val="26"/>
              </w:rPr>
              <w:t>t</w:t>
            </w:r>
            <w:r w:rsidRPr="006B7FF4">
              <w:rPr>
                <w:rFonts w:ascii="Times New Roman" w:hAnsi="Times New Roman"/>
                <w:sz w:val="26"/>
                <w:szCs w:val="26"/>
              </w:rPr>
              <w:t xml:space="preserve"> atbalstāmā investīciju projekta ietekmi uz valsts ekonomiku, kā arī to, vai projekts</w:t>
            </w:r>
            <w:r>
              <w:rPr>
                <w:rFonts w:ascii="Times New Roman" w:hAnsi="Times New Roman"/>
                <w:sz w:val="26"/>
                <w:szCs w:val="26"/>
              </w:rPr>
              <w:t>,</w:t>
            </w:r>
            <w:r w:rsidRPr="00EB076A">
              <w:rPr>
                <w:sz w:val="28"/>
                <w:szCs w:val="28"/>
              </w:rPr>
              <w:t xml:space="preserve"> </w:t>
            </w:r>
            <w:r w:rsidRPr="00365FAE">
              <w:rPr>
                <w:rFonts w:ascii="Times New Roman" w:hAnsi="Times New Roman"/>
                <w:sz w:val="26"/>
                <w:szCs w:val="26"/>
              </w:rPr>
              <w:t xml:space="preserve">kura sākotnējo </w:t>
            </w:r>
            <w:r w:rsidRPr="00365FAE">
              <w:rPr>
                <w:rFonts w:ascii="Times New Roman" w:hAnsi="Times New Roman"/>
                <w:sz w:val="26"/>
                <w:szCs w:val="26"/>
              </w:rPr>
              <w:lastRenderedPageBreak/>
              <w:t>ilgtermiņa ieguldījumu summa pārsniedz 35 miljonus latu, neradīs konkurences ierobežojumus.</w:t>
            </w:r>
            <w:r w:rsidRPr="006B7FF4">
              <w:rPr>
                <w:rFonts w:ascii="Times New Roman" w:hAnsi="Times New Roman"/>
                <w:sz w:val="26"/>
                <w:szCs w:val="26"/>
              </w:rPr>
              <w:t xml:space="preserve"> </w:t>
            </w:r>
          </w:p>
        </w:tc>
      </w:tr>
      <w:tr w:rsidR="00CB1130" w:rsidRPr="00563E58" w:rsidTr="004D26EA">
        <w:tblPrEx>
          <w:tblLook w:val="04A0" w:firstRow="1" w:lastRow="0" w:firstColumn="1" w:lastColumn="0" w:noHBand="0" w:noVBand="1"/>
        </w:tblPrEx>
        <w:trPr>
          <w:trHeight w:val="328"/>
          <w:tblCellSpacing w:w="0" w:type="dxa"/>
        </w:trPr>
        <w:tc>
          <w:tcPr>
            <w:tcW w:w="2642" w:type="dxa"/>
            <w:gridSpan w:val="8"/>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lastRenderedPageBreak/>
              <w:t>3.</w:t>
            </w:r>
          </w:p>
        </w:tc>
        <w:tc>
          <w:tcPr>
            <w:tcW w:w="3420" w:type="dxa"/>
            <w:gridSpan w:val="9"/>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Projekta izpildes ietekme uz pārvaldes institucionālo struktūru.</w:t>
            </w:r>
          </w:p>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Jaunu institūciju izveide</w:t>
            </w:r>
          </w:p>
        </w:tc>
        <w:tc>
          <w:tcPr>
            <w:tcW w:w="3177" w:type="dxa"/>
            <w:gridSpan w:val="5"/>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Nav attiecināms.</w:t>
            </w:r>
          </w:p>
        </w:tc>
      </w:tr>
      <w:tr w:rsidR="00CB1130" w:rsidRPr="00563E58" w:rsidTr="004D26EA">
        <w:tblPrEx>
          <w:tblLook w:val="04A0" w:firstRow="1" w:lastRow="0" w:firstColumn="1" w:lastColumn="0" w:noHBand="0" w:noVBand="1"/>
        </w:tblPrEx>
        <w:trPr>
          <w:trHeight w:val="328"/>
          <w:tblCellSpacing w:w="0" w:type="dxa"/>
        </w:trPr>
        <w:tc>
          <w:tcPr>
            <w:tcW w:w="2642" w:type="dxa"/>
            <w:gridSpan w:val="8"/>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4.</w:t>
            </w:r>
          </w:p>
        </w:tc>
        <w:tc>
          <w:tcPr>
            <w:tcW w:w="3420" w:type="dxa"/>
            <w:gridSpan w:val="9"/>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Projekta izpildes ietekme uz pārvaldes institucionālo struktūru.</w:t>
            </w:r>
          </w:p>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Esošu institūciju likvidācija</w:t>
            </w:r>
          </w:p>
        </w:tc>
        <w:tc>
          <w:tcPr>
            <w:tcW w:w="3177" w:type="dxa"/>
            <w:gridSpan w:val="5"/>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Nav attiecināms.</w:t>
            </w:r>
          </w:p>
        </w:tc>
      </w:tr>
      <w:tr w:rsidR="00CB1130" w:rsidRPr="00563E58" w:rsidTr="004D26EA">
        <w:tblPrEx>
          <w:tblLook w:val="04A0" w:firstRow="1" w:lastRow="0" w:firstColumn="1" w:lastColumn="0" w:noHBand="0" w:noVBand="1"/>
        </w:tblPrEx>
        <w:trPr>
          <w:trHeight w:val="328"/>
          <w:tblCellSpacing w:w="0" w:type="dxa"/>
        </w:trPr>
        <w:tc>
          <w:tcPr>
            <w:tcW w:w="2642" w:type="dxa"/>
            <w:gridSpan w:val="8"/>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5.</w:t>
            </w:r>
          </w:p>
        </w:tc>
        <w:tc>
          <w:tcPr>
            <w:tcW w:w="3420" w:type="dxa"/>
            <w:gridSpan w:val="9"/>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Projekta izpildes ietekme uz pārvaldes institucionālo struktūru.</w:t>
            </w:r>
          </w:p>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Esošu institūciju reorganizācija</w:t>
            </w:r>
          </w:p>
        </w:tc>
        <w:tc>
          <w:tcPr>
            <w:tcW w:w="3177" w:type="dxa"/>
            <w:gridSpan w:val="5"/>
            <w:tcBorders>
              <w:top w:val="outset" w:sz="6" w:space="0" w:color="auto"/>
              <w:left w:val="outset" w:sz="6" w:space="0" w:color="auto"/>
              <w:bottom w:val="outset" w:sz="6" w:space="0" w:color="auto"/>
              <w:right w:val="outset" w:sz="6" w:space="0" w:color="808080"/>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Nav attiecināms.</w:t>
            </w:r>
          </w:p>
        </w:tc>
      </w:tr>
      <w:tr w:rsidR="00CB1130" w:rsidRPr="00563E58" w:rsidTr="004D26EA">
        <w:tblPrEx>
          <w:tblLook w:val="04A0" w:firstRow="1" w:lastRow="0" w:firstColumn="1" w:lastColumn="0" w:noHBand="0" w:noVBand="1"/>
        </w:tblPrEx>
        <w:trPr>
          <w:trHeight w:val="328"/>
          <w:tblCellSpacing w:w="0" w:type="dxa"/>
        </w:trPr>
        <w:tc>
          <w:tcPr>
            <w:tcW w:w="2642" w:type="dxa"/>
            <w:gridSpan w:val="8"/>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6.</w:t>
            </w:r>
          </w:p>
        </w:tc>
        <w:tc>
          <w:tcPr>
            <w:tcW w:w="3420" w:type="dxa"/>
            <w:gridSpan w:val="9"/>
            <w:tcBorders>
              <w:top w:val="outset" w:sz="6" w:space="0" w:color="auto"/>
              <w:left w:val="outset" w:sz="6" w:space="0" w:color="auto"/>
              <w:bottom w:val="outset" w:sz="6" w:space="0" w:color="auto"/>
              <w:right w:val="outset" w:sz="6" w:space="0" w:color="auto"/>
            </w:tcBorders>
          </w:tcPr>
          <w:p w:rsidR="00CB1130" w:rsidRPr="006B7FF4" w:rsidRDefault="00CB1130" w:rsidP="004D26EA">
            <w:pPr>
              <w:spacing w:before="100" w:beforeAutospacing="1" w:after="100" w:afterAutospacing="1"/>
              <w:jc w:val="both"/>
              <w:rPr>
                <w:rFonts w:ascii="Times New Roman" w:hAnsi="Times New Roman"/>
                <w:sz w:val="26"/>
                <w:szCs w:val="26"/>
              </w:rPr>
            </w:pPr>
            <w:r w:rsidRPr="006B7FF4">
              <w:rPr>
                <w:rFonts w:ascii="Times New Roman" w:hAnsi="Times New Roman"/>
                <w:sz w:val="26"/>
                <w:szCs w:val="26"/>
              </w:rPr>
              <w:t>Cita informācija</w:t>
            </w:r>
          </w:p>
        </w:tc>
        <w:tc>
          <w:tcPr>
            <w:tcW w:w="3177" w:type="dxa"/>
            <w:gridSpan w:val="5"/>
            <w:tcBorders>
              <w:top w:val="outset" w:sz="6" w:space="0" w:color="auto"/>
              <w:left w:val="outset" w:sz="6" w:space="0" w:color="auto"/>
              <w:bottom w:val="outset" w:sz="6" w:space="0" w:color="auto"/>
              <w:right w:val="outset" w:sz="6" w:space="0" w:color="808080"/>
            </w:tcBorders>
          </w:tcPr>
          <w:p w:rsidR="00CB1130" w:rsidRPr="006B7FF4" w:rsidRDefault="00CB1130" w:rsidP="004D26EA">
            <w:pPr>
              <w:rPr>
                <w:rFonts w:ascii="Times New Roman" w:hAnsi="Times New Roman"/>
                <w:sz w:val="26"/>
                <w:szCs w:val="26"/>
              </w:rPr>
            </w:pPr>
          </w:p>
        </w:tc>
      </w:tr>
    </w:tbl>
    <w:p w:rsidR="00CB1130" w:rsidRPr="00E36EE6" w:rsidRDefault="00CB1130" w:rsidP="00CB1130">
      <w:pPr>
        <w:pStyle w:val="NormalWeb"/>
        <w:tabs>
          <w:tab w:val="left" w:pos="6663"/>
        </w:tabs>
        <w:ind w:firstLine="567"/>
        <w:rPr>
          <w:sz w:val="26"/>
          <w:szCs w:val="26"/>
        </w:rPr>
      </w:pPr>
      <w:r w:rsidRPr="00E36EE6">
        <w:rPr>
          <w:sz w:val="26"/>
          <w:szCs w:val="26"/>
        </w:rPr>
        <w:t>Ministrs                                                                                    A.Vilks</w:t>
      </w:r>
    </w:p>
    <w:p w:rsidR="00CB1130" w:rsidRDefault="00CB1130" w:rsidP="00CB1130">
      <w:pPr>
        <w:spacing w:line="240" w:lineRule="auto"/>
        <w:contextualSpacing/>
        <w:rPr>
          <w:rFonts w:ascii="Times New Roman" w:hAnsi="Times New Roman"/>
          <w:sz w:val="26"/>
          <w:szCs w:val="26"/>
        </w:rPr>
      </w:pPr>
    </w:p>
    <w:p w:rsidR="00CB1130" w:rsidRDefault="00CB1130" w:rsidP="00CB1130">
      <w:pPr>
        <w:spacing w:line="240" w:lineRule="auto"/>
        <w:contextualSpacing/>
        <w:rPr>
          <w:rFonts w:ascii="Times New Roman" w:hAnsi="Times New Roman"/>
          <w:sz w:val="26"/>
          <w:szCs w:val="26"/>
        </w:rPr>
      </w:pPr>
    </w:p>
    <w:p w:rsidR="00CB1130" w:rsidRDefault="00CB1130" w:rsidP="00CB1130">
      <w:pPr>
        <w:spacing w:line="240" w:lineRule="auto"/>
        <w:contextualSpacing/>
        <w:rPr>
          <w:rFonts w:ascii="Times New Roman" w:hAnsi="Times New Roman"/>
          <w:sz w:val="26"/>
          <w:szCs w:val="26"/>
        </w:rPr>
      </w:pPr>
    </w:p>
    <w:p w:rsidR="00CB1130" w:rsidRDefault="00CB1130" w:rsidP="00CB1130">
      <w:pPr>
        <w:spacing w:line="240" w:lineRule="auto"/>
        <w:contextualSpacing/>
        <w:rPr>
          <w:rFonts w:ascii="Times New Roman" w:hAnsi="Times New Roman"/>
          <w:sz w:val="26"/>
          <w:szCs w:val="26"/>
        </w:rPr>
      </w:pPr>
    </w:p>
    <w:p w:rsidR="00CB1130" w:rsidRDefault="00CB1130" w:rsidP="00CB1130">
      <w:pPr>
        <w:spacing w:line="240" w:lineRule="auto"/>
        <w:contextualSpacing/>
        <w:rPr>
          <w:rFonts w:ascii="Times New Roman" w:hAnsi="Times New Roman"/>
          <w:sz w:val="26"/>
          <w:szCs w:val="26"/>
        </w:rPr>
      </w:pPr>
    </w:p>
    <w:p w:rsidR="00CB1130" w:rsidRDefault="00CB1130" w:rsidP="00CB1130">
      <w:pPr>
        <w:spacing w:line="240" w:lineRule="auto"/>
        <w:contextualSpacing/>
        <w:rPr>
          <w:rFonts w:ascii="Times New Roman" w:hAnsi="Times New Roman"/>
          <w:sz w:val="26"/>
          <w:szCs w:val="26"/>
        </w:rPr>
      </w:pPr>
    </w:p>
    <w:p w:rsidR="00CB1130" w:rsidRPr="00E36EE6" w:rsidRDefault="00CB1130" w:rsidP="00CB1130">
      <w:pPr>
        <w:spacing w:line="240" w:lineRule="auto"/>
        <w:contextualSpacing/>
        <w:rPr>
          <w:rFonts w:ascii="Times New Roman" w:hAnsi="Times New Roman"/>
          <w:sz w:val="26"/>
          <w:szCs w:val="26"/>
        </w:rPr>
      </w:pPr>
    </w:p>
    <w:p w:rsidR="00CB1130" w:rsidRPr="00E36EE6" w:rsidRDefault="00CB1130" w:rsidP="00CB1130">
      <w:pPr>
        <w:spacing w:line="240" w:lineRule="auto"/>
        <w:contextualSpacing/>
        <w:rPr>
          <w:rFonts w:ascii="Times New Roman" w:hAnsi="Times New Roman"/>
          <w:sz w:val="26"/>
          <w:szCs w:val="26"/>
        </w:rPr>
      </w:pPr>
    </w:p>
    <w:p w:rsidR="00CB1130" w:rsidRPr="007B1C8F" w:rsidRDefault="00CB1130" w:rsidP="00CB1130">
      <w:pPr>
        <w:spacing w:line="240" w:lineRule="auto"/>
        <w:contextualSpacing/>
        <w:rPr>
          <w:rFonts w:ascii="Times New Roman" w:hAnsi="Times New Roman"/>
          <w:sz w:val="24"/>
          <w:szCs w:val="24"/>
        </w:rPr>
      </w:pPr>
      <w:r>
        <w:rPr>
          <w:rFonts w:ascii="Times New Roman" w:hAnsi="Times New Roman"/>
          <w:sz w:val="24"/>
          <w:szCs w:val="24"/>
        </w:rPr>
        <w:t>1</w:t>
      </w:r>
      <w:r w:rsidR="00135AAE">
        <w:rPr>
          <w:rFonts w:ascii="Times New Roman" w:hAnsi="Times New Roman"/>
          <w:sz w:val="24"/>
          <w:szCs w:val="24"/>
        </w:rPr>
        <w:t>6</w:t>
      </w:r>
      <w:r w:rsidRPr="007B1C8F">
        <w:rPr>
          <w:rFonts w:ascii="Times New Roman" w:hAnsi="Times New Roman"/>
          <w:sz w:val="24"/>
          <w:szCs w:val="24"/>
        </w:rPr>
        <w:t>.1</w:t>
      </w:r>
      <w:r>
        <w:rPr>
          <w:rFonts w:ascii="Times New Roman" w:hAnsi="Times New Roman"/>
          <w:sz w:val="24"/>
          <w:szCs w:val="24"/>
        </w:rPr>
        <w:t>1</w:t>
      </w:r>
      <w:r w:rsidRPr="007B1C8F">
        <w:rPr>
          <w:rFonts w:ascii="Times New Roman" w:hAnsi="Times New Roman"/>
          <w:sz w:val="24"/>
          <w:szCs w:val="24"/>
        </w:rPr>
        <w:t>.2011. 10:09</w:t>
      </w:r>
    </w:p>
    <w:p w:rsidR="00CB1130" w:rsidRPr="007B1C8F" w:rsidRDefault="00CB1130" w:rsidP="00CB1130">
      <w:pPr>
        <w:spacing w:line="240" w:lineRule="auto"/>
        <w:contextualSpacing/>
        <w:rPr>
          <w:rFonts w:ascii="Times New Roman" w:hAnsi="Times New Roman"/>
          <w:sz w:val="24"/>
          <w:szCs w:val="24"/>
        </w:rPr>
      </w:pPr>
      <w:r w:rsidRPr="007B1C8F">
        <w:rPr>
          <w:rFonts w:ascii="Times New Roman" w:hAnsi="Times New Roman"/>
          <w:sz w:val="24"/>
          <w:szCs w:val="24"/>
        </w:rPr>
        <w:fldChar w:fldCharType="begin"/>
      </w:r>
      <w:r w:rsidRPr="007B1C8F">
        <w:rPr>
          <w:rFonts w:ascii="Times New Roman" w:hAnsi="Times New Roman"/>
          <w:sz w:val="24"/>
          <w:szCs w:val="24"/>
        </w:rPr>
        <w:instrText xml:space="preserve"> NUMWORDS   \* MERGEFORMAT </w:instrText>
      </w:r>
      <w:r w:rsidRPr="007B1C8F">
        <w:rPr>
          <w:rFonts w:ascii="Times New Roman" w:hAnsi="Times New Roman"/>
          <w:sz w:val="24"/>
          <w:szCs w:val="24"/>
        </w:rPr>
        <w:fldChar w:fldCharType="separate"/>
      </w:r>
      <w:r w:rsidR="00CA3C66">
        <w:rPr>
          <w:rFonts w:ascii="Times New Roman" w:hAnsi="Times New Roman"/>
          <w:noProof/>
          <w:sz w:val="24"/>
          <w:szCs w:val="24"/>
        </w:rPr>
        <w:t>3751</w:t>
      </w:r>
      <w:r w:rsidRPr="007B1C8F">
        <w:rPr>
          <w:rFonts w:ascii="Times New Roman" w:hAnsi="Times New Roman"/>
          <w:noProof/>
          <w:sz w:val="24"/>
          <w:szCs w:val="24"/>
        </w:rPr>
        <w:fldChar w:fldCharType="end"/>
      </w:r>
    </w:p>
    <w:p w:rsidR="00CB1130" w:rsidRPr="007B1C8F" w:rsidRDefault="00CB1130" w:rsidP="00CB1130">
      <w:pPr>
        <w:spacing w:line="240" w:lineRule="auto"/>
        <w:contextualSpacing/>
        <w:rPr>
          <w:rFonts w:ascii="Times New Roman" w:hAnsi="Times New Roman"/>
          <w:sz w:val="24"/>
          <w:szCs w:val="24"/>
        </w:rPr>
      </w:pPr>
      <w:r w:rsidRPr="007B1C8F">
        <w:rPr>
          <w:rFonts w:ascii="Times New Roman" w:hAnsi="Times New Roman"/>
          <w:sz w:val="24"/>
          <w:szCs w:val="24"/>
        </w:rPr>
        <w:t>S.Mačivka</w:t>
      </w:r>
    </w:p>
    <w:p w:rsidR="00CB1130" w:rsidRPr="007B1C8F" w:rsidRDefault="00CB1130" w:rsidP="00CB1130">
      <w:pPr>
        <w:spacing w:line="240" w:lineRule="auto"/>
        <w:contextualSpacing/>
        <w:rPr>
          <w:rFonts w:ascii="Times New Roman" w:hAnsi="Times New Roman"/>
          <w:sz w:val="24"/>
          <w:szCs w:val="24"/>
        </w:rPr>
      </w:pPr>
      <w:r w:rsidRPr="007B1C8F">
        <w:rPr>
          <w:rFonts w:ascii="Times New Roman" w:hAnsi="Times New Roman"/>
          <w:sz w:val="24"/>
          <w:szCs w:val="24"/>
        </w:rPr>
        <w:t xml:space="preserve">67095630, </w:t>
      </w:r>
      <w:hyperlink r:id="rId8" w:history="1">
        <w:r w:rsidRPr="007B1C8F">
          <w:rPr>
            <w:rStyle w:val="Hyperlink"/>
            <w:rFonts w:ascii="Times New Roman" w:hAnsi="Times New Roman"/>
            <w:sz w:val="24"/>
            <w:szCs w:val="24"/>
          </w:rPr>
          <w:t>sandra.macivka@fm.gov.lv</w:t>
        </w:r>
      </w:hyperlink>
    </w:p>
    <w:p w:rsidR="00CB1130" w:rsidRDefault="00CB1130" w:rsidP="00CB1130"/>
    <w:p w:rsidR="00CB1130" w:rsidRPr="00F91083" w:rsidRDefault="00CB1130" w:rsidP="00CB1130"/>
    <w:p w:rsidR="00357D97" w:rsidRDefault="00357D97"/>
    <w:sectPr w:rsidR="00357D97" w:rsidSect="004D26EA">
      <w:headerReference w:type="default" r:id="rId9"/>
      <w:footerReference w:type="default" r:id="rId10"/>
      <w:headerReference w:type="firs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5E" w:rsidRDefault="0050025E" w:rsidP="00135AAE">
      <w:pPr>
        <w:spacing w:after="0" w:line="240" w:lineRule="auto"/>
      </w:pPr>
      <w:r>
        <w:separator/>
      </w:r>
    </w:p>
  </w:endnote>
  <w:endnote w:type="continuationSeparator" w:id="0">
    <w:p w:rsidR="0050025E" w:rsidRDefault="0050025E" w:rsidP="0013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7" w:rsidRDefault="0050025E" w:rsidP="004D26EA">
    <w:pPr>
      <w:pStyle w:val="Footer"/>
    </w:pPr>
    <w:r>
      <w:fldChar w:fldCharType="begin"/>
    </w:r>
    <w:r>
      <w:instrText xml:space="preserve"> FILENAME   \* MERGEFORMAT </w:instrText>
    </w:r>
    <w:r>
      <w:fldChar w:fldCharType="separate"/>
    </w:r>
    <w:r w:rsidR="00C446A7" w:rsidRPr="00C446A7">
      <w:rPr>
        <w:noProof/>
        <w:sz w:val="20"/>
        <w:szCs w:val="20"/>
      </w:rPr>
      <w:t>FMAnot_161111_UINVK</w:t>
    </w:r>
    <w:r>
      <w:rPr>
        <w:noProof/>
        <w:sz w:val="20"/>
        <w:szCs w:val="20"/>
      </w:rPr>
      <w:fldChar w:fldCharType="end"/>
    </w:r>
    <w:r w:rsidR="00C446A7" w:rsidRPr="00E97C2D">
      <w:rPr>
        <w:sz w:val="20"/>
        <w:szCs w:val="20"/>
      </w:rPr>
      <w:t xml:space="preserve">; </w:t>
    </w:r>
    <w:proofErr w:type="spellStart"/>
    <w:r w:rsidR="00C446A7">
      <w:rPr>
        <w:sz w:val="20"/>
        <w:szCs w:val="20"/>
      </w:rPr>
      <w:t>Likumprojekts</w:t>
    </w:r>
    <w:proofErr w:type="spellEnd"/>
    <w:r w:rsidR="00C446A7">
      <w:rPr>
        <w:sz w:val="20"/>
        <w:szCs w:val="20"/>
      </w:rPr>
      <w:t xml:space="preserve"> “</w:t>
    </w:r>
    <w:proofErr w:type="spellStart"/>
    <w:r w:rsidR="00C446A7">
      <w:rPr>
        <w:sz w:val="20"/>
        <w:szCs w:val="20"/>
      </w:rPr>
      <w:t>Grozījumi</w:t>
    </w:r>
    <w:proofErr w:type="spellEnd"/>
    <w:r w:rsidR="00C446A7">
      <w:rPr>
        <w:sz w:val="20"/>
        <w:szCs w:val="20"/>
      </w:rPr>
      <w:t xml:space="preserve"> </w:t>
    </w:r>
    <w:proofErr w:type="spellStart"/>
    <w:r w:rsidR="00C446A7">
      <w:rPr>
        <w:sz w:val="20"/>
        <w:szCs w:val="20"/>
      </w:rPr>
      <w:t>likumā</w:t>
    </w:r>
    <w:proofErr w:type="spellEnd"/>
    <w:r w:rsidR="00C446A7">
      <w:rPr>
        <w:sz w:val="20"/>
        <w:szCs w:val="20"/>
      </w:rPr>
      <w:t xml:space="preserve"> “Par </w:t>
    </w:r>
    <w:proofErr w:type="spellStart"/>
    <w:r w:rsidR="00C446A7">
      <w:rPr>
        <w:sz w:val="20"/>
        <w:szCs w:val="20"/>
      </w:rPr>
      <w:t>uzņēmumu</w:t>
    </w:r>
    <w:proofErr w:type="spellEnd"/>
    <w:r w:rsidR="00C446A7">
      <w:rPr>
        <w:sz w:val="20"/>
        <w:szCs w:val="20"/>
      </w:rPr>
      <w:t xml:space="preserve"> </w:t>
    </w:r>
    <w:proofErr w:type="spellStart"/>
    <w:r w:rsidR="00C446A7">
      <w:rPr>
        <w:sz w:val="20"/>
        <w:szCs w:val="20"/>
      </w:rPr>
      <w:t>ienākuma</w:t>
    </w:r>
    <w:proofErr w:type="spellEnd"/>
    <w:r w:rsidR="00C446A7">
      <w:rPr>
        <w:sz w:val="20"/>
        <w:szCs w:val="20"/>
      </w:rPr>
      <w:t xml:space="preserve"> </w:t>
    </w:r>
    <w:proofErr w:type="spellStart"/>
    <w:r w:rsidR="00C446A7">
      <w:rPr>
        <w:sz w:val="20"/>
        <w:szCs w:val="20"/>
      </w:rPr>
      <w:t>nodokli</w:t>
    </w:r>
    <w:proofErr w:type="spellEnd"/>
    <w:r w:rsidR="00C446A7">
      <w:rPr>
        <w:sz w:val="20"/>
        <w:szCs w:val="20"/>
      </w:rPr>
      <w:t>””</w:t>
    </w:r>
  </w:p>
  <w:p w:rsidR="00C446A7" w:rsidRPr="00760E48" w:rsidRDefault="00C446A7" w:rsidP="004D26EA">
    <w:pPr>
      <w:pStyle w:val="Footer"/>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7" w:rsidRPr="005B69BA" w:rsidRDefault="0050025E" w:rsidP="004D26EA">
    <w:pPr>
      <w:pStyle w:val="Footer"/>
    </w:pPr>
    <w:r>
      <w:fldChar w:fldCharType="begin"/>
    </w:r>
    <w:r>
      <w:instrText xml:space="preserve"> FILENAME   \* MERGEFORMAT </w:instrText>
    </w:r>
    <w:r>
      <w:fldChar w:fldCharType="separate"/>
    </w:r>
    <w:r w:rsidR="00C446A7" w:rsidRPr="00C446A7">
      <w:rPr>
        <w:noProof/>
        <w:sz w:val="20"/>
        <w:szCs w:val="20"/>
      </w:rPr>
      <w:t>FMAnot_161111_UINVK</w:t>
    </w:r>
    <w:r>
      <w:rPr>
        <w:noProof/>
        <w:sz w:val="20"/>
        <w:szCs w:val="20"/>
      </w:rPr>
      <w:fldChar w:fldCharType="end"/>
    </w:r>
    <w:r w:rsidR="00C446A7" w:rsidRPr="009A0982">
      <w:rPr>
        <w:sz w:val="20"/>
        <w:szCs w:val="20"/>
      </w:rPr>
      <w:t xml:space="preserve">; </w:t>
    </w:r>
    <w:proofErr w:type="spellStart"/>
    <w:r w:rsidR="00C446A7">
      <w:rPr>
        <w:sz w:val="20"/>
        <w:szCs w:val="20"/>
      </w:rPr>
      <w:t>Likumprojekts</w:t>
    </w:r>
    <w:proofErr w:type="spellEnd"/>
    <w:r w:rsidR="00C446A7">
      <w:rPr>
        <w:sz w:val="20"/>
        <w:szCs w:val="20"/>
      </w:rPr>
      <w:t xml:space="preserve"> “</w:t>
    </w:r>
    <w:proofErr w:type="spellStart"/>
    <w:r w:rsidR="00C446A7">
      <w:rPr>
        <w:sz w:val="20"/>
        <w:szCs w:val="20"/>
      </w:rPr>
      <w:t>Grozījumi</w:t>
    </w:r>
    <w:proofErr w:type="spellEnd"/>
    <w:r w:rsidR="00C446A7">
      <w:rPr>
        <w:sz w:val="20"/>
        <w:szCs w:val="20"/>
      </w:rPr>
      <w:t xml:space="preserve"> </w:t>
    </w:r>
    <w:proofErr w:type="spellStart"/>
    <w:r w:rsidR="00C446A7">
      <w:rPr>
        <w:sz w:val="20"/>
        <w:szCs w:val="20"/>
      </w:rPr>
      <w:t>likumā</w:t>
    </w:r>
    <w:proofErr w:type="spellEnd"/>
    <w:r w:rsidR="00C446A7">
      <w:rPr>
        <w:sz w:val="20"/>
        <w:szCs w:val="20"/>
      </w:rPr>
      <w:t xml:space="preserve"> “Par </w:t>
    </w:r>
    <w:proofErr w:type="spellStart"/>
    <w:r w:rsidR="00C446A7">
      <w:rPr>
        <w:sz w:val="20"/>
        <w:szCs w:val="20"/>
      </w:rPr>
      <w:t>uzņēmumu</w:t>
    </w:r>
    <w:proofErr w:type="spellEnd"/>
    <w:r w:rsidR="00C446A7">
      <w:rPr>
        <w:sz w:val="20"/>
        <w:szCs w:val="20"/>
      </w:rPr>
      <w:t xml:space="preserve"> </w:t>
    </w:r>
    <w:proofErr w:type="spellStart"/>
    <w:r w:rsidR="00C446A7">
      <w:rPr>
        <w:sz w:val="20"/>
        <w:szCs w:val="20"/>
      </w:rPr>
      <w:t>ienākuma</w:t>
    </w:r>
    <w:proofErr w:type="spellEnd"/>
    <w:r w:rsidR="00C446A7">
      <w:rPr>
        <w:sz w:val="20"/>
        <w:szCs w:val="20"/>
      </w:rPr>
      <w:t xml:space="preserve"> </w:t>
    </w:r>
    <w:proofErr w:type="spellStart"/>
    <w:r w:rsidR="00C446A7">
      <w:rPr>
        <w:sz w:val="20"/>
        <w:szCs w:val="20"/>
      </w:rPr>
      <w:t>nodokli</w:t>
    </w:r>
    <w:proofErr w:type="spellEnd"/>
    <w:r w:rsidR="00C446A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5E" w:rsidRDefault="0050025E" w:rsidP="00135AAE">
      <w:pPr>
        <w:spacing w:after="0" w:line="240" w:lineRule="auto"/>
      </w:pPr>
      <w:r>
        <w:separator/>
      </w:r>
    </w:p>
  </w:footnote>
  <w:footnote w:type="continuationSeparator" w:id="0">
    <w:p w:rsidR="0050025E" w:rsidRDefault="0050025E" w:rsidP="0013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813"/>
      <w:docPartObj>
        <w:docPartGallery w:val="Page Numbers (Top of Page)"/>
        <w:docPartUnique/>
      </w:docPartObj>
    </w:sdtPr>
    <w:sdtEndPr/>
    <w:sdtContent>
      <w:p w:rsidR="00C446A7" w:rsidRDefault="00C446A7">
        <w:pPr>
          <w:pStyle w:val="Header"/>
          <w:jc w:val="center"/>
        </w:pPr>
        <w:r>
          <w:fldChar w:fldCharType="begin"/>
        </w:r>
        <w:r>
          <w:instrText xml:space="preserve"> PAGE   \* MERGEFORMAT </w:instrText>
        </w:r>
        <w:r>
          <w:fldChar w:fldCharType="separate"/>
        </w:r>
        <w:r w:rsidR="008E505E">
          <w:rPr>
            <w:noProof/>
          </w:rPr>
          <w:t>6</w:t>
        </w:r>
        <w:r>
          <w:rPr>
            <w:noProof/>
          </w:rPr>
          <w:fldChar w:fldCharType="end"/>
        </w:r>
      </w:p>
    </w:sdtContent>
  </w:sdt>
  <w:p w:rsidR="00C446A7" w:rsidRDefault="00C44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A7" w:rsidRPr="007F725C" w:rsidRDefault="00C446A7" w:rsidP="004D26EA">
    <w:pPr>
      <w:pStyle w:val="Header"/>
      <w:jc w:val="right"/>
      <w:rPr>
        <w:sz w:val="28"/>
        <w:szCs w:val="28"/>
      </w:rPr>
    </w:pPr>
    <w:proofErr w:type="spellStart"/>
    <w:r w:rsidRPr="007F725C">
      <w:rPr>
        <w:sz w:val="28"/>
        <w:szCs w:val="28"/>
      </w:rPr>
      <w:t>Projekts</w:t>
    </w:r>
    <w:proofErr w:type="spellEnd"/>
  </w:p>
  <w:p w:rsidR="00C446A7" w:rsidRDefault="00C44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EDC"/>
    <w:multiLevelType w:val="hybridMultilevel"/>
    <w:tmpl w:val="37DA1AB2"/>
    <w:lvl w:ilvl="0" w:tplc="2988C2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7C407CB"/>
    <w:multiLevelType w:val="hybridMultilevel"/>
    <w:tmpl w:val="38A20A24"/>
    <w:lvl w:ilvl="0" w:tplc="0D26B7C2">
      <w:start w:val="7"/>
      <w:numFmt w:val="bullet"/>
      <w:lvlText w:val="-"/>
      <w:lvlJc w:val="left"/>
      <w:pPr>
        <w:ind w:left="785" w:hanging="360"/>
      </w:pPr>
      <w:rPr>
        <w:rFonts w:ascii="Times New Roman" w:eastAsia="Calibri"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30"/>
    <w:rsid w:val="00013605"/>
    <w:rsid w:val="00135AAE"/>
    <w:rsid w:val="00301609"/>
    <w:rsid w:val="00345DF4"/>
    <w:rsid w:val="00357D97"/>
    <w:rsid w:val="004D26EA"/>
    <w:rsid w:val="0050025E"/>
    <w:rsid w:val="005E7D57"/>
    <w:rsid w:val="00721F1F"/>
    <w:rsid w:val="00736F29"/>
    <w:rsid w:val="00775EB2"/>
    <w:rsid w:val="008E505E"/>
    <w:rsid w:val="00997505"/>
    <w:rsid w:val="00AC2451"/>
    <w:rsid w:val="00BA6011"/>
    <w:rsid w:val="00C446A7"/>
    <w:rsid w:val="00CA05DB"/>
    <w:rsid w:val="00CA3C66"/>
    <w:rsid w:val="00CB1130"/>
    <w:rsid w:val="00D47E9B"/>
    <w:rsid w:val="00E1320D"/>
    <w:rsid w:val="00E749DC"/>
    <w:rsid w:val="00E86BAD"/>
    <w:rsid w:val="00FA0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1130"/>
    <w:pPr>
      <w:spacing w:after="0" w:line="240" w:lineRule="auto"/>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CB1130"/>
    <w:rPr>
      <w:rFonts w:ascii="Times New Roman" w:eastAsia="Times New Roman" w:hAnsi="Times New Roman" w:cs="Times New Roman"/>
      <w:sz w:val="28"/>
      <w:szCs w:val="24"/>
    </w:rPr>
  </w:style>
  <w:style w:type="paragraph" w:styleId="Header">
    <w:name w:val="header"/>
    <w:basedOn w:val="Normal"/>
    <w:link w:val="HeaderChar"/>
    <w:uiPriority w:val="99"/>
    <w:rsid w:val="00CB113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B113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CB113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B1130"/>
    <w:rPr>
      <w:rFonts w:ascii="Times New Roman" w:eastAsia="Times New Roman" w:hAnsi="Times New Roman" w:cs="Times New Roman"/>
      <w:sz w:val="24"/>
      <w:szCs w:val="24"/>
      <w:lang w:val="en-GB"/>
    </w:rPr>
  </w:style>
  <w:style w:type="character" w:styleId="Hyperlink">
    <w:name w:val="Hyperlink"/>
    <w:basedOn w:val="DefaultParagraphFont"/>
    <w:rsid w:val="00CB1130"/>
    <w:rPr>
      <w:color w:val="0000FF"/>
      <w:u w:val="single"/>
    </w:rPr>
  </w:style>
  <w:style w:type="paragraph" w:styleId="NormalWeb">
    <w:name w:val="Normal (Web)"/>
    <w:basedOn w:val="Normal"/>
    <w:uiPriority w:val="99"/>
    <w:rsid w:val="00CB1130"/>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 w:type="paragraph" w:styleId="BodyTextIndent">
    <w:name w:val="Body Text Indent"/>
    <w:basedOn w:val="Normal"/>
    <w:link w:val="BodyTextIndentChar"/>
    <w:unhideWhenUsed/>
    <w:rsid w:val="00CB1130"/>
    <w:pPr>
      <w:spacing w:after="120"/>
      <w:ind w:left="283"/>
    </w:pPr>
  </w:style>
  <w:style w:type="character" w:customStyle="1" w:styleId="BodyTextIndentChar">
    <w:name w:val="Body Text Indent Char"/>
    <w:basedOn w:val="DefaultParagraphFont"/>
    <w:link w:val="BodyTextIndent"/>
    <w:rsid w:val="00CB1130"/>
    <w:rPr>
      <w:rFonts w:ascii="Calibri" w:eastAsia="Calibri" w:hAnsi="Calibri" w:cs="Times New Roman"/>
    </w:rPr>
  </w:style>
  <w:style w:type="paragraph" w:styleId="ListParagraph">
    <w:name w:val="List Paragraph"/>
    <w:basedOn w:val="Normal"/>
    <w:uiPriority w:val="34"/>
    <w:qFormat/>
    <w:rsid w:val="00CB1130"/>
    <w:pPr>
      <w:spacing w:after="0" w:line="240" w:lineRule="auto"/>
      <w:ind w:left="720"/>
      <w:contextualSpacing/>
    </w:pPr>
    <w:rPr>
      <w:rFonts w:ascii="Times New Roman" w:eastAsia="Times New Roman" w:hAnsi="Times New Roman"/>
      <w:sz w:val="28"/>
    </w:rPr>
  </w:style>
  <w:style w:type="paragraph" w:customStyle="1" w:styleId="naisf">
    <w:name w:val="naisf"/>
    <w:basedOn w:val="Normal"/>
    <w:rsid w:val="00CB1130"/>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basedOn w:val="Normal"/>
    <w:uiPriority w:val="1"/>
    <w:qFormat/>
    <w:rsid w:val="00CB1130"/>
    <w:pPr>
      <w:spacing w:after="0" w:line="240" w:lineRule="auto"/>
    </w:pPr>
    <w:rPr>
      <w:lang w:val="en-US"/>
    </w:rPr>
  </w:style>
  <w:style w:type="paragraph" w:customStyle="1" w:styleId="naispant">
    <w:name w:val="naispant"/>
    <w:basedOn w:val="Normal"/>
    <w:rsid w:val="00CB113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CB1130"/>
    <w:rPr>
      <w:b/>
      <w:bCs/>
    </w:rPr>
  </w:style>
  <w:style w:type="character" w:styleId="Emphasis">
    <w:name w:val="Emphasis"/>
    <w:basedOn w:val="DefaultParagraphFont"/>
    <w:uiPriority w:val="20"/>
    <w:qFormat/>
    <w:rsid w:val="00CB1130"/>
    <w:rPr>
      <w:i/>
      <w:iCs/>
    </w:rPr>
  </w:style>
  <w:style w:type="paragraph" w:styleId="BalloonText">
    <w:name w:val="Balloon Text"/>
    <w:basedOn w:val="Normal"/>
    <w:link w:val="BalloonTextChar"/>
    <w:uiPriority w:val="99"/>
    <w:semiHidden/>
    <w:unhideWhenUsed/>
    <w:rsid w:val="0073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1130"/>
    <w:pPr>
      <w:spacing w:after="0" w:line="240" w:lineRule="auto"/>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CB1130"/>
    <w:rPr>
      <w:rFonts w:ascii="Times New Roman" w:eastAsia="Times New Roman" w:hAnsi="Times New Roman" w:cs="Times New Roman"/>
      <w:sz w:val="28"/>
      <w:szCs w:val="24"/>
    </w:rPr>
  </w:style>
  <w:style w:type="paragraph" w:styleId="Header">
    <w:name w:val="header"/>
    <w:basedOn w:val="Normal"/>
    <w:link w:val="HeaderChar"/>
    <w:uiPriority w:val="99"/>
    <w:rsid w:val="00CB113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B113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CB113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B1130"/>
    <w:rPr>
      <w:rFonts w:ascii="Times New Roman" w:eastAsia="Times New Roman" w:hAnsi="Times New Roman" w:cs="Times New Roman"/>
      <w:sz w:val="24"/>
      <w:szCs w:val="24"/>
      <w:lang w:val="en-GB"/>
    </w:rPr>
  </w:style>
  <w:style w:type="character" w:styleId="Hyperlink">
    <w:name w:val="Hyperlink"/>
    <w:basedOn w:val="DefaultParagraphFont"/>
    <w:rsid w:val="00CB1130"/>
    <w:rPr>
      <w:color w:val="0000FF"/>
      <w:u w:val="single"/>
    </w:rPr>
  </w:style>
  <w:style w:type="paragraph" w:styleId="NormalWeb">
    <w:name w:val="Normal (Web)"/>
    <w:basedOn w:val="Normal"/>
    <w:uiPriority w:val="99"/>
    <w:rsid w:val="00CB1130"/>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 w:type="paragraph" w:styleId="BodyTextIndent">
    <w:name w:val="Body Text Indent"/>
    <w:basedOn w:val="Normal"/>
    <w:link w:val="BodyTextIndentChar"/>
    <w:unhideWhenUsed/>
    <w:rsid w:val="00CB1130"/>
    <w:pPr>
      <w:spacing w:after="120"/>
      <w:ind w:left="283"/>
    </w:pPr>
  </w:style>
  <w:style w:type="character" w:customStyle="1" w:styleId="BodyTextIndentChar">
    <w:name w:val="Body Text Indent Char"/>
    <w:basedOn w:val="DefaultParagraphFont"/>
    <w:link w:val="BodyTextIndent"/>
    <w:rsid w:val="00CB1130"/>
    <w:rPr>
      <w:rFonts w:ascii="Calibri" w:eastAsia="Calibri" w:hAnsi="Calibri" w:cs="Times New Roman"/>
    </w:rPr>
  </w:style>
  <w:style w:type="paragraph" w:styleId="ListParagraph">
    <w:name w:val="List Paragraph"/>
    <w:basedOn w:val="Normal"/>
    <w:uiPriority w:val="34"/>
    <w:qFormat/>
    <w:rsid w:val="00CB1130"/>
    <w:pPr>
      <w:spacing w:after="0" w:line="240" w:lineRule="auto"/>
      <w:ind w:left="720"/>
      <w:contextualSpacing/>
    </w:pPr>
    <w:rPr>
      <w:rFonts w:ascii="Times New Roman" w:eastAsia="Times New Roman" w:hAnsi="Times New Roman"/>
      <w:sz w:val="28"/>
    </w:rPr>
  </w:style>
  <w:style w:type="paragraph" w:customStyle="1" w:styleId="naisf">
    <w:name w:val="naisf"/>
    <w:basedOn w:val="Normal"/>
    <w:rsid w:val="00CB1130"/>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basedOn w:val="Normal"/>
    <w:uiPriority w:val="1"/>
    <w:qFormat/>
    <w:rsid w:val="00CB1130"/>
    <w:pPr>
      <w:spacing w:after="0" w:line="240" w:lineRule="auto"/>
    </w:pPr>
    <w:rPr>
      <w:lang w:val="en-US"/>
    </w:rPr>
  </w:style>
  <w:style w:type="paragraph" w:customStyle="1" w:styleId="naispant">
    <w:name w:val="naispant"/>
    <w:basedOn w:val="Normal"/>
    <w:rsid w:val="00CB113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CB1130"/>
    <w:rPr>
      <w:b/>
      <w:bCs/>
    </w:rPr>
  </w:style>
  <w:style w:type="character" w:styleId="Emphasis">
    <w:name w:val="Emphasis"/>
    <w:basedOn w:val="DefaultParagraphFont"/>
    <w:uiPriority w:val="20"/>
    <w:qFormat/>
    <w:rsid w:val="00CB1130"/>
    <w:rPr>
      <w:i/>
      <w:iCs/>
    </w:rPr>
  </w:style>
  <w:style w:type="paragraph" w:styleId="BalloonText">
    <w:name w:val="Balloon Text"/>
    <w:basedOn w:val="Normal"/>
    <w:link w:val="BalloonTextChar"/>
    <w:uiPriority w:val="99"/>
    <w:semiHidden/>
    <w:unhideWhenUsed/>
    <w:rsid w:val="0073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19030</Words>
  <Characters>10848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uzņēmumu ienākuma nodokli"" anotācija</dc:title>
  <dc:subject>Likumprojekta anotācija</dc:subject>
  <dc:creator>S.macivka</dc:creator>
  <cp:keywords/>
  <dc:description>S.Mačivka,t.67095493,e-pasts: Sandra.Macivka@fm.gov.lv</dc:description>
  <cp:lastModifiedBy>Windows User</cp:lastModifiedBy>
  <cp:revision>18</cp:revision>
  <cp:lastPrinted>2011-11-17T08:39:00Z</cp:lastPrinted>
  <dcterms:created xsi:type="dcterms:W3CDTF">2011-11-16T13:14:00Z</dcterms:created>
  <dcterms:modified xsi:type="dcterms:W3CDTF">2011-11-22T07:41:00Z</dcterms:modified>
</cp:coreProperties>
</file>