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CA" w:rsidRPr="003E67CA" w:rsidRDefault="002B5BA9" w:rsidP="003E67CA">
      <w:pPr>
        <w:pStyle w:val="BodyText3"/>
        <w:jc w:val="center"/>
        <w:rPr>
          <w:bCs/>
          <w:i w:val="0"/>
          <w:sz w:val="26"/>
          <w:szCs w:val="26"/>
        </w:rPr>
      </w:pPr>
      <w:bookmarkStart w:id="0" w:name="OLE_LINK1"/>
      <w:bookmarkStart w:id="1" w:name="OLE_LINK2"/>
      <w:r w:rsidRPr="00C030E6">
        <w:rPr>
          <w:bCs/>
          <w:i w:val="0"/>
          <w:sz w:val="26"/>
          <w:szCs w:val="26"/>
        </w:rPr>
        <w:t xml:space="preserve">Ministru kabineta noteikumu </w:t>
      </w:r>
      <w:r w:rsidR="00C030E6">
        <w:rPr>
          <w:bCs/>
          <w:i w:val="0"/>
          <w:sz w:val="26"/>
          <w:szCs w:val="26"/>
        </w:rPr>
        <w:t>„</w:t>
      </w:r>
      <w:r w:rsidR="00C030E6" w:rsidRPr="00C030E6">
        <w:rPr>
          <w:bCs/>
          <w:i w:val="0"/>
          <w:sz w:val="26"/>
          <w:szCs w:val="26"/>
        </w:rPr>
        <w:t>Grozījum</w:t>
      </w:r>
      <w:r w:rsidR="00FE341E">
        <w:rPr>
          <w:bCs/>
          <w:i w:val="0"/>
          <w:sz w:val="26"/>
          <w:szCs w:val="26"/>
        </w:rPr>
        <w:t>s</w:t>
      </w:r>
      <w:r w:rsidR="00C030E6" w:rsidRPr="00C030E6">
        <w:rPr>
          <w:bCs/>
          <w:i w:val="0"/>
          <w:sz w:val="26"/>
          <w:szCs w:val="26"/>
        </w:rPr>
        <w:t xml:space="preserve"> Ministru kabineta</w:t>
      </w:r>
      <w:r w:rsidR="00C030E6" w:rsidRPr="00C030E6">
        <w:rPr>
          <w:bCs/>
          <w:sz w:val="26"/>
          <w:szCs w:val="26"/>
        </w:rPr>
        <w:t xml:space="preserve"> </w:t>
      </w:r>
      <w:r w:rsidR="00C030E6" w:rsidRPr="00C030E6">
        <w:rPr>
          <w:bCs/>
          <w:i w:val="0"/>
          <w:sz w:val="26"/>
          <w:szCs w:val="26"/>
        </w:rPr>
        <w:t>2010.gada 30.marta</w:t>
      </w:r>
      <w:r w:rsidR="00C030E6" w:rsidRPr="00C030E6">
        <w:rPr>
          <w:i w:val="0"/>
          <w:sz w:val="26"/>
          <w:szCs w:val="26"/>
        </w:rPr>
        <w:t xml:space="preserve"> </w:t>
      </w:r>
      <w:r w:rsidR="00C030E6" w:rsidRPr="00C030E6">
        <w:rPr>
          <w:bCs/>
          <w:i w:val="0"/>
          <w:sz w:val="26"/>
          <w:szCs w:val="26"/>
        </w:rPr>
        <w:t>noteikumos</w:t>
      </w:r>
      <w:r w:rsidR="00C030E6" w:rsidRPr="00C030E6">
        <w:rPr>
          <w:bCs/>
          <w:sz w:val="26"/>
          <w:szCs w:val="26"/>
        </w:rPr>
        <w:t xml:space="preserve"> </w:t>
      </w:r>
      <w:r w:rsidR="00C030E6" w:rsidRPr="00C030E6">
        <w:rPr>
          <w:bCs/>
          <w:i w:val="0"/>
          <w:sz w:val="26"/>
          <w:szCs w:val="26"/>
        </w:rPr>
        <w:t>Nr.311</w:t>
      </w:r>
      <w:r w:rsidR="00C030E6" w:rsidRPr="00C030E6">
        <w:rPr>
          <w:bCs/>
          <w:sz w:val="26"/>
          <w:szCs w:val="26"/>
        </w:rPr>
        <w:t xml:space="preserve"> „</w:t>
      </w:r>
      <w:r w:rsidR="00173F45" w:rsidRPr="00173F45">
        <w:rPr>
          <w:i w:val="0"/>
          <w:sz w:val="26"/>
          <w:szCs w:val="26"/>
        </w:rPr>
        <w:t>Noteikumi par valsts vai pašvaldību kapitālsabiedrību valdes locekļu skaitu, padomes un valdes locekļa, pašvaldības kapitāla daļu turētāja pārstāvja un atbildīgā darbinieka atlīdzību</w:t>
      </w:r>
      <w:r w:rsidR="00C030E6" w:rsidRPr="00C030E6">
        <w:rPr>
          <w:i w:val="0"/>
          <w:sz w:val="26"/>
          <w:szCs w:val="26"/>
        </w:rPr>
        <w:t>”</w:t>
      </w:r>
      <w:r w:rsidRPr="00C030E6">
        <w:rPr>
          <w:i w:val="0"/>
          <w:sz w:val="26"/>
          <w:szCs w:val="26"/>
        </w:rPr>
        <w:t xml:space="preserve">” projekta </w:t>
      </w:r>
      <w:bookmarkEnd w:id="0"/>
      <w:bookmarkEnd w:id="1"/>
      <w:r w:rsidR="003E67CA" w:rsidRPr="003E67CA">
        <w:rPr>
          <w:bCs/>
          <w:i w:val="0"/>
          <w:sz w:val="26"/>
          <w:szCs w:val="26"/>
        </w:rPr>
        <w:t>sākotnējās</w:t>
      </w:r>
    </w:p>
    <w:p w:rsidR="0070526D" w:rsidRPr="00C030E6" w:rsidRDefault="003E67CA" w:rsidP="003E67CA">
      <w:pPr>
        <w:pStyle w:val="BodyText3"/>
        <w:jc w:val="center"/>
        <w:rPr>
          <w:bCs/>
          <w:i w:val="0"/>
          <w:sz w:val="26"/>
          <w:szCs w:val="26"/>
        </w:rPr>
      </w:pPr>
      <w:r w:rsidRPr="003E67CA">
        <w:rPr>
          <w:bCs/>
          <w:i w:val="0"/>
          <w:sz w:val="26"/>
          <w:szCs w:val="26"/>
        </w:rPr>
        <w:t>ietekmes novērtējuma ziņojums (anotācija)</w:t>
      </w:r>
    </w:p>
    <w:p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70526D" w:rsidRPr="002A429F"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70526D" w:rsidRPr="00062334" w:rsidRDefault="0070526D" w:rsidP="00062334">
            <w:pPr>
              <w:pStyle w:val="ListParagraph"/>
              <w:numPr>
                <w:ilvl w:val="0"/>
                <w:numId w:val="2"/>
              </w:numPr>
              <w:rPr>
                <w:rFonts w:eastAsia="Times New Roman" w:cs="Times New Roman"/>
                <w:b/>
                <w:bCs/>
                <w:sz w:val="26"/>
                <w:szCs w:val="26"/>
                <w:lang w:eastAsia="lv-LV"/>
              </w:rPr>
            </w:pPr>
            <w:r w:rsidRPr="00062334">
              <w:rPr>
                <w:rFonts w:eastAsia="Times New Roman" w:cs="Times New Roman"/>
                <w:b/>
                <w:bCs/>
                <w:sz w:val="26"/>
                <w:szCs w:val="26"/>
                <w:lang w:eastAsia="lv-LV"/>
              </w:rPr>
              <w:t>Tiesību akta projekta izstrādes nepieciešamība</w:t>
            </w:r>
          </w:p>
          <w:p w:rsidR="00062334" w:rsidRPr="00062334" w:rsidRDefault="00062334" w:rsidP="00C030E6">
            <w:pPr>
              <w:pStyle w:val="ListParagraph"/>
              <w:ind w:left="840"/>
              <w:rPr>
                <w:rFonts w:eastAsia="Times New Roman" w:cs="Times New Roman"/>
                <w:sz w:val="26"/>
                <w:szCs w:val="26"/>
                <w:lang w:eastAsia="lv-LV"/>
              </w:rPr>
            </w:pPr>
          </w:p>
        </w:tc>
      </w:tr>
      <w:tr w:rsidR="0070526D" w:rsidRPr="002A429F"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24678C">
            <w:pPr>
              <w:rPr>
                <w:rFonts w:eastAsia="Times New Roman" w:cs="Times New Roman"/>
                <w:sz w:val="24"/>
                <w:szCs w:val="24"/>
                <w:lang w:eastAsia="lv-LV"/>
              </w:rPr>
            </w:pPr>
            <w:r w:rsidRPr="005D466E">
              <w:rPr>
                <w:rFonts w:eastAsia="Times New Roman" w:cs="Times New Roman"/>
                <w:sz w:val="24"/>
                <w:szCs w:val="24"/>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24678C">
            <w:pPr>
              <w:rPr>
                <w:rFonts w:eastAsia="Times New Roman" w:cs="Times New Roman"/>
                <w:sz w:val="24"/>
                <w:szCs w:val="24"/>
                <w:lang w:eastAsia="lv-LV"/>
              </w:rPr>
            </w:pPr>
            <w:r w:rsidRPr="005D466E">
              <w:rPr>
                <w:rFonts w:eastAsia="Times New Roman" w:cs="Times New Roman"/>
                <w:sz w:val="24"/>
                <w:szCs w:val="24"/>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E67CA">
            <w:pPr>
              <w:jc w:val="both"/>
              <w:rPr>
                <w:rFonts w:eastAsia="Times New Roman" w:cs="Times New Roman"/>
                <w:sz w:val="24"/>
                <w:szCs w:val="24"/>
                <w:lang w:eastAsia="lv-LV"/>
              </w:rPr>
            </w:pPr>
            <w:r w:rsidRPr="005D466E">
              <w:rPr>
                <w:rFonts w:eastAsia="Times New Roman" w:cs="Times New Roman"/>
                <w:sz w:val="24"/>
                <w:szCs w:val="24"/>
                <w:lang w:eastAsia="lv-LV"/>
              </w:rPr>
              <w:t> </w:t>
            </w:r>
            <w:r w:rsidR="006C16C6" w:rsidRPr="006C16C6">
              <w:rPr>
                <w:rFonts w:eastAsia="Times New Roman" w:cs="Times New Roman"/>
                <w:sz w:val="24"/>
                <w:szCs w:val="24"/>
                <w:lang w:eastAsia="lv-LV"/>
              </w:rPr>
              <w:t>Nav attiecināms.</w:t>
            </w:r>
          </w:p>
        </w:tc>
      </w:tr>
      <w:tr w:rsidR="0070526D" w:rsidRPr="002A429F" w:rsidTr="0024678C">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0223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hideMark/>
          </w:tcPr>
          <w:p w:rsidR="003E67CA" w:rsidRDefault="003E67CA" w:rsidP="003E67CA">
            <w:pPr>
              <w:jc w:val="both"/>
              <w:rPr>
                <w:rFonts w:eastAsia="Times New Roman" w:cs="Times New Roman"/>
                <w:sz w:val="24"/>
                <w:szCs w:val="24"/>
                <w:lang w:eastAsia="lv-LV"/>
              </w:rPr>
            </w:pPr>
            <w:r w:rsidRPr="00A62C42">
              <w:rPr>
                <w:rFonts w:eastAsia="Times New Roman" w:cs="Times New Roman"/>
                <w:sz w:val="24"/>
                <w:szCs w:val="24"/>
                <w:lang w:eastAsia="lv-LV"/>
              </w:rPr>
              <w:t>Šobrīd Ministru kabineta 2010.gada 30.marta noteikumi Nr.311 „</w:t>
            </w:r>
            <w:r w:rsidR="00173F45" w:rsidRPr="00173F45">
              <w:rPr>
                <w:rFonts w:eastAsia="Times New Roman" w:cs="Times New Roman"/>
                <w:sz w:val="24"/>
                <w:szCs w:val="24"/>
                <w:lang w:eastAsia="lv-LV"/>
              </w:rPr>
              <w:t>Noteikumi par valsts vai pašvaldību kapitālsabiedrību valdes locekļu skaitu, padomes un valdes locekļa, pašvaldības kapitāla daļu turētāja pārstāvja un atbildīgā darbinieka atlīdzību</w:t>
            </w:r>
            <w:r w:rsidRPr="00A62C42">
              <w:rPr>
                <w:rFonts w:eastAsia="Times New Roman" w:cs="Times New Roman"/>
                <w:sz w:val="24"/>
                <w:szCs w:val="24"/>
                <w:lang w:eastAsia="lv-LV"/>
              </w:rPr>
              <w:t xml:space="preserve">” </w:t>
            </w:r>
            <w:r w:rsidR="00473566" w:rsidRPr="00A62C42">
              <w:rPr>
                <w:rFonts w:eastAsia="Times New Roman" w:cs="Times New Roman"/>
                <w:sz w:val="24"/>
                <w:szCs w:val="24"/>
                <w:lang w:eastAsia="lv-LV"/>
              </w:rPr>
              <w:t xml:space="preserve">(turpmāk – noteikumi Nr.311) </w:t>
            </w:r>
            <w:r w:rsidRPr="00A62C42">
              <w:rPr>
                <w:rFonts w:eastAsia="Times New Roman" w:cs="Times New Roman"/>
                <w:sz w:val="24"/>
                <w:szCs w:val="24"/>
                <w:lang w:eastAsia="lv-LV"/>
              </w:rPr>
              <w:t xml:space="preserve">nosaka </w:t>
            </w:r>
            <w:r w:rsidR="006678D7">
              <w:rPr>
                <w:rFonts w:eastAsia="Times New Roman" w:cs="Times New Roman"/>
                <w:sz w:val="24"/>
                <w:szCs w:val="24"/>
                <w:lang w:eastAsia="lv-LV"/>
              </w:rPr>
              <w:t>kritērijus kapitālsabiedrību</w:t>
            </w:r>
            <w:r w:rsidRPr="00A62C42">
              <w:rPr>
                <w:rFonts w:eastAsia="Times New Roman" w:cs="Times New Roman"/>
                <w:sz w:val="24"/>
                <w:szCs w:val="24"/>
                <w:lang w:eastAsia="lv-LV"/>
              </w:rPr>
              <w:t xml:space="preserve"> </w:t>
            </w:r>
            <w:r w:rsidR="006678D7">
              <w:rPr>
                <w:rFonts w:eastAsia="Times New Roman" w:cs="Times New Roman"/>
                <w:sz w:val="24"/>
                <w:szCs w:val="24"/>
                <w:lang w:eastAsia="lv-LV"/>
              </w:rPr>
              <w:t xml:space="preserve">valdes locekļu </w:t>
            </w:r>
            <w:r w:rsidRPr="00A62C42">
              <w:rPr>
                <w:rFonts w:eastAsia="Times New Roman" w:cs="Times New Roman"/>
                <w:sz w:val="24"/>
                <w:szCs w:val="24"/>
                <w:lang w:eastAsia="lv-LV"/>
              </w:rPr>
              <w:t>prēmē</w:t>
            </w:r>
            <w:r w:rsidR="006678D7">
              <w:rPr>
                <w:rFonts w:eastAsia="Times New Roman" w:cs="Times New Roman"/>
                <w:sz w:val="24"/>
                <w:szCs w:val="24"/>
                <w:lang w:eastAsia="lv-LV"/>
              </w:rPr>
              <w:t>šanai</w:t>
            </w:r>
            <w:r w:rsidRPr="00A62C42">
              <w:rPr>
                <w:rFonts w:eastAsia="Times New Roman" w:cs="Times New Roman"/>
                <w:sz w:val="24"/>
                <w:szCs w:val="24"/>
                <w:lang w:eastAsia="lv-LV"/>
              </w:rPr>
              <w:t xml:space="preserve">. </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 xml:space="preserve">Latvijas Republikas Ministru kabineta lēmumu par valsts akciju sabiedrību „Latvijas Hipotēku un zemes banka” (turpmāk tekstā - Hipotēku banka) īstenošana, kā arī aktīvais darbs pie Hipotēku bankas  komercdaļas pārdošanas stratēģijas realizēšanas valdes locekļiem un daļai darbinieku (līdz 30) uzliek būtisku papildus noslodzi, apzinoties Hipotēku bankas pārveides procesa nozīmīgumu, tajā skaitā ņemot vērā valdības apņemšanos starptautiskajiem aizdevējiem, gan veicot ievērojamu darbu pie iekšējiem bankas un  meitas sabiedrību pārveides procesiem, gan aktīvi skaidrojot situāciju medijiem un Hipotēku bankas klientiem, tostarp pārliecinot par drošu noguldījumu saglabāšanu Hipotēku bankā, kas ir ļoti svarīga bankas likviditātes stabilitātes nodrošināšanai, kā arī pastāvīgi strādājot ar Hipotēku bankas kreditoriem, tostarp institucionālajiem. Neskaidrība par Hipotēku bankas nākotnes perspektīvu, nelīdzvērtīgais atalgojums, kā arī  sociālās garantijas ar citiem finanšu sektorā strādājošajiem arvien vairāk stratēģiski svarīgus darbiniekus, tostarp augsta līmeņa speciālistus mudina pārtraukt darba tiesiskās attiecības ar Hipotēku banku un bankas meitas sabiedrībām, meklējot darbu stabilos uzņēmumos ar darba noslodzei un specifikai atbilstošu atlīdzību. Identiskas indikācijas šobrīd tiek paustas no Hipotēku bankas valdes locekļu puses. Hipotēku bankas kā valsts kapitālsabiedrības, kas darbojas kā kredītiestāde, valdes locekļu atalgojums, salīdzinot ar citu kredītiestāžu un finanšu sektora kapitālsabiedrību valdes locekļu atalgojumu, ir vismaz trīs reizes zemāks, tajā skaitā, salīdzinot ar AS „Parex banka” vai AS „Citadele banka” valdes locekļu atalgojumu, neskatoties uz to, ka šajās kapitālsabiedrībās valstij ir būtiska netieša līdzdalība, bet citāds tiesisks regulējums. Turklāt atbilstoši likumam „Par interešu konflikta novēršanu valsts amatpersonu darbībā” Hipotēku bankas valdes locekļiem ir ierobežotas iespējas gūt ienākumus, savienojot savu valsts </w:t>
            </w:r>
            <w:r w:rsidRPr="00A1503F">
              <w:rPr>
                <w:rFonts w:eastAsia="Times New Roman" w:cs="Times New Roman"/>
                <w:sz w:val="24"/>
                <w:szCs w:val="24"/>
                <w:lang w:eastAsia="lv-LV"/>
              </w:rPr>
              <w:lastRenderedPageBreak/>
              <w:t xml:space="preserve">amatpersonu amatu ar citiem, ko lielā darba apjoma dēļ Hipotēku bankā, nav iespējams realizēt arī praktiski.  </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Papildus tam jāņem vērā, ka lielākajai daļai valdes locekļiem šajā pārveides procesā, tas ir 2012. gadā, kad jo īpaši ir nepieciešama pieredze un bankas vadības vēsturiskā „bagāža”, beidzas valdes pilnvaru termiņš, kura pagarināšanai esošajā atalgojuma reglamentācijā valdes locekļi no savas puses var atteikties piekrist. Ņemot vērā ar pārveides procesiem saistītās pārmaiņas Hipotēku bankā, iespējamās izmaiņas tās vadībā (2 no valdes locekļiem ir ilggadēji Hipotēku bankas valdes locekļi ar lielu pieredzi bankas darbībā un vadībā, kas ir iemantojoši kolektīva uzticību un cieņu) var radīt būtiskus riskus sekmīgai pārveides procesa realizēšanai un uzņēmuma sekmīgai vadībai pārmaiņu procesā. Turklāt, lai noturētu kompetentus darbiniekus, tiem ir jānosaka atlīdzība apmērā, kas ir konkurētspējīga ar citām kredītiestādēm vai finanšu sektorā darbojošām kapitālsabiedrībām Latvijas Republikā, taču jāatzīmē, ka šobrīd Hipotēku bankas atsevišķu darbinieku atlīdzība ir lielāka kā valdes locekļu ikmēneša atlīdzība.</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2011.gada 11 mēnešos 35 darbinieki ir pārtraukuši darba tiesiskās attiecības ar   Hipotēku banku pēc savas iniciatīvas, jo ir saņēmuši izdevīgāku piedāvājumu (atalgojums un labumi, karjeras izaugsmes iespējas ilgtermiņā, darba vietas stabilitāte) no citām finanšu pakalpojumu sniedzošām kapitālsabiedrībām vai darba devējiem privātajā sektorā (t.sk. starptautiskiem uzņēmumiem). Tā piemēram, 18 no 35 darbiniekiem par darba attiecību pārtraukšanas iemeslu ir minējuši darba piedāvājumu kādā no Latvijas komercbankām ar salīdzinoši lielu darba algas pieaugumu – līdz pat 20 – 30% no esošās darba samaksas attiecīgā amatu grupā Hipotēku bankā šobrīd. Būtiski, ka 23 no 35 darbiniekiem, kuri ir pārtraukuši darba attiecības ar Hipotēku banku, ir bijuši augstas kompetences darbinieki ar ilgstošu darba stāžu bankā, kas ir t.s. riska amatu grupu pārstāvji jeb t.s. atslēgas darbinieki – kredītdarbinieki, riska analītiķi, augstas kompetences IT speciālisti, vadošie darbinieki – struktūrvienību un apakšstruktūru vadītāji. Hipotēku banka iepriekšējo gadu gaitā ir ieguldījusi līdzekļus personāla attīstībā (kursi, semināri u.c. kvalifikācijas uzlabošanas pasākumi), kas tiek zaudēti gadījumos, kad kvalificēti speciālisti tiek pārvilināti uz citiem finanšu nozares uzņēmumiem. Jau šobrīd šādu darbinieku aiziešana rada draudus sekmīgas Hipotēku bankas komercdaļas atsavināšanas procesa realizēšanai.</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 xml:space="preserve">Hipotēku bankai ir problēmas piesaistīt augstas kompetences un atbilstošas darba pieredzes jaunos darbiniekus, jo kvalificētu darbinieku ar pieredzi finanšu/banku sektorā darba samaksas prasības visbiežāk ir augstākā līmenī nekā esošais attiecīgā amata veicēju (ar līdzvērtīgu vai pat augstāku kompetenci) Hipotēku bankā. Minētais risks pastāv arī gadījumā, ja Hipotēku bankas valdē būtu jāievēl jauni valdes </w:t>
            </w:r>
            <w:r w:rsidRPr="00A1503F">
              <w:rPr>
                <w:rFonts w:eastAsia="Times New Roman" w:cs="Times New Roman"/>
                <w:sz w:val="24"/>
                <w:szCs w:val="24"/>
                <w:lang w:eastAsia="lv-LV"/>
              </w:rPr>
              <w:lastRenderedPageBreak/>
              <w:t xml:space="preserve">locekļi vai jāpārvēl esošie, jo finansiāli daudz motivētāk ir strādāt Hipotēku bankā kā darbiniekam, nevis valdes loceklim, turklāt arī Hipotēku bankas valdes locekļi nopietni apsver iespēju neturpināt savu darbu Hipotēku bankas valdē. </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 xml:space="preserve">           Līdz ar to Hipotēku bankai tik svarīgajā pārveides procesā ir būtiski nezaudēt ne vien stratēģiski svarīgus, augstas kompetences un pieredzes bagātus darbiniekus, bet arī pieredzējušus un procesā aktīvi iesaistītus valdes locekļus.  </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 xml:space="preserve">Tādējādi būtu steidzami nepieciešams pārskatīt valsts kapitālsabiedrībām, kas darbojas kā kredītiestāde, noteiktos atalgojuma ierobežojumus attiecībā uz Hipotēku banku un tās koncerna uzņēmumiem.  </w:t>
            </w:r>
          </w:p>
          <w:p w:rsidR="00A1503F" w:rsidRP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Banku pakalpojumus Latvijā uz 30.04.2011. sniedza 30 komercbankas. Hipotēku bankas darbības nozare un veicamo uzdevumu specifika nosaka to, ka personālam, tostarp valdes locekļiem, nepieciešamās speciālās zināšanas, izglītība un pieredze ir līdzīgas kā finanšu pakalpojumu nozarē, tādējādi Hipotēku bankā un tās meitas sabiedrībās strādājošie darbinieki un valdes locekļi, kuriem ir nepieciešamā kvalifikācija, atrodas vienotā darba tirgū ar komercbankām un citām finanšu sektorā strādājošām kapitālsabiedrībām, kuru vairākums pārstāv privāto sektoru.  Šobrīd Hipotēku banka kā darba devējs nevar nodrošināt līdzvērtīgus nosacījumus ar citiem finanšu pakalpojumu nozares uzņēmumiem tās valdes locekļiem.</w:t>
            </w:r>
          </w:p>
          <w:p w:rsidR="00A1503F" w:rsidRDefault="00A1503F" w:rsidP="00A1503F">
            <w:pPr>
              <w:jc w:val="both"/>
              <w:rPr>
                <w:rFonts w:eastAsia="Times New Roman" w:cs="Times New Roman"/>
                <w:sz w:val="24"/>
                <w:szCs w:val="24"/>
                <w:lang w:eastAsia="lv-LV"/>
              </w:rPr>
            </w:pPr>
            <w:r w:rsidRPr="00A1503F">
              <w:rPr>
                <w:rFonts w:eastAsia="Times New Roman" w:cs="Times New Roman"/>
                <w:sz w:val="24"/>
                <w:szCs w:val="24"/>
                <w:lang w:eastAsia="lv-LV"/>
              </w:rPr>
              <w:t>Saskaņā ar pēdējiem pieejamiem Fontes finanšu sektora pētījuma datiem valdes priekšsēdētāja mēnešalgas līmenis kapitālsabiedrībā, kurā valdes priekšsēdētājs pārvalda arī kādu galveno biznesa funkciju un kur strādā vairāk kā 500 darbinieki, ir līdz pat 70% lielāks nekā šobrīd noteiktā Hipotēku bankas valdes priekšsēdētāja mēnešalga, līdzvērtīgas kapitālsabiedrības valdes locekļu mēnešalgas lielums – līdz 50% lielāks nekā esošais Hipotēku bankas valdes locekļu mēnešalgas lielums, kas liecina par nesamērīgi zemu atalgojumu Hipotēku bankas valdes locekļiem, salīdzinot ar situāciju citās kredītiestādēs vai finanšu sektorā darbojošos kapitālsabiedrību valdes locekļu atalgojumu. Papildus tam citu kredītiestāžu valdes locekļu motivācijā tiek ietverti papildus materiālie labumi, kas atbilstoši spēkā esošajiem normatīvajiem aktiem nav atļaut Hipotēku bankas valdes locekļu motivācijā. Šobrīd atbilstoši Hipotēku bankas statūtiem valde sastāv no pieciem valdes locekļiem.</w:t>
            </w:r>
          </w:p>
          <w:p w:rsidR="00C32690" w:rsidRPr="003D1191" w:rsidRDefault="00557E75" w:rsidP="00C96305">
            <w:pPr>
              <w:pStyle w:val="PlainText"/>
              <w:ind w:firstLine="720"/>
              <w:jc w:val="both"/>
              <w:rPr>
                <w:rFonts w:ascii="Times New Roman" w:hAnsi="Times New Roman" w:cs="Times New Roman"/>
                <w:bCs/>
                <w:sz w:val="24"/>
                <w:szCs w:val="24"/>
                <w:lang w:val="fi-FI"/>
              </w:rPr>
            </w:pPr>
            <w:r w:rsidRPr="00A62C42">
              <w:rPr>
                <w:rFonts w:ascii="Times New Roman" w:hAnsi="Times New Roman" w:cs="Times New Roman"/>
                <w:bCs/>
                <w:sz w:val="24"/>
                <w:szCs w:val="24"/>
                <w:lang w:val="fi-FI"/>
              </w:rPr>
              <w:t xml:space="preserve">Lai </w:t>
            </w:r>
            <w:r w:rsidR="00A26106" w:rsidRPr="00A62C42">
              <w:rPr>
                <w:rFonts w:ascii="Times New Roman" w:hAnsi="Times New Roman" w:cs="Times New Roman"/>
                <w:bCs/>
                <w:sz w:val="24"/>
                <w:szCs w:val="24"/>
                <w:lang w:val="fi-FI"/>
              </w:rPr>
              <w:t xml:space="preserve">Hipotēku bankas komercdaļas atsavināšanas procesā un attīstības bankas izveidošanā Hipotēku bankas valdes locekļiem </w:t>
            </w:r>
            <w:r w:rsidRPr="00A62C42">
              <w:rPr>
                <w:rFonts w:ascii="Times New Roman" w:hAnsi="Times New Roman" w:cs="Times New Roman"/>
                <w:bCs/>
                <w:sz w:val="24"/>
                <w:szCs w:val="24"/>
                <w:lang w:val="fi-FI"/>
              </w:rPr>
              <w:t>nodrošinātu līdzvērtīg</w:t>
            </w:r>
            <w:r w:rsidR="00A26106">
              <w:rPr>
                <w:rFonts w:ascii="Times New Roman" w:hAnsi="Times New Roman" w:cs="Times New Roman"/>
                <w:bCs/>
                <w:sz w:val="24"/>
                <w:szCs w:val="24"/>
                <w:lang w:val="fi-FI"/>
              </w:rPr>
              <w:t>a</w:t>
            </w:r>
            <w:r w:rsidRPr="00A62C42">
              <w:rPr>
                <w:rFonts w:ascii="Times New Roman" w:hAnsi="Times New Roman" w:cs="Times New Roman"/>
                <w:bCs/>
                <w:sz w:val="24"/>
                <w:szCs w:val="24"/>
                <w:lang w:val="fi-FI"/>
              </w:rPr>
              <w:t xml:space="preserve"> atlīdzību </w:t>
            </w:r>
            <w:r w:rsidR="00A26106">
              <w:rPr>
                <w:rFonts w:ascii="Times New Roman" w:hAnsi="Times New Roman" w:cs="Times New Roman"/>
                <w:bCs/>
                <w:sz w:val="24"/>
                <w:szCs w:val="24"/>
                <w:lang w:val="fi-FI"/>
              </w:rPr>
              <w:t xml:space="preserve">kā </w:t>
            </w:r>
            <w:r w:rsidRPr="00A62C42">
              <w:rPr>
                <w:rFonts w:ascii="Times New Roman" w:hAnsi="Times New Roman" w:cs="Times New Roman"/>
                <w:bCs/>
                <w:sz w:val="24"/>
                <w:szCs w:val="24"/>
                <w:lang w:val="fi-FI"/>
              </w:rPr>
              <w:t>finanšu sektor</w:t>
            </w:r>
            <w:r w:rsidR="00A26106">
              <w:rPr>
                <w:rFonts w:ascii="Times New Roman" w:hAnsi="Times New Roman" w:cs="Times New Roman"/>
                <w:bCs/>
                <w:sz w:val="24"/>
                <w:szCs w:val="24"/>
                <w:lang w:val="fi-FI"/>
              </w:rPr>
              <w:t>ā</w:t>
            </w:r>
            <w:r w:rsidR="0002176C">
              <w:rPr>
                <w:rFonts w:ascii="Times New Roman" w:hAnsi="Times New Roman" w:cs="Times New Roman"/>
                <w:bCs/>
                <w:sz w:val="24"/>
                <w:szCs w:val="24"/>
                <w:lang w:val="fi-FI"/>
              </w:rPr>
              <w:t xml:space="preserve"> atbilstošiem amatiem</w:t>
            </w:r>
            <w:r w:rsidRPr="00A62C42">
              <w:rPr>
                <w:rFonts w:ascii="Times New Roman" w:hAnsi="Times New Roman" w:cs="Times New Roman"/>
                <w:bCs/>
                <w:sz w:val="24"/>
                <w:szCs w:val="24"/>
                <w:lang w:val="fi-FI"/>
              </w:rPr>
              <w:t>, nepieciešams veikt grozījumus noteikumos Nr. 311</w:t>
            </w:r>
            <w:r w:rsidR="00A26106">
              <w:rPr>
                <w:rFonts w:ascii="Times New Roman" w:hAnsi="Times New Roman" w:cs="Times New Roman"/>
                <w:bCs/>
                <w:sz w:val="24"/>
                <w:szCs w:val="24"/>
                <w:lang w:val="fi-FI"/>
              </w:rPr>
              <w:t>, paredzot</w:t>
            </w:r>
            <w:r w:rsidR="0010095A">
              <w:rPr>
                <w:rFonts w:ascii="Times New Roman" w:hAnsi="Times New Roman" w:cs="Times New Roman"/>
                <w:bCs/>
                <w:sz w:val="24"/>
                <w:szCs w:val="24"/>
                <w:lang w:val="fi-FI"/>
              </w:rPr>
              <w:t xml:space="preserve"> papildu motivāciju</w:t>
            </w:r>
            <w:r w:rsidR="00A26106">
              <w:rPr>
                <w:rFonts w:ascii="Times New Roman" w:hAnsi="Times New Roman" w:cs="Times New Roman"/>
                <w:bCs/>
                <w:sz w:val="24"/>
                <w:szCs w:val="24"/>
                <w:lang w:val="fi-FI"/>
              </w:rPr>
              <w:t xml:space="preserve"> Hipotēku bankas valdes locekļiem</w:t>
            </w:r>
            <w:r w:rsidR="0010095A">
              <w:rPr>
                <w:rFonts w:ascii="Times New Roman" w:hAnsi="Times New Roman" w:cs="Times New Roman"/>
                <w:bCs/>
                <w:sz w:val="24"/>
                <w:szCs w:val="24"/>
                <w:lang w:val="fi-FI"/>
              </w:rPr>
              <w:t xml:space="preserve">. </w:t>
            </w:r>
            <w:r w:rsidR="00A20165">
              <w:rPr>
                <w:rFonts w:ascii="Times New Roman" w:hAnsi="Times New Roman" w:cs="Times New Roman"/>
                <w:bCs/>
                <w:sz w:val="24"/>
                <w:szCs w:val="24"/>
                <w:lang w:val="fi-FI"/>
              </w:rPr>
              <w:t>Paredzēts, ka šī norma  būs spēkā l</w:t>
            </w:r>
            <w:r w:rsidRPr="00C32690">
              <w:rPr>
                <w:rFonts w:ascii="Times New Roman" w:hAnsi="Times New Roman" w:cs="Times New Roman"/>
                <w:bCs/>
                <w:sz w:val="24"/>
                <w:szCs w:val="24"/>
                <w:lang w:val="fi-FI"/>
              </w:rPr>
              <w:t xml:space="preserve">īdz brīdim, kamēr tiks pieņemti grozījumi likumā “Par valsts un pašvaldību kapitāla daļām un kapitālsabiedrībām”, kas </w:t>
            </w:r>
            <w:r w:rsidRPr="00C32690">
              <w:rPr>
                <w:rFonts w:ascii="Times New Roman" w:hAnsi="Times New Roman" w:cs="Times New Roman"/>
                <w:bCs/>
                <w:sz w:val="24"/>
                <w:szCs w:val="24"/>
                <w:lang w:val="fi-FI"/>
              </w:rPr>
              <w:lastRenderedPageBreak/>
              <w:t xml:space="preserve">noteiks tirgum atbilstošu atalgojumu </w:t>
            </w:r>
            <w:r w:rsidR="00A20165">
              <w:rPr>
                <w:rFonts w:ascii="Times New Roman" w:hAnsi="Times New Roman" w:cs="Times New Roman"/>
                <w:bCs/>
                <w:sz w:val="24"/>
                <w:szCs w:val="24"/>
                <w:lang w:val="fi-FI"/>
              </w:rPr>
              <w:t xml:space="preserve">Hipotēku </w:t>
            </w:r>
            <w:r w:rsidRPr="00C32690">
              <w:rPr>
                <w:rFonts w:ascii="Times New Roman" w:hAnsi="Times New Roman" w:cs="Times New Roman"/>
                <w:bCs/>
                <w:sz w:val="24"/>
                <w:szCs w:val="24"/>
                <w:lang w:val="fi-FI"/>
              </w:rPr>
              <w:t xml:space="preserve">bankas valdes locekļiem. Līdz ar to šobrīd </w:t>
            </w:r>
            <w:r w:rsidR="00442DD7">
              <w:rPr>
                <w:rFonts w:ascii="Times New Roman" w:hAnsi="Times New Roman" w:cs="Times New Roman"/>
                <w:bCs/>
                <w:sz w:val="24"/>
                <w:szCs w:val="24"/>
                <w:lang w:val="fi-FI"/>
              </w:rPr>
              <w:t>nekonkurētspējīgais atalgojums</w:t>
            </w:r>
            <w:r w:rsidRPr="00C32690">
              <w:rPr>
                <w:rFonts w:ascii="Times New Roman" w:hAnsi="Times New Roman" w:cs="Times New Roman"/>
                <w:bCs/>
                <w:sz w:val="24"/>
                <w:szCs w:val="24"/>
                <w:lang w:val="fi-FI"/>
              </w:rPr>
              <w:t>, kas ir daudz zemāk</w:t>
            </w:r>
            <w:r w:rsidR="00BF16FB">
              <w:rPr>
                <w:rFonts w:ascii="Times New Roman" w:hAnsi="Times New Roman" w:cs="Times New Roman"/>
                <w:bCs/>
                <w:sz w:val="24"/>
                <w:szCs w:val="24"/>
                <w:lang w:val="fi-FI"/>
              </w:rPr>
              <w:t>s</w:t>
            </w:r>
            <w:r w:rsidRPr="00C32690">
              <w:rPr>
                <w:rFonts w:ascii="Times New Roman" w:hAnsi="Times New Roman" w:cs="Times New Roman"/>
                <w:bCs/>
                <w:sz w:val="24"/>
                <w:szCs w:val="24"/>
                <w:lang w:val="fi-FI"/>
              </w:rPr>
              <w:t xml:space="preserve"> kā citās bankās, kredītiestādēs, apdrošināšanas sabiedrībās</w:t>
            </w:r>
            <w:r w:rsidR="00442DD7">
              <w:rPr>
                <w:rFonts w:ascii="Times New Roman" w:hAnsi="Times New Roman" w:cs="Times New Roman"/>
                <w:bCs/>
                <w:sz w:val="24"/>
                <w:szCs w:val="24"/>
                <w:lang w:val="fi-FI"/>
              </w:rPr>
              <w:t>,</w:t>
            </w:r>
            <w:r w:rsidRPr="00C32690">
              <w:rPr>
                <w:rFonts w:ascii="Times New Roman" w:hAnsi="Times New Roman" w:cs="Times New Roman"/>
                <w:bCs/>
                <w:sz w:val="24"/>
                <w:szCs w:val="24"/>
                <w:lang w:val="fi-FI"/>
              </w:rPr>
              <w:t xml:space="preserve"> t</w:t>
            </w:r>
            <w:r w:rsidR="00442DD7">
              <w:rPr>
                <w:rFonts w:ascii="Times New Roman" w:hAnsi="Times New Roman" w:cs="Times New Roman"/>
                <w:bCs/>
                <w:sz w:val="24"/>
                <w:szCs w:val="24"/>
                <w:lang w:val="fi-FI"/>
              </w:rPr>
              <w:t>.</w:t>
            </w:r>
            <w:r w:rsidRPr="00C32690">
              <w:rPr>
                <w:rFonts w:ascii="Times New Roman" w:hAnsi="Times New Roman" w:cs="Times New Roman"/>
                <w:bCs/>
                <w:sz w:val="24"/>
                <w:szCs w:val="24"/>
                <w:lang w:val="fi-FI"/>
              </w:rPr>
              <w:t>sk. Parex vai</w:t>
            </w:r>
            <w:r w:rsidR="00442DD7">
              <w:rPr>
                <w:rFonts w:ascii="Times New Roman" w:hAnsi="Times New Roman" w:cs="Times New Roman"/>
                <w:bCs/>
                <w:sz w:val="24"/>
                <w:szCs w:val="24"/>
                <w:lang w:val="fi-FI"/>
              </w:rPr>
              <w:t xml:space="preserve"> Citadele bankā, tiks kompensēt</w:t>
            </w:r>
            <w:r w:rsidR="00C96305">
              <w:rPr>
                <w:rFonts w:ascii="Times New Roman" w:hAnsi="Times New Roman" w:cs="Times New Roman"/>
                <w:bCs/>
                <w:sz w:val="24"/>
                <w:szCs w:val="24"/>
                <w:lang w:val="fi-FI"/>
              </w:rPr>
              <w:t xml:space="preserve">s </w:t>
            </w:r>
            <w:r w:rsidRPr="00C32690">
              <w:rPr>
                <w:rFonts w:ascii="Times New Roman" w:hAnsi="Times New Roman" w:cs="Times New Roman"/>
                <w:bCs/>
                <w:sz w:val="24"/>
                <w:szCs w:val="24"/>
                <w:lang w:val="fi-FI"/>
              </w:rPr>
              <w:t>prēmij</w:t>
            </w:r>
            <w:r w:rsidR="00C96305">
              <w:rPr>
                <w:rFonts w:ascii="Times New Roman" w:hAnsi="Times New Roman" w:cs="Times New Roman"/>
                <w:bCs/>
                <w:sz w:val="24"/>
                <w:szCs w:val="24"/>
                <w:lang w:val="fi-FI"/>
              </w:rPr>
              <w:t>u</w:t>
            </w:r>
            <w:r w:rsidRPr="00C32690">
              <w:rPr>
                <w:rFonts w:ascii="Times New Roman" w:hAnsi="Times New Roman" w:cs="Times New Roman"/>
                <w:bCs/>
                <w:sz w:val="24"/>
                <w:szCs w:val="24"/>
                <w:lang w:val="fi-FI"/>
              </w:rPr>
              <w:t xml:space="preserve"> veidā.</w:t>
            </w:r>
          </w:p>
        </w:tc>
      </w:tr>
      <w:tr w:rsidR="0070526D" w:rsidRPr="002A429F"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93409E"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hideMark/>
          </w:tcPr>
          <w:p w:rsidR="006678D7" w:rsidRDefault="0070526D" w:rsidP="003D1191">
            <w:pPr>
              <w:pStyle w:val="naisf"/>
              <w:spacing w:before="0" w:beforeAutospacing="0" w:after="0" w:afterAutospacing="0"/>
              <w:jc w:val="both"/>
              <w:rPr>
                <w:bCs/>
                <w:lang w:val="fi-FI"/>
              </w:rPr>
            </w:pPr>
            <w:r w:rsidRPr="00CA529E">
              <w:t> </w:t>
            </w:r>
            <w:r w:rsidR="00635F52">
              <w:t>L</w:t>
            </w:r>
            <w:r w:rsidR="00635F52" w:rsidRPr="00635F52">
              <w:t>ai risinātu valdes motivācijas jautājumu un kompensētu šobrīd neatbilstoši ze</w:t>
            </w:r>
            <w:r w:rsidR="00635F52">
              <w:t xml:space="preserve">mo ikmēneša atlīdzību, noteikumu projekts paredz </w:t>
            </w:r>
            <w:r w:rsidR="00635F52" w:rsidRPr="00635F52">
              <w:t>no</w:t>
            </w:r>
            <w:r w:rsidR="00635F52">
              <w:t>teikt</w:t>
            </w:r>
            <w:r w:rsidR="00635F52" w:rsidRPr="00635F52">
              <w:t xml:space="preserve"> papildus motiv</w:t>
            </w:r>
            <w:r w:rsidR="00635F52">
              <w:t>ācijas s</w:t>
            </w:r>
            <w:r w:rsidR="00635F52" w:rsidRPr="00635F52">
              <w:t xml:space="preserve">istēmu, kas </w:t>
            </w:r>
            <w:r w:rsidR="00635F52">
              <w:t xml:space="preserve">ļautu </w:t>
            </w:r>
            <w:r w:rsidR="00635F52" w:rsidRPr="00635F52">
              <w:t xml:space="preserve">sasniegt Hipotēku bankas </w:t>
            </w:r>
            <w:r w:rsidR="00635F52">
              <w:t>valdes locekļiem</w:t>
            </w:r>
            <w:r w:rsidR="00635F52" w:rsidRPr="00635F52">
              <w:t xml:space="preserve"> atbilstoš</w:t>
            </w:r>
            <w:r w:rsidR="00635F52">
              <w:t>u</w:t>
            </w:r>
            <w:r w:rsidR="00635F52" w:rsidRPr="00635F52">
              <w:t xml:space="preserve"> ikmēneša atlīdzības apmēru</w:t>
            </w:r>
            <w:r w:rsidR="003D1191">
              <w:t xml:space="preserve">, pietuvinot to </w:t>
            </w:r>
            <w:r w:rsidR="00225BC9">
              <w:t>līdzvērtīgu amatu</w:t>
            </w:r>
            <w:r w:rsidR="003D1191">
              <w:t xml:space="preserve"> </w:t>
            </w:r>
            <w:r w:rsidR="00225BC9">
              <w:rPr>
                <w:bCs/>
                <w:lang w:val="fi-FI"/>
              </w:rPr>
              <w:t>atlīdzības apmēram finanšu sektorā</w:t>
            </w:r>
            <w:r w:rsidR="003D1191">
              <w:rPr>
                <w:bCs/>
                <w:lang w:val="fi-FI"/>
              </w:rPr>
              <w:t>.</w:t>
            </w:r>
          </w:p>
          <w:p w:rsidR="00557E75" w:rsidRPr="00CA529E" w:rsidRDefault="00557E75" w:rsidP="003D1191">
            <w:pPr>
              <w:pStyle w:val="naisf"/>
              <w:spacing w:before="0" w:beforeAutospacing="0" w:after="0" w:afterAutospacing="0"/>
              <w:jc w:val="both"/>
            </w:pPr>
            <w:r w:rsidRPr="00557E75">
              <w:t>Noteikumu projektam</w:t>
            </w:r>
            <w:r>
              <w:t xml:space="preserve"> pievienots protokollēmuma projekts, kas paredz uzdevumu</w:t>
            </w:r>
            <w:r w:rsidRPr="00557E75">
              <w:t xml:space="preserve"> Finanšu ministrijai mēneša laikā pēc grozījumu likumā „Par valsts un pašvaldību kapitāla daļām un kapitālsabiedrībām”, kas paredz mainīt mēnešalgas noteikšanas principu valdes locekļiem valsts un pašvaldību kapitālsabiedrībās, kuras darbojas kā kredītiestāde vai ieguldījumu pārvaldes sabiedrība, iesniegt Valsts kancelejā grozījumus Ministru kabineta 2010.gada 30.marta noteikumos Nr.311 „Noteikumi par valsts vai pašvaldību kapitālsabiedrību valdes locekļu skaitu, padomes un valdes locekļa, pašvaldības kapitāla daļu turētāja pārstāvja un atbildīgā darbinieka atlīdzību”, paredzot svītrot 8</w:t>
            </w:r>
            <w:r w:rsidRPr="00557E75">
              <w:rPr>
                <w:vertAlign w:val="superscript"/>
              </w:rPr>
              <w:t>1</w:t>
            </w:r>
            <w:r w:rsidRPr="00557E75">
              <w:t>.punktu.</w:t>
            </w:r>
          </w:p>
        </w:tc>
      </w:tr>
      <w:tr w:rsidR="0070526D" w:rsidRPr="002A429F"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E67C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3E67CA" w:rsidRPr="005D466E">
              <w:rPr>
                <w:rFonts w:eastAsia="Times New Roman" w:cs="Times New Roman"/>
                <w:sz w:val="24"/>
                <w:szCs w:val="24"/>
                <w:lang w:eastAsia="lv-LV"/>
              </w:rPr>
              <w:t>Nav attiecināms</w:t>
            </w:r>
          </w:p>
        </w:tc>
      </w:tr>
      <w:tr w:rsidR="0070526D" w:rsidRPr="002A429F"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CB589D">
            <w:pPr>
              <w:rPr>
                <w:rFonts w:eastAsia="Times New Roman" w:cs="Times New Roman"/>
                <w:sz w:val="24"/>
                <w:szCs w:val="24"/>
                <w:lang w:eastAsia="lv-LV"/>
              </w:rPr>
            </w:pPr>
            <w:r w:rsidRPr="005D466E">
              <w:rPr>
                <w:rFonts w:eastAsia="Times New Roman" w:cs="Times New Roman"/>
                <w:sz w:val="24"/>
                <w:szCs w:val="24"/>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Pr="003D026D" w:rsidRDefault="003D026D" w:rsidP="003D026D">
            <w:pPr>
              <w:jc w:val="both"/>
              <w:rPr>
                <w:rFonts w:eastAsia="Times New Roman" w:cs="Times New Roman"/>
                <w:sz w:val="24"/>
                <w:szCs w:val="24"/>
                <w:lang w:eastAsia="lv-LV"/>
              </w:rPr>
            </w:pPr>
            <w:r w:rsidRPr="003D026D">
              <w:rPr>
                <w:rFonts w:eastAsia="Times New Roman" w:cs="Times New Roman"/>
                <w:sz w:val="24"/>
                <w:szCs w:val="24"/>
                <w:lang w:eastAsia="lv-LV"/>
              </w:rPr>
              <w:t>Noteikumu projekts attiecas tikai uz vienu kapitālsabiedrīb</w:t>
            </w:r>
            <w:r w:rsidR="005A6935">
              <w:rPr>
                <w:rFonts w:eastAsia="Times New Roman" w:cs="Times New Roman"/>
                <w:sz w:val="24"/>
                <w:szCs w:val="24"/>
                <w:lang w:eastAsia="lv-LV"/>
              </w:rPr>
              <w:t>u grupu, tādēļ sabiedrības līdz</w:t>
            </w:r>
            <w:r w:rsidRPr="003D026D">
              <w:rPr>
                <w:rFonts w:eastAsia="Times New Roman" w:cs="Times New Roman"/>
                <w:sz w:val="24"/>
                <w:szCs w:val="24"/>
                <w:lang w:eastAsia="lv-LV"/>
              </w:rPr>
              <w:t>dalība noteikumu projekta izstrādē nebija nepieciešama.</w:t>
            </w:r>
          </w:p>
        </w:tc>
      </w:tr>
      <w:tr w:rsidR="0070526D" w:rsidRPr="002A429F"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0526D" w:rsidRPr="005D466E" w:rsidRDefault="0070526D" w:rsidP="003E67CA">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Nav</w:t>
            </w:r>
            <w:r w:rsidR="00D237F7" w:rsidRPr="005D466E">
              <w:rPr>
                <w:rFonts w:eastAsia="Times New Roman" w:cs="Times New Roman"/>
                <w:sz w:val="24"/>
                <w:szCs w:val="24"/>
                <w:lang w:eastAsia="lv-LV"/>
              </w:rPr>
              <w:t xml:space="preserve"> </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5825"/>
      </w:tblGrid>
      <w:tr w:rsidR="0070526D" w:rsidRPr="002A429F"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062334" w:rsidRPr="002A429F" w:rsidRDefault="0070526D" w:rsidP="0070526D">
            <w:pPr>
              <w:spacing w:before="100" w:beforeAutospacing="1" w:after="100" w:afterAutospacing="1"/>
              <w:rPr>
                <w:rFonts w:eastAsia="Times New Roman" w:cs="Times New Roman"/>
                <w:b/>
                <w:sz w:val="26"/>
                <w:szCs w:val="26"/>
                <w:lang w:eastAsia="lv-LV"/>
              </w:rPr>
            </w:pPr>
            <w:r w:rsidRPr="002A429F">
              <w:rPr>
                <w:rFonts w:eastAsia="Times New Roman" w:cs="Times New Roman"/>
                <w:b/>
                <w:sz w:val="26"/>
                <w:szCs w:val="26"/>
                <w:lang w:eastAsia="lv-LV"/>
              </w:rPr>
              <w:t> II. Tiesību akta projekta ietekme uz sabiedrību</w:t>
            </w:r>
          </w:p>
        </w:tc>
      </w:tr>
      <w:tr w:rsidR="0070526D" w:rsidRPr="002A429F" w:rsidTr="0024678C">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Sabiedrības mērķgrupa</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C7666">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9F17BB">
              <w:rPr>
                <w:rFonts w:eastAsia="Times New Roman" w:cs="Times New Roman"/>
                <w:sz w:val="24"/>
                <w:szCs w:val="24"/>
                <w:lang w:eastAsia="lv-LV"/>
              </w:rPr>
              <w:t>Hipotēku</w:t>
            </w:r>
            <w:r w:rsidR="005B1A85">
              <w:rPr>
                <w:rFonts w:eastAsia="Times New Roman" w:cs="Times New Roman"/>
                <w:sz w:val="24"/>
                <w:szCs w:val="24"/>
                <w:lang w:eastAsia="lv-LV"/>
              </w:rPr>
              <w:t xml:space="preserve"> banka</w:t>
            </w:r>
            <w:r w:rsidR="007C7666">
              <w:rPr>
                <w:rFonts w:eastAsia="Times New Roman" w:cs="Times New Roman"/>
                <w:sz w:val="24"/>
                <w:szCs w:val="24"/>
                <w:lang w:eastAsia="lv-LV"/>
              </w:rPr>
              <w:t>s</w:t>
            </w:r>
            <w:r w:rsidR="00896087" w:rsidRPr="005D466E">
              <w:rPr>
                <w:rFonts w:eastAsia="Times New Roman" w:cs="Times New Roman"/>
                <w:sz w:val="24"/>
                <w:szCs w:val="24"/>
                <w:lang w:eastAsia="lv-LV"/>
              </w:rPr>
              <w:t xml:space="preserve"> valdes locekļi</w:t>
            </w:r>
            <w:r w:rsidR="00044385">
              <w:rPr>
                <w:rFonts w:eastAsia="Times New Roman" w:cs="Times New Roman"/>
                <w:sz w:val="24"/>
                <w:szCs w:val="24"/>
                <w:lang w:eastAsia="lv-LV"/>
              </w:rPr>
              <w:t>.</w:t>
            </w:r>
            <w:r w:rsidR="00044385">
              <w:t xml:space="preserve"> </w:t>
            </w:r>
            <w:r w:rsidR="00044385" w:rsidRPr="00044385">
              <w:rPr>
                <w:rFonts w:eastAsia="Times New Roman" w:cs="Times New Roman"/>
                <w:sz w:val="24"/>
                <w:szCs w:val="24"/>
                <w:lang w:eastAsia="lv-LV"/>
              </w:rPr>
              <w:t>Hipotēku bankas statūti nosaka piecus valdes locekļus valdes sastāvā.</w:t>
            </w:r>
          </w:p>
        </w:tc>
      </w:tr>
      <w:tr w:rsidR="0070526D" w:rsidRPr="002A429F" w:rsidTr="0024678C">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Citas sabiedrības grupas (bez mērķgrupas),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E6B5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7E6B54" w:rsidRPr="005D466E">
              <w:rPr>
                <w:rFonts w:eastAsia="Times New Roman" w:cs="Times New Roman"/>
                <w:sz w:val="24"/>
                <w:szCs w:val="24"/>
                <w:lang w:eastAsia="lv-LV"/>
              </w:rPr>
              <w:t>Nav attiecināms</w:t>
            </w:r>
          </w:p>
        </w:tc>
      </w:tr>
      <w:tr w:rsidR="0070526D" w:rsidRPr="002A429F" w:rsidTr="0024678C">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C030E6" w:rsidP="00C030E6">
            <w:pPr>
              <w:spacing w:before="100" w:beforeAutospacing="1" w:after="100" w:afterAutospacing="1"/>
              <w:jc w:val="both"/>
              <w:rPr>
                <w:rFonts w:eastAsia="Times New Roman" w:cs="Times New Roman"/>
                <w:sz w:val="24"/>
                <w:szCs w:val="24"/>
                <w:lang w:eastAsia="lv-LV"/>
              </w:rPr>
            </w:pPr>
            <w:r w:rsidRPr="005D466E">
              <w:rPr>
                <w:rFonts w:eastAsia="Times New Roman" w:cs="Times New Roman"/>
                <w:sz w:val="24"/>
                <w:szCs w:val="24"/>
                <w:lang w:eastAsia="lv-LV"/>
              </w:rPr>
              <w:t>Nav attiecināms</w:t>
            </w:r>
          </w:p>
        </w:tc>
      </w:tr>
      <w:tr w:rsidR="0070526D" w:rsidRPr="002A429F" w:rsidTr="0024678C">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D90AC4"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D90AC4"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6D376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6D3764" w:rsidRPr="005D466E">
              <w:rPr>
                <w:rFonts w:eastAsia="Times New Roman" w:cs="Times New Roman"/>
                <w:sz w:val="24"/>
                <w:szCs w:val="24"/>
                <w:lang w:eastAsia="lv-LV"/>
              </w:rPr>
              <w:t>Nav</w:t>
            </w:r>
            <w:r w:rsidR="00D237F7" w:rsidRPr="005D466E">
              <w:rPr>
                <w:rFonts w:eastAsia="Times New Roman" w:cs="Times New Roman"/>
                <w:sz w:val="24"/>
                <w:szCs w:val="24"/>
                <w:lang w:eastAsia="lv-LV"/>
              </w:rPr>
              <w:t xml:space="preserve"> attiecināms</w:t>
            </w:r>
          </w:p>
        </w:tc>
      </w:tr>
      <w:tr w:rsidR="0070526D" w:rsidRPr="002A429F" w:rsidTr="0024678C">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lastRenderedPageBreak/>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Nav</w:t>
            </w:r>
            <w:r w:rsidR="00D237F7" w:rsidRPr="005D466E">
              <w:rPr>
                <w:rFonts w:eastAsia="Times New Roman" w:cs="Times New Roman"/>
                <w:sz w:val="24"/>
                <w:szCs w:val="24"/>
                <w:lang w:eastAsia="lv-LV"/>
              </w:rPr>
              <w:t xml:space="preserve"> attiecināms</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r w:rsidRPr="002A429F">
        <w:rPr>
          <w:rFonts w:eastAsia="Times New Roman" w:cs="Times New Roman"/>
          <w:i/>
          <w:iCs/>
          <w:sz w:val="26"/>
          <w:szCs w:val="26"/>
          <w:lang w:eastAsia="lv-LV"/>
        </w:rPr>
        <w:t> </w:t>
      </w:r>
      <w:r w:rsidR="009C7CB7">
        <w:rPr>
          <w:rFonts w:eastAsia="Times New Roman" w:cs="Times New Roman"/>
          <w:i/>
          <w:iCs/>
          <w:sz w:val="26"/>
          <w:szCs w:val="26"/>
          <w:lang w:eastAsia="lv-LV"/>
        </w:rPr>
        <w:t>Anotācijas III, IV, V</w:t>
      </w:r>
      <w:r w:rsidR="009267DF">
        <w:rPr>
          <w:rFonts w:eastAsia="Times New Roman" w:cs="Times New Roman"/>
          <w:i/>
          <w:iCs/>
          <w:sz w:val="26"/>
          <w:szCs w:val="26"/>
          <w:lang w:eastAsia="lv-LV"/>
        </w:rPr>
        <w:t xml:space="preserve">, VI, VII </w:t>
      </w:r>
      <w:r w:rsidR="009C7CB7">
        <w:rPr>
          <w:rFonts w:eastAsia="Times New Roman" w:cs="Times New Roman"/>
          <w:i/>
          <w:iCs/>
          <w:sz w:val="26"/>
          <w:szCs w:val="26"/>
          <w:lang w:eastAsia="lv-LV"/>
        </w:rPr>
        <w:t xml:space="preserve">sadaļa </w:t>
      </w:r>
      <w:r w:rsidR="00C02161">
        <w:rPr>
          <w:rFonts w:eastAsia="Times New Roman" w:cs="Times New Roman"/>
          <w:i/>
          <w:iCs/>
          <w:sz w:val="26"/>
          <w:szCs w:val="26"/>
          <w:lang w:eastAsia="lv-LV"/>
        </w:rPr>
        <w:t xml:space="preserve">- </w:t>
      </w:r>
      <w:r w:rsidR="009C7CB7" w:rsidRPr="009C7CB7">
        <w:rPr>
          <w:rFonts w:eastAsia="Times New Roman" w:cs="Times New Roman"/>
          <w:i/>
          <w:sz w:val="24"/>
          <w:szCs w:val="24"/>
          <w:lang w:eastAsia="lv-LV"/>
        </w:rPr>
        <w:t> </w:t>
      </w:r>
      <w:r w:rsidR="009C7CB7">
        <w:rPr>
          <w:rFonts w:eastAsia="Times New Roman" w:cs="Times New Roman"/>
          <w:i/>
          <w:sz w:val="24"/>
          <w:szCs w:val="24"/>
          <w:lang w:eastAsia="lv-LV"/>
        </w:rPr>
        <w:t>n</w:t>
      </w:r>
      <w:r w:rsidR="009C7CB7" w:rsidRPr="009C7CB7">
        <w:rPr>
          <w:rFonts w:eastAsia="Times New Roman" w:cs="Times New Roman"/>
          <w:i/>
          <w:sz w:val="24"/>
          <w:szCs w:val="24"/>
          <w:lang w:eastAsia="lv-LV"/>
        </w:rPr>
        <w:t>av attiecināms</w:t>
      </w:r>
      <w:r w:rsidR="009C7CB7">
        <w:rPr>
          <w:rFonts w:eastAsia="Times New Roman" w:cs="Times New Roman"/>
          <w:i/>
          <w:sz w:val="24"/>
          <w:szCs w:val="24"/>
          <w:lang w:eastAsia="lv-LV"/>
        </w:rPr>
        <w:t>.</w:t>
      </w:r>
    </w:p>
    <w:p w:rsidR="00F025CE" w:rsidRDefault="0070526D" w:rsidP="00935378">
      <w:pPr>
        <w:rPr>
          <w:rFonts w:eastAsia="Times New Roman" w:cs="Times New Roman"/>
          <w:sz w:val="26"/>
          <w:szCs w:val="26"/>
          <w:lang w:eastAsia="lv-LV"/>
        </w:rPr>
      </w:pPr>
      <w:r w:rsidRPr="002A429F">
        <w:rPr>
          <w:rFonts w:eastAsia="Times New Roman" w:cs="Times New Roman"/>
          <w:sz w:val="26"/>
          <w:szCs w:val="26"/>
          <w:lang w:eastAsia="lv-LV"/>
        </w:rPr>
        <w:t> </w:t>
      </w:r>
    </w:p>
    <w:p w:rsidR="00523728" w:rsidRPr="00D524D2" w:rsidRDefault="00523728" w:rsidP="00935378">
      <w:pPr>
        <w:rPr>
          <w:sz w:val="26"/>
          <w:szCs w:val="26"/>
        </w:rPr>
      </w:pPr>
    </w:p>
    <w:p w:rsidR="00935378" w:rsidRPr="00D524D2" w:rsidRDefault="00935378" w:rsidP="00935378">
      <w:pPr>
        <w:rPr>
          <w:sz w:val="26"/>
          <w:szCs w:val="26"/>
        </w:rPr>
      </w:pPr>
      <w:r w:rsidRPr="00D524D2">
        <w:rPr>
          <w:sz w:val="26"/>
          <w:szCs w:val="26"/>
        </w:rPr>
        <w:t xml:space="preserve">Finanšu ministrs </w:t>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003E67CA">
        <w:rPr>
          <w:sz w:val="26"/>
          <w:szCs w:val="26"/>
        </w:rPr>
        <w:t>A.Vilks</w:t>
      </w:r>
    </w:p>
    <w:p w:rsidR="0089697E" w:rsidRDefault="0089697E" w:rsidP="00324680">
      <w:pPr>
        <w:tabs>
          <w:tab w:val="left" w:pos="3840"/>
        </w:tabs>
        <w:rPr>
          <w:sz w:val="18"/>
          <w:szCs w:val="18"/>
        </w:rPr>
      </w:pPr>
    </w:p>
    <w:p w:rsidR="00062334" w:rsidRDefault="00062334"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bookmarkStart w:id="2" w:name="_GoBack"/>
      <w:bookmarkEnd w:id="2"/>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7C2EB3" w:rsidRDefault="007C2EB3" w:rsidP="00324680">
      <w:pPr>
        <w:tabs>
          <w:tab w:val="left" w:pos="3840"/>
        </w:tabs>
        <w:rPr>
          <w:sz w:val="18"/>
          <w:szCs w:val="18"/>
        </w:rPr>
      </w:pPr>
    </w:p>
    <w:p w:rsidR="005F45AA" w:rsidRDefault="005F45AA" w:rsidP="00324680">
      <w:pPr>
        <w:tabs>
          <w:tab w:val="left" w:pos="3840"/>
        </w:tabs>
        <w:rPr>
          <w:sz w:val="18"/>
          <w:szCs w:val="18"/>
        </w:rPr>
      </w:pPr>
    </w:p>
    <w:p w:rsidR="00324680" w:rsidRPr="0024678C" w:rsidRDefault="00523728" w:rsidP="00324680">
      <w:pPr>
        <w:tabs>
          <w:tab w:val="left" w:pos="3840"/>
        </w:tabs>
        <w:rPr>
          <w:sz w:val="18"/>
          <w:szCs w:val="18"/>
        </w:rPr>
      </w:pPr>
      <w:r>
        <w:rPr>
          <w:sz w:val="18"/>
          <w:szCs w:val="18"/>
        </w:rPr>
        <w:t>I.</w:t>
      </w:r>
      <w:r w:rsidR="007E4167">
        <w:rPr>
          <w:sz w:val="18"/>
          <w:szCs w:val="18"/>
        </w:rPr>
        <w:t>Artemjeva</w:t>
      </w:r>
    </w:p>
    <w:p w:rsidR="0016128B" w:rsidRDefault="0016128B" w:rsidP="005C37C2">
      <w:pPr>
        <w:rPr>
          <w:sz w:val="18"/>
          <w:szCs w:val="18"/>
        </w:rPr>
      </w:pPr>
      <w:r>
        <w:rPr>
          <w:sz w:val="18"/>
          <w:szCs w:val="18"/>
        </w:rPr>
        <w:t>2011.12.16. 12:12</w:t>
      </w:r>
    </w:p>
    <w:p w:rsidR="00DF56E7" w:rsidRDefault="00DF56E7" w:rsidP="005C37C2">
      <w:pPr>
        <w:rPr>
          <w:sz w:val="18"/>
          <w:szCs w:val="18"/>
        </w:rPr>
      </w:pPr>
      <w:r w:rsidRPr="005C37C2">
        <w:rPr>
          <w:sz w:val="18"/>
          <w:szCs w:val="18"/>
        </w:rPr>
        <w:t>67095</w:t>
      </w:r>
      <w:r w:rsidR="007E4167">
        <w:rPr>
          <w:sz w:val="18"/>
          <w:szCs w:val="18"/>
        </w:rPr>
        <w:t>599</w:t>
      </w:r>
      <w:r w:rsidRPr="005C37C2">
        <w:rPr>
          <w:sz w:val="18"/>
          <w:szCs w:val="18"/>
        </w:rPr>
        <w:t>;</w:t>
      </w:r>
      <w:r w:rsidRPr="0024678C">
        <w:rPr>
          <w:sz w:val="18"/>
          <w:szCs w:val="18"/>
        </w:rPr>
        <w:t xml:space="preserve"> fakss 67095541</w:t>
      </w:r>
    </w:p>
    <w:p w:rsidR="00062334" w:rsidRDefault="007C2EB3" w:rsidP="005C37C2">
      <w:pPr>
        <w:rPr>
          <w:i/>
          <w:sz w:val="18"/>
          <w:szCs w:val="18"/>
        </w:rPr>
      </w:pPr>
      <w:r>
        <w:fldChar w:fldCharType="begin"/>
      </w:r>
      <w:r>
        <w:instrText xml:space="preserve"> NUMWORDS   \* MERGEFORMAT </w:instrText>
      </w:r>
      <w:r>
        <w:fldChar w:fldCharType="separate"/>
      </w:r>
      <w:r w:rsidR="00BF16FB" w:rsidRPr="00BF16FB">
        <w:rPr>
          <w:noProof/>
          <w:sz w:val="18"/>
          <w:szCs w:val="18"/>
        </w:rPr>
        <w:t>1350</w:t>
      </w:r>
      <w:r>
        <w:rPr>
          <w:noProof/>
          <w:sz w:val="18"/>
          <w:szCs w:val="18"/>
        </w:rPr>
        <w:fldChar w:fldCharType="end"/>
      </w:r>
      <w:r w:rsidR="005C37C2" w:rsidRPr="005C37C2">
        <w:rPr>
          <w:i/>
          <w:sz w:val="18"/>
          <w:szCs w:val="18"/>
        </w:rPr>
        <w:t xml:space="preserve">  </w:t>
      </w:r>
    </w:p>
    <w:p w:rsidR="00B253BC" w:rsidRPr="0024678C" w:rsidRDefault="007C2EB3" w:rsidP="005C37C2">
      <w:pPr>
        <w:rPr>
          <w:sz w:val="18"/>
          <w:szCs w:val="18"/>
        </w:rPr>
      </w:pPr>
      <w:hyperlink r:id="rId8" w:history="1">
        <w:r w:rsidR="00BF16FB" w:rsidRPr="000066C0">
          <w:rPr>
            <w:rStyle w:val="Hyperlink"/>
            <w:sz w:val="18"/>
            <w:szCs w:val="18"/>
          </w:rPr>
          <w:t>Ineta.Artemjeva@fm.gov.lv</w:t>
        </w:r>
      </w:hyperlink>
      <w:r w:rsidR="00523728">
        <w:rPr>
          <w:sz w:val="18"/>
          <w:szCs w:val="18"/>
        </w:rPr>
        <w:t xml:space="preserve"> </w:t>
      </w:r>
    </w:p>
    <w:sectPr w:rsidR="00B253BC" w:rsidRPr="0024678C" w:rsidSect="009F49A6">
      <w:headerReference w:type="default" r:id="rId9"/>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5A" w:rsidRDefault="0010095A" w:rsidP="007740F2">
      <w:r>
        <w:separator/>
      </w:r>
    </w:p>
  </w:endnote>
  <w:endnote w:type="continuationSeparator" w:id="0">
    <w:p w:rsidR="0010095A" w:rsidRDefault="0010095A"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5A" w:rsidRPr="008B0B98" w:rsidRDefault="0010095A" w:rsidP="008B0B98">
    <w:pPr>
      <w:pStyle w:val="Footer"/>
      <w:jc w:val="both"/>
      <w:rPr>
        <w:rFonts w:cs="Times New Roman"/>
        <w:sz w:val="18"/>
        <w:szCs w:val="18"/>
      </w:rPr>
    </w:pPr>
    <w:r w:rsidRPr="00523728">
      <w:rPr>
        <w:sz w:val="18"/>
        <w:szCs w:val="18"/>
      </w:rPr>
      <w:t>FMAnot_</w:t>
    </w:r>
    <w:r>
      <w:rPr>
        <w:sz w:val="18"/>
        <w:szCs w:val="18"/>
      </w:rPr>
      <w:t>161211_311</w:t>
    </w:r>
    <w:r w:rsidRPr="00523728">
      <w:rPr>
        <w:sz w:val="18"/>
        <w:szCs w:val="18"/>
      </w:rPr>
      <w:t xml:space="preserve">; Anotācija Ministru kabineta </w:t>
    </w:r>
    <w:r w:rsidRPr="00523728">
      <w:rPr>
        <w:rFonts w:cs="Times New Roman"/>
        <w:sz w:val="18"/>
        <w:szCs w:val="18"/>
      </w:rPr>
      <w:t>noteikumu „</w:t>
    </w:r>
    <w:r w:rsidRPr="00523728">
      <w:rPr>
        <w:rFonts w:cs="Times New Roman"/>
        <w:bCs/>
        <w:sz w:val="18"/>
        <w:szCs w:val="18"/>
      </w:rPr>
      <w:t>Grozījum</w:t>
    </w:r>
    <w:r>
      <w:rPr>
        <w:rFonts w:cs="Times New Roman"/>
        <w:bCs/>
        <w:sz w:val="18"/>
        <w:szCs w:val="18"/>
      </w:rPr>
      <w:t>s</w:t>
    </w:r>
    <w:r w:rsidRPr="00523728">
      <w:rPr>
        <w:rFonts w:cs="Times New Roman"/>
        <w:bCs/>
        <w:sz w:val="18"/>
        <w:szCs w:val="18"/>
      </w:rPr>
      <w:t xml:space="preserve"> Ministru kabineta 2010.gada 30.marta</w:t>
    </w:r>
    <w:r w:rsidRPr="00523728">
      <w:rPr>
        <w:rFonts w:cs="Times New Roman"/>
        <w:sz w:val="18"/>
        <w:szCs w:val="18"/>
      </w:rPr>
      <w:t xml:space="preserve"> </w:t>
    </w:r>
    <w:r w:rsidRPr="00523728">
      <w:rPr>
        <w:rFonts w:cs="Times New Roman"/>
        <w:bCs/>
        <w:sz w:val="18"/>
        <w:szCs w:val="18"/>
      </w:rPr>
      <w:t>noteikumos Nr.311 „</w:t>
    </w:r>
    <w:r w:rsidRPr="00173F45">
      <w:rPr>
        <w:rFonts w:cs="Times New Roman"/>
        <w:sz w:val="18"/>
        <w:szCs w:val="18"/>
      </w:rPr>
      <w:t>Noteikumi par valsts vai pašvaldību kapitālsabiedrību valdes locekļu skaitu, padomes un valdes locekļa, pašvaldības kapitāla daļu turētāja pārstāvja un atbildīgā darbinieka atlīdzību</w:t>
    </w:r>
    <w:r>
      <w:rPr>
        <w:rFonts w:cs="Times New Roman"/>
        <w:bCs/>
        <w:sz w:val="18"/>
        <w:szCs w:val="18"/>
      </w:rPr>
      <w:t>””</w:t>
    </w:r>
    <w:r w:rsidRPr="00523728">
      <w:rPr>
        <w:rFonts w:cs="Times New Roman"/>
        <w:sz w:val="18"/>
        <w:szCs w:val="18"/>
      </w:rPr>
      <w:t xml:space="preserve"> projektam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5A" w:rsidRDefault="0010095A" w:rsidP="007740F2">
      <w:r>
        <w:separator/>
      </w:r>
    </w:p>
  </w:footnote>
  <w:footnote w:type="continuationSeparator" w:id="0">
    <w:p w:rsidR="0010095A" w:rsidRDefault="0010095A"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7829"/>
      <w:docPartObj>
        <w:docPartGallery w:val="Page Numbers (Top of Page)"/>
        <w:docPartUnique/>
      </w:docPartObj>
    </w:sdtPr>
    <w:sdtEndPr/>
    <w:sdtContent>
      <w:p w:rsidR="0010095A" w:rsidRDefault="0010095A">
        <w:pPr>
          <w:pStyle w:val="Header"/>
          <w:jc w:val="center"/>
        </w:pPr>
        <w:r>
          <w:fldChar w:fldCharType="begin"/>
        </w:r>
        <w:r>
          <w:instrText xml:space="preserve"> PAGE   \* MERGEFORMAT </w:instrText>
        </w:r>
        <w:r>
          <w:fldChar w:fldCharType="separate"/>
        </w:r>
        <w:r w:rsidR="007C2EB3">
          <w:rPr>
            <w:noProof/>
          </w:rPr>
          <w:t>5</w:t>
        </w:r>
        <w:r>
          <w:rPr>
            <w:noProof/>
          </w:rPr>
          <w:fldChar w:fldCharType="end"/>
        </w:r>
      </w:p>
    </w:sdtContent>
  </w:sdt>
  <w:p w:rsidR="0010095A" w:rsidRDefault="00100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7E1C"/>
    <w:rsid w:val="0002176C"/>
    <w:rsid w:val="00026F6C"/>
    <w:rsid w:val="00041BC5"/>
    <w:rsid w:val="00044385"/>
    <w:rsid w:val="000608D1"/>
    <w:rsid w:val="00062334"/>
    <w:rsid w:val="0008532F"/>
    <w:rsid w:val="0009389C"/>
    <w:rsid w:val="000A3048"/>
    <w:rsid w:val="000C4DF9"/>
    <w:rsid w:val="000D73B8"/>
    <w:rsid w:val="0010095A"/>
    <w:rsid w:val="00115E82"/>
    <w:rsid w:val="00122717"/>
    <w:rsid w:val="0012536F"/>
    <w:rsid w:val="00136AC7"/>
    <w:rsid w:val="0014131D"/>
    <w:rsid w:val="00142743"/>
    <w:rsid w:val="0014438B"/>
    <w:rsid w:val="00150B46"/>
    <w:rsid w:val="00152376"/>
    <w:rsid w:val="001544B1"/>
    <w:rsid w:val="0016128B"/>
    <w:rsid w:val="00161D6A"/>
    <w:rsid w:val="00173F45"/>
    <w:rsid w:val="00182716"/>
    <w:rsid w:val="0018679A"/>
    <w:rsid w:val="00192B03"/>
    <w:rsid w:val="001952CE"/>
    <w:rsid w:val="001A5D75"/>
    <w:rsid w:val="001A7971"/>
    <w:rsid w:val="001B1E3E"/>
    <w:rsid w:val="00200731"/>
    <w:rsid w:val="002176AD"/>
    <w:rsid w:val="00225BC9"/>
    <w:rsid w:val="00227194"/>
    <w:rsid w:val="00230D49"/>
    <w:rsid w:val="0024678C"/>
    <w:rsid w:val="0027277F"/>
    <w:rsid w:val="002842DF"/>
    <w:rsid w:val="002A3DAE"/>
    <w:rsid w:val="002A429F"/>
    <w:rsid w:val="002B33E3"/>
    <w:rsid w:val="002B5BA9"/>
    <w:rsid w:val="0030223A"/>
    <w:rsid w:val="00324680"/>
    <w:rsid w:val="00325216"/>
    <w:rsid w:val="0035017E"/>
    <w:rsid w:val="003539EF"/>
    <w:rsid w:val="003608AD"/>
    <w:rsid w:val="0036096D"/>
    <w:rsid w:val="00363D74"/>
    <w:rsid w:val="003675D3"/>
    <w:rsid w:val="00370FE5"/>
    <w:rsid w:val="00385736"/>
    <w:rsid w:val="003B7A5B"/>
    <w:rsid w:val="003B7D1C"/>
    <w:rsid w:val="003D026D"/>
    <w:rsid w:val="003D1191"/>
    <w:rsid w:val="003D47B9"/>
    <w:rsid w:val="003E67CA"/>
    <w:rsid w:val="00406EE7"/>
    <w:rsid w:val="004124FD"/>
    <w:rsid w:val="004125EE"/>
    <w:rsid w:val="00422671"/>
    <w:rsid w:val="00434867"/>
    <w:rsid w:val="00442DD7"/>
    <w:rsid w:val="00444C23"/>
    <w:rsid w:val="0046430C"/>
    <w:rsid w:val="004704D8"/>
    <w:rsid w:val="00473566"/>
    <w:rsid w:val="004807EA"/>
    <w:rsid w:val="004D6407"/>
    <w:rsid w:val="004F4590"/>
    <w:rsid w:val="004F6E25"/>
    <w:rsid w:val="005119F4"/>
    <w:rsid w:val="00523728"/>
    <w:rsid w:val="005500B1"/>
    <w:rsid w:val="00557E75"/>
    <w:rsid w:val="0056019C"/>
    <w:rsid w:val="005631DF"/>
    <w:rsid w:val="005657D6"/>
    <w:rsid w:val="005668B0"/>
    <w:rsid w:val="005711E4"/>
    <w:rsid w:val="00585F3A"/>
    <w:rsid w:val="005A6935"/>
    <w:rsid w:val="005B1A85"/>
    <w:rsid w:val="005B7B1F"/>
    <w:rsid w:val="005C37C2"/>
    <w:rsid w:val="005D466E"/>
    <w:rsid w:val="005F2843"/>
    <w:rsid w:val="005F45AA"/>
    <w:rsid w:val="00605A33"/>
    <w:rsid w:val="00606A4B"/>
    <w:rsid w:val="00635F52"/>
    <w:rsid w:val="006678D7"/>
    <w:rsid w:val="00672F87"/>
    <w:rsid w:val="00684105"/>
    <w:rsid w:val="006B7A79"/>
    <w:rsid w:val="006C0E9A"/>
    <w:rsid w:val="006C16C6"/>
    <w:rsid w:val="006C1B3A"/>
    <w:rsid w:val="006D3764"/>
    <w:rsid w:val="006E0584"/>
    <w:rsid w:val="006E0C4B"/>
    <w:rsid w:val="006F496D"/>
    <w:rsid w:val="007022B9"/>
    <w:rsid w:val="0070526D"/>
    <w:rsid w:val="0073757A"/>
    <w:rsid w:val="00756C38"/>
    <w:rsid w:val="00760C6B"/>
    <w:rsid w:val="007740F2"/>
    <w:rsid w:val="007745A6"/>
    <w:rsid w:val="00776CCD"/>
    <w:rsid w:val="0078057E"/>
    <w:rsid w:val="007B5773"/>
    <w:rsid w:val="007C2EB3"/>
    <w:rsid w:val="007C7666"/>
    <w:rsid w:val="007D791F"/>
    <w:rsid w:val="007E4167"/>
    <w:rsid w:val="007E6B54"/>
    <w:rsid w:val="007F1998"/>
    <w:rsid w:val="007F1CFD"/>
    <w:rsid w:val="00803914"/>
    <w:rsid w:val="00835068"/>
    <w:rsid w:val="008442FB"/>
    <w:rsid w:val="00862EB1"/>
    <w:rsid w:val="0088354B"/>
    <w:rsid w:val="00896087"/>
    <w:rsid w:val="0089697E"/>
    <w:rsid w:val="008A1796"/>
    <w:rsid w:val="008B0B98"/>
    <w:rsid w:val="008C14A5"/>
    <w:rsid w:val="008C4091"/>
    <w:rsid w:val="008C6C7D"/>
    <w:rsid w:val="008D01F8"/>
    <w:rsid w:val="008D33D9"/>
    <w:rsid w:val="008E5620"/>
    <w:rsid w:val="008E6AFB"/>
    <w:rsid w:val="009267DF"/>
    <w:rsid w:val="00930D7F"/>
    <w:rsid w:val="0093409E"/>
    <w:rsid w:val="00935378"/>
    <w:rsid w:val="009446BA"/>
    <w:rsid w:val="00945B4D"/>
    <w:rsid w:val="00955248"/>
    <w:rsid w:val="00981D2A"/>
    <w:rsid w:val="009B236A"/>
    <w:rsid w:val="009B4C0B"/>
    <w:rsid w:val="009C7CB7"/>
    <w:rsid w:val="009D6228"/>
    <w:rsid w:val="009E423D"/>
    <w:rsid w:val="009F17BB"/>
    <w:rsid w:val="009F49A6"/>
    <w:rsid w:val="009F71E7"/>
    <w:rsid w:val="00A1503F"/>
    <w:rsid w:val="00A20165"/>
    <w:rsid w:val="00A26106"/>
    <w:rsid w:val="00A57A47"/>
    <w:rsid w:val="00A62C42"/>
    <w:rsid w:val="00A923DC"/>
    <w:rsid w:val="00A976A4"/>
    <w:rsid w:val="00AC702C"/>
    <w:rsid w:val="00AE5A6F"/>
    <w:rsid w:val="00AF079B"/>
    <w:rsid w:val="00B20E29"/>
    <w:rsid w:val="00B253BC"/>
    <w:rsid w:val="00B254E1"/>
    <w:rsid w:val="00B26E00"/>
    <w:rsid w:val="00B30D51"/>
    <w:rsid w:val="00B4486A"/>
    <w:rsid w:val="00B93AD7"/>
    <w:rsid w:val="00BA0537"/>
    <w:rsid w:val="00BA1E74"/>
    <w:rsid w:val="00BB7856"/>
    <w:rsid w:val="00BF16FB"/>
    <w:rsid w:val="00C02161"/>
    <w:rsid w:val="00C030E6"/>
    <w:rsid w:val="00C11128"/>
    <w:rsid w:val="00C27314"/>
    <w:rsid w:val="00C32690"/>
    <w:rsid w:val="00C41080"/>
    <w:rsid w:val="00C60184"/>
    <w:rsid w:val="00C60F8C"/>
    <w:rsid w:val="00C84F1F"/>
    <w:rsid w:val="00C96305"/>
    <w:rsid w:val="00CA529E"/>
    <w:rsid w:val="00CB589D"/>
    <w:rsid w:val="00CB67AC"/>
    <w:rsid w:val="00CC35D2"/>
    <w:rsid w:val="00CD0DDE"/>
    <w:rsid w:val="00CE2D10"/>
    <w:rsid w:val="00CE30D1"/>
    <w:rsid w:val="00CE7A8D"/>
    <w:rsid w:val="00D07C37"/>
    <w:rsid w:val="00D16655"/>
    <w:rsid w:val="00D237F7"/>
    <w:rsid w:val="00D57E12"/>
    <w:rsid w:val="00D64500"/>
    <w:rsid w:val="00D7768B"/>
    <w:rsid w:val="00D90AC4"/>
    <w:rsid w:val="00D90C81"/>
    <w:rsid w:val="00DA1516"/>
    <w:rsid w:val="00DA2445"/>
    <w:rsid w:val="00DD5573"/>
    <w:rsid w:val="00DF219A"/>
    <w:rsid w:val="00DF56E7"/>
    <w:rsid w:val="00E040B8"/>
    <w:rsid w:val="00E16B00"/>
    <w:rsid w:val="00E20D5A"/>
    <w:rsid w:val="00E222EA"/>
    <w:rsid w:val="00E34609"/>
    <w:rsid w:val="00E833C2"/>
    <w:rsid w:val="00EA7AB6"/>
    <w:rsid w:val="00EB39A0"/>
    <w:rsid w:val="00EE66D6"/>
    <w:rsid w:val="00EF3296"/>
    <w:rsid w:val="00F020D9"/>
    <w:rsid w:val="00F025CE"/>
    <w:rsid w:val="00F4097F"/>
    <w:rsid w:val="00F6632C"/>
    <w:rsid w:val="00F708BC"/>
    <w:rsid w:val="00F8684A"/>
    <w:rsid w:val="00F94342"/>
    <w:rsid w:val="00F96BD4"/>
    <w:rsid w:val="00FA241A"/>
    <w:rsid w:val="00FA2FDC"/>
    <w:rsid w:val="00FB1F36"/>
    <w:rsid w:val="00FC298A"/>
    <w:rsid w:val="00FE341E"/>
    <w:rsid w:val="00FE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paragraph" w:styleId="PlainText">
    <w:name w:val="Plain Text"/>
    <w:basedOn w:val="Normal"/>
    <w:link w:val="PlainTextChar"/>
    <w:uiPriority w:val="99"/>
    <w:unhideWhenUsed/>
    <w:rsid w:val="00635F52"/>
    <w:rPr>
      <w:rFonts w:ascii="Consolas" w:hAnsi="Consolas" w:cs="Consolas"/>
      <w:sz w:val="21"/>
      <w:szCs w:val="21"/>
      <w:lang w:eastAsia="lv-LV"/>
    </w:rPr>
  </w:style>
  <w:style w:type="character" w:customStyle="1" w:styleId="PlainTextChar">
    <w:name w:val="Plain Text Char"/>
    <w:basedOn w:val="DefaultParagraphFont"/>
    <w:link w:val="PlainText"/>
    <w:uiPriority w:val="99"/>
    <w:rsid w:val="00635F52"/>
    <w:rPr>
      <w:rFonts w:ascii="Consolas" w:hAnsi="Consolas" w:cs="Consolas"/>
      <w:sz w:val="21"/>
      <w:szCs w:val="21"/>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paragraph" w:styleId="PlainText">
    <w:name w:val="Plain Text"/>
    <w:basedOn w:val="Normal"/>
    <w:link w:val="PlainTextChar"/>
    <w:uiPriority w:val="99"/>
    <w:unhideWhenUsed/>
    <w:rsid w:val="00635F52"/>
    <w:rPr>
      <w:rFonts w:ascii="Consolas" w:hAnsi="Consolas" w:cs="Consolas"/>
      <w:sz w:val="21"/>
      <w:szCs w:val="21"/>
      <w:lang w:eastAsia="lv-LV"/>
    </w:rPr>
  </w:style>
  <w:style w:type="character" w:customStyle="1" w:styleId="PlainTextChar">
    <w:name w:val="Plain Text Char"/>
    <w:basedOn w:val="DefaultParagraphFont"/>
    <w:link w:val="PlainText"/>
    <w:uiPriority w:val="99"/>
    <w:rsid w:val="00635F52"/>
    <w:rPr>
      <w:rFonts w:ascii="Consolas" w:hAnsi="Consolas" w:cs="Consolas"/>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1303</Words>
  <Characters>9832</Characters>
  <Application>Microsoft Office Word</Application>
  <DocSecurity>0</DocSecurity>
  <Lines>446</Lines>
  <Paragraphs>222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30.marta noteikumos Nr.311 „Noteikumi par valsts vai pašvaldību kapitālsabiedrību valdes locekļu skaitu, padomes un valdes locekļa atlīdzību, pašvaldības kapitāla daļu turētāja pārstāvja u</vt:lpstr>
    </vt:vector>
  </TitlesOfParts>
  <Company>fm</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30.marta noteikumos Nr.311 „Noteikumi par valsts vai pašvaldību kapitālsabiedrību valdes locekļu skaitu, padomes un valdes locekļa atlīdzību, pašvaldības kapitāla daļu turētāja pārstāvja un atbildīgā darbinieka atlīdzību”” projekta anotācija</dc:title>
  <dc:subject>Anotācija</dc:subject>
  <dc:creator>I.Artemjeva</dc:creator>
  <cp:keywords/>
  <dc:description>t.67095599; Ineta.Artemjeva@fm.gov.lv  </dc:description>
  <cp:lastModifiedBy>changeme</cp:lastModifiedBy>
  <cp:revision>16</cp:revision>
  <cp:lastPrinted>2011-12-16T13:54:00Z</cp:lastPrinted>
  <dcterms:created xsi:type="dcterms:W3CDTF">2011-12-16T10:34:00Z</dcterms:created>
  <dcterms:modified xsi:type="dcterms:W3CDTF">2011-12-16T13:59:00Z</dcterms:modified>
</cp:coreProperties>
</file>