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D11" w:rsidRDefault="008C3F03" w:rsidP="00B03D11">
      <w:pPr>
        <w:pStyle w:val="naisc"/>
        <w:spacing w:before="0" w:after="0"/>
        <w:rPr>
          <w:bCs/>
          <w:sz w:val="28"/>
          <w:szCs w:val="28"/>
        </w:rPr>
      </w:pPr>
      <w:bookmarkStart w:id="0" w:name="OLE_LINK1"/>
      <w:bookmarkStart w:id="1" w:name="_GoBack"/>
      <w:bookmarkEnd w:id="1"/>
      <w:r w:rsidRPr="0030193F">
        <w:rPr>
          <w:b/>
          <w:sz w:val="28"/>
          <w:szCs w:val="28"/>
        </w:rPr>
        <w:t xml:space="preserve">Ministru kabineta </w:t>
      </w:r>
      <w:r>
        <w:rPr>
          <w:b/>
          <w:sz w:val="28"/>
          <w:szCs w:val="28"/>
        </w:rPr>
        <w:t>rīkojuma</w:t>
      </w:r>
      <w:r w:rsidRPr="0030193F">
        <w:rPr>
          <w:b/>
          <w:sz w:val="28"/>
          <w:szCs w:val="28"/>
        </w:rPr>
        <w:t xml:space="preserve"> projekta</w:t>
      </w:r>
      <w:bookmarkEnd w:id="0"/>
      <w:r>
        <w:rPr>
          <w:b/>
          <w:sz w:val="28"/>
          <w:szCs w:val="28"/>
        </w:rPr>
        <w:t xml:space="preserve"> </w:t>
      </w:r>
      <w:r w:rsidRPr="0030193F">
        <w:rPr>
          <w:b/>
          <w:sz w:val="28"/>
          <w:szCs w:val="28"/>
        </w:rPr>
        <w:t>„</w:t>
      </w:r>
      <w:r>
        <w:rPr>
          <w:b/>
          <w:sz w:val="28"/>
          <w:szCs w:val="28"/>
        </w:rPr>
        <w:t xml:space="preserve">Par finanšu līdzekļu piešķiršanu </w:t>
      </w:r>
      <w:r w:rsidRPr="000D0ABD">
        <w:rPr>
          <w:b/>
          <w:sz w:val="28"/>
          <w:szCs w:val="28"/>
        </w:rPr>
        <w:t>no valsts budžeta programmas „Līdzekļi neparedzētiem gadījumiem</w:t>
      </w:r>
      <w:r>
        <w:rPr>
          <w:b/>
          <w:sz w:val="28"/>
          <w:szCs w:val="28"/>
        </w:rPr>
        <w:t xml:space="preserve">”” </w:t>
      </w:r>
      <w:r w:rsidRPr="0030193F">
        <w:rPr>
          <w:b/>
          <w:bCs/>
          <w:sz w:val="28"/>
          <w:szCs w:val="28"/>
        </w:rPr>
        <w:t>sākotnējās ietekmes novērtējuma ziņojums (anotācija</w:t>
      </w:r>
      <w:r w:rsidRPr="0030193F">
        <w:rPr>
          <w:bCs/>
          <w:sz w:val="28"/>
          <w:szCs w:val="28"/>
        </w:rPr>
        <w:t>)</w:t>
      </w:r>
    </w:p>
    <w:p w:rsidR="008C3F03" w:rsidRDefault="008C3F03" w:rsidP="00B03D11">
      <w:pPr>
        <w:pStyle w:val="naisc"/>
        <w:spacing w:before="0" w:after="0"/>
        <w:rPr>
          <w:b/>
          <w:bCs/>
          <w:sz w:val="24"/>
          <w:szCs w:val="24"/>
        </w:rPr>
      </w:pPr>
    </w:p>
    <w:p w:rsidR="002A2439" w:rsidRPr="000A0D36" w:rsidRDefault="002A2439" w:rsidP="00B03D11">
      <w:pPr>
        <w:pStyle w:val="naisc"/>
        <w:spacing w:before="0" w:after="0"/>
        <w:rPr>
          <w:b/>
          <w:bCs/>
          <w:sz w:val="24"/>
          <w:szCs w:val="24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31"/>
        <w:gridCol w:w="3259"/>
        <w:gridCol w:w="5491"/>
      </w:tblGrid>
      <w:tr w:rsidR="00B03D11" w:rsidRPr="000A0D36" w:rsidTr="00101F22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3D11" w:rsidRPr="000A0D36" w:rsidRDefault="00B03D11" w:rsidP="00101F22">
            <w:pPr>
              <w:pStyle w:val="naisc"/>
              <w:spacing w:before="0" w:after="0"/>
              <w:rPr>
                <w:sz w:val="24"/>
                <w:szCs w:val="24"/>
              </w:rPr>
            </w:pPr>
            <w:r w:rsidRPr="000A0D36">
              <w:rPr>
                <w:b/>
                <w:bCs/>
                <w:sz w:val="24"/>
                <w:szCs w:val="24"/>
              </w:rPr>
              <w:t xml:space="preserve">I. </w:t>
            </w:r>
            <w:r w:rsidRPr="000A0D36">
              <w:rPr>
                <w:b/>
                <w:color w:val="000000"/>
                <w:sz w:val="24"/>
                <w:szCs w:val="24"/>
              </w:rPr>
              <w:t>Tiesību akta projekta izstrādes nepieciešamība</w:t>
            </w:r>
          </w:p>
        </w:tc>
      </w:tr>
      <w:tr w:rsidR="00B03D11" w:rsidRPr="000A0D36" w:rsidTr="00101F22"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D11" w:rsidRPr="000A0D36" w:rsidRDefault="00B03D11" w:rsidP="00101F22">
            <w:pPr>
              <w:jc w:val="both"/>
              <w:rPr>
                <w:color w:val="000000"/>
              </w:rPr>
            </w:pPr>
            <w:r w:rsidRPr="000A0D36">
              <w:rPr>
                <w:color w:val="000000"/>
              </w:rPr>
              <w:t>1.</w:t>
            </w:r>
          </w:p>
        </w:tc>
        <w:tc>
          <w:tcPr>
            <w:tcW w:w="1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D11" w:rsidRPr="000A0D36" w:rsidRDefault="00B03D11" w:rsidP="00101F22">
            <w:pPr>
              <w:jc w:val="both"/>
              <w:rPr>
                <w:color w:val="000000"/>
              </w:rPr>
            </w:pPr>
            <w:r w:rsidRPr="000A0D36">
              <w:rPr>
                <w:color w:val="000000"/>
              </w:rPr>
              <w:t>Pamatojums</w:t>
            </w:r>
          </w:p>
        </w:tc>
        <w:tc>
          <w:tcPr>
            <w:tcW w:w="2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D11" w:rsidRPr="00DE6F77" w:rsidRDefault="006F21F2" w:rsidP="00101F22">
            <w:pPr>
              <w:jc w:val="both"/>
            </w:pPr>
            <w:r>
              <w:t>Nav attiecināms.</w:t>
            </w:r>
          </w:p>
        </w:tc>
      </w:tr>
      <w:tr w:rsidR="00B03D11" w:rsidRPr="000A0D36" w:rsidTr="00101F22">
        <w:trPr>
          <w:trHeight w:val="300"/>
        </w:trPr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D11" w:rsidRPr="000A0D36" w:rsidRDefault="00B03D11" w:rsidP="00101F22">
            <w:pPr>
              <w:jc w:val="both"/>
              <w:rPr>
                <w:color w:val="000000"/>
              </w:rPr>
            </w:pPr>
            <w:r w:rsidRPr="000A0D36">
              <w:rPr>
                <w:color w:val="000000"/>
              </w:rPr>
              <w:t>2.</w:t>
            </w:r>
          </w:p>
        </w:tc>
        <w:tc>
          <w:tcPr>
            <w:tcW w:w="1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D11" w:rsidRPr="000A0D36" w:rsidRDefault="00B03D11" w:rsidP="00101F22">
            <w:pPr>
              <w:jc w:val="both"/>
              <w:rPr>
                <w:color w:val="000000"/>
              </w:rPr>
            </w:pPr>
            <w:r w:rsidRPr="000A0D36">
              <w:rPr>
                <w:color w:val="000000"/>
              </w:rPr>
              <w:t>Pašreizējā situācija un problēmas</w:t>
            </w:r>
          </w:p>
        </w:tc>
        <w:tc>
          <w:tcPr>
            <w:tcW w:w="2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C3F03" w:rsidRDefault="008C3F03" w:rsidP="008C3F03">
            <w:pPr>
              <w:ind w:firstLine="605"/>
              <w:jc w:val="both"/>
            </w:pPr>
            <w:r>
              <w:t xml:space="preserve">Apkopojot un pārbaudot parakstu vākšanā likumprojekta </w:t>
            </w:r>
            <w:r w:rsidRPr="004041F5">
              <w:t>„Grozījumi Latvijas Republikas Satversmē”</w:t>
            </w:r>
            <w:r>
              <w:t xml:space="preserve"> ierosināšanai 2011.gada novembrī saņemtos parakstus, Centrālajā vēlēšanu komisija konstatēja, ka par Satversmes grozījumu ierosināšanu ir parakstījušies 187 378 vēlētāji jeb 12,14% no pēdējās Saeimas vēlēšanās balsstiesīgo pilsoņu skaita. </w:t>
            </w:r>
          </w:p>
          <w:p w:rsidR="00B03D11" w:rsidRPr="00C06306" w:rsidRDefault="008C3F03" w:rsidP="008C3F03">
            <w:pPr>
              <w:ind w:left="38" w:firstLine="567"/>
              <w:jc w:val="both"/>
            </w:pPr>
            <w:r>
              <w:t>2011.gada 22.decembra sēdē Saeima noraidīja iesniegto likumprojektu, tādēļ Centrālā vēlēšanu komisija 2012.gada 3.janvārī ir izsludinājusi tautas nobalsošanu par likumprojektu</w:t>
            </w:r>
            <w:r w:rsidRPr="004041F5">
              <w:t xml:space="preserve"> „Grozījumi Latvijas Republikas Satversmē”</w:t>
            </w:r>
            <w:r>
              <w:t>, ko rīkos 2012.gada 18.februārī.</w:t>
            </w:r>
          </w:p>
        </w:tc>
      </w:tr>
      <w:tr w:rsidR="00B03D11" w:rsidRPr="000A0D36" w:rsidTr="00101F22"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D11" w:rsidRPr="000A0D36" w:rsidRDefault="00B03D11" w:rsidP="00101F22">
            <w:pPr>
              <w:pStyle w:val="NormalWeb"/>
              <w:spacing w:before="0" w:beforeAutospacing="0" w:after="0" w:afterAutospacing="0"/>
            </w:pPr>
            <w:r w:rsidRPr="000A0D36">
              <w:t>3.</w:t>
            </w:r>
          </w:p>
        </w:tc>
        <w:tc>
          <w:tcPr>
            <w:tcW w:w="1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D11" w:rsidRPr="000A0D36" w:rsidRDefault="00B03D11" w:rsidP="00101F22">
            <w:pPr>
              <w:jc w:val="both"/>
              <w:rPr>
                <w:color w:val="000000"/>
              </w:rPr>
            </w:pPr>
            <w:r w:rsidRPr="000A0D36">
              <w:rPr>
                <w:color w:val="000000"/>
              </w:rPr>
              <w:t>Saistītie politikas ietekmes novērtējumi un pētījumi</w:t>
            </w:r>
          </w:p>
        </w:tc>
        <w:tc>
          <w:tcPr>
            <w:tcW w:w="2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D11" w:rsidRPr="000A0D36" w:rsidRDefault="00B03D11" w:rsidP="00101F22">
            <w:pPr>
              <w:pStyle w:val="naisf"/>
              <w:spacing w:before="0" w:after="0"/>
              <w:ind w:firstLine="0"/>
              <w:rPr>
                <w:highlight w:val="yellow"/>
              </w:rPr>
            </w:pPr>
            <w:r w:rsidRPr="000A0D36">
              <w:t>Nav attiecināms.</w:t>
            </w:r>
          </w:p>
        </w:tc>
      </w:tr>
      <w:tr w:rsidR="00B03D11" w:rsidRPr="000A0D36" w:rsidTr="00101F22"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D11" w:rsidRPr="000A0D36" w:rsidRDefault="00B03D11" w:rsidP="00101F22">
            <w:pPr>
              <w:pStyle w:val="NormalWeb"/>
              <w:spacing w:before="0" w:beforeAutospacing="0" w:after="0" w:afterAutospacing="0"/>
            </w:pPr>
            <w:r w:rsidRPr="000A0D36">
              <w:t>4.</w:t>
            </w:r>
          </w:p>
        </w:tc>
        <w:tc>
          <w:tcPr>
            <w:tcW w:w="1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D11" w:rsidRPr="000A0D36" w:rsidRDefault="00B03D11" w:rsidP="00101F22">
            <w:pPr>
              <w:jc w:val="both"/>
              <w:rPr>
                <w:color w:val="000000"/>
              </w:rPr>
            </w:pPr>
            <w:r w:rsidRPr="000A0D36">
              <w:rPr>
                <w:color w:val="000000"/>
              </w:rPr>
              <w:t>Tiesiskā regulējuma mērķis un būtība</w:t>
            </w:r>
          </w:p>
        </w:tc>
        <w:tc>
          <w:tcPr>
            <w:tcW w:w="2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3F03" w:rsidRPr="004041F5" w:rsidRDefault="001867F7" w:rsidP="008C3F03">
            <w:pPr>
              <w:ind w:firstLine="605"/>
              <w:jc w:val="both"/>
            </w:pPr>
            <w:r>
              <w:t>Pamatojoties uz Centrālās vēlēšanu komisijas veiktajiem aprēķiniem, l</w:t>
            </w:r>
            <w:r w:rsidR="008C3F03" w:rsidRPr="004041F5">
              <w:t xml:space="preserve">ai nodrošinātu </w:t>
            </w:r>
            <w:r w:rsidR="008C3F03">
              <w:t>tautas nobalsošanu par likumprojektu</w:t>
            </w:r>
            <w:r w:rsidR="008C3F03" w:rsidRPr="004041F5">
              <w:t xml:space="preserve"> „Grozījumi Latvijas Republikas Satversmē”, Centrālajai vēlēšanu komisijai ir nepieciešams finansējums </w:t>
            </w:r>
            <w:r w:rsidR="008C3F03">
              <w:t xml:space="preserve">1 712 878 </w:t>
            </w:r>
            <w:r w:rsidR="008C3F03" w:rsidRPr="004041F5">
              <w:t>latu apmērā, tajā skaitā:</w:t>
            </w:r>
          </w:p>
          <w:p w:rsidR="008C3F03" w:rsidRPr="004041F5" w:rsidRDefault="008C3F03" w:rsidP="002A2439">
            <w:pPr>
              <w:numPr>
                <w:ilvl w:val="0"/>
                <w:numId w:val="1"/>
              </w:numPr>
              <w:tabs>
                <w:tab w:val="clear" w:pos="720"/>
                <w:tab w:val="num" w:pos="321"/>
              </w:tabs>
              <w:spacing w:after="120"/>
              <w:ind w:left="321" w:hanging="283"/>
              <w:jc w:val="both"/>
            </w:pPr>
            <w:r w:rsidRPr="004041F5">
              <w:t>vēlēša</w:t>
            </w:r>
            <w:r>
              <w:t xml:space="preserve">nu komisiju darbinieku Latvijā </w:t>
            </w:r>
            <w:r w:rsidRPr="004041F5">
              <w:t xml:space="preserve">un ārvalstīs, </w:t>
            </w:r>
            <w:r>
              <w:t>tautas nobalsošanas</w:t>
            </w:r>
            <w:r w:rsidRPr="004041F5">
              <w:t xml:space="preserve"> organizatoriskai un tehniskai nodrošināšanai nepieciešamā Centrālās vēlēšanu komisijas sekretariāta līgumdarbinieku, kā arī Centrālās vēlēšanu komisijas darbinieku papildus darba apmaksai Ls </w:t>
            </w:r>
            <w:r>
              <w:t>1 112 685</w:t>
            </w:r>
            <w:r w:rsidRPr="004041F5">
              <w:t>;</w:t>
            </w:r>
          </w:p>
          <w:p w:rsidR="008C3F03" w:rsidRPr="004041F5" w:rsidRDefault="008C3F03" w:rsidP="002A2439">
            <w:pPr>
              <w:numPr>
                <w:ilvl w:val="0"/>
                <w:numId w:val="1"/>
              </w:numPr>
              <w:tabs>
                <w:tab w:val="clear" w:pos="720"/>
                <w:tab w:val="num" w:pos="321"/>
              </w:tabs>
              <w:spacing w:after="120"/>
              <w:ind w:left="321" w:hanging="283"/>
              <w:jc w:val="both"/>
            </w:pPr>
            <w:r w:rsidRPr="004041F5">
              <w:t xml:space="preserve">valsts sociālās apdrošināšanas obligātajām iemaksām Ls </w:t>
            </w:r>
            <w:r>
              <w:t>268 049</w:t>
            </w:r>
            <w:r w:rsidRPr="004041F5">
              <w:t>;</w:t>
            </w:r>
          </w:p>
          <w:p w:rsidR="008C3F03" w:rsidRDefault="008C3F03" w:rsidP="002A2439">
            <w:pPr>
              <w:numPr>
                <w:ilvl w:val="0"/>
                <w:numId w:val="1"/>
              </w:numPr>
              <w:tabs>
                <w:tab w:val="clear" w:pos="720"/>
                <w:tab w:val="num" w:pos="321"/>
              </w:tabs>
              <w:spacing w:after="120"/>
              <w:ind w:left="321" w:hanging="283"/>
              <w:jc w:val="both"/>
            </w:pPr>
            <w:r w:rsidRPr="004041F5">
              <w:t>Centrālās vēlēšanu komisijas un vēlēšanu komisiju</w:t>
            </w:r>
            <w:r>
              <w:t xml:space="preserve"> saimnieciskajiem izdevumiem Ls 140 000;</w:t>
            </w:r>
          </w:p>
          <w:p w:rsidR="002A2439" w:rsidRDefault="008C3F03" w:rsidP="002A2439">
            <w:pPr>
              <w:numPr>
                <w:ilvl w:val="0"/>
                <w:numId w:val="1"/>
              </w:numPr>
              <w:tabs>
                <w:tab w:val="clear" w:pos="720"/>
                <w:tab w:val="num" w:pos="321"/>
              </w:tabs>
              <w:spacing w:after="120"/>
              <w:ind w:left="321" w:hanging="283"/>
              <w:jc w:val="both"/>
            </w:pPr>
            <w:r>
              <w:t>Vienotās vēlēšanu uzskaites sistēmas programmatūr</w:t>
            </w:r>
            <w:r w:rsidR="002A2439">
              <w:t xml:space="preserve">as </w:t>
            </w:r>
            <w:r>
              <w:t xml:space="preserve">funkcionalitātes papildināšanai un divu multimediju projektoru iegāde, lai varētu nodrošināt vēlēšanu komisiju apmācību </w:t>
            </w:r>
            <w:r w:rsidRPr="004041F5">
              <w:t>Ls</w:t>
            </w:r>
            <w:r>
              <w:t xml:space="preserve"> 4</w:t>
            </w:r>
            <w:r w:rsidR="002A2439">
              <w:t> </w:t>
            </w:r>
            <w:r>
              <w:t>250.</w:t>
            </w:r>
          </w:p>
          <w:p w:rsidR="002A2439" w:rsidRPr="00E97231" w:rsidRDefault="001867F7" w:rsidP="00547107">
            <w:pPr>
              <w:pStyle w:val="naisf"/>
              <w:spacing w:before="0" w:after="120"/>
              <w:ind w:firstLine="605"/>
            </w:pPr>
            <w:r>
              <w:t xml:space="preserve">Ievērojot  iepriekšēja gada pieredzi, kad faktiskie izdevumi divu parakstu vākšanu un 11.Saeimas vēlēšanu nodrošināšanai bija ievērojami </w:t>
            </w:r>
            <w:r>
              <w:lastRenderedPageBreak/>
              <w:t>mazāki nekā plānotais un piešķirtais finansējums, r</w:t>
            </w:r>
            <w:r w:rsidR="002A2439" w:rsidRPr="002A2439">
              <w:t>īkojuma projekts paredz, ka Centrāl</w:t>
            </w:r>
            <w:r>
              <w:t>ā</w:t>
            </w:r>
            <w:r w:rsidR="002A2439" w:rsidRPr="002A2439">
              <w:t xml:space="preserve"> vēlēšanu komisija pieprasījumu par finansējumu iesniedz Finanšu ministrijā atbilstoši faktisk</w:t>
            </w:r>
            <w:r>
              <w:t>i nepieciešamajiem izdevumiem. Rīkojuma projekts arī paredz</w:t>
            </w:r>
            <w:r w:rsidRPr="002A2439">
              <w:t xml:space="preserve"> Centrāl</w:t>
            </w:r>
            <w:r>
              <w:t>ajai</w:t>
            </w:r>
            <w:r w:rsidRPr="002A2439">
              <w:t xml:space="preserve"> vēlēšanu komisija</w:t>
            </w:r>
            <w:r>
              <w:t>i</w:t>
            </w:r>
            <w:r w:rsidRPr="002A2439">
              <w:t xml:space="preserve"> </w:t>
            </w:r>
            <w:r w:rsidR="002A2439" w:rsidRPr="002A2439">
              <w:t>līdz 2012.gada 1.jūlijam iesni</w:t>
            </w:r>
            <w:r w:rsidR="00547107">
              <w:t>egt</w:t>
            </w:r>
            <w:r w:rsidR="002A2439" w:rsidRPr="002A2439">
              <w:t xml:space="preserve"> </w:t>
            </w:r>
            <w:r>
              <w:t xml:space="preserve">Finanšu ministrijai </w:t>
            </w:r>
            <w:r w:rsidR="002A2439" w:rsidRPr="002A2439">
              <w:t xml:space="preserve">pārskatu par tautas nobalsošanas nodrošināšanai </w:t>
            </w:r>
            <w:r w:rsidR="002A2439">
              <w:t>izlietotajiem līdzekļiem.</w:t>
            </w:r>
          </w:p>
        </w:tc>
      </w:tr>
      <w:tr w:rsidR="00B03D11" w:rsidRPr="000A0D36" w:rsidTr="00101F22"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D11" w:rsidRPr="000A0D36" w:rsidRDefault="00B03D11" w:rsidP="00101F22">
            <w:pPr>
              <w:pStyle w:val="NormalWeb"/>
              <w:spacing w:before="0" w:beforeAutospacing="0" w:after="0" w:afterAutospacing="0"/>
            </w:pPr>
            <w:r w:rsidRPr="000A0D36">
              <w:lastRenderedPageBreak/>
              <w:t>5.</w:t>
            </w:r>
          </w:p>
        </w:tc>
        <w:tc>
          <w:tcPr>
            <w:tcW w:w="1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D11" w:rsidRPr="000A0D36" w:rsidRDefault="00B03D11" w:rsidP="00101F22">
            <w:pPr>
              <w:jc w:val="both"/>
              <w:rPr>
                <w:color w:val="000000"/>
              </w:rPr>
            </w:pPr>
            <w:r w:rsidRPr="000A0D36">
              <w:rPr>
                <w:color w:val="000000"/>
              </w:rPr>
              <w:t>Projekta izstrādē iesaistītās institūcijas</w:t>
            </w:r>
          </w:p>
        </w:tc>
        <w:tc>
          <w:tcPr>
            <w:tcW w:w="2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D11" w:rsidRPr="000A0D36" w:rsidRDefault="00B03D11" w:rsidP="00101F22">
            <w:pPr>
              <w:pStyle w:val="naisf"/>
              <w:spacing w:before="0" w:after="0"/>
              <w:ind w:firstLine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Nav attiecināms </w:t>
            </w:r>
          </w:p>
        </w:tc>
      </w:tr>
      <w:tr w:rsidR="00B03D11" w:rsidRPr="000A0D36" w:rsidTr="00101F22">
        <w:trPr>
          <w:trHeight w:val="834"/>
        </w:trPr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D11" w:rsidRPr="000A0D36" w:rsidRDefault="00B03D11" w:rsidP="00101F22">
            <w:pPr>
              <w:pStyle w:val="NormalWeb"/>
              <w:spacing w:before="0" w:beforeAutospacing="0" w:after="0" w:afterAutospacing="0"/>
            </w:pPr>
            <w:r w:rsidRPr="000A0D36">
              <w:t>6.</w:t>
            </w:r>
          </w:p>
        </w:tc>
        <w:tc>
          <w:tcPr>
            <w:tcW w:w="1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D11" w:rsidRPr="000A0D36" w:rsidRDefault="00B03D11" w:rsidP="00101F22">
            <w:pPr>
              <w:jc w:val="both"/>
              <w:rPr>
                <w:color w:val="000000"/>
              </w:rPr>
            </w:pPr>
            <w:r w:rsidRPr="000A0D36">
              <w:rPr>
                <w:color w:val="000000"/>
              </w:rPr>
              <w:t>Iemesli, kādēļ netika nodrošināta sabiedrības līdzdalība</w:t>
            </w:r>
          </w:p>
        </w:tc>
        <w:tc>
          <w:tcPr>
            <w:tcW w:w="2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D11" w:rsidRPr="000A0D36" w:rsidRDefault="00B03D11" w:rsidP="00101F22">
            <w:pPr>
              <w:pStyle w:val="naisf"/>
              <w:spacing w:before="0" w:after="0"/>
              <w:ind w:firstLine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Nav attiecināms. </w:t>
            </w:r>
          </w:p>
        </w:tc>
      </w:tr>
      <w:tr w:rsidR="00B03D11" w:rsidRPr="000A0D36" w:rsidTr="00101F22"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D11" w:rsidRPr="000A0D36" w:rsidRDefault="00B03D11" w:rsidP="00101F22">
            <w:pPr>
              <w:pStyle w:val="NormalWeb"/>
              <w:spacing w:before="0" w:beforeAutospacing="0" w:after="0" w:afterAutospacing="0"/>
            </w:pPr>
            <w:r w:rsidRPr="000A0D36">
              <w:t>7.</w:t>
            </w:r>
          </w:p>
        </w:tc>
        <w:tc>
          <w:tcPr>
            <w:tcW w:w="1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D11" w:rsidRPr="000A0D36" w:rsidRDefault="00B03D11" w:rsidP="00101F22">
            <w:pPr>
              <w:pStyle w:val="NormalWeb"/>
              <w:spacing w:before="0" w:beforeAutospacing="0" w:after="0" w:afterAutospacing="0"/>
            </w:pPr>
            <w:r w:rsidRPr="000A0D36">
              <w:t>Cita informācija.</w:t>
            </w:r>
          </w:p>
        </w:tc>
        <w:tc>
          <w:tcPr>
            <w:tcW w:w="2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D11" w:rsidRPr="000A0D36" w:rsidRDefault="00B03D11" w:rsidP="00101F22">
            <w:r w:rsidRPr="000A0D36">
              <w:t>Nav</w:t>
            </w:r>
            <w:r>
              <w:t xml:space="preserve"> attiecināms. </w:t>
            </w:r>
          </w:p>
        </w:tc>
      </w:tr>
    </w:tbl>
    <w:p w:rsidR="00B03D11" w:rsidRPr="000A0D36" w:rsidRDefault="00B03D11" w:rsidP="00B03D11">
      <w:pPr>
        <w:pStyle w:val="naisc"/>
        <w:spacing w:before="0" w:after="0"/>
        <w:rPr>
          <w:sz w:val="24"/>
          <w:szCs w:val="24"/>
        </w:rPr>
      </w:pPr>
    </w:p>
    <w:tbl>
      <w:tblPr>
        <w:tblW w:w="5123" w:type="pct"/>
        <w:tblInd w:w="-11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89"/>
        <w:gridCol w:w="1273"/>
        <w:gridCol w:w="1274"/>
        <w:gridCol w:w="1274"/>
        <w:gridCol w:w="1274"/>
        <w:gridCol w:w="1272"/>
      </w:tblGrid>
      <w:tr w:rsidR="00B03D11" w:rsidRPr="00C16E58" w:rsidTr="00101F22">
        <w:tc>
          <w:tcPr>
            <w:tcW w:w="5000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3D11" w:rsidRPr="00C16E58" w:rsidRDefault="00B03D11" w:rsidP="00101F22">
            <w:pPr>
              <w:pStyle w:val="naisf"/>
              <w:spacing w:before="0" w:after="0"/>
              <w:rPr>
                <w:b/>
                <w:bCs/>
              </w:rPr>
            </w:pPr>
            <w:r w:rsidRPr="00C16E58">
              <w:rPr>
                <w:b/>
                <w:bCs/>
              </w:rPr>
              <w:t>III. Tiesību akta projekta ietekme uz valsts budžetu un pašvaldību budžetiem</w:t>
            </w:r>
          </w:p>
        </w:tc>
      </w:tr>
      <w:tr w:rsidR="00B03D11" w:rsidRPr="00C16E58" w:rsidTr="00101F22">
        <w:tc>
          <w:tcPr>
            <w:tcW w:w="1597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3D11" w:rsidRPr="00C16E58" w:rsidRDefault="00B03D11" w:rsidP="00101F22">
            <w:pPr>
              <w:pStyle w:val="naisf"/>
              <w:spacing w:before="0" w:after="0"/>
              <w:rPr>
                <w:b/>
                <w:bCs/>
              </w:rPr>
            </w:pPr>
            <w:r w:rsidRPr="00C16E58">
              <w:rPr>
                <w:b/>
                <w:bCs/>
              </w:rPr>
              <w:t>Rādītāji</w:t>
            </w:r>
          </w:p>
        </w:tc>
        <w:tc>
          <w:tcPr>
            <w:tcW w:w="1361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3D11" w:rsidRPr="00C16E58" w:rsidRDefault="00BC05EE" w:rsidP="00BC05EE">
            <w:pPr>
              <w:pStyle w:val="naisf"/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  <w:r w:rsidR="00B03D11" w:rsidRPr="00C16E58">
              <w:rPr>
                <w:b/>
                <w:bCs/>
              </w:rPr>
              <w:t>201</w:t>
            </w:r>
            <w:r w:rsidR="008C3F03">
              <w:rPr>
                <w:b/>
                <w:bCs/>
              </w:rPr>
              <w:t>2</w:t>
            </w:r>
            <w:r w:rsidR="00B03D11" w:rsidRPr="00C16E58">
              <w:rPr>
                <w:b/>
                <w:bCs/>
              </w:rPr>
              <w:t>.gads</w:t>
            </w:r>
          </w:p>
        </w:tc>
        <w:tc>
          <w:tcPr>
            <w:tcW w:w="2041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3D11" w:rsidRPr="00C16E58" w:rsidRDefault="00B03D11" w:rsidP="00101F22">
            <w:pPr>
              <w:pStyle w:val="naisf"/>
              <w:spacing w:before="0" w:after="0"/>
            </w:pPr>
            <w:r w:rsidRPr="00C16E58">
              <w:t>Turpmākie trīs gadi (tūkst</w:t>
            </w:r>
            <w:smartTag w:uri="schemas-tilde-lv/tildestengine" w:element="currency2">
              <w:smartTagPr>
                <w:attr w:name="currency_text" w:val="latu"/>
                <w:attr w:name="currency_value" w:val="."/>
                <w:attr w:name="currency_key" w:val="LVL"/>
                <w:attr w:name="currency_id" w:val="48"/>
              </w:smartTagPr>
              <w:r w:rsidRPr="00C16E58">
                <w:t>. latu</w:t>
              </w:r>
            </w:smartTag>
            <w:r w:rsidRPr="00C16E58">
              <w:t>)</w:t>
            </w:r>
          </w:p>
        </w:tc>
      </w:tr>
      <w:tr w:rsidR="00B03D11" w:rsidRPr="00C16E58" w:rsidTr="00101F22">
        <w:tc>
          <w:tcPr>
            <w:tcW w:w="1597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3D11" w:rsidRPr="00C16E58" w:rsidRDefault="00B03D11" w:rsidP="00101F22">
            <w:pPr>
              <w:pStyle w:val="naisf"/>
              <w:rPr>
                <w:b/>
                <w:bCs/>
              </w:rPr>
            </w:pPr>
          </w:p>
        </w:tc>
        <w:tc>
          <w:tcPr>
            <w:tcW w:w="1361" w:type="pct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3D11" w:rsidRPr="00C16E58" w:rsidRDefault="00B03D11" w:rsidP="00101F22">
            <w:pPr>
              <w:pStyle w:val="naisf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3D11" w:rsidRPr="00C16E58" w:rsidRDefault="00B03D11" w:rsidP="008C3F03">
            <w:pPr>
              <w:pStyle w:val="naisf"/>
              <w:spacing w:before="0" w:after="0"/>
              <w:rPr>
                <w:b/>
                <w:bCs/>
              </w:rPr>
            </w:pPr>
            <w:r w:rsidRPr="00C16E58">
              <w:rPr>
                <w:b/>
                <w:bCs/>
              </w:rPr>
              <w:t>201</w:t>
            </w:r>
            <w:r w:rsidR="008C3F03">
              <w:rPr>
                <w:b/>
                <w:bCs/>
              </w:rPr>
              <w:t>3</w:t>
            </w:r>
            <w:r w:rsidRPr="00C16E58">
              <w:rPr>
                <w:b/>
                <w:bCs/>
              </w:rPr>
              <w:t>.g.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3D11" w:rsidRPr="00C16E58" w:rsidRDefault="00B03D11" w:rsidP="008C3F03">
            <w:pPr>
              <w:pStyle w:val="naisf"/>
              <w:spacing w:before="0" w:after="0"/>
              <w:rPr>
                <w:b/>
                <w:bCs/>
              </w:rPr>
            </w:pPr>
            <w:r w:rsidRPr="00C16E58">
              <w:rPr>
                <w:b/>
                <w:bCs/>
              </w:rPr>
              <w:t>201</w:t>
            </w:r>
            <w:r w:rsidR="008C3F03">
              <w:rPr>
                <w:b/>
                <w:bCs/>
              </w:rPr>
              <w:t>4</w:t>
            </w:r>
            <w:r w:rsidRPr="00C16E58">
              <w:rPr>
                <w:b/>
                <w:bCs/>
              </w:rPr>
              <w:t>.g.</w:t>
            </w:r>
          </w:p>
        </w:tc>
        <w:tc>
          <w:tcPr>
            <w:tcW w:w="6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3D11" w:rsidRPr="00C16E58" w:rsidRDefault="00B03D11" w:rsidP="008C3F03">
            <w:pPr>
              <w:pStyle w:val="naisf"/>
              <w:spacing w:before="0" w:after="0"/>
              <w:rPr>
                <w:b/>
                <w:bCs/>
              </w:rPr>
            </w:pPr>
            <w:r w:rsidRPr="00C16E58">
              <w:rPr>
                <w:b/>
                <w:bCs/>
              </w:rPr>
              <w:t>201</w:t>
            </w:r>
            <w:r w:rsidR="008C3F03">
              <w:rPr>
                <w:b/>
                <w:bCs/>
              </w:rPr>
              <w:t>5</w:t>
            </w:r>
            <w:r w:rsidRPr="00C16E58">
              <w:rPr>
                <w:b/>
                <w:bCs/>
              </w:rPr>
              <w:t>.g.</w:t>
            </w:r>
          </w:p>
        </w:tc>
      </w:tr>
      <w:tr w:rsidR="00B03D11" w:rsidRPr="00C16E58" w:rsidTr="00101F22">
        <w:tc>
          <w:tcPr>
            <w:tcW w:w="1597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3D11" w:rsidRPr="00C16E58" w:rsidRDefault="00B03D11" w:rsidP="00101F22">
            <w:pPr>
              <w:pStyle w:val="naisf"/>
              <w:rPr>
                <w:b/>
                <w:bCs/>
              </w:rPr>
            </w:pPr>
          </w:p>
        </w:tc>
        <w:tc>
          <w:tcPr>
            <w:tcW w:w="6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3D11" w:rsidRPr="00C16E58" w:rsidRDefault="00B03D11" w:rsidP="00BC05EE">
            <w:pPr>
              <w:pStyle w:val="naisf"/>
              <w:spacing w:before="0" w:after="0"/>
              <w:ind w:firstLine="0"/>
              <w:jc w:val="center"/>
            </w:pPr>
            <w:r w:rsidRPr="00C16E58">
              <w:t>Saskaņā ar valsts budžetu kārtējam gadam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3D11" w:rsidRPr="00C16E58" w:rsidRDefault="00B03D11" w:rsidP="00BC05EE">
            <w:pPr>
              <w:pStyle w:val="naisf"/>
              <w:spacing w:before="0" w:after="0"/>
              <w:ind w:firstLine="0"/>
              <w:jc w:val="center"/>
            </w:pPr>
            <w:r w:rsidRPr="00C16E58">
              <w:t>Izmaiņas kārtējā gadā, salīdzinot ar budžetu kārtējam gadam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3D11" w:rsidRPr="00C16E58" w:rsidRDefault="00B03D11" w:rsidP="00BC05EE">
            <w:pPr>
              <w:pStyle w:val="naisf"/>
              <w:spacing w:before="0" w:after="0"/>
              <w:ind w:firstLine="0"/>
              <w:jc w:val="center"/>
            </w:pPr>
            <w:r w:rsidRPr="00C16E58">
              <w:t>Izmaiņas, salīdzinot ar kārtējo (n) gadu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3D11" w:rsidRPr="00C16E58" w:rsidRDefault="00B03D11" w:rsidP="00BC05EE">
            <w:pPr>
              <w:pStyle w:val="naisf"/>
              <w:spacing w:before="0" w:after="0"/>
              <w:ind w:firstLine="0"/>
              <w:jc w:val="center"/>
            </w:pPr>
            <w:r w:rsidRPr="00C16E58">
              <w:t>Izmaiņas, salīdzinot ar kārtējo (n) gadu</w:t>
            </w:r>
          </w:p>
        </w:tc>
        <w:tc>
          <w:tcPr>
            <w:tcW w:w="6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3D11" w:rsidRPr="00C16E58" w:rsidRDefault="00B03D11" w:rsidP="00BC05EE">
            <w:pPr>
              <w:pStyle w:val="naisf"/>
              <w:spacing w:before="0" w:after="0"/>
              <w:ind w:firstLine="0"/>
              <w:jc w:val="center"/>
            </w:pPr>
            <w:r w:rsidRPr="00C16E58">
              <w:t>Izmaiņas, salīdzinot ar kārtējo (n) gadu</w:t>
            </w:r>
          </w:p>
        </w:tc>
      </w:tr>
      <w:tr w:rsidR="00B03D11" w:rsidRPr="00C16E58" w:rsidTr="00101F22">
        <w:tc>
          <w:tcPr>
            <w:tcW w:w="1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3D11" w:rsidRPr="00C16E58" w:rsidRDefault="00B03D11" w:rsidP="00101F22">
            <w:pPr>
              <w:pStyle w:val="naisf"/>
              <w:spacing w:before="0" w:after="0"/>
            </w:pPr>
            <w:r w:rsidRPr="00C16E58">
              <w:t>1</w:t>
            </w:r>
          </w:p>
        </w:tc>
        <w:tc>
          <w:tcPr>
            <w:tcW w:w="6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3D11" w:rsidRPr="00C16E58" w:rsidRDefault="00B03D11" w:rsidP="00101F22">
            <w:pPr>
              <w:pStyle w:val="naisf"/>
              <w:spacing w:before="0" w:after="0"/>
            </w:pPr>
            <w:r w:rsidRPr="00C16E58"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3D11" w:rsidRPr="00C16E58" w:rsidRDefault="00B03D11" w:rsidP="00101F22">
            <w:pPr>
              <w:pStyle w:val="naisf"/>
              <w:spacing w:before="0" w:after="0"/>
            </w:pPr>
            <w:r w:rsidRPr="00C16E58"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3D11" w:rsidRPr="00C16E58" w:rsidRDefault="00B03D11" w:rsidP="00101F22">
            <w:pPr>
              <w:pStyle w:val="naisf"/>
              <w:spacing w:before="0" w:after="0"/>
            </w:pPr>
            <w:r w:rsidRPr="00C16E58"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3D11" w:rsidRPr="00C16E58" w:rsidRDefault="00B03D11" w:rsidP="00101F22">
            <w:pPr>
              <w:pStyle w:val="naisf"/>
              <w:spacing w:before="0" w:after="0"/>
            </w:pPr>
            <w:r w:rsidRPr="00C16E58">
              <w:t>5</w:t>
            </w:r>
          </w:p>
        </w:tc>
        <w:tc>
          <w:tcPr>
            <w:tcW w:w="6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3D11" w:rsidRPr="00C16E58" w:rsidRDefault="00B03D11" w:rsidP="00101F22">
            <w:pPr>
              <w:pStyle w:val="naisf"/>
              <w:spacing w:before="0" w:after="0"/>
            </w:pPr>
            <w:r w:rsidRPr="00C16E58">
              <w:t>6</w:t>
            </w:r>
          </w:p>
        </w:tc>
      </w:tr>
      <w:tr w:rsidR="00B03D11" w:rsidRPr="00C16E58" w:rsidTr="00101F22">
        <w:trPr>
          <w:trHeight w:val="316"/>
        </w:trPr>
        <w:tc>
          <w:tcPr>
            <w:tcW w:w="1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3D11" w:rsidRPr="00C16E58" w:rsidRDefault="00B03D11" w:rsidP="00101F22">
            <w:pPr>
              <w:pStyle w:val="naisf"/>
              <w:spacing w:before="0" w:after="0"/>
            </w:pPr>
            <w:r w:rsidRPr="00C16E58">
              <w:t>1. Budžeta ieņēmumi:</w:t>
            </w:r>
          </w:p>
        </w:tc>
        <w:tc>
          <w:tcPr>
            <w:tcW w:w="6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3D11" w:rsidRPr="00C16E58" w:rsidRDefault="00B03D11" w:rsidP="00101F22">
            <w:pPr>
              <w:pStyle w:val="naisf"/>
            </w:pPr>
            <w:r w:rsidRPr="00C16E58">
              <w:t>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3D11" w:rsidRPr="00C16E58" w:rsidRDefault="00B03D11" w:rsidP="00101F22">
            <w:pPr>
              <w:pStyle w:val="naisf"/>
            </w:pPr>
            <w:r w:rsidRPr="00C16E58">
              <w:t>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3D11" w:rsidRPr="00C16E58" w:rsidRDefault="00B03D11" w:rsidP="00101F22">
            <w:pPr>
              <w:pStyle w:val="naisf"/>
            </w:pPr>
            <w:r w:rsidRPr="00C16E58">
              <w:t>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3D11" w:rsidRPr="00C16E58" w:rsidRDefault="00B03D11" w:rsidP="00101F22">
            <w:pPr>
              <w:pStyle w:val="naisf"/>
            </w:pPr>
            <w:r w:rsidRPr="00C16E58">
              <w:t>0 </w:t>
            </w:r>
          </w:p>
        </w:tc>
        <w:tc>
          <w:tcPr>
            <w:tcW w:w="6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3D11" w:rsidRPr="00C16E58" w:rsidRDefault="00B03D11" w:rsidP="00101F22">
            <w:pPr>
              <w:pStyle w:val="naisf"/>
            </w:pPr>
            <w:r w:rsidRPr="00C16E58">
              <w:t>0 </w:t>
            </w:r>
          </w:p>
        </w:tc>
      </w:tr>
      <w:tr w:rsidR="00B03D11" w:rsidRPr="00C16E58" w:rsidTr="00101F22">
        <w:tc>
          <w:tcPr>
            <w:tcW w:w="1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3D11" w:rsidRPr="00C16E58" w:rsidRDefault="00B03D11" w:rsidP="00101F22">
            <w:pPr>
              <w:pStyle w:val="naisf"/>
              <w:spacing w:before="0" w:after="0"/>
            </w:pPr>
            <w:r w:rsidRPr="00C16E58">
              <w:t>1.1. valsts pamatbudžets, tai skaitā ieņēmumi no maksas pakalpojumiem un citi pašu ieņēmumi</w:t>
            </w:r>
          </w:p>
        </w:tc>
        <w:tc>
          <w:tcPr>
            <w:tcW w:w="6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3D11" w:rsidRPr="00C16E58" w:rsidRDefault="00B03D11" w:rsidP="00101F22">
            <w:pPr>
              <w:pStyle w:val="naisf"/>
            </w:pPr>
            <w:r w:rsidRPr="00C16E58">
              <w:t>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3D11" w:rsidRPr="00C16E58" w:rsidRDefault="00B03D11" w:rsidP="00101F22">
            <w:pPr>
              <w:pStyle w:val="naisf"/>
            </w:pPr>
            <w:r w:rsidRPr="00C16E58">
              <w:t>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3D11" w:rsidRPr="00C16E58" w:rsidRDefault="00B03D11" w:rsidP="00101F22">
            <w:pPr>
              <w:pStyle w:val="naisf"/>
            </w:pPr>
            <w:r w:rsidRPr="00C16E58">
              <w:t>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3D11" w:rsidRPr="00C16E58" w:rsidRDefault="00B03D11" w:rsidP="00101F22">
            <w:pPr>
              <w:pStyle w:val="naisf"/>
            </w:pPr>
            <w:r w:rsidRPr="00C16E58">
              <w:t>0 </w:t>
            </w:r>
          </w:p>
        </w:tc>
        <w:tc>
          <w:tcPr>
            <w:tcW w:w="6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3D11" w:rsidRPr="00C16E58" w:rsidRDefault="00B03D11" w:rsidP="00101F22">
            <w:pPr>
              <w:pStyle w:val="naisf"/>
            </w:pPr>
            <w:r w:rsidRPr="00C16E58">
              <w:t>0 </w:t>
            </w:r>
          </w:p>
        </w:tc>
      </w:tr>
      <w:tr w:rsidR="00B03D11" w:rsidRPr="00C16E58" w:rsidTr="00101F22">
        <w:tc>
          <w:tcPr>
            <w:tcW w:w="1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3D11" w:rsidRPr="00C16E58" w:rsidRDefault="00B03D11" w:rsidP="00101F22">
            <w:pPr>
              <w:pStyle w:val="naisf"/>
              <w:spacing w:before="0" w:after="0"/>
            </w:pPr>
            <w:r w:rsidRPr="00C16E58">
              <w:t>1.2. valsts speciālais budžets</w:t>
            </w:r>
          </w:p>
        </w:tc>
        <w:tc>
          <w:tcPr>
            <w:tcW w:w="6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3D11" w:rsidRPr="00C16E58" w:rsidRDefault="00B03D11" w:rsidP="00101F22">
            <w:pPr>
              <w:pStyle w:val="naisf"/>
              <w:spacing w:before="0" w:after="0"/>
            </w:pPr>
            <w:r w:rsidRPr="00C16E58"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3D11" w:rsidRPr="00C16E58" w:rsidRDefault="00B03D11" w:rsidP="00101F22">
            <w:pPr>
              <w:pStyle w:val="naisf"/>
              <w:spacing w:before="0" w:after="0"/>
            </w:pPr>
            <w:r w:rsidRPr="00C16E58"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3D11" w:rsidRPr="00C16E58" w:rsidRDefault="00B03D11" w:rsidP="00101F22">
            <w:pPr>
              <w:pStyle w:val="naisf"/>
              <w:spacing w:before="0" w:after="0"/>
            </w:pPr>
            <w:r w:rsidRPr="00C16E58"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3D11" w:rsidRPr="00C16E58" w:rsidRDefault="00B03D11" w:rsidP="00101F22">
            <w:pPr>
              <w:pStyle w:val="naisf"/>
              <w:spacing w:before="0" w:after="0"/>
            </w:pPr>
            <w:r w:rsidRPr="00C16E58">
              <w:t>0</w:t>
            </w:r>
          </w:p>
        </w:tc>
        <w:tc>
          <w:tcPr>
            <w:tcW w:w="6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3D11" w:rsidRPr="00C16E58" w:rsidRDefault="00B03D11" w:rsidP="00101F22">
            <w:pPr>
              <w:pStyle w:val="naisf"/>
              <w:spacing w:before="0" w:after="0"/>
            </w:pPr>
            <w:r w:rsidRPr="00C16E58">
              <w:t>0</w:t>
            </w:r>
          </w:p>
        </w:tc>
      </w:tr>
      <w:tr w:rsidR="00B03D11" w:rsidRPr="00C16E58" w:rsidTr="00101F22">
        <w:tc>
          <w:tcPr>
            <w:tcW w:w="1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3D11" w:rsidRPr="00C16E58" w:rsidRDefault="00B03D11" w:rsidP="00101F22">
            <w:pPr>
              <w:pStyle w:val="naisf"/>
              <w:spacing w:before="0" w:after="0"/>
            </w:pPr>
            <w:r w:rsidRPr="00C16E58">
              <w:t>1.3. pašvaldību budžets</w:t>
            </w:r>
          </w:p>
        </w:tc>
        <w:tc>
          <w:tcPr>
            <w:tcW w:w="6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3D11" w:rsidRPr="00C16E58" w:rsidRDefault="00B03D11" w:rsidP="00101F22">
            <w:pPr>
              <w:pStyle w:val="naisf"/>
              <w:spacing w:before="0" w:after="0"/>
            </w:pPr>
            <w:r w:rsidRPr="00C16E58"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3D11" w:rsidRPr="00C16E58" w:rsidRDefault="00B03D11" w:rsidP="00101F22">
            <w:pPr>
              <w:pStyle w:val="naisf"/>
              <w:spacing w:before="0" w:after="0"/>
            </w:pPr>
            <w:r w:rsidRPr="00C16E58"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3D11" w:rsidRPr="00C16E58" w:rsidRDefault="00B03D11" w:rsidP="00101F22">
            <w:pPr>
              <w:pStyle w:val="naisf"/>
              <w:spacing w:before="0" w:after="0"/>
            </w:pPr>
            <w:r w:rsidRPr="00C16E58"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3D11" w:rsidRPr="00C16E58" w:rsidRDefault="00B03D11" w:rsidP="00101F22">
            <w:pPr>
              <w:pStyle w:val="naisf"/>
              <w:spacing w:before="0" w:after="0"/>
            </w:pPr>
            <w:r w:rsidRPr="00C16E58">
              <w:t>0</w:t>
            </w:r>
          </w:p>
        </w:tc>
        <w:tc>
          <w:tcPr>
            <w:tcW w:w="6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3D11" w:rsidRPr="00C16E58" w:rsidRDefault="00B03D11" w:rsidP="00101F22">
            <w:pPr>
              <w:pStyle w:val="naisf"/>
              <w:spacing w:before="0" w:after="0"/>
            </w:pPr>
            <w:r w:rsidRPr="00C16E58">
              <w:t>0</w:t>
            </w:r>
          </w:p>
        </w:tc>
      </w:tr>
      <w:tr w:rsidR="00B03D11" w:rsidRPr="00C16E58" w:rsidTr="00101F22">
        <w:tc>
          <w:tcPr>
            <w:tcW w:w="1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3D11" w:rsidRPr="00C16E58" w:rsidRDefault="00B03D11" w:rsidP="00101F22">
            <w:pPr>
              <w:pStyle w:val="naisf"/>
              <w:spacing w:before="0" w:after="0"/>
            </w:pPr>
            <w:r w:rsidRPr="00C16E58">
              <w:t>2. Budžeta izdevumi:</w:t>
            </w:r>
          </w:p>
        </w:tc>
        <w:tc>
          <w:tcPr>
            <w:tcW w:w="6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3D11" w:rsidRPr="00C16E58" w:rsidRDefault="00B03D11" w:rsidP="00101F22">
            <w:pPr>
              <w:pStyle w:val="naisf"/>
            </w:pPr>
            <w:r w:rsidRPr="00C16E58">
              <w:t>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3D11" w:rsidRPr="00C16E58" w:rsidRDefault="00A22147" w:rsidP="008C3F03">
            <w:pPr>
              <w:pStyle w:val="naisf"/>
            </w:pPr>
            <w:r>
              <w:t xml:space="preserve">1 </w:t>
            </w:r>
            <w:r w:rsidR="00BC05EE">
              <w:t>7</w:t>
            </w:r>
            <w:r w:rsidR="008C3F03">
              <w:t>12,9</w:t>
            </w:r>
            <w:r w:rsidR="00B03D11" w:rsidRPr="00C16E58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3D11" w:rsidRPr="00C16E58" w:rsidRDefault="00B03D11" w:rsidP="00101F22">
            <w:pPr>
              <w:pStyle w:val="naisf"/>
            </w:pPr>
            <w:r w:rsidRPr="00C16E58">
              <w:t>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3D11" w:rsidRPr="00C16E58" w:rsidRDefault="00B03D11" w:rsidP="00101F22">
            <w:pPr>
              <w:pStyle w:val="naisf"/>
            </w:pPr>
            <w:r w:rsidRPr="00C16E58">
              <w:t>0 </w:t>
            </w:r>
          </w:p>
        </w:tc>
        <w:tc>
          <w:tcPr>
            <w:tcW w:w="6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3D11" w:rsidRPr="00C16E58" w:rsidRDefault="00B03D11" w:rsidP="00101F22">
            <w:pPr>
              <w:pStyle w:val="naisf"/>
            </w:pPr>
            <w:r w:rsidRPr="00C16E58">
              <w:t>0 </w:t>
            </w:r>
          </w:p>
        </w:tc>
      </w:tr>
      <w:tr w:rsidR="00B03D11" w:rsidRPr="00C16E58" w:rsidTr="00101F22">
        <w:trPr>
          <w:trHeight w:val="308"/>
        </w:trPr>
        <w:tc>
          <w:tcPr>
            <w:tcW w:w="1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3D11" w:rsidRPr="00C16E58" w:rsidRDefault="00B03D11" w:rsidP="00101F22">
            <w:pPr>
              <w:pStyle w:val="naisf"/>
              <w:spacing w:before="0" w:after="0"/>
            </w:pPr>
            <w:r w:rsidRPr="00C16E58">
              <w:t>2.1. valsts pamatbudžets</w:t>
            </w:r>
          </w:p>
        </w:tc>
        <w:tc>
          <w:tcPr>
            <w:tcW w:w="6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3D11" w:rsidRPr="00C16E58" w:rsidRDefault="00B03D11" w:rsidP="00101F22">
            <w:pPr>
              <w:pStyle w:val="naisf"/>
            </w:pPr>
            <w:r w:rsidRPr="00C16E58">
              <w:t>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3D11" w:rsidRPr="00C16E58" w:rsidRDefault="00A22147" w:rsidP="008C3F03">
            <w:pPr>
              <w:pStyle w:val="naisf"/>
            </w:pPr>
            <w:r>
              <w:t>1 7</w:t>
            </w:r>
            <w:r w:rsidR="008C3F03">
              <w:t>12</w:t>
            </w:r>
            <w:r>
              <w:t>,</w:t>
            </w:r>
            <w:r w:rsidR="008C3F03">
              <w:t>9</w:t>
            </w:r>
            <w:r w:rsidRPr="00C16E58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3D11" w:rsidRPr="00C16E58" w:rsidRDefault="00B03D11" w:rsidP="00101F22">
            <w:pPr>
              <w:pStyle w:val="naisf"/>
            </w:pPr>
            <w:r w:rsidRPr="00C16E58">
              <w:t>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3D11" w:rsidRPr="00C16E58" w:rsidRDefault="00B03D11" w:rsidP="00101F22">
            <w:pPr>
              <w:pStyle w:val="naisf"/>
            </w:pPr>
            <w:r w:rsidRPr="00C16E58">
              <w:t>0 </w:t>
            </w:r>
          </w:p>
        </w:tc>
        <w:tc>
          <w:tcPr>
            <w:tcW w:w="6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3D11" w:rsidRPr="00C16E58" w:rsidRDefault="00B03D11" w:rsidP="00101F22">
            <w:pPr>
              <w:pStyle w:val="naisf"/>
            </w:pPr>
            <w:r w:rsidRPr="00C16E58">
              <w:t>0 </w:t>
            </w:r>
          </w:p>
        </w:tc>
      </w:tr>
      <w:tr w:rsidR="00B03D11" w:rsidRPr="00C16E58" w:rsidTr="00101F22">
        <w:tc>
          <w:tcPr>
            <w:tcW w:w="1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3D11" w:rsidRPr="00C16E58" w:rsidRDefault="00B03D11" w:rsidP="00101F22">
            <w:pPr>
              <w:pStyle w:val="naisf"/>
              <w:spacing w:before="0" w:after="0"/>
            </w:pPr>
            <w:r w:rsidRPr="00C16E58">
              <w:t>2.2. valsts speciālais budžets</w:t>
            </w:r>
          </w:p>
        </w:tc>
        <w:tc>
          <w:tcPr>
            <w:tcW w:w="6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3D11" w:rsidRPr="00C16E58" w:rsidRDefault="00B03D11" w:rsidP="00101F22">
            <w:pPr>
              <w:pStyle w:val="naisf"/>
              <w:spacing w:before="0" w:after="0"/>
            </w:pPr>
            <w:r w:rsidRPr="00C16E58"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3D11" w:rsidRPr="00C16E58" w:rsidRDefault="00B03D11" w:rsidP="00101F22">
            <w:pPr>
              <w:pStyle w:val="naisf"/>
              <w:spacing w:before="0" w:after="0"/>
            </w:pPr>
            <w:r w:rsidRPr="00C16E58"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3D11" w:rsidRPr="00C16E58" w:rsidRDefault="00B03D11" w:rsidP="00101F22">
            <w:pPr>
              <w:pStyle w:val="naisf"/>
              <w:spacing w:before="0" w:after="0"/>
            </w:pPr>
            <w:r w:rsidRPr="00C16E58"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3D11" w:rsidRPr="00C16E58" w:rsidRDefault="00B03D11" w:rsidP="00101F22">
            <w:pPr>
              <w:pStyle w:val="naisf"/>
              <w:spacing w:before="0" w:after="0"/>
            </w:pPr>
            <w:r w:rsidRPr="00C16E58">
              <w:t>0</w:t>
            </w:r>
          </w:p>
        </w:tc>
        <w:tc>
          <w:tcPr>
            <w:tcW w:w="6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3D11" w:rsidRPr="00C16E58" w:rsidRDefault="00B03D11" w:rsidP="00101F22">
            <w:pPr>
              <w:pStyle w:val="naisf"/>
              <w:spacing w:before="0" w:after="0"/>
            </w:pPr>
            <w:r w:rsidRPr="00C16E58">
              <w:t>0</w:t>
            </w:r>
          </w:p>
        </w:tc>
      </w:tr>
      <w:tr w:rsidR="00B03D11" w:rsidRPr="00C16E58" w:rsidTr="00101F22">
        <w:tc>
          <w:tcPr>
            <w:tcW w:w="1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3D11" w:rsidRPr="00C16E58" w:rsidRDefault="00B03D11" w:rsidP="00101F22">
            <w:pPr>
              <w:pStyle w:val="naisf"/>
              <w:spacing w:before="0" w:after="0"/>
            </w:pPr>
            <w:r w:rsidRPr="00C16E58">
              <w:t>2.3. pašvaldību budžets</w:t>
            </w:r>
          </w:p>
        </w:tc>
        <w:tc>
          <w:tcPr>
            <w:tcW w:w="6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3D11" w:rsidRPr="00C16E58" w:rsidRDefault="00B03D11" w:rsidP="00101F22">
            <w:pPr>
              <w:pStyle w:val="naisf"/>
              <w:spacing w:before="0" w:after="0"/>
            </w:pPr>
            <w:r w:rsidRPr="00C16E58"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3D11" w:rsidRPr="00C16E58" w:rsidRDefault="00B03D11" w:rsidP="00101F22">
            <w:pPr>
              <w:pStyle w:val="naisf"/>
              <w:spacing w:before="0" w:after="0"/>
            </w:pPr>
            <w:r w:rsidRPr="00C16E58"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3D11" w:rsidRPr="00C16E58" w:rsidRDefault="00B03D11" w:rsidP="00101F22">
            <w:pPr>
              <w:pStyle w:val="naisf"/>
              <w:spacing w:before="0" w:after="0"/>
            </w:pPr>
            <w:r w:rsidRPr="00C16E58"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3D11" w:rsidRPr="00C16E58" w:rsidRDefault="00B03D11" w:rsidP="00101F22">
            <w:pPr>
              <w:pStyle w:val="naisf"/>
              <w:spacing w:before="0" w:after="0"/>
            </w:pPr>
            <w:r w:rsidRPr="00C16E58">
              <w:t>0</w:t>
            </w:r>
          </w:p>
        </w:tc>
        <w:tc>
          <w:tcPr>
            <w:tcW w:w="6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3D11" w:rsidRPr="00C16E58" w:rsidRDefault="00B03D11" w:rsidP="00101F22">
            <w:pPr>
              <w:pStyle w:val="naisf"/>
              <w:spacing w:before="0" w:after="0"/>
            </w:pPr>
            <w:r w:rsidRPr="00C16E58">
              <w:t>0</w:t>
            </w:r>
          </w:p>
        </w:tc>
      </w:tr>
      <w:tr w:rsidR="00B03D11" w:rsidRPr="00C16E58" w:rsidTr="00101F22">
        <w:tc>
          <w:tcPr>
            <w:tcW w:w="1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3D11" w:rsidRPr="00C16E58" w:rsidRDefault="00B03D11" w:rsidP="00101F22">
            <w:pPr>
              <w:pStyle w:val="naisf"/>
              <w:spacing w:before="0" w:after="0"/>
            </w:pPr>
            <w:r w:rsidRPr="00C16E58">
              <w:t>3. Finansiālā ietekme:</w:t>
            </w:r>
          </w:p>
        </w:tc>
        <w:tc>
          <w:tcPr>
            <w:tcW w:w="6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3D11" w:rsidRPr="00C16E58" w:rsidRDefault="00B03D11" w:rsidP="00101F22">
            <w:pPr>
              <w:pStyle w:val="naisf"/>
            </w:pPr>
            <w:r w:rsidRPr="00C16E58"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3D11" w:rsidRPr="00C16E58" w:rsidRDefault="00A22147" w:rsidP="008C3F03">
            <w:pPr>
              <w:pStyle w:val="naisf"/>
              <w:ind w:firstLine="0"/>
            </w:pPr>
            <w:r>
              <w:t xml:space="preserve">     </w:t>
            </w:r>
            <w:r w:rsidR="00BC05EE">
              <w:t>-</w:t>
            </w:r>
            <w:r>
              <w:t>1 7</w:t>
            </w:r>
            <w:r w:rsidR="008C3F03">
              <w:t>12</w:t>
            </w:r>
            <w:r>
              <w:t>,</w:t>
            </w:r>
            <w:r w:rsidR="008C3F03">
              <w:t>9</w:t>
            </w:r>
            <w:r w:rsidRPr="00C16E58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3D11" w:rsidRPr="00C16E58" w:rsidRDefault="00B03D11" w:rsidP="00101F22">
            <w:pPr>
              <w:pStyle w:val="naisf"/>
            </w:pPr>
            <w:r w:rsidRPr="00C16E58">
              <w:t>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3D11" w:rsidRPr="00C16E58" w:rsidRDefault="00B03D11" w:rsidP="00101F22">
            <w:pPr>
              <w:pStyle w:val="naisf"/>
            </w:pPr>
            <w:r w:rsidRPr="00C16E58">
              <w:t>0 </w:t>
            </w:r>
          </w:p>
        </w:tc>
        <w:tc>
          <w:tcPr>
            <w:tcW w:w="6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3D11" w:rsidRPr="00C16E58" w:rsidRDefault="00B03D11" w:rsidP="00101F22">
            <w:pPr>
              <w:pStyle w:val="naisf"/>
            </w:pPr>
            <w:r w:rsidRPr="00C16E58">
              <w:t>0 </w:t>
            </w:r>
          </w:p>
        </w:tc>
      </w:tr>
      <w:tr w:rsidR="00B03D11" w:rsidRPr="00C16E58" w:rsidTr="00101F22">
        <w:tc>
          <w:tcPr>
            <w:tcW w:w="1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3D11" w:rsidRPr="00C16E58" w:rsidRDefault="00B03D11" w:rsidP="00101F22">
            <w:pPr>
              <w:pStyle w:val="naisf"/>
              <w:spacing w:before="0" w:after="0"/>
            </w:pPr>
            <w:r w:rsidRPr="00C16E58">
              <w:t>3.1. valsts pamatbudžets</w:t>
            </w:r>
          </w:p>
        </w:tc>
        <w:tc>
          <w:tcPr>
            <w:tcW w:w="6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3D11" w:rsidRPr="00C16E58" w:rsidRDefault="00B03D11" w:rsidP="00101F22">
            <w:pPr>
              <w:pStyle w:val="naisf"/>
            </w:pPr>
            <w:r w:rsidRPr="00C16E58"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3D11" w:rsidRPr="00C16E58" w:rsidRDefault="00A22147" w:rsidP="008C3F03">
            <w:pPr>
              <w:pStyle w:val="naisf"/>
              <w:ind w:firstLine="0"/>
            </w:pPr>
            <w:r>
              <w:t xml:space="preserve">     -1</w:t>
            </w:r>
            <w:r w:rsidR="008C3F03">
              <w:t> </w:t>
            </w:r>
            <w:r>
              <w:t>7</w:t>
            </w:r>
            <w:r w:rsidR="008C3F03">
              <w:t>12,9</w:t>
            </w:r>
            <w:r w:rsidRPr="00C16E58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3D11" w:rsidRPr="00C16E58" w:rsidRDefault="00B03D11" w:rsidP="00101F22">
            <w:pPr>
              <w:pStyle w:val="naisf"/>
            </w:pPr>
            <w:r w:rsidRPr="00C16E58">
              <w:t>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3D11" w:rsidRPr="00C16E58" w:rsidRDefault="00B03D11" w:rsidP="00101F22">
            <w:pPr>
              <w:pStyle w:val="naisf"/>
            </w:pPr>
            <w:r w:rsidRPr="00C16E58">
              <w:t>0 </w:t>
            </w:r>
          </w:p>
        </w:tc>
        <w:tc>
          <w:tcPr>
            <w:tcW w:w="6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3D11" w:rsidRPr="00C16E58" w:rsidRDefault="00B03D11" w:rsidP="00101F22">
            <w:pPr>
              <w:pStyle w:val="naisf"/>
            </w:pPr>
            <w:r w:rsidRPr="00C16E58">
              <w:t>0 </w:t>
            </w:r>
          </w:p>
        </w:tc>
      </w:tr>
      <w:tr w:rsidR="00B03D11" w:rsidRPr="00C16E58" w:rsidTr="00101F22">
        <w:tc>
          <w:tcPr>
            <w:tcW w:w="1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3D11" w:rsidRPr="00C16E58" w:rsidRDefault="00B03D11" w:rsidP="00101F22">
            <w:pPr>
              <w:pStyle w:val="naisf"/>
              <w:spacing w:before="0" w:after="0"/>
            </w:pPr>
            <w:r w:rsidRPr="00C16E58">
              <w:lastRenderedPageBreak/>
              <w:t>3.2. speciālais budžets</w:t>
            </w:r>
          </w:p>
        </w:tc>
        <w:tc>
          <w:tcPr>
            <w:tcW w:w="6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3D11" w:rsidRPr="00C16E58" w:rsidRDefault="00B03D11" w:rsidP="00101F22">
            <w:pPr>
              <w:pStyle w:val="naisf"/>
              <w:spacing w:before="0" w:after="0"/>
            </w:pPr>
            <w:r w:rsidRPr="00C16E58"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3D11" w:rsidRPr="00C16E58" w:rsidRDefault="00B03D11" w:rsidP="00101F22">
            <w:pPr>
              <w:pStyle w:val="naisf"/>
              <w:spacing w:before="0" w:after="0"/>
            </w:pPr>
            <w:r w:rsidRPr="00C16E58"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3D11" w:rsidRPr="00C16E58" w:rsidRDefault="00B03D11" w:rsidP="00101F22">
            <w:pPr>
              <w:pStyle w:val="naisf"/>
              <w:spacing w:before="0" w:after="0"/>
            </w:pPr>
            <w:r w:rsidRPr="00C16E58"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3D11" w:rsidRPr="00C16E58" w:rsidRDefault="00B03D11" w:rsidP="00101F22">
            <w:pPr>
              <w:pStyle w:val="naisf"/>
              <w:spacing w:before="0" w:after="0"/>
            </w:pPr>
            <w:r w:rsidRPr="00C16E58">
              <w:t>0</w:t>
            </w:r>
          </w:p>
        </w:tc>
        <w:tc>
          <w:tcPr>
            <w:tcW w:w="6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3D11" w:rsidRPr="00C16E58" w:rsidRDefault="00B03D11" w:rsidP="00101F22">
            <w:pPr>
              <w:pStyle w:val="naisf"/>
              <w:spacing w:before="0" w:after="0"/>
            </w:pPr>
            <w:r w:rsidRPr="00C16E58">
              <w:t>0</w:t>
            </w:r>
          </w:p>
        </w:tc>
      </w:tr>
      <w:tr w:rsidR="00B03D11" w:rsidRPr="00C16E58" w:rsidTr="00101F22">
        <w:tc>
          <w:tcPr>
            <w:tcW w:w="1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3D11" w:rsidRPr="00C16E58" w:rsidRDefault="00B03D11" w:rsidP="00101F22">
            <w:pPr>
              <w:pStyle w:val="naisf"/>
              <w:spacing w:before="0" w:after="0"/>
            </w:pPr>
            <w:r w:rsidRPr="00C16E58">
              <w:t>3.3. pašvaldību budžets</w:t>
            </w:r>
          </w:p>
        </w:tc>
        <w:tc>
          <w:tcPr>
            <w:tcW w:w="6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3D11" w:rsidRPr="00C16E58" w:rsidRDefault="00B03D11" w:rsidP="00101F22">
            <w:pPr>
              <w:pStyle w:val="naisf"/>
              <w:spacing w:before="0" w:after="0"/>
            </w:pPr>
            <w:r w:rsidRPr="00C16E58"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3D11" w:rsidRPr="00C16E58" w:rsidRDefault="00B03D11" w:rsidP="00101F22">
            <w:pPr>
              <w:pStyle w:val="naisf"/>
              <w:spacing w:before="0" w:after="0"/>
            </w:pPr>
            <w:r w:rsidRPr="00C16E58"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3D11" w:rsidRPr="00C16E58" w:rsidRDefault="00B03D11" w:rsidP="00101F22">
            <w:pPr>
              <w:pStyle w:val="naisf"/>
              <w:spacing w:before="0" w:after="0"/>
            </w:pPr>
            <w:r w:rsidRPr="00C16E58"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3D11" w:rsidRPr="00C16E58" w:rsidRDefault="00B03D11" w:rsidP="00101F22">
            <w:pPr>
              <w:pStyle w:val="naisf"/>
              <w:spacing w:before="0" w:after="0"/>
            </w:pPr>
            <w:r w:rsidRPr="00C16E58">
              <w:t>0</w:t>
            </w:r>
          </w:p>
        </w:tc>
        <w:tc>
          <w:tcPr>
            <w:tcW w:w="6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3D11" w:rsidRPr="00C16E58" w:rsidRDefault="00B03D11" w:rsidP="00101F22">
            <w:pPr>
              <w:pStyle w:val="naisf"/>
              <w:spacing w:before="0" w:after="0"/>
            </w:pPr>
            <w:r w:rsidRPr="00C16E58">
              <w:t>0</w:t>
            </w:r>
          </w:p>
        </w:tc>
      </w:tr>
      <w:tr w:rsidR="00B03D11" w:rsidRPr="00C16E58" w:rsidTr="00101F22">
        <w:trPr>
          <w:trHeight w:val="1367"/>
        </w:trPr>
        <w:tc>
          <w:tcPr>
            <w:tcW w:w="1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3D11" w:rsidRPr="00C16E58" w:rsidRDefault="00B03D11" w:rsidP="00101F22">
            <w:pPr>
              <w:pStyle w:val="naisf"/>
              <w:spacing w:before="0" w:after="0"/>
            </w:pPr>
            <w:r w:rsidRPr="00C16E58">
              <w:t>4. Finanšu līdzekļi papildu izde</w:t>
            </w:r>
            <w:r w:rsidRPr="00C16E58">
              <w:softHyphen/>
              <w:t>vumu finansēšanai (kompensējošu izdevumu samazinājumu norāda ar "+" zīmi)</w:t>
            </w:r>
          </w:p>
        </w:tc>
        <w:tc>
          <w:tcPr>
            <w:tcW w:w="6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3D11" w:rsidRPr="00C16E58" w:rsidRDefault="00B03D11" w:rsidP="00101F22">
            <w:pPr>
              <w:pStyle w:val="naisf"/>
              <w:spacing w:before="0" w:after="0"/>
            </w:pPr>
            <w:r w:rsidRPr="00C16E58"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B03D11" w:rsidRPr="00C16E58" w:rsidRDefault="00A22147" w:rsidP="008C3F03">
            <w:pPr>
              <w:pStyle w:val="naisf"/>
            </w:pPr>
            <w:r>
              <w:t>1 7</w:t>
            </w:r>
            <w:r w:rsidR="008C3F03">
              <w:t>12,9</w:t>
            </w:r>
            <w:r w:rsidRPr="00C16E58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B03D11" w:rsidRPr="00C16E58" w:rsidRDefault="00B03D11" w:rsidP="00101F22">
            <w:pPr>
              <w:pStyle w:val="naisf"/>
            </w:pPr>
            <w:r w:rsidRPr="00C16E58"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B03D11" w:rsidRPr="00C16E58" w:rsidRDefault="00B03D11" w:rsidP="00101F22">
            <w:pPr>
              <w:pStyle w:val="naisf"/>
            </w:pPr>
            <w:r w:rsidRPr="00C16E58">
              <w:t>0</w:t>
            </w:r>
          </w:p>
        </w:tc>
        <w:tc>
          <w:tcPr>
            <w:tcW w:w="680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B03D11" w:rsidRPr="00C16E58" w:rsidRDefault="00B03D11" w:rsidP="00101F22">
            <w:pPr>
              <w:pStyle w:val="naisf"/>
            </w:pPr>
            <w:r w:rsidRPr="00C16E58">
              <w:t>0</w:t>
            </w:r>
          </w:p>
        </w:tc>
      </w:tr>
      <w:tr w:rsidR="00B03D11" w:rsidRPr="00C16E58" w:rsidTr="00101F22">
        <w:tc>
          <w:tcPr>
            <w:tcW w:w="1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3D11" w:rsidRPr="00C16E58" w:rsidRDefault="00B03D11" w:rsidP="00101F22">
            <w:pPr>
              <w:pStyle w:val="naisf"/>
              <w:spacing w:before="0" w:after="0"/>
            </w:pPr>
            <w:r w:rsidRPr="00C16E58">
              <w:t>5. Precizēta finansiālā ietekme:</w:t>
            </w:r>
          </w:p>
        </w:tc>
        <w:tc>
          <w:tcPr>
            <w:tcW w:w="68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3D11" w:rsidRPr="00C16E58" w:rsidRDefault="00B03D11" w:rsidP="00101F22">
            <w:pPr>
              <w:pStyle w:val="naisf"/>
              <w:spacing w:before="0" w:after="0"/>
            </w:pPr>
            <w:r w:rsidRPr="00C16E58"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3D11" w:rsidRPr="00C16E58" w:rsidRDefault="00B03D11" w:rsidP="00101F22">
            <w:pPr>
              <w:pStyle w:val="naisf"/>
            </w:pPr>
            <w:r w:rsidRPr="00C16E58">
              <w:t>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3D11" w:rsidRPr="00C16E58" w:rsidRDefault="00B03D11" w:rsidP="00101F22">
            <w:pPr>
              <w:pStyle w:val="naisf"/>
            </w:pPr>
            <w:r w:rsidRPr="00C16E58">
              <w:t>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3D11" w:rsidRPr="00C16E58" w:rsidRDefault="00B03D11" w:rsidP="00101F22">
            <w:pPr>
              <w:pStyle w:val="naisf"/>
            </w:pPr>
            <w:r w:rsidRPr="00C16E58">
              <w:t>0 </w:t>
            </w:r>
          </w:p>
        </w:tc>
        <w:tc>
          <w:tcPr>
            <w:tcW w:w="6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3D11" w:rsidRPr="00C16E58" w:rsidRDefault="00B03D11" w:rsidP="00101F22">
            <w:pPr>
              <w:pStyle w:val="naisf"/>
            </w:pPr>
            <w:r w:rsidRPr="00C16E58">
              <w:t>0 </w:t>
            </w:r>
          </w:p>
        </w:tc>
      </w:tr>
      <w:tr w:rsidR="00B03D11" w:rsidRPr="00C16E58" w:rsidTr="00101F22">
        <w:tc>
          <w:tcPr>
            <w:tcW w:w="1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3D11" w:rsidRPr="00C16E58" w:rsidRDefault="00B03D11" w:rsidP="00101F22">
            <w:pPr>
              <w:pStyle w:val="naisf"/>
              <w:spacing w:before="0" w:after="0"/>
            </w:pPr>
            <w:r w:rsidRPr="00C16E58">
              <w:t>5.1. valsts pamatbudžets</w:t>
            </w:r>
          </w:p>
        </w:tc>
        <w:tc>
          <w:tcPr>
            <w:tcW w:w="680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3D11" w:rsidRPr="00C16E58" w:rsidRDefault="00B03D11" w:rsidP="00101F22">
            <w:pPr>
              <w:pStyle w:val="naisf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3D11" w:rsidRPr="00C16E58" w:rsidRDefault="00B03D11" w:rsidP="00101F22">
            <w:pPr>
              <w:pStyle w:val="naisf"/>
            </w:pPr>
            <w:r w:rsidRPr="00C16E58">
              <w:t>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3D11" w:rsidRPr="00C16E58" w:rsidRDefault="00B03D11" w:rsidP="00101F22">
            <w:pPr>
              <w:pStyle w:val="naisf"/>
            </w:pPr>
            <w:r w:rsidRPr="00C16E58">
              <w:t>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3D11" w:rsidRPr="00C16E58" w:rsidRDefault="00B03D11" w:rsidP="00101F22">
            <w:pPr>
              <w:pStyle w:val="naisf"/>
            </w:pPr>
            <w:r w:rsidRPr="00C16E58">
              <w:t>0 </w:t>
            </w:r>
          </w:p>
        </w:tc>
        <w:tc>
          <w:tcPr>
            <w:tcW w:w="6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3D11" w:rsidRPr="00C16E58" w:rsidRDefault="00B03D11" w:rsidP="00101F22">
            <w:pPr>
              <w:pStyle w:val="naisf"/>
            </w:pPr>
            <w:r w:rsidRPr="00C16E58">
              <w:t>0 </w:t>
            </w:r>
          </w:p>
        </w:tc>
      </w:tr>
      <w:tr w:rsidR="00B03D11" w:rsidRPr="00C16E58" w:rsidTr="00101F22">
        <w:tc>
          <w:tcPr>
            <w:tcW w:w="1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3D11" w:rsidRPr="00C16E58" w:rsidRDefault="00B03D11" w:rsidP="00101F22">
            <w:pPr>
              <w:pStyle w:val="naisf"/>
              <w:spacing w:before="0" w:after="0"/>
            </w:pPr>
            <w:r w:rsidRPr="00C16E58">
              <w:t>5.2. speciālais budžets</w:t>
            </w:r>
          </w:p>
        </w:tc>
        <w:tc>
          <w:tcPr>
            <w:tcW w:w="680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3D11" w:rsidRPr="00C16E58" w:rsidRDefault="00B03D11" w:rsidP="00101F22">
            <w:pPr>
              <w:pStyle w:val="naisf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3D11" w:rsidRPr="00C16E58" w:rsidRDefault="00B03D11" w:rsidP="00101F22">
            <w:pPr>
              <w:pStyle w:val="naisf"/>
              <w:spacing w:before="0" w:after="0"/>
            </w:pPr>
            <w:r w:rsidRPr="00C16E58"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3D11" w:rsidRPr="00C16E58" w:rsidRDefault="00B03D11" w:rsidP="00101F22">
            <w:pPr>
              <w:pStyle w:val="naisf"/>
              <w:spacing w:before="0" w:after="0"/>
            </w:pPr>
            <w:r w:rsidRPr="00C16E58"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3D11" w:rsidRPr="00C16E58" w:rsidRDefault="00B03D11" w:rsidP="00101F22">
            <w:pPr>
              <w:pStyle w:val="naisf"/>
              <w:spacing w:before="0" w:after="0"/>
            </w:pPr>
            <w:r w:rsidRPr="00C16E58">
              <w:t>0</w:t>
            </w:r>
          </w:p>
        </w:tc>
        <w:tc>
          <w:tcPr>
            <w:tcW w:w="6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3D11" w:rsidRPr="00C16E58" w:rsidRDefault="00B03D11" w:rsidP="00101F22">
            <w:pPr>
              <w:pStyle w:val="naisf"/>
              <w:spacing w:before="0" w:after="0"/>
            </w:pPr>
            <w:r w:rsidRPr="00C16E58">
              <w:t>0</w:t>
            </w:r>
          </w:p>
        </w:tc>
      </w:tr>
      <w:tr w:rsidR="00B03D11" w:rsidRPr="00C16E58" w:rsidTr="00101F22">
        <w:tc>
          <w:tcPr>
            <w:tcW w:w="1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3D11" w:rsidRPr="00C16E58" w:rsidRDefault="00B03D11" w:rsidP="00101F22">
            <w:pPr>
              <w:pStyle w:val="naisf"/>
              <w:spacing w:before="0" w:after="0"/>
            </w:pPr>
            <w:r w:rsidRPr="00C16E58">
              <w:t>5.3. pašvaldību budžets</w:t>
            </w:r>
          </w:p>
        </w:tc>
        <w:tc>
          <w:tcPr>
            <w:tcW w:w="680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3D11" w:rsidRPr="00C16E58" w:rsidRDefault="00B03D11" w:rsidP="00101F22">
            <w:pPr>
              <w:pStyle w:val="naisf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3D11" w:rsidRPr="00C16E58" w:rsidRDefault="00B03D11" w:rsidP="00101F22">
            <w:pPr>
              <w:pStyle w:val="naisf"/>
              <w:spacing w:before="0" w:after="0"/>
            </w:pPr>
            <w:r w:rsidRPr="00C16E58"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3D11" w:rsidRPr="00C16E58" w:rsidRDefault="00B03D11" w:rsidP="00101F22">
            <w:pPr>
              <w:pStyle w:val="naisf"/>
              <w:spacing w:before="0" w:after="0"/>
            </w:pPr>
            <w:r w:rsidRPr="00C16E58"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3D11" w:rsidRPr="00C16E58" w:rsidRDefault="00B03D11" w:rsidP="00101F22">
            <w:pPr>
              <w:pStyle w:val="naisf"/>
              <w:spacing w:before="0" w:after="0"/>
            </w:pPr>
            <w:r w:rsidRPr="00C16E58">
              <w:t>0</w:t>
            </w:r>
          </w:p>
        </w:tc>
        <w:tc>
          <w:tcPr>
            <w:tcW w:w="6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3D11" w:rsidRPr="00C16E58" w:rsidRDefault="00B03D11" w:rsidP="00101F22">
            <w:pPr>
              <w:pStyle w:val="naisf"/>
              <w:spacing w:before="0" w:after="0"/>
            </w:pPr>
            <w:r w:rsidRPr="00C16E58">
              <w:t>0</w:t>
            </w:r>
          </w:p>
        </w:tc>
      </w:tr>
      <w:tr w:rsidR="00B03D11" w:rsidRPr="00C16E58" w:rsidTr="00101F22">
        <w:tc>
          <w:tcPr>
            <w:tcW w:w="1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3D11" w:rsidRPr="00C16E58" w:rsidRDefault="00B03D11" w:rsidP="00101F22">
            <w:pPr>
              <w:pStyle w:val="naisf"/>
              <w:spacing w:before="0" w:after="0"/>
            </w:pPr>
            <w:r w:rsidRPr="00C16E58">
              <w:t>6. Detalizēts ieņēmumu un izdevu</w:t>
            </w:r>
            <w:r w:rsidRPr="00C16E58">
              <w:softHyphen/>
              <w:t>mu aprēķins (ja nepieciešams, detalizētu ieņēmumu un izdevumu aprēķinu var pievienot anotācijas pielikumā):</w:t>
            </w:r>
          </w:p>
        </w:tc>
        <w:tc>
          <w:tcPr>
            <w:tcW w:w="3403" w:type="pct"/>
            <w:gridSpan w:val="5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3D11" w:rsidRDefault="008F7BC6" w:rsidP="008F7BC6">
            <w:pPr>
              <w:pStyle w:val="naisf"/>
              <w:ind w:firstLine="0"/>
            </w:pPr>
            <w:r>
              <w:t>Skatīties 1.pielikumā</w:t>
            </w:r>
          </w:p>
          <w:p w:rsidR="008F7BC6" w:rsidRPr="00C16E58" w:rsidRDefault="008F7BC6" w:rsidP="008F7BC6">
            <w:pPr>
              <w:pStyle w:val="naisf"/>
              <w:ind w:firstLine="0"/>
            </w:pPr>
          </w:p>
        </w:tc>
      </w:tr>
      <w:tr w:rsidR="00B03D11" w:rsidRPr="00C16E58" w:rsidTr="00101F22">
        <w:tc>
          <w:tcPr>
            <w:tcW w:w="1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3D11" w:rsidRPr="00C16E58" w:rsidRDefault="00B03D11" w:rsidP="00101F22">
            <w:pPr>
              <w:pStyle w:val="naisf"/>
              <w:spacing w:before="0" w:after="0"/>
            </w:pPr>
            <w:r w:rsidRPr="00C16E58">
              <w:t>6.1. detalizēts ieņēmumu aprēķins</w:t>
            </w:r>
          </w:p>
        </w:tc>
        <w:tc>
          <w:tcPr>
            <w:tcW w:w="3403" w:type="pct"/>
            <w:gridSpan w:val="5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3D11" w:rsidRPr="00C16E58" w:rsidRDefault="00B03D11" w:rsidP="00101F22">
            <w:pPr>
              <w:pStyle w:val="naisf"/>
            </w:pPr>
          </w:p>
        </w:tc>
      </w:tr>
      <w:tr w:rsidR="00B03D11" w:rsidRPr="00C16E58" w:rsidTr="00101F22">
        <w:tc>
          <w:tcPr>
            <w:tcW w:w="1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3D11" w:rsidRPr="00C16E58" w:rsidRDefault="00B03D11" w:rsidP="00101F22">
            <w:pPr>
              <w:pStyle w:val="naisf"/>
              <w:spacing w:before="0" w:after="0"/>
            </w:pPr>
            <w:r w:rsidRPr="00C16E58">
              <w:t>6.2. detalizēts izdevumu aprēķins</w:t>
            </w:r>
          </w:p>
        </w:tc>
        <w:tc>
          <w:tcPr>
            <w:tcW w:w="3403" w:type="pct"/>
            <w:gridSpan w:val="5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3D11" w:rsidRPr="00C16E58" w:rsidRDefault="00B03D11" w:rsidP="00101F22">
            <w:pPr>
              <w:pStyle w:val="naisf"/>
            </w:pPr>
          </w:p>
        </w:tc>
      </w:tr>
      <w:tr w:rsidR="00B03D11" w:rsidRPr="00C16E58" w:rsidTr="00101F22">
        <w:tc>
          <w:tcPr>
            <w:tcW w:w="1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3D11" w:rsidRPr="00C16E58" w:rsidRDefault="00B03D11" w:rsidP="00101F22">
            <w:pPr>
              <w:pStyle w:val="naisf"/>
              <w:spacing w:before="0" w:after="0"/>
            </w:pPr>
            <w:r w:rsidRPr="00C16E58">
              <w:t>7. Cita informācija</w:t>
            </w:r>
          </w:p>
        </w:tc>
        <w:tc>
          <w:tcPr>
            <w:tcW w:w="3403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3D11" w:rsidRPr="004C3F74" w:rsidRDefault="00B03D11" w:rsidP="00B03D11">
            <w:pPr>
              <w:jc w:val="both"/>
              <w:rPr>
                <w:i/>
              </w:rPr>
            </w:pPr>
            <w:r w:rsidRPr="00C16E58">
              <w:t>Izdevumus sedz no valsts budžeta programmas 02.00.00 „Līdzekļi neparedzētiem gadījumiem”.</w:t>
            </w:r>
            <w:r>
              <w:t xml:space="preserve"> </w:t>
            </w:r>
          </w:p>
        </w:tc>
      </w:tr>
    </w:tbl>
    <w:p w:rsidR="00B03D11" w:rsidRDefault="00B03D11" w:rsidP="00B03D11">
      <w:pPr>
        <w:pStyle w:val="naisf"/>
        <w:spacing w:before="0" w:after="0"/>
      </w:pPr>
    </w:p>
    <w:p w:rsidR="00B03D11" w:rsidRPr="000A0D36" w:rsidRDefault="00B03D11" w:rsidP="00B03D11">
      <w:pPr>
        <w:pStyle w:val="NormalWeb"/>
        <w:spacing w:before="0" w:beforeAutospacing="0" w:after="0" w:afterAutospacing="0"/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32"/>
        <w:gridCol w:w="3542"/>
        <w:gridCol w:w="5207"/>
      </w:tblGrid>
      <w:tr w:rsidR="00B03D11" w:rsidRPr="000A0D36" w:rsidTr="00101F22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D11" w:rsidRPr="000A0D36" w:rsidRDefault="00B03D11" w:rsidP="00101F22">
            <w:pPr>
              <w:pStyle w:val="naisc"/>
              <w:spacing w:before="0" w:after="0"/>
              <w:rPr>
                <w:b/>
                <w:bCs/>
                <w:sz w:val="24"/>
                <w:szCs w:val="24"/>
              </w:rPr>
            </w:pPr>
            <w:r w:rsidRPr="000A0D36">
              <w:rPr>
                <w:b/>
                <w:bCs/>
                <w:sz w:val="24"/>
                <w:szCs w:val="24"/>
              </w:rPr>
              <w:t>VII. Tiesību akta projekta izpildes nodrošināšana un tās ietekme uz institūcijām</w:t>
            </w:r>
          </w:p>
        </w:tc>
      </w:tr>
      <w:tr w:rsidR="00B03D11" w:rsidRPr="000A0D36" w:rsidTr="00101F22"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D11" w:rsidRPr="000A0D36" w:rsidRDefault="00B03D11" w:rsidP="00101F22">
            <w:pPr>
              <w:pStyle w:val="NormalWeb"/>
              <w:spacing w:before="0" w:beforeAutospacing="0" w:after="0" w:afterAutospacing="0"/>
            </w:pPr>
            <w:r w:rsidRPr="000A0D36">
              <w:t>1.</w:t>
            </w:r>
          </w:p>
        </w:tc>
        <w:tc>
          <w:tcPr>
            <w:tcW w:w="1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D11" w:rsidRPr="000A0D36" w:rsidRDefault="00B03D11" w:rsidP="00101F22">
            <w:pPr>
              <w:rPr>
                <w:color w:val="000000"/>
              </w:rPr>
            </w:pPr>
            <w:r w:rsidRPr="000A0D36">
              <w:rPr>
                <w:color w:val="000000"/>
              </w:rPr>
              <w:t>Projekta izpildē iesaistītās institūcijas</w:t>
            </w:r>
          </w:p>
        </w:tc>
        <w:tc>
          <w:tcPr>
            <w:tcW w:w="2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D11" w:rsidRPr="000A0D36" w:rsidRDefault="008F7BC6" w:rsidP="008F7BC6">
            <w:pPr>
              <w:jc w:val="both"/>
              <w:rPr>
                <w:highlight w:val="yellow"/>
              </w:rPr>
            </w:pPr>
            <w:r>
              <w:rPr>
                <w:bCs/>
                <w:color w:val="000000"/>
              </w:rPr>
              <w:t>Centrālā vēlēšanu komisija, Finanšu ministrija</w:t>
            </w:r>
          </w:p>
        </w:tc>
      </w:tr>
      <w:tr w:rsidR="00B03D11" w:rsidRPr="000A0D36" w:rsidTr="00101F22">
        <w:trPr>
          <w:trHeight w:val="795"/>
        </w:trPr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D11" w:rsidRPr="000A0D36" w:rsidRDefault="00B03D11" w:rsidP="00101F22">
            <w:pPr>
              <w:pStyle w:val="NormalWeb"/>
              <w:spacing w:before="0" w:beforeAutospacing="0" w:after="0" w:afterAutospacing="0"/>
            </w:pPr>
            <w:r w:rsidRPr="000A0D36">
              <w:t>2.</w:t>
            </w:r>
          </w:p>
        </w:tc>
        <w:tc>
          <w:tcPr>
            <w:tcW w:w="1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D11" w:rsidRPr="000A0D36" w:rsidRDefault="00B03D11" w:rsidP="00101F22">
            <w:pPr>
              <w:rPr>
                <w:color w:val="000000"/>
              </w:rPr>
            </w:pPr>
            <w:r w:rsidRPr="000A0D36">
              <w:rPr>
                <w:color w:val="000000"/>
              </w:rPr>
              <w:t>Projekta izpildes ietekme uz pārvaldes funkcijām</w:t>
            </w:r>
          </w:p>
        </w:tc>
        <w:tc>
          <w:tcPr>
            <w:tcW w:w="2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D11" w:rsidRPr="000A0D36" w:rsidRDefault="00B03D11" w:rsidP="00101F22">
            <w:pPr>
              <w:jc w:val="both"/>
              <w:rPr>
                <w:bCs/>
                <w:color w:val="000000"/>
              </w:rPr>
            </w:pPr>
            <w:r w:rsidRPr="000A0D36">
              <w:t>Nav attiecināms.</w:t>
            </w:r>
          </w:p>
        </w:tc>
      </w:tr>
      <w:tr w:rsidR="00B03D11" w:rsidRPr="000A0D36" w:rsidTr="00101F22"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D11" w:rsidRPr="000A0D36" w:rsidRDefault="00B03D11" w:rsidP="00101F22">
            <w:pPr>
              <w:pStyle w:val="NormalWeb"/>
              <w:spacing w:before="0" w:beforeAutospacing="0" w:after="0" w:afterAutospacing="0"/>
            </w:pPr>
            <w:r w:rsidRPr="000A0D36">
              <w:t>3.</w:t>
            </w:r>
          </w:p>
        </w:tc>
        <w:tc>
          <w:tcPr>
            <w:tcW w:w="1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D11" w:rsidRPr="000A0D36" w:rsidRDefault="00B03D11" w:rsidP="00101F22">
            <w:pPr>
              <w:rPr>
                <w:color w:val="000000"/>
              </w:rPr>
            </w:pPr>
            <w:r w:rsidRPr="000A0D36">
              <w:rPr>
                <w:color w:val="000000"/>
              </w:rPr>
              <w:t>Projekta izpildes ietekme uz pārvaldes institucionālo struktūru.</w:t>
            </w:r>
          </w:p>
          <w:p w:rsidR="00B03D11" w:rsidRPr="000A0D36" w:rsidRDefault="00B03D11" w:rsidP="00101F22">
            <w:pPr>
              <w:rPr>
                <w:color w:val="000000"/>
              </w:rPr>
            </w:pPr>
            <w:r w:rsidRPr="000A0D36">
              <w:rPr>
                <w:color w:val="000000"/>
              </w:rPr>
              <w:t>Jaunu institūciju izveide</w:t>
            </w:r>
          </w:p>
        </w:tc>
        <w:tc>
          <w:tcPr>
            <w:tcW w:w="2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D11" w:rsidRPr="000A0D36" w:rsidRDefault="00B03D11" w:rsidP="00101F22">
            <w:pPr>
              <w:jc w:val="both"/>
              <w:rPr>
                <w:highlight w:val="yellow"/>
              </w:rPr>
            </w:pPr>
            <w:r w:rsidRPr="000A0D36">
              <w:t>Nav attiecināms.</w:t>
            </w:r>
          </w:p>
        </w:tc>
      </w:tr>
      <w:tr w:rsidR="00B03D11" w:rsidRPr="000A0D36" w:rsidTr="00101F22"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D11" w:rsidRPr="000A0D36" w:rsidRDefault="00B03D11" w:rsidP="00101F22">
            <w:pPr>
              <w:pStyle w:val="NormalWeb"/>
              <w:spacing w:before="0" w:beforeAutospacing="0" w:after="0" w:afterAutospacing="0"/>
            </w:pPr>
            <w:r w:rsidRPr="000A0D36">
              <w:t>4.</w:t>
            </w:r>
          </w:p>
        </w:tc>
        <w:tc>
          <w:tcPr>
            <w:tcW w:w="1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D11" w:rsidRPr="000A0D36" w:rsidRDefault="00B03D11" w:rsidP="00101F22">
            <w:pPr>
              <w:rPr>
                <w:color w:val="000000"/>
              </w:rPr>
            </w:pPr>
            <w:r w:rsidRPr="000A0D36">
              <w:rPr>
                <w:color w:val="000000"/>
              </w:rPr>
              <w:t>Projekta izpildes ietekme uz pārvaldes institucionālo struktūru.</w:t>
            </w:r>
          </w:p>
          <w:p w:rsidR="00B03D11" w:rsidRPr="000A0D36" w:rsidRDefault="00B03D11" w:rsidP="00101F22">
            <w:pPr>
              <w:rPr>
                <w:color w:val="000000"/>
              </w:rPr>
            </w:pPr>
            <w:r w:rsidRPr="000A0D36">
              <w:rPr>
                <w:color w:val="000000"/>
              </w:rPr>
              <w:t>Esošu institūciju likvidācija</w:t>
            </w:r>
          </w:p>
        </w:tc>
        <w:tc>
          <w:tcPr>
            <w:tcW w:w="2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D11" w:rsidRPr="000A0D36" w:rsidRDefault="00B03D11" w:rsidP="00101F22">
            <w:pPr>
              <w:jc w:val="both"/>
            </w:pPr>
            <w:r w:rsidRPr="000A0D36">
              <w:t>Nav attiecināms.</w:t>
            </w:r>
          </w:p>
        </w:tc>
      </w:tr>
      <w:tr w:rsidR="00B03D11" w:rsidRPr="000A0D36" w:rsidTr="00101F22"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D11" w:rsidRPr="000A0D36" w:rsidRDefault="00B03D11" w:rsidP="00101F22">
            <w:pPr>
              <w:pStyle w:val="NormalWeb"/>
              <w:spacing w:before="0" w:beforeAutospacing="0" w:after="0" w:afterAutospacing="0"/>
            </w:pPr>
            <w:r w:rsidRPr="000A0D36">
              <w:t>5.</w:t>
            </w:r>
          </w:p>
        </w:tc>
        <w:tc>
          <w:tcPr>
            <w:tcW w:w="1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D11" w:rsidRPr="000A0D36" w:rsidRDefault="00B03D11" w:rsidP="00101F22">
            <w:pPr>
              <w:rPr>
                <w:color w:val="000000"/>
              </w:rPr>
            </w:pPr>
            <w:r w:rsidRPr="000A0D36">
              <w:rPr>
                <w:color w:val="000000"/>
              </w:rPr>
              <w:t>Projekta izpildes ietekme uz pārvaldes institucionālo struktūru.</w:t>
            </w:r>
          </w:p>
          <w:p w:rsidR="00B03D11" w:rsidRPr="000A0D36" w:rsidRDefault="00B03D11" w:rsidP="00101F22">
            <w:pPr>
              <w:rPr>
                <w:color w:val="000000"/>
              </w:rPr>
            </w:pPr>
            <w:r w:rsidRPr="000A0D36">
              <w:rPr>
                <w:color w:val="000000"/>
              </w:rPr>
              <w:t>Esošu institūciju reorganizācija</w:t>
            </w:r>
          </w:p>
        </w:tc>
        <w:tc>
          <w:tcPr>
            <w:tcW w:w="2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D11" w:rsidRPr="000A0D36" w:rsidRDefault="00B03D11" w:rsidP="00101F22">
            <w:pPr>
              <w:jc w:val="both"/>
            </w:pPr>
            <w:r w:rsidRPr="000A0D36">
              <w:t>Nav attiecināms.</w:t>
            </w:r>
          </w:p>
        </w:tc>
      </w:tr>
      <w:tr w:rsidR="00B03D11" w:rsidRPr="000A0D36" w:rsidTr="00101F22"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D11" w:rsidRPr="000A0D36" w:rsidRDefault="00B03D11" w:rsidP="00101F22">
            <w:pPr>
              <w:pStyle w:val="NormalWeb"/>
              <w:spacing w:before="0" w:beforeAutospacing="0" w:after="0" w:afterAutospacing="0"/>
            </w:pPr>
            <w:r w:rsidRPr="000A0D36">
              <w:t>6.</w:t>
            </w:r>
          </w:p>
        </w:tc>
        <w:tc>
          <w:tcPr>
            <w:tcW w:w="1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D11" w:rsidRPr="000A0D36" w:rsidRDefault="00B03D11" w:rsidP="00101F22">
            <w:pPr>
              <w:pStyle w:val="NormalWeb"/>
              <w:spacing w:before="0" w:beforeAutospacing="0" w:after="0" w:afterAutospacing="0"/>
            </w:pPr>
            <w:r w:rsidRPr="000A0D36">
              <w:t>Cita informācija</w:t>
            </w:r>
          </w:p>
        </w:tc>
        <w:tc>
          <w:tcPr>
            <w:tcW w:w="2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D11" w:rsidRPr="000A0D36" w:rsidRDefault="00B03D11" w:rsidP="00101F22">
            <w:r w:rsidRPr="000A0D36">
              <w:t>Nav</w:t>
            </w:r>
            <w:r>
              <w:t xml:space="preserve"> attiecināms. </w:t>
            </w:r>
          </w:p>
        </w:tc>
      </w:tr>
    </w:tbl>
    <w:p w:rsidR="00C5732A" w:rsidRPr="00C16E58" w:rsidRDefault="00C5732A" w:rsidP="00C5732A">
      <w:pPr>
        <w:jc w:val="both"/>
        <w:rPr>
          <w:rFonts w:eastAsia="Calibri"/>
        </w:rPr>
      </w:pPr>
      <w:r w:rsidRPr="00C16E58">
        <w:rPr>
          <w:rFonts w:eastAsia="Calibri"/>
        </w:rPr>
        <w:lastRenderedPageBreak/>
        <w:t>Anotācijas II, IV, V, VI sadaļa – nav attiecināms.</w:t>
      </w:r>
    </w:p>
    <w:p w:rsidR="004F39F2" w:rsidRDefault="004F39F2" w:rsidP="0061761D">
      <w:pPr>
        <w:jc w:val="both"/>
        <w:rPr>
          <w:sz w:val="28"/>
          <w:szCs w:val="28"/>
        </w:rPr>
      </w:pPr>
    </w:p>
    <w:p w:rsidR="002A2439" w:rsidRDefault="002A2439" w:rsidP="002A2439">
      <w:pPr>
        <w:rPr>
          <w:sz w:val="28"/>
          <w:szCs w:val="28"/>
        </w:rPr>
      </w:pPr>
    </w:p>
    <w:p w:rsidR="002A2439" w:rsidRDefault="002A2439" w:rsidP="002A2439">
      <w:pPr>
        <w:rPr>
          <w:sz w:val="28"/>
          <w:szCs w:val="28"/>
        </w:rPr>
      </w:pPr>
    </w:p>
    <w:p w:rsidR="002A2439" w:rsidRDefault="002A2439" w:rsidP="002A2439">
      <w:pPr>
        <w:rPr>
          <w:sz w:val="28"/>
          <w:szCs w:val="28"/>
        </w:rPr>
      </w:pPr>
      <w:r>
        <w:rPr>
          <w:sz w:val="28"/>
          <w:szCs w:val="28"/>
        </w:rPr>
        <w:t xml:space="preserve">Finanšu  ministra vietā – </w:t>
      </w:r>
    </w:p>
    <w:p w:rsidR="0061761D" w:rsidRDefault="002A2439" w:rsidP="002A2439">
      <w:pPr>
        <w:pStyle w:val="Footer"/>
        <w:rPr>
          <w:szCs w:val="28"/>
        </w:rPr>
      </w:pPr>
      <w:r>
        <w:rPr>
          <w:sz w:val="28"/>
          <w:szCs w:val="28"/>
        </w:rPr>
        <w:t>labklājības ministre</w:t>
      </w:r>
      <w:r>
        <w:rPr>
          <w:sz w:val="28"/>
          <w:szCs w:val="28"/>
        </w:rPr>
        <w:tab/>
        <w:t xml:space="preserve">                                                                         I.Viņķele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</w:p>
    <w:p w:rsidR="002A2439" w:rsidRDefault="002A2439" w:rsidP="00B03D11">
      <w:pPr>
        <w:pStyle w:val="Footer"/>
        <w:rPr>
          <w:sz w:val="18"/>
          <w:szCs w:val="18"/>
        </w:rPr>
      </w:pPr>
    </w:p>
    <w:p w:rsidR="002A2439" w:rsidRDefault="002A2439" w:rsidP="00B03D11">
      <w:pPr>
        <w:pStyle w:val="Footer"/>
        <w:rPr>
          <w:sz w:val="18"/>
          <w:szCs w:val="18"/>
        </w:rPr>
      </w:pPr>
    </w:p>
    <w:p w:rsidR="002A2439" w:rsidRDefault="002A2439" w:rsidP="00B03D11">
      <w:pPr>
        <w:pStyle w:val="Footer"/>
        <w:rPr>
          <w:sz w:val="18"/>
          <w:szCs w:val="18"/>
        </w:rPr>
      </w:pPr>
    </w:p>
    <w:p w:rsidR="002A2439" w:rsidRDefault="002A2439" w:rsidP="00B03D11">
      <w:pPr>
        <w:pStyle w:val="Footer"/>
        <w:rPr>
          <w:sz w:val="18"/>
          <w:szCs w:val="18"/>
        </w:rPr>
      </w:pPr>
    </w:p>
    <w:p w:rsidR="002A2439" w:rsidRPr="00547107" w:rsidRDefault="002A2439" w:rsidP="00B03D11">
      <w:pPr>
        <w:pStyle w:val="Footer"/>
        <w:rPr>
          <w:sz w:val="20"/>
        </w:rPr>
      </w:pPr>
    </w:p>
    <w:p w:rsidR="00B03D11" w:rsidRPr="00547107" w:rsidRDefault="00547107" w:rsidP="00B03D11">
      <w:pPr>
        <w:pStyle w:val="Footer"/>
        <w:rPr>
          <w:sz w:val="20"/>
        </w:rPr>
      </w:pPr>
      <w:r w:rsidRPr="00547107">
        <w:rPr>
          <w:sz w:val="20"/>
        </w:rPr>
        <w:t>18</w:t>
      </w:r>
      <w:r w:rsidR="008C3F03" w:rsidRPr="00547107">
        <w:rPr>
          <w:sz w:val="20"/>
        </w:rPr>
        <w:t>.01.2012</w:t>
      </w:r>
      <w:r w:rsidR="001867F7" w:rsidRPr="00547107">
        <w:rPr>
          <w:sz w:val="20"/>
        </w:rPr>
        <w:t>. 13</w:t>
      </w:r>
      <w:r w:rsidR="00BA4340" w:rsidRPr="00547107">
        <w:rPr>
          <w:sz w:val="20"/>
        </w:rPr>
        <w:t>:</w:t>
      </w:r>
      <w:r w:rsidR="001867F7" w:rsidRPr="00547107">
        <w:rPr>
          <w:sz w:val="20"/>
        </w:rPr>
        <w:t>5</w:t>
      </w:r>
      <w:r w:rsidR="002A2439" w:rsidRPr="00547107">
        <w:rPr>
          <w:sz w:val="20"/>
        </w:rPr>
        <w:t>5</w:t>
      </w:r>
    </w:p>
    <w:p w:rsidR="00C5732A" w:rsidRPr="00547107" w:rsidRDefault="001867F7" w:rsidP="00C5732A">
      <w:pPr>
        <w:pStyle w:val="Footer"/>
        <w:rPr>
          <w:sz w:val="20"/>
        </w:rPr>
      </w:pPr>
      <w:r w:rsidRPr="00547107">
        <w:rPr>
          <w:rStyle w:val="PageNumber"/>
          <w:sz w:val="20"/>
        </w:rPr>
        <w:t>654</w:t>
      </w:r>
    </w:p>
    <w:p w:rsidR="00C5732A" w:rsidRPr="00547107" w:rsidRDefault="00C5732A" w:rsidP="00C5732A">
      <w:pPr>
        <w:pStyle w:val="BodyText"/>
        <w:jc w:val="both"/>
        <w:rPr>
          <w:sz w:val="20"/>
          <w:szCs w:val="20"/>
        </w:rPr>
      </w:pPr>
      <w:r w:rsidRPr="00547107">
        <w:rPr>
          <w:sz w:val="20"/>
          <w:szCs w:val="20"/>
        </w:rPr>
        <w:t xml:space="preserve">E.Kobzeva </w:t>
      </w:r>
    </w:p>
    <w:p w:rsidR="00C5732A" w:rsidRPr="00547107" w:rsidRDefault="00C5732A" w:rsidP="00C5732A">
      <w:pPr>
        <w:pStyle w:val="BodyText"/>
        <w:jc w:val="both"/>
        <w:rPr>
          <w:sz w:val="20"/>
          <w:szCs w:val="20"/>
        </w:rPr>
      </w:pPr>
      <w:r w:rsidRPr="00547107">
        <w:rPr>
          <w:sz w:val="20"/>
          <w:szCs w:val="20"/>
        </w:rPr>
        <w:t xml:space="preserve">67083885; </w:t>
      </w:r>
      <w:hyperlink r:id="rId8" w:history="1">
        <w:r w:rsidRPr="00547107">
          <w:rPr>
            <w:rStyle w:val="Hyperlink"/>
            <w:sz w:val="20"/>
            <w:szCs w:val="20"/>
          </w:rPr>
          <w:t>Elina.Kobzeva@fm.gov.lv</w:t>
        </w:r>
      </w:hyperlink>
    </w:p>
    <w:sectPr w:rsidR="00C5732A" w:rsidRPr="00547107" w:rsidSect="00101F22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288" w:rsidRDefault="00E36288" w:rsidP="00C50023">
      <w:r>
        <w:separator/>
      </w:r>
    </w:p>
  </w:endnote>
  <w:endnote w:type="continuationSeparator" w:id="0">
    <w:p w:rsidR="00E36288" w:rsidRDefault="00E36288" w:rsidP="00C50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107" w:rsidRPr="00C50023" w:rsidRDefault="00547107" w:rsidP="00C50023">
    <w:pPr>
      <w:jc w:val="both"/>
      <w:rPr>
        <w:sz w:val="20"/>
        <w:szCs w:val="20"/>
      </w:rPr>
    </w:pPr>
    <w:r>
      <w:rPr>
        <w:sz w:val="20"/>
        <w:szCs w:val="20"/>
      </w:rPr>
      <w:t>FMAnot_180112</w:t>
    </w:r>
    <w:r w:rsidRPr="00C50023">
      <w:rPr>
        <w:sz w:val="20"/>
        <w:szCs w:val="20"/>
      </w:rPr>
      <w:t>; Ministru kabineta rīkojuma projekta „Par finanšu līdzekļu piešķiršanu no valsts budžeta programmas „Līdzekļi neparedzētiem gadījumiem”” sākotnējās ietekmes novērtējuma ziņojums (anotācija)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107" w:rsidRPr="00C50023" w:rsidRDefault="00547107" w:rsidP="00101F22">
    <w:pPr>
      <w:jc w:val="both"/>
      <w:rPr>
        <w:sz w:val="20"/>
        <w:szCs w:val="20"/>
      </w:rPr>
    </w:pPr>
    <w:r>
      <w:rPr>
        <w:sz w:val="20"/>
        <w:szCs w:val="20"/>
      </w:rPr>
      <w:t>FMAnot_180112</w:t>
    </w:r>
    <w:r w:rsidRPr="00C50023">
      <w:rPr>
        <w:sz w:val="20"/>
        <w:szCs w:val="20"/>
      </w:rPr>
      <w:t>; Ministru kabineta rīkojuma projekta „Par finanšu līdzekļu piešķiršanu no valsts budžeta programmas „Līdzekļi neparedzētiem gadījumiem”” sākotnējās ietekmes novērtējuma ziņojums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288" w:rsidRDefault="00E36288" w:rsidP="00C50023">
      <w:r>
        <w:separator/>
      </w:r>
    </w:p>
  </w:footnote>
  <w:footnote w:type="continuationSeparator" w:id="0">
    <w:p w:rsidR="00E36288" w:rsidRDefault="00E36288" w:rsidP="00C500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107" w:rsidRDefault="00547107" w:rsidP="00101F2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47107" w:rsidRDefault="005471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107" w:rsidRDefault="00547107" w:rsidP="00101F2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012A2">
      <w:rPr>
        <w:rStyle w:val="PageNumber"/>
        <w:noProof/>
      </w:rPr>
      <w:t>4</w:t>
    </w:r>
    <w:r>
      <w:rPr>
        <w:rStyle w:val="PageNumber"/>
      </w:rPr>
      <w:fldChar w:fldCharType="end"/>
    </w:r>
  </w:p>
  <w:p w:rsidR="00547107" w:rsidRDefault="005471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87B58"/>
    <w:multiLevelType w:val="hybridMultilevel"/>
    <w:tmpl w:val="562EBCBA"/>
    <w:lvl w:ilvl="0" w:tplc="CA26BDA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/>
      </w:rPr>
    </w:lvl>
    <w:lvl w:ilvl="1" w:tplc="0426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>
    <w:nsid w:val="4B3B64CC"/>
    <w:multiLevelType w:val="hybridMultilevel"/>
    <w:tmpl w:val="2F96F638"/>
    <w:lvl w:ilvl="0" w:tplc="6088D2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5F064A3"/>
    <w:multiLevelType w:val="hybridMultilevel"/>
    <w:tmpl w:val="25B4E54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D11"/>
    <w:rsid w:val="00020F72"/>
    <w:rsid w:val="001012A2"/>
    <w:rsid w:val="00101F22"/>
    <w:rsid w:val="001867F7"/>
    <w:rsid w:val="001C4DFF"/>
    <w:rsid w:val="002A2439"/>
    <w:rsid w:val="004F39F2"/>
    <w:rsid w:val="00547107"/>
    <w:rsid w:val="005B2537"/>
    <w:rsid w:val="0061761D"/>
    <w:rsid w:val="006F21F2"/>
    <w:rsid w:val="008A5B8F"/>
    <w:rsid w:val="008C3F03"/>
    <w:rsid w:val="008F3D97"/>
    <w:rsid w:val="008F7BC6"/>
    <w:rsid w:val="00A22147"/>
    <w:rsid w:val="00A3270B"/>
    <w:rsid w:val="00B03D11"/>
    <w:rsid w:val="00BA4340"/>
    <w:rsid w:val="00BC05EE"/>
    <w:rsid w:val="00C50023"/>
    <w:rsid w:val="00C5732A"/>
    <w:rsid w:val="00E02D94"/>
    <w:rsid w:val="00E36288"/>
    <w:rsid w:val="00E8575E"/>
    <w:rsid w:val="00E97231"/>
    <w:rsid w:val="00FB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2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03D11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B03D11"/>
    <w:pPr>
      <w:spacing w:before="75" w:after="75"/>
      <w:ind w:firstLine="375"/>
      <w:jc w:val="both"/>
    </w:pPr>
  </w:style>
  <w:style w:type="paragraph" w:customStyle="1" w:styleId="naisc">
    <w:name w:val="naisc"/>
    <w:basedOn w:val="Normal"/>
    <w:rsid w:val="00B03D11"/>
    <w:pPr>
      <w:spacing w:before="450" w:after="300"/>
      <w:jc w:val="center"/>
    </w:pPr>
    <w:rPr>
      <w:sz w:val="26"/>
      <w:szCs w:val="26"/>
    </w:rPr>
  </w:style>
  <w:style w:type="character" w:styleId="Hyperlink">
    <w:name w:val="Hyperlink"/>
    <w:rsid w:val="00B03D11"/>
    <w:rPr>
      <w:color w:val="0000FF"/>
      <w:u w:val="single"/>
    </w:rPr>
  </w:style>
  <w:style w:type="paragraph" w:styleId="Footer">
    <w:name w:val="footer"/>
    <w:basedOn w:val="Normal"/>
    <w:link w:val="FooterChar"/>
    <w:rsid w:val="00B03D11"/>
    <w:pPr>
      <w:tabs>
        <w:tab w:val="center" w:pos="4153"/>
        <w:tab w:val="right" w:pos="8306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B03D11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Header">
    <w:name w:val="header"/>
    <w:basedOn w:val="Normal"/>
    <w:link w:val="HeaderChar"/>
    <w:rsid w:val="00B03D1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03D11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B03D11"/>
  </w:style>
  <w:style w:type="paragraph" w:customStyle="1" w:styleId="RakstzRakstzCharCharChar">
    <w:name w:val="Rakstz. Rakstz. Char Char Char"/>
    <w:basedOn w:val="Normal"/>
    <w:next w:val="BlockText"/>
    <w:rsid w:val="00BC05E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BlockText">
    <w:name w:val="Block Text"/>
    <w:basedOn w:val="Normal"/>
    <w:uiPriority w:val="99"/>
    <w:semiHidden/>
    <w:unhideWhenUsed/>
    <w:rsid w:val="00BC05EE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5B2537"/>
    <w:pPr>
      <w:ind w:left="720"/>
      <w:contextualSpacing/>
    </w:pPr>
  </w:style>
  <w:style w:type="paragraph" w:styleId="BodyText">
    <w:name w:val="Body Text"/>
    <w:basedOn w:val="Normal"/>
    <w:link w:val="BodyTextChar"/>
    <w:rsid w:val="00C5732A"/>
    <w:pPr>
      <w:jc w:val="center"/>
    </w:pPr>
    <w:rPr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C5732A"/>
    <w:rPr>
      <w:rFonts w:ascii="Times New Roman" w:eastAsia="Times New Roman" w:hAnsi="Times New Roman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57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75E"/>
    <w:rPr>
      <w:rFonts w:ascii="Tahoma" w:eastAsia="Times New Roman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03D11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B03D11"/>
    <w:pPr>
      <w:spacing w:before="75" w:after="75"/>
      <w:ind w:firstLine="375"/>
      <w:jc w:val="both"/>
    </w:pPr>
  </w:style>
  <w:style w:type="paragraph" w:customStyle="1" w:styleId="naisc">
    <w:name w:val="naisc"/>
    <w:basedOn w:val="Normal"/>
    <w:rsid w:val="00B03D11"/>
    <w:pPr>
      <w:spacing w:before="450" w:after="300"/>
      <w:jc w:val="center"/>
    </w:pPr>
    <w:rPr>
      <w:sz w:val="26"/>
      <w:szCs w:val="26"/>
    </w:rPr>
  </w:style>
  <w:style w:type="character" w:styleId="Hyperlink">
    <w:name w:val="Hyperlink"/>
    <w:rsid w:val="00B03D11"/>
    <w:rPr>
      <w:color w:val="0000FF"/>
      <w:u w:val="single"/>
    </w:rPr>
  </w:style>
  <w:style w:type="paragraph" w:styleId="Footer">
    <w:name w:val="footer"/>
    <w:basedOn w:val="Normal"/>
    <w:link w:val="FooterChar"/>
    <w:rsid w:val="00B03D11"/>
    <w:pPr>
      <w:tabs>
        <w:tab w:val="center" w:pos="4153"/>
        <w:tab w:val="right" w:pos="8306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B03D11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Header">
    <w:name w:val="header"/>
    <w:basedOn w:val="Normal"/>
    <w:link w:val="HeaderChar"/>
    <w:rsid w:val="00B03D1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03D11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B03D11"/>
  </w:style>
  <w:style w:type="paragraph" w:customStyle="1" w:styleId="RakstzRakstzCharCharChar">
    <w:name w:val="Rakstz. Rakstz. Char Char Char"/>
    <w:basedOn w:val="Normal"/>
    <w:next w:val="BlockText"/>
    <w:rsid w:val="00BC05E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BlockText">
    <w:name w:val="Block Text"/>
    <w:basedOn w:val="Normal"/>
    <w:uiPriority w:val="99"/>
    <w:semiHidden/>
    <w:unhideWhenUsed/>
    <w:rsid w:val="00BC05EE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5B2537"/>
    <w:pPr>
      <w:ind w:left="720"/>
      <w:contextualSpacing/>
    </w:pPr>
  </w:style>
  <w:style w:type="paragraph" w:styleId="BodyText">
    <w:name w:val="Body Text"/>
    <w:basedOn w:val="Normal"/>
    <w:link w:val="BodyTextChar"/>
    <w:rsid w:val="00C5732A"/>
    <w:pPr>
      <w:jc w:val="center"/>
    </w:pPr>
    <w:rPr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C5732A"/>
    <w:rPr>
      <w:rFonts w:ascii="Times New Roman" w:eastAsia="Times New Roman" w:hAnsi="Times New Roman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57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75E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0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na.Kobzeva@fm.gov.lv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3273</Words>
  <Characters>1867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projekta „Par finanšu līdzekļu piešķiršanu no valsts budžeta programmas „Līdzekļi neparedzētiem gadījumiem”” sākotnējās ietekmes novērtējuma ziņojums (anotācija)</vt:lpstr>
    </vt:vector>
  </TitlesOfParts>
  <Company>Finanšu ministrija</Company>
  <LinksUpToDate>false</LinksUpToDate>
  <CharactersWithSpaces>5130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projekta „Par finanšu līdzekļu piešķiršanu no valsts budžeta programmas „Līdzekļi neparedzētiem gadījumiem”” sākotnējās ietekmes novērtējuma ziņojums (anotācija)</dc:title>
  <dc:subject>anotācija</dc:subject>
  <dc:creator>E.Kobzeva</dc:creator>
  <cp:keywords/>
  <dc:description>Elina.Kobzeva@fm.gov.lv
67083885</dc:description>
  <cp:lastModifiedBy>kc-siman</cp:lastModifiedBy>
  <cp:revision>13</cp:revision>
  <cp:lastPrinted>2012-01-18T07:41:00Z</cp:lastPrinted>
  <dcterms:created xsi:type="dcterms:W3CDTF">2011-04-27T08:12:00Z</dcterms:created>
  <dcterms:modified xsi:type="dcterms:W3CDTF">2012-01-20T13:40:00Z</dcterms:modified>
</cp:coreProperties>
</file>