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68" w:rsidRPr="00A16A29" w:rsidRDefault="00594B90" w:rsidP="00947E68">
      <w:pPr>
        <w:tabs>
          <w:tab w:val="left" w:pos="0"/>
          <w:tab w:val="left" w:pos="4253"/>
        </w:tabs>
        <w:spacing w:before="100" w:beforeAutospacing="1" w:after="100" w:afterAutospacing="1" w:line="240" w:lineRule="auto"/>
        <w:jc w:val="center"/>
        <w:rPr>
          <w:rFonts w:ascii="Times New Roman" w:hAnsi="Times New Roman"/>
          <w:b/>
          <w:sz w:val="26"/>
          <w:szCs w:val="26"/>
          <w:lang w:val="lv-LV" w:eastAsia="lv-LV"/>
        </w:rPr>
      </w:pPr>
      <w:bookmarkStart w:id="0" w:name="_GoBack"/>
      <w:r w:rsidRPr="00A16A29">
        <w:rPr>
          <w:rFonts w:ascii="Times New Roman" w:hAnsi="Times New Roman"/>
          <w:b/>
          <w:sz w:val="26"/>
          <w:szCs w:val="26"/>
          <w:lang w:val="lv-LV" w:eastAsia="lv-LV"/>
        </w:rPr>
        <w:t>Ministru kabineta noteikumu projekta „</w:t>
      </w:r>
      <w:r w:rsidR="003A66A2" w:rsidRPr="00A16A29">
        <w:rPr>
          <w:rFonts w:ascii="Times New Roman" w:hAnsi="Times New Roman"/>
          <w:b/>
          <w:sz w:val="26"/>
          <w:szCs w:val="26"/>
          <w:lang w:val="lv-LV" w:eastAsia="lv-LV"/>
        </w:rPr>
        <w:t>Fizisko personu skaidras naudas uzkrājumu iemaksas kontā kredītiestādē kārtība</w:t>
      </w:r>
      <w:r w:rsidRPr="00A16A29">
        <w:rPr>
          <w:rFonts w:ascii="Times New Roman" w:hAnsi="Times New Roman"/>
          <w:b/>
          <w:sz w:val="26"/>
          <w:szCs w:val="26"/>
          <w:lang w:val="lv-LV" w:eastAsia="lv-LV"/>
        </w:rPr>
        <w:t xml:space="preserve">” </w:t>
      </w:r>
      <w:r w:rsidR="00947E68" w:rsidRPr="00A16A29">
        <w:rPr>
          <w:rFonts w:ascii="Times New Roman" w:hAnsi="Times New Roman"/>
          <w:b/>
          <w:sz w:val="26"/>
          <w:szCs w:val="26"/>
          <w:lang w:val="lv-LV" w:eastAsia="lv-LV"/>
        </w:rPr>
        <w:t xml:space="preserve">sākotnējās ietekmes novērtējuma </w:t>
      </w:r>
      <w:smartTag w:uri="schemas-tilde-lv/tildestengine" w:element="veidnes">
        <w:smartTagPr>
          <w:attr w:name="text" w:val="ziņojums"/>
          <w:attr w:name="baseform" w:val="ziтojums"/>
          <w:attr w:name="id" w:val="-1"/>
        </w:smartTagPr>
        <w:r w:rsidR="00947E68" w:rsidRPr="00A16A29">
          <w:rPr>
            <w:rFonts w:ascii="Times New Roman" w:hAnsi="Times New Roman"/>
            <w:b/>
            <w:sz w:val="26"/>
            <w:szCs w:val="26"/>
            <w:lang w:val="lv-LV" w:eastAsia="lv-LV"/>
          </w:rPr>
          <w:t>ziņojums</w:t>
        </w:r>
      </w:smartTag>
      <w:r w:rsidR="00947E68" w:rsidRPr="00A16A29">
        <w:rPr>
          <w:rFonts w:ascii="Times New Roman" w:hAnsi="Times New Roman"/>
          <w:b/>
          <w:sz w:val="26"/>
          <w:szCs w:val="26"/>
          <w:lang w:val="lv-LV" w:eastAsia="lv-LV"/>
        </w:rPr>
        <w:t xml:space="preserve"> (anotācija)</w:t>
      </w:r>
      <w:bookmarkEnd w:id="0"/>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990"/>
        <w:gridCol w:w="4801"/>
      </w:tblGrid>
      <w:tr w:rsidR="00270A9F" w:rsidRPr="00526E67" w:rsidTr="00537195">
        <w:tc>
          <w:tcPr>
            <w:tcW w:w="9287" w:type="dxa"/>
            <w:gridSpan w:val="3"/>
          </w:tcPr>
          <w:p w:rsidR="00947E68" w:rsidRPr="00A16A29" w:rsidRDefault="00947E68" w:rsidP="00947E68">
            <w:pPr>
              <w:spacing w:before="100" w:beforeAutospacing="1" w:after="100" w:afterAutospacing="1" w:line="240" w:lineRule="auto"/>
              <w:ind w:left="1080" w:hanging="720"/>
              <w:jc w:val="center"/>
              <w:rPr>
                <w:rFonts w:ascii="Times New Roman" w:hAnsi="Times New Roman"/>
                <w:b/>
                <w:bCs/>
                <w:sz w:val="26"/>
                <w:szCs w:val="26"/>
                <w:lang w:val="lv-LV" w:eastAsia="lv-LV"/>
              </w:rPr>
            </w:pPr>
            <w:r w:rsidRPr="00A16A29">
              <w:rPr>
                <w:rFonts w:ascii="Times New Roman" w:hAnsi="Times New Roman"/>
                <w:b/>
                <w:bCs/>
                <w:sz w:val="26"/>
                <w:szCs w:val="26"/>
                <w:lang w:val="lv-LV" w:eastAsia="lv-LV"/>
              </w:rPr>
              <w:t>I.       Tiesību akta projekta izstrādes nepieciešamība</w:t>
            </w:r>
          </w:p>
        </w:tc>
      </w:tr>
      <w:tr w:rsidR="00270A9F" w:rsidRPr="00526E67"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1.</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Pamatojums</w:t>
            </w:r>
          </w:p>
        </w:tc>
        <w:tc>
          <w:tcPr>
            <w:tcW w:w="4801" w:type="dxa"/>
          </w:tcPr>
          <w:p w:rsidR="0005747B" w:rsidRPr="00A16A29" w:rsidRDefault="0005747B" w:rsidP="00E306EE">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2011.gada </w:t>
            </w:r>
            <w:r w:rsidR="00594B90" w:rsidRPr="00A16A29">
              <w:rPr>
                <w:rFonts w:ascii="Times New Roman" w:hAnsi="Times New Roman"/>
                <w:sz w:val="26"/>
                <w:szCs w:val="26"/>
                <w:lang w:val="lv-LV" w:eastAsia="lv-LV"/>
              </w:rPr>
              <w:t xml:space="preserve">15.decembrī </w:t>
            </w:r>
            <w:r w:rsidRPr="00A16A29">
              <w:rPr>
                <w:rFonts w:ascii="Times New Roman" w:hAnsi="Times New Roman"/>
                <w:sz w:val="26"/>
                <w:szCs w:val="26"/>
                <w:lang w:val="lv-LV" w:eastAsia="lv-LV"/>
              </w:rPr>
              <w:t xml:space="preserve">stājās spēkā </w:t>
            </w:r>
            <w:r w:rsidR="00594B90" w:rsidRPr="00A16A29">
              <w:rPr>
                <w:rFonts w:ascii="Times New Roman" w:hAnsi="Times New Roman"/>
                <w:sz w:val="26"/>
                <w:szCs w:val="26"/>
                <w:lang w:val="lv-LV" w:eastAsia="lv-LV"/>
              </w:rPr>
              <w:t>Fizisko personu mantiskā stāvokļa un nedeklarēto ienākumu deklarēšanas likums</w:t>
            </w:r>
            <w:r w:rsidR="00E306EE" w:rsidRPr="00A16A29">
              <w:rPr>
                <w:rFonts w:ascii="Times New Roman" w:hAnsi="Times New Roman"/>
                <w:sz w:val="26"/>
                <w:szCs w:val="26"/>
                <w:lang w:val="lv-LV" w:eastAsia="lv-LV"/>
              </w:rPr>
              <w:t xml:space="preserve"> (turpmāk – likums)</w:t>
            </w:r>
            <w:r w:rsidR="00594B90" w:rsidRPr="00A16A29">
              <w:rPr>
                <w:rFonts w:ascii="Times New Roman" w:hAnsi="Times New Roman"/>
                <w:sz w:val="26"/>
                <w:szCs w:val="26"/>
                <w:lang w:val="lv-LV" w:eastAsia="lv-LV"/>
              </w:rPr>
              <w:t xml:space="preserve">, </w:t>
            </w:r>
            <w:r w:rsidR="006437B1" w:rsidRPr="00A16A29">
              <w:rPr>
                <w:rFonts w:ascii="Times New Roman" w:hAnsi="Times New Roman"/>
                <w:sz w:val="26"/>
                <w:szCs w:val="26"/>
                <w:lang w:val="lv-LV" w:eastAsia="lv-LV"/>
              </w:rPr>
              <w:t xml:space="preserve">kas </w:t>
            </w:r>
            <w:r w:rsidR="00594B90" w:rsidRPr="00A16A29">
              <w:rPr>
                <w:rFonts w:ascii="Times New Roman" w:hAnsi="Times New Roman"/>
                <w:sz w:val="26"/>
                <w:szCs w:val="26"/>
                <w:lang w:val="lv-LV" w:eastAsia="lv-LV"/>
              </w:rPr>
              <w:t>deleģ</w:t>
            </w:r>
            <w:r w:rsidR="00E306EE" w:rsidRPr="00A16A29">
              <w:rPr>
                <w:rFonts w:ascii="Times New Roman" w:hAnsi="Times New Roman"/>
                <w:sz w:val="26"/>
                <w:szCs w:val="26"/>
                <w:lang w:val="lv-LV" w:eastAsia="lv-LV"/>
              </w:rPr>
              <w:t>ē</w:t>
            </w:r>
            <w:r w:rsidR="00594B90" w:rsidRPr="00A16A29">
              <w:rPr>
                <w:rFonts w:ascii="Times New Roman" w:hAnsi="Times New Roman"/>
                <w:sz w:val="26"/>
                <w:szCs w:val="26"/>
                <w:lang w:val="lv-LV" w:eastAsia="lv-LV"/>
              </w:rPr>
              <w:t xml:space="preserve"> Ministru kabinetam noteikt termiņu un kārtību, kādā persona veic ar skaidras naudas deklarēšanu saistītās darbības.</w:t>
            </w:r>
          </w:p>
        </w:tc>
      </w:tr>
      <w:tr w:rsidR="00270A9F" w:rsidRPr="00526E67"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2.</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Pašreizējā situācija un problēmas</w:t>
            </w:r>
          </w:p>
        </w:tc>
        <w:tc>
          <w:tcPr>
            <w:tcW w:w="4801" w:type="dxa"/>
          </w:tcPr>
          <w:p w:rsidR="008801FA" w:rsidRPr="00A16A29" w:rsidRDefault="001747B4" w:rsidP="00E306EE">
            <w:pPr>
              <w:spacing w:after="0" w:line="240" w:lineRule="auto"/>
              <w:ind w:firstLine="476"/>
              <w:jc w:val="both"/>
              <w:rPr>
                <w:rFonts w:ascii="Times New Roman" w:hAnsi="Times New Roman"/>
                <w:sz w:val="26"/>
                <w:szCs w:val="26"/>
                <w:lang w:val="lv-LV"/>
              </w:rPr>
            </w:pPr>
            <w:r w:rsidRPr="00A16A29">
              <w:rPr>
                <w:rFonts w:ascii="Times New Roman" w:hAnsi="Times New Roman"/>
                <w:sz w:val="26"/>
                <w:szCs w:val="26"/>
                <w:lang w:val="lv-LV" w:eastAsia="lv-LV"/>
              </w:rPr>
              <w:t>Likums nosa</w:t>
            </w:r>
            <w:r w:rsidR="000240FF" w:rsidRPr="00A16A29">
              <w:rPr>
                <w:rFonts w:ascii="Times New Roman" w:hAnsi="Times New Roman"/>
                <w:sz w:val="26"/>
                <w:szCs w:val="26"/>
                <w:lang w:val="lv-LV" w:eastAsia="lv-LV"/>
              </w:rPr>
              <w:t>ka pienākumu personām</w:t>
            </w:r>
            <w:r w:rsidR="008801FA" w:rsidRPr="00A16A29">
              <w:rPr>
                <w:rFonts w:ascii="Times New Roman" w:hAnsi="Times New Roman"/>
                <w:sz w:val="26"/>
                <w:szCs w:val="26"/>
                <w:lang w:val="lv-LV" w:eastAsia="lv-LV"/>
              </w:rPr>
              <w:t xml:space="preserve"> </w:t>
            </w:r>
            <w:r w:rsidR="000240FF" w:rsidRPr="00A16A29">
              <w:rPr>
                <w:rFonts w:ascii="Times New Roman" w:hAnsi="Times New Roman"/>
                <w:sz w:val="26"/>
                <w:szCs w:val="26"/>
                <w:lang w:val="lv-LV" w:eastAsia="lv-LV"/>
              </w:rPr>
              <w:t>deklarēt skaidras naudas uzkrājumu, ja</w:t>
            </w:r>
            <w:r w:rsidRPr="00A16A29">
              <w:rPr>
                <w:rFonts w:ascii="Times New Roman" w:hAnsi="Times New Roman"/>
                <w:sz w:val="26"/>
                <w:szCs w:val="26"/>
                <w:lang w:val="lv-LV" w:eastAsia="lv-LV"/>
              </w:rPr>
              <w:t xml:space="preserve"> pēc stāvokļa </w:t>
            </w:r>
            <w:r w:rsidR="00E306EE" w:rsidRPr="00A16A29">
              <w:rPr>
                <w:rFonts w:ascii="Times New Roman" w:hAnsi="Times New Roman"/>
                <w:sz w:val="26"/>
                <w:szCs w:val="26"/>
                <w:lang w:val="lv-LV" w:eastAsia="lv-LV"/>
              </w:rPr>
              <w:t>2011.gada 31.</w:t>
            </w:r>
            <w:r w:rsidR="000240FF" w:rsidRPr="00A16A29">
              <w:rPr>
                <w:rFonts w:ascii="Times New Roman" w:hAnsi="Times New Roman"/>
                <w:sz w:val="26"/>
                <w:szCs w:val="26"/>
                <w:lang w:val="lv-LV" w:eastAsia="lv-LV"/>
              </w:rPr>
              <w:t>decembrī</w:t>
            </w:r>
            <w:r w:rsidRPr="00A16A29">
              <w:rPr>
                <w:rFonts w:ascii="Times New Roman" w:hAnsi="Times New Roman"/>
                <w:sz w:val="26"/>
                <w:szCs w:val="26"/>
                <w:lang w:val="lv-LV" w:eastAsia="lv-LV"/>
              </w:rPr>
              <w:t xml:space="preserve"> tas pārsniedz 10 000 latu </w:t>
            </w:r>
            <w:r w:rsidR="00227012" w:rsidRPr="00A16A29">
              <w:rPr>
                <w:rFonts w:ascii="Times New Roman" w:hAnsi="Times New Roman"/>
                <w:sz w:val="26"/>
                <w:szCs w:val="26"/>
                <w:lang w:val="lv-LV" w:eastAsia="lv-LV"/>
              </w:rPr>
              <w:t xml:space="preserve">vai to ekvivalentu ārvalstu valūtā pēc Latvijas bankas noteiktā valūtas kursa </w:t>
            </w:r>
            <w:r w:rsidRPr="00A16A29">
              <w:rPr>
                <w:rFonts w:ascii="Times New Roman" w:hAnsi="Times New Roman"/>
                <w:sz w:val="26"/>
                <w:szCs w:val="26"/>
                <w:lang w:val="lv-LV" w:eastAsia="lv-LV"/>
              </w:rPr>
              <w:t>Latvijas rezidentiem</w:t>
            </w:r>
            <w:r w:rsidR="000240FF" w:rsidRPr="00A16A29">
              <w:rPr>
                <w:rFonts w:ascii="Times New Roman" w:hAnsi="Times New Roman"/>
                <w:sz w:val="26"/>
                <w:szCs w:val="26"/>
                <w:lang w:val="lv-LV" w:eastAsia="lv-LV"/>
              </w:rPr>
              <w:t>.</w:t>
            </w:r>
            <w:r w:rsidR="008801FA" w:rsidRPr="00A16A29">
              <w:rPr>
                <w:rFonts w:ascii="Times New Roman" w:hAnsi="Times New Roman"/>
                <w:sz w:val="26"/>
                <w:szCs w:val="26"/>
                <w:lang w:val="lv-LV"/>
              </w:rPr>
              <w:t xml:space="preserve"> </w:t>
            </w:r>
          </w:p>
          <w:p w:rsidR="005721E3" w:rsidRPr="00A16A29" w:rsidRDefault="008801FA" w:rsidP="00E306EE">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rPr>
              <w:t>Savukārt, p</w:t>
            </w:r>
            <w:r w:rsidRPr="00A16A29">
              <w:rPr>
                <w:rFonts w:ascii="Times New Roman" w:hAnsi="Times New Roman"/>
                <w:sz w:val="26"/>
                <w:szCs w:val="26"/>
                <w:lang w:val="lv-LV" w:eastAsia="lv-LV"/>
              </w:rPr>
              <w:t>ersonai, kas 2012.gadā iesniedz kārtējā gada deklarāciju likuma “Par interešu konflikta novēršanu valsts amatpersonu darbībā” 23.pantā noteiktajā kārtībā</w:t>
            </w:r>
            <w:r w:rsidR="005721E3" w:rsidRPr="00A16A29">
              <w:rPr>
                <w:rFonts w:ascii="Times New Roman" w:hAnsi="Times New Roman"/>
                <w:sz w:val="26"/>
                <w:szCs w:val="26"/>
                <w:lang w:val="lv-LV" w:eastAsia="lv-LV"/>
              </w:rPr>
              <w:t xml:space="preserve"> (valsts amatpersona)</w:t>
            </w:r>
            <w:r w:rsidRPr="00A16A29">
              <w:rPr>
                <w:rFonts w:ascii="Times New Roman" w:hAnsi="Times New Roman"/>
                <w:sz w:val="26"/>
                <w:szCs w:val="26"/>
                <w:lang w:val="lv-LV" w:eastAsia="lv-LV"/>
              </w:rPr>
              <w:t xml:space="preserve">, ir tiesības neiesniegt mantiskā stāvokļa deklarāciju. </w:t>
            </w:r>
          </w:p>
          <w:p w:rsidR="000240FF" w:rsidRPr="00A16A29" w:rsidRDefault="005721E3" w:rsidP="00E306EE">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Abos iepriekš minētajos gadījumos personām ir pienākums</w:t>
            </w:r>
            <w:r w:rsidR="000240FF" w:rsidRPr="00A16A29">
              <w:rPr>
                <w:rFonts w:ascii="Times New Roman" w:hAnsi="Times New Roman"/>
                <w:sz w:val="26"/>
                <w:szCs w:val="26"/>
                <w:lang w:val="lv-LV" w:eastAsia="lv-LV"/>
              </w:rPr>
              <w:t xml:space="preserve"> ieskaitīt skaidras naudas uzkrājumu kopsummas daļu, kas pārsniedz deklarēšanas slieksni, kontā kredītiestādē</w:t>
            </w:r>
            <w:r w:rsidRPr="00A16A29">
              <w:rPr>
                <w:rFonts w:ascii="Times New Roman" w:hAnsi="Times New Roman"/>
                <w:sz w:val="26"/>
                <w:szCs w:val="26"/>
                <w:lang w:val="lv-LV" w:eastAsia="lv-LV"/>
              </w:rPr>
              <w:t>:</w:t>
            </w:r>
          </w:p>
          <w:p w:rsidR="005721E3" w:rsidRPr="00A16A29" w:rsidRDefault="005721E3" w:rsidP="00227012">
            <w:pPr>
              <w:pStyle w:val="ListParagraph"/>
              <w:numPr>
                <w:ilvl w:val="0"/>
                <w:numId w:val="3"/>
              </w:numPr>
              <w:spacing w:after="0"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Latvijas rezidentiem – skaidras naudas uzkrājumu</w:t>
            </w:r>
            <w:r w:rsidR="009616C1" w:rsidRPr="00A16A29">
              <w:rPr>
                <w:rFonts w:ascii="Times New Roman" w:hAnsi="Times New Roman"/>
                <w:sz w:val="26"/>
                <w:szCs w:val="26"/>
                <w:lang w:val="lv-LV" w:eastAsia="lv-LV"/>
              </w:rPr>
              <w:t xml:space="preserve"> kopsummas daļu</w:t>
            </w:r>
            <w:r w:rsidRPr="00A16A29">
              <w:rPr>
                <w:rFonts w:ascii="Times New Roman" w:hAnsi="Times New Roman"/>
                <w:sz w:val="26"/>
                <w:szCs w:val="26"/>
                <w:lang w:val="lv-LV" w:eastAsia="lv-LV"/>
              </w:rPr>
              <w:t>, kas pārsniedz 10 000 latu</w:t>
            </w:r>
            <w:r w:rsidR="00227012" w:rsidRPr="00A16A29">
              <w:rPr>
                <w:rFonts w:ascii="Times New Roman" w:hAnsi="Times New Roman"/>
                <w:sz w:val="26"/>
                <w:szCs w:val="26"/>
                <w:lang w:val="lv-LV"/>
              </w:rPr>
              <w:t xml:space="preserve"> </w:t>
            </w:r>
            <w:r w:rsidR="00227012" w:rsidRPr="00A16A29">
              <w:rPr>
                <w:rFonts w:ascii="Times New Roman" w:hAnsi="Times New Roman"/>
                <w:sz w:val="26"/>
                <w:szCs w:val="26"/>
                <w:lang w:val="lv-LV" w:eastAsia="lv-LV"/>
              </w:rPr>
              <w:t>vai to ekvivalentu ārvalstu valūtā pēc Latvijas bankas noteiktā valūtas kursa</w:t>
            </w:r>
            <w:r w:rsidRPr="00A16A29">
              <w:rPr>
                <w:rFonts w:ascii="Times New Roman" w:hAnsi="Times New Roman"/>
                <w:sz w:val="26"/>
                <w:szCs w:val="26"/>
                <w:lang w:val="lv-LV" w:eastAsia="lv-LV"/>
              </w:rPr>
              <w:t>;</w:t>
            </w:r>
          </w:p>
          <w:p w:rsidR="00E306EE" w:rsidRPr="00A16A29" w:rsidRDefault="005721E3" w:rsidP="00227012">
            <w:pPr>
              <w:pStyle w:val="ListParagraph"/>
              <w:numPr>
                <w:ilvl w:val="0"/>
                <w:numId w:val="3"/>
              </w:numPr>
              <w:spacing w:after="0"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amatpersonām – skaidras naudas uzkrājumu</w:t>
            </w:r>
            <w:r w:rsidR="009616C1" w:rsidRPr="00A16A29">
              <w:rPr>
                <w:rFonts w:ascii="Times New Roman" w:hAnsi="Times New Roman"/>
                <w:sz w:val="26"/>
                <w:szCs w:val="26"/>
                <w:lang w:val="lv-LV" w:eastAsia="lv-LV"/>
              </w:rPr>
              <w:t xml:space="preserve"> kopsummas daļu</w:t>
            </w:r>
            <w:r w:rsidRPr="00A16A29">
              <w:rPr>
                <w:rFonts w:ascii="Times New Roman" w:hAnsi="Times New Roman"/>
                <w:sz w:val="26"/>
                <w:szCs w:val="26"/>
                <w:lang w:val="lv-LV" w:eastAsia="lv-LV"/>
              </w:rPr>
              <w:t xml:space="preserve">, kas pārsniedz </w:t>
            </w:r>
            <w:r w:rsidR="005A3C2B" w:rsidRPr="00A16A29">
              <w:rPr>
                <w:rFonts w:ascii="Times New Roman" w:hAnsi="Times New Roman"/>
                <w:sz w:val="26"/>
                <w:szCs w:val="26"/>
                <w:lang w:val="lv-LV" w:eastAsia="lv-LV"/>
              </w:rPr>
              <w:t>20 minimālās mēnešalgas</w:t>
            </w:r>
            <w:r w:rsidR="00227012" w:rsidRPr="00A16A29">
              <w:rPr>
                <w:rFonts w:ascii="Times New Roman" w:hAnsi="Times New Roman"/>
                <w:sz w:val="26"/>
                <w:szCs w:val="26"/>
                <w:lang w:val="lv-LV"/>
              </w:rPr>
              <w:t xml:space="preserve"> </w:t>
            </w:r>
            <w:r w:rsidR="00227012" w:rsidRPr="00A16A29">
              <w:rPr>
                <w:rFonts w:ascii="Times New Roman" w:hAnsi="Times New Roman"/>
                <w:sz w:val="26"/>
                <w:szCs w:val="26"/>
                <w:lang w:val="lv-LV" w:eastAsia="lv-LV"/>
              </w:rPr>
              <w:t>vai to ekvivalentu ārvalstu valūtā pēc Latvijas bankas noteiktā valūtas kursa.</w:t>
            </w:r>
          </w:p>
          <w:p w:rsidR="00F368B4" w:rsidRPr="00A16A29" w:rsidRDefault="00575E26" w:rsidP="007578E1">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Ņemot vērā, ka personām var būt uzkrājumi dažādu valstu valūtās, </w:t>
            </w:r>
            <w:r w:rsidR="007578E1" w:rsidRPr="00A16A29">
              <w:rPr>
                <w:rFonts w:ascii="Times New Roman" w:hAnsi="Times New Roman"/>
                <w:sz w:val="26"/>
                <w:szCs w:val="26"/>
                <w:lang w:val="lv-LV" w:eastAsia="lv-LV"/>
              </w:rPr>
              <w:lastRenderedPageBreak/>
              <w:t xml:space="preserve">noteikumos ir </w:t>
            </w:r>
            <w:r w:rsidRPr="00A16A29">
              <w:rPr>
                <w:rFonts w:ascii="Times New Roman" w:hAnsi="Times New Roman"/>
                <w:sz w:val="26"/>
                <w:szCs w:val="26"/>
                <w:lang w:val="lv-LV" w:eastAsia="lv-LV"/>
              </w:rPr>
              <w:t>nepieciešams paredzēt, pēc kāda</w:t>
            </w:r>
            <w:r w:rsidR="007578E1" w:rsidRPr="00A16A29">
              <w:rPr>
                <w:rFonts w:ascii="Times New Roman" w:hAnsi="Times New Roman"/>
                <w:sz w:val="26"/>
                <w:szCs w:val="26"/>
                <w:lang w:val="lv-LV" w:eastAsia="lv-LV"/>
              </w:rPr>
              <w:t xml:space="preserve"> valūtas kursa vai kursa noteikšanas</w:t>
            </w:r>
            <w:r w:rsidRPr="00A16A29">
              <w:rPr>
                <w:rFonts w:ascii="Times New Roman" w:hAnsi="Times New Roman"/>
                <w:sz w:val="26"/>
                <w:szCs w:val="26"/>
                <w:lang w:val="lv-LV" w:eastAsia="lv-LV"/>
              </w:rPr>
              <w:t xml:space="preserve"> metodes personas novērtē ārvalstu ekvivalentu latos. Šobrīd Latvijas Banka nosaka valūtas kursu 40 ārvalstu valūtām. Attiecībā uz valūtām, kurām Latvijas Banka nenosaka valūtas kursu, Latvijas Banka nosaka,</w:t>
            </w:r>
            <w:r w:rsidR="00453919" w:rsidRPr="00A16A29">
              <w:rPr>
                <w:rFonts w:ascii="Times New Roman" w:hAnsi="Times New Roman"/>
                <w:sz w:val="26"/>
                <w:szCs w:val="26"/>
                <w:lang w:val="lv-LV" w:eastAsia="lv-LV"/>
              </w:rPr>
              <w:t xml:space="preserve"> ka</w:t>
            </w:r>
            <w:r w:rsidRPr="00A16A29">
              <w:rPr>
                <w:rFonts w:ascii="Times New Roman" w:hAnsi="Times New Roman"/>
                <w:sz w:val="26"/>
                <w:szCs w:val="26"/>
                <w:lang w:val="lv-LV" w:eastAsia="lv-LV"/>
              </w:rPr>
              <w:t xml:space="preserve"> šo ārvalstu valūtu kursus aprēķina, izmantojot Latvijas Bankas noteikto eiro kursu un </w:t>
            </w:r>
            <w:proofErr w:type="spellStart"/>
            <w:r w:rsidRPr="00A16A29">
              <w:rPr>
                <w:rFonts w:ascii="Times New Roman" w:hAnsi="Times New Roman"/>
                <w:sz w:val="26"/>
                <w:szCs w:val="26"/>
                <w:lang w:val="lv-LV" w:eastAsia="lv-LV"/>
              </w:rPr>
              <w:t>Financial</w:t>
            </w:r>
            <w:proofErr w:type="spellEnd"/>
            <w:r w:rsidRPr="00A16A29">
              <w:rPr>
                <w:rFonts w:ascii="Times New Roman" w:hAnsi="Times New Roman"/>
                <w:sz w:val="26"/>
                <w:szCs w:val="26"/>
                <w:lang w:val="lv-LV" w:eastAsia="lv-LV"/>
              </w:rPr>
              <w:t xml:space="preserve"> </w:t>
            </w:r>
            <w:proofErr w:type="spellStart"/>
            <w:r w:rsidRPr="00A16A29">
              <w:rPr>
                <w:rFonts w:ascii="Times New Roman" w:hAnsi="Times New Roman"/>
                <w:sz w:val="26"/>
                <w:szCs w:val="26"/>
                <w:lang w:val="lv-LV" w:eastAsia="lv-LV"/>
              </w:rPr>
              <w:t>Times</w:t>
            </w:r>
            <w:proofErr w:type="spellEnd"/>
            <w:r w:rsidRPr="00A16A29">
              <w:rPr>
                <w:rFonts w:ascii="Times New Roman" w:hAnsi="Times New Roman"/>
                <w:sz w:val="26"/>
                <w:szCs w:val="26"/>
                <w:lang w:val="lv-LV" w:eastAsia="lv-LV"/>
              </w:rPr>
              <w:t xml:space="preserve"> publicētos attiecīgo ārvalstu valūtu kursus attiecībā pret eiro (informācija atrodama Latvijas Bankas </w:t>
            </w:r>
            <w:proofErr w:type="spellStart"/>
            <w:r w:rsidRPr="00A16A29">
              <w:rPr>
                <w:rFonts w:ascii="Times New Roman" w:hAnsi="Times New Roman"/>
                <w:sz w:val="26"/>
                <w:szCs w:val="26"/>
                <w:lang w:val="lv-LV" w:eastAsia="lv-LV"/>
              </w:rPr>
              <w:t>mājaslapā</w:t>
            </w:r>
            <w:proofErr w:type="spellEnd"/>
            <w:r w:rsidRPr="00A16A29">
              <w:rPr>
                <w:rFonts w:ascii="Times New Roman" w:hAnsi="Times New Roman"/>
                <w:sz w:val="26"/>
                <w:szCs w:val="26"/>
                <w:lang w:val="lv-LV" w:eastAsia="lv-LV"/>
              </w:rPr>
              <w:t xml:space="preserve"> Internetā </w:t>
            </w:r>
            <w:r w:rsidR="00526E67">
              <w:fldChar w:fldCharType="begin"/>
            </w:r>
            <w:r w:rsidR="00526E67" w:rsidRPr="00526E67">
              <w:rPr>
                <w:lang w:val="lv-LV"/>
              </w:rPr>
              <w:instrText xml:space="preserve"> HYPERLINK "http://www.bank.lv/monetara-politika/nekoteto-valutu-kursu-aprekinasana" </w:instrText>
            </w:r>
            <w:r w:rsidR="00526E67">
              <w:fldChar w:fldCharType="separate"/>
            </w:r>
            <w:r w:rsidRPr="00A16A29">
              <w:rPr>
                <w:rStyle w:val="Hyperlink"/>
                <w:rFonts w:ascii="Times New Roman" w:hAnsi="Times New Roman"/>
                <w:color w:val="auto"/>
                <w:sz w:val="26"/>
                <w:szCs w:val="26"/>
                <w:lang w:val="lv-LV" w:eastAsia="lv-LV"/>
              </w:rPr>
              <w:t>http://www.bank.lv/monetara-politika/nekoteto-valutu-kursu-aprekinasana</w:t>
            </w:r>
            <w:r w:rsidR="00526E67">
              <w:rPr>
                <w:rStyle w:val="Hyperlink"/>
                <w:rFonts w:ascii="Times New Roman" w:hAnsi="Times New Roman"/>
                <w:color w:val="auto"/>
                <w:sz w:val="26"/>
                <w:szCs w:val="26"/>
                <w:lang w:val="lv-LV" w:eastAsia="lv-LV"/>
              </w:rPr>
              <w:fldChar w:fldCharType="end"/>
            </w:r>
            <w:r w:rsidRPr="00A16A29">
              <w:rPr>
                <w:rFonts w:ascii="Times New Roman" w:hAnsi="Times New Roman"/>
                <w:sz w:val="26"/>
                <w:szCs w:val="26"/>
                <w:lang w:val="lv-LV" w:eastAsia="lv-LV"/>
              </w:rPr>
              <w:t>).</w:t>
            </w:r>
          </w:p>
          <w:p w:rsidR="0061226A" w:rsidRPr="00A16A29" w:rsidRDefault="007578E1" w:rsidP="00552263">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Lai nodrošinātu personas iespējas pilntiesīgi izmantot Noguldījumu garantiju likumā noteiktās personas tiesības</w:t>
            </w:r>
            <w:r w:rsidRPr="00A16A29">
              <w:rPr>
                <w:rFonts w:ascii="Times New Roman" w:hAnsi="Times New Roman"/>
                <w:sz w:val="26"/>
                <w:szCs w:val="26"/>
                <w:lang w:val="lv-LV"/>
              </w:rPr>
              <w:t xml:space="preserve"> uz </w:t>
            </w:r>
            <w:r w:rsidRPr="00A16A29">
              <w:rPr>
                <w:rFonts w:ascii="Times New Roman" w:hAnsi="Times New Roman"/>
                <w:sz w:val="26"/>
                <w:szCs w:val="26"/>
                <w:lang w:val="lv-LV" w:eastAsia="lv-LV"/>
              </w:rPr>
              <w:t>atlīdzības izmaksu par visu veidu noguldījumiem visās valūtās līdz 100 000 eiro (apmēram 70 000 latu) katrā bankā vai krājaizdevu sabiedrībā (visos kontos kopā, ja ir vairāki konti vienā bankā), nav pieļaujams ierobežot personas tiesības savus skaidras naudas uzkrājumus ieguldīt vairākos kontos dažādās kredītiestādēs. Tādējādi personas var izvēlēties, kādā apjomā un kurā kredītiestādē veikt skaidras naudas uzkrājumu ieskaitījumu savā kontā</w:t>
            </w:r>
            <w:r w:rsidR="00F47077" w:rsidRPr="00A16A29">
              <w:rPr>
                <w:rFonts w:ascii="Times New Roman" w:hAnsi="Times New Roman"/>
                <w:sz w:val="26"/>
                <w:szCs w:val="26"/>
                <w:lang w:val="lv-LV" w:eastAsia="lv-LV"/>
              </w:rPr>
              <w:t xml:space="preserve"> vai kontos</w:t>
            </w:r>
            <w:r w:rsidRPr="00A16A29">
              <w:rPr>
                <w:rFonts w:ascii="Times New Roman" w:hAnsi="Times New Roman"/>
                <w:sz w:val="26"/>
                <w:szCs w:val="26"/>
                <w:lang w:val="lv-LV" w:eastAsia="lv-LV"/>
              </w:rPr>
              <w:t>.</w:t>
            </w:r>
          </w:p>
          <w:p w:rsidR="000D0C1A" w:rsidRPr="00A16A29" w:rsidRDefault="000D0C1A" w:rsidP="00446E76">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Lai neierobežotu personas tiesības rīkoties ar skaidras naudas uzkrājumiem pēc 2011.gada 31.decembra, noteikumos nepieciešams </w:t>
            </w:r>
            <w:r w:rsidR="00150D6C" w:rsidRPr="00A16A29">
              <w:rPr>
                <w:rFonts w:ascii="Times New Roman" w:hAnsi="Times New Roman"/>
                <w:sz w:val="26"/>
                <w:szCs w:val="26"/>
                <w:lang w:val="lv-LV" w:eastAsia="lv-LV"/>
              </w:rPr>
              <w:t xml:space="preserve">skaidri un nepārprotami </w:t>
            </w:r>
            <w:r w:rsidRPr="00A16A29">
              <w:rPr>
                <w:rFonts w:ascii="Times New Roman" w:hAnsi="Times New Roman"/>
                <w:sz w:val="26"/>
                <w:szCs w:val="26"/>
                <w:lang w:val="lv-LV" w:eastAsia="lv-LV"/>
              </w:rPr>
              <w:t>noteikt  konkrētu brīdi, kurā tiek fiksēta naudas līdzekļu esamība kontā kredītiestādē</w:t>
            </w:r>
            <w:r w:rsidR="00446E76" w:rsidRPr="00A16A29">
              <w:rPr>
                <w:rFonts w:ascii="Times New Roman" w:hAnsi="Times New Roman"/>
                <w:sz w:val="26"/>
                <w:szCs w:val="26"/>
                <w:lang w:val="lv-LV" w:eastAsia="lv-LV"/>
              </w:rPr>
              <w:t>, kas pierāda personas naudas līdzekļu esamību</w:t>
            </w:r>
            <w:r w:rsidRPr="00A16A29">
              <w:rPr>
                <w:rFonts w:ascii="Times New Roman" w:hAnsi="Times New Roman"/>
                <w:sz w:val="26"/>
                <w:szCs w:val="26"/>
                <w:lang w:val="lv-LV" w:eastAsia="lv-LV"/>
              </w:rPr>
              <w:t xml:space="preserve">. </w:t>
            </w:r>
            <w:r w:rsidR="00150D6C" w:rsidRPr="00A16A29">
              <w:rPr>
                <w:rFonts w:ascii="Times New Roman" w:hAnsi="Times New Roman"/>
                <w:sz w:val="26"/>
                <w:szCs w:val="26"/>
                <w:lang w:val="lv-LV" w:eastAsia="lv-LV"/>
              </w:rPr>
              <w:t xml:space="preserve">Konkrēta brīža noteikšana novērsīs situāciju, kad personas naudas uzkrājumu ieskaita savā kontā kredītiestādē </w:t>
            </w:r>
            <w:r w:rsidR="00446E76" w:rsidRPr="00A16A29">
              <w:rPr>
                <w:rFonts w:ascii="Times New Roman" w:hAnsi="Times New Roman"/>
                <w:sz w:val="26"/>
                <w:szCs w:val="26"/>
                <w:lang w:val="lv-LV" w:eastAsia="lv-LV"/>
              </w:rPr>
              <w:t>jebkurā dienā</w:t>
            </w:r>
            <w:r w:rsidR="00150D6C" w:rsidRPr="00A16A29">
              <w:rPr>
                <w:rFonts w:ascii="Times New Roman" w:hAnsi="Times New Roman"/>
                <w:sz w:val="26"/>
                <w:szCs w:val="26"/>
                <w:lang w:val="lv-LV" w:eastAsia="lv-LV"/>
              </w:rPr>
              <w:t xml:space="preserve">, uzskata to par nofiksētu un pirms </w:t>
            </w:r>
            <w:r w:rsidR="004C12B2" w:rsidRPr="00A16A29">
              <w:rPr>
                <w:rFonts w:ascii="Times New Roman" w:hAnsi="Times New Roman"/>
                <w:sz w:val="26"/>
                <w:szCs w:val="26"/>
                <w:lang w:val="lv-LV" w:eastAsia="lv-LV"/>
              </w:rPr>
              <w:t xml:space="preserve">noteikumos noteiktā </w:t>
            </w:r>
            <w:r w:rsidR="00150D6C" w:rsidRPr="00A16A29">
              <w:rPr>
                <w:rFonts w:ascii="Times New Roman" w:hAnsi="Times New Roman"/>
                <w:sz w:val="26"/>
                <w:szCs w:val="26"/>
                <w:lang w:val="lv-LV" w:eastAsia="lv-LV"/>
              </w:rPr>
              <w:lastRenderedPageBreak/>
              <w:t>fiksēšanas brīža naudas līdzekļus no konta izņem.</w:t>
            </w:r>
          </w:p>
          <w:p w:rsidR="00FC569A" w:rsidRPr="00A16A29" w:rsidRDefault="00FC569A" w:rsidP="00446E76">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Pēc 2011.gada 31.decembra personas skaidras naudas līdzekļu uzkrājumu summa</w:t>
            </w:r>
            <w:r w:rsidR="004C12B2" w:rsidRPr="00A16A29">
              <w:rPr>
                <w:rFonts w:ascii="Times New Roman" w:hAnsi="Times New Roman"/>
                <w:sz w:val="26"/>
                <w:szCs w:val="26"/>
                <w:lang w:val="lv-LV" w:eastAsia="lv-LV"/>
              </w:rPr>
              <w:t>, kas norādīta mantiskā stāvokļa deklarācijā,</w:t>
            </w:r>
            <w:r w:rsidRPr="00A16A29">
              <w:rPr>
                <w:rFonts w:ascii="Times New Roman" w:hAnsi="Times New Roman"/>
                <w:sz w:val="26"/>
                <w:szCs w:val="26"/>
                <w:lang w:val="lv-LV" w:eastAsia="lv-LV"/>
              </w:rPr>
              <w:t xml:space="preserve"> var sam</w:t>
            </w:r>
            <w:r w:rsidR="004C12B2" w:rsidRPr="00A16A29">
              <w:rPr>
                <w:rFonts w:ascii="Times New Roman" w:hAnsi="Times New Roman"/>
                <w:sz w:val="26"/>
                <w:szCs w:val="26"/>
                <w:lang w:val="lv-LV" w:eastAsia="lv-LV"/>
              </w:rPr>
              <w:t xml:space="preserve">azināties, līdz ar to noteikumos </w:t>
            </w:r>
            <w:r w:rsidRPr="00A16A29">
              <w:rPr>
                <w:rFonts w:ascii="Times New Roman" w:hAnsi="Times New Roman"/>
                <w:sz w:val="26"/>
                <w:szCs w:val="26"/>
                <w:lang w:val="lv-LV" w:eastAsia="lv-LV"/>
              </w:rPr>
              <w:t xml:space="preserve">nepieciešams paredzēt, ka situācijā, kad </w:t>
            </w:r>
            <w:r w:rsidR="004C12B2" w:rsidRPr="00A16A29">
              <w:rPr>
                <w:rFonts w:ascii="Times New Roman" w:hAnsi="Times New Roman"/>
                <w:sz w:val="26"/>
                <w:szCs w:val="26"/>
                <w:lang w:val="lv-LV" w:eastAsia="lv-LV"/>
              </w:rPr>
              <w:t>uzkrājumu pārvērtēšanas</w:t>
            </w:r>
            <w:r w:rsidRPr="00A16A29">
              <w:rPr>
                <w:rFonts w:ascii="Times New Roman" w:hAnsi="Times New Roman"/>
                <w:sz w:val="26"/>
                <w:szCs w:val="26"/>
                <w:lang w:val="lv-LV" w:eastAsia="lv-LV"/>
              </w:rPr>
              <w:t xml:space="preserve"> brīdī</w:t>
            </w:r>
            <w:r w:rsidR="004C12B2" w:rsidRPr="00A16A29">
              <w:rPr>
                <w:rFonts w:ascii="Times New Roman" w:hAnsi="Times New Roman"/>
                <w:sz w:val="26"/>
                <w:szCs w:val="26"/>
                <w:lang w:val="lv-LV" w:eastAsia="lv-LV"/>
              </w:rPr>
              <w:t xml:space="preserve"> (ne vēlāk kā noteikumos noteiktajā naudas līdzekļu ieskaitīšanas brīdī)</w:t>
            </w:r>
            <w:r w:rsidRPr="00A16A29">
              <w:rPr>
                <w:rFonts w:ascii="Times New Roman" w:hAnsi="Times New Roman"/>
                <w:sz w:val="26"/>
                <w:szCs w:val="26"/>
                <w:lang w:val="lv-LV" w:eastAsia="lv-LV"/>
              </w:rPr>
              <w:t xml:space="preserve"> personas naudas līdzekļu summa vairs nepārsniedz 10</w:t>
            </w:r>
            <w:r w:rsidR="000F3627" w:rsidRPr="00A16A29">
              <w:rPr>
                <w:rFonts w:ascii="Times New Roman" w:hAnsi="Times New Roman"/>
                <w:sz w:val="26"/>
                <w:szCs w:val="26"/>
                <w:lang w:val="lv-LV" w:eastAsia="lv-LV"/>
              </w:rPr>
              <w:t xml:space="preserve"> </w:t>
            </w:r>
            <w:r w:rsidRPr="00A16A29">
              <w:rPr>
                <w:rFonts w:ascii="Times New Roman" w:hAnsi="Times New Roman"/>
                <w:sz w:val="26"/>
                <w:szCs w:val="26"/>
                <w:lang w:val="lv-LV" w:eastAsia="lv-LV"/>
              </w:rPr>
              <w:t>000 latu</w:t>
            </w:r>
            <w:r w:rsidR="000F3627" w:rsidRPr="00A16A29">
              <w:rPr>
                <w:rFonts w:ascii="Times New Roman" w:hAnsi="Times New Roman"/>
                <w:sz w:val="26"/>
                <w:szCs w:val="26"/>
                <w:lang w:val="lv-LV" w:eastAsia="lv-LV"/>
              </w:rPr>
              <w:t xml:space="preserve"> (Latvijas rezidentiem) vai 20 minimālās mēnešalgas (amatpersonām)</w:t>
            </w:r>
            <w:r w:rsidRPr="00A16A29">
              <w:rPr>
                <w:rFonts w:ascii="Times New Roman" w:hAnsi="Times New Roman"/>
                <w:sz w:val="26"/>
                <w:szCs w:val="26"/>
                <w:lang w:val="lv-LV" w:eastAsia="lv-LV"/>
              </w:rPr>
              <w:t xml:space="preserve"> vai to ekvivalentu ārvalstu valūtā, personai nav jāizpilda noteikumos noteiktais pienākums par skaidras naudas ieskaitīšanu savā kontā kredītiestādē.</w:t>
            </w:r>
          </w:p>
          <w:p w:rsidR="007B643B" w:rsidRPr="00A16A29" w:rsidRDefault="007B643B"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Personai īpašumā var būt numismātikas kolekciju naudas zīmes, monētas un investīciju monētas, līdz ar to noteikumos ir nepieciešams atrunāt, ka šādi naudas līdzekļi nav jāieskaita savā kontā kredītiestādē, ņemot vērā to, ka šādu naudas līdzekļu cena ievērojami pārsniedz to nominālvērtību (piemēram, monētas izgatavo no zelta, sudraba, citiem dārgmetāliem īpaši augstā kaluma kvalitātē). Lielākoties šādi naudas līdzekļi netiek izmantoti norēķinos, bet gan uzskatāmi par mākslas, kolekcijas vai piemiņas priekšmetiem.  </w:t>
            </w:r>
          </w:p>
        </w:tc>
      </w:tr>
      <w:tr w:rsidR="00270A9F" w:rsidRPr="00526E67"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3.</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Saistītie politikas ietekmes novērtējumi un pētījumi</w:t>
            </w:r>
          </w:p>
        </w:tc>
        <w:tc>
          <w:tcPr>
            <w:tcW w:w="4801" w:type="dxa"/>
          </w:tcPr>
          <w:p w:rsidR="00947E68" w:rsidRPr="00A16A29" w:rsidRDefault="00D37305" w:rsidP="002A4098">
            <w:pPr>
              <w:spacing w:before="100" w:beforeAutospacing="1" w:after="100" w:afterAutospacing="1"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Noteikumu projekts </w:t>
            </w:r>
            <w:r w:rsidR="00947E68" w:rsidRPr="00A16A29">
              <w:rPr>
                <w:rFonts w:ascii="Times New Roman" w:hAnsi="Times New Roman"/>
                <w:sz w:val="26"/>
                <w:szCs w:val="26"/>
                <w:lang w:val="lv-LV" w:eastAsia="lv-LV"/>
              </w:rPr>
              <w:t>šo jomu neskar.</w:t>
            </w:r>
          </w:p>
        </w:tc>
      </w:tr>
      <w:tr w:rsidR="00270A9F" w:rsidRPr="00526E67"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4.</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Tiesiskā regulējuma mērķis un būtība</w:t>
            </w:r>
          </w:p>
        </w:tc>
        <w:tc>
          <w:tcPr>
            <w:tcW w:w="4801" w:type="dxa"/>
          </w:tcPr>
          <w:p w:rsidR="00772172" w:rsidRPr="00A16A29" w:rsidRDefault="00D37305" w:rsidP="0010266C">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Noteikumu projekta mērķis </w:t>
            </w:r>
            <w:r w:rsidR="0010266C" w:rsidRPr="00A16A29">
              <w:rPr>
                <w:rFonts w:ascii="Times New Roman" w:hAnsi="Times New Roman"/>
                <w:sz w:val="26"/>
                <w:szCs w:val="26"/>
                <w:lang w:val="lv-LV" w:eastAsia="lv-LV"/>
              </w:rPr>
              <w:t>radīt normatīvo aktu bāzi</w:t>
            </w:r>
            <w:r w:rsidRPr="00A16A29">
              <w:rPr>
                <w:rFonts w:ascii="Times New Roman" w:hAnsi="Times New Roman"/>
                <w:sz w:val="26"/>
                <w:szCs w:val="26"/>
                <w:lang w:val="lv-LV" w:eastAsia="lv-LV"/>
              </w:rPr>
              <w:t>, lai nodrošinātu skaidras naudas kontroles iespēju, paredzot pienākumu personām naudas uzkrājumu</w:t>
            </w:r>
            <w:r w:rsidR="0010266C" w:rsidRPr="00A16A29">
              <w:rPr>
                <w:rFonts w:ascii="Times New Roman" w:hAnsi="Times New Roman"/>
                <w:sz w:val="26"/>
                <w:szCs w:val="26"/>
                <w:lang w:val="lv-LV" w:eastAsia="lv-LV"/>
              </w:rPr>
              <w:t xml:space="preserve"> daļu, kas pārsniedz deklarēšanas slieksni,</w:t>
            </w:r>
            <w:r w:rsidRPr="00A16A29">
              <w:rPr>
                <w:rFonts w:ascii="Times New Roman" w:hAnsi="Times New Roman"/>
                <w:sz w:val="26"/>
                <w:szCs w:val="26"/>
                <w:lang w:val="lv-LV" w:eastAsia="lv-LV"/>
              </w:rPr>
              <w:t xml:space="preserve"> ieskaitīt savā kontā reģistrētā kredītiestādē.</w:t>
            </w:r>
            <w:r w:rsidR="0010266C" w:rsidRPr="00A16A29">
              <w:rPr>
                <w:rFonts w:ascii="Times New Roman" w:hAnsi="Times New Roman"/>
                <w:sz w:val="26"/>
                <w:szCs w:val="26"/>
                <w:lang w:val="lv-LV" w:eastAsia="lv-LV"/>
              </w:rPr>
              <w:t xml:space="preserve"> </w:t>
            </w:r>
            <w:r w:rsidR="000D0C1A" w:rsidRPr="00A16A29">
              <w:rPr>
                <w:rFonts w:ascii="Times New Roman" w:hAnsi="Times New Roman"/>
                <w:sz w:val="26"/>
                <w:szCs w:val="26"/>
                <w:lang w:val="lv-LV" w:eastAsia="lv-LV"/>
              </w:rPr>
              <w:t>Tādējādi</w:t>
            </w:r>
            <w:r w:rsidR="0010266C" w:rsidRPr="00A16A29">
              <w:rPr>
                <w:rFonts w:ascii="Times New Roman" w:hAnsi="Times New Roman"/>
                <w:sz w:val="26"/>
                <w:szCs w:val="26"/>
                <w:lang w:val="lv-LV" w:eastAsia="lv-LV"/>
              </w:rPr>
              <w:t xml:space="preserve"> kontroles institūcijām </w:t>
            </w:r>
            <w:r w:rsidR="000D0C1A" w:rsidRPr="00A16A29">
              <w:rPr>
                <w:rFonts w:ascii="Times New Roman" w:hAnsi="Times New Roman"/>
                <w:sz w:val="26"/>
                <w:szCs w:val="26"/>
                <w:lang w:val="lv-LV" w:eastAsia="lv-LV"/>
              </w:rPr>
              <w:t xml:space="preserve">tiks nodrošināta iespēja </w:t>
            </w:r>
            <w:r w:rsidR="0010266C" w:rsidRPr="00A16A29">
              <w:rPr>
                <w:rFonts w:ascii="Times New Roman" w:hAnsi="Times New Roman"/>
                <w:sz w:val="26"/>
                <w:szCs w:val="26"/>
                <w:lang w:val="lv-LV" w:eastAsia="lv-LV"/>
              </w:rPr>
              <w:t>pārliecināties par naudas līdzekļu esamību.</w:t>
            </w:r>
          </w:p>
          <w:p w:rsidR="00600C33" w:rsidRPr="00A16A29" w:rsidRDefault="00600C33" w:rsidP="00600C33">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Ja personas naudas uzkrājumi ir </w:t>
            </w:r>
            <w:r w:rsidRPr="00A16A29">
              <w:rPr>
                <w:rFonts w:ascii="Times New Roman" w:hAnsi="Times New Roman"/>
                <w:sz w:val="26"/>
                <w:szCs w:val="26"/>
                <w:lang w:val="lv-LV" w:eastAsia="lv-LV"/>
              </w:rPr>
              <w:lastRenderedPageBreak/>
              <w:t>ārvalstu valūtā, lai noteiktu naudas uzkrājumu kopsummas ekvivalentu latos, persona uzkrājumus ārvalstu valūtā pārvērtē atbilstoši Latvijas Bankas noteiktajam valūtas kursam 2011.gada 31.decembrī</w:t>
            </w:r>
            <w:r w:rsidR="00552263" w:rsidRPr="00A16A29">
              <w:rPr>
                <w:rFonts w:ascii="Times New Roman" w:hAnsi="Times New Roman"/>
                <w:sz w:val="26"/>
                <w:szCs w:val="26"/>
                <w:lang w:val="lv-LV" w:eastAsia="lv-LV"/>
              </w:rPr>
              <w:t xml:space="preserve"> vai noteiktajai metodei, ja Latvijas Banka nekotē konkrēto valūtu</w:t>
            </w:r>
            <w:r w:rsidRPr="00A16A29">
              <w:rPr>
                <w:rFonts w:ascii="Times New Roman" w:hAnsi="Times New Roman"/>
                <w:sz w:val="26"/>
                <w:szCs w:val="26"/>
                <w:lang w:val="lv-LV" w:eastAsia="lv-LV"/>
              </w:rPr>
              <w:t xml:space="preserve">. Šāds datums izvēlēts, par pamatu ņemot </w:t>
            </w:r>
            <w:r w:rsidR="002D4A92" w:rsidRPr="00A16A29">
              <w:rPr>
                <w:rFonts w:ascii="Times New Roman" w:hAnsi="Times New Roman"/>
                <w:sz w:val="26"/>
                <w:szCs w:val="26"/>
                <w:lang w:val="lv-LV" w:eastAsia="lv-LV"/>
              </w:rPr>
              <w:t>brīdi</w:t>
            </w:r>
            <w:r w:rsidR="000240FF" w:rsidRPr="00A16A29">
              <w:rPr>
                <w:rFonts w:ascii="Times New Roman" w:hAnsi="Times New Roman"/>
                <w:sz w:val="26"/>
                <w:szCs w:val="26"/>
                <w:lang w:val="lv-LV" w:eastAsia="lv-LV"/>
              </w:rPr>
              <w:t>,</w:t>
            </w:r>
            <w:r w:rsidRPr="00A16A29">
              <w:rPr>
                <w:rFonts w:ascii="Times New Roman" w:hAnsi="Times New Roman"/>
                <w:sz w:val="26"/>
                <w:szCs w:val="26"/>
                <w:lang w:val="lv-LV" w:eastAsia="lv-LV"/>
              </w:rPr>
              <w:t xml:space="preserve"> uz kuru persona fiksē savus </w:t>
            </w:r>
            <w:r w:rsidR="000240FF" w:rsidRPr="00A16A29">
              <w:rPr>
                <w:rFonts w:ascii="Times New Roman" w:hAnsi="Times New Roman"/>
                <w:sz w:val="26"/>
                <w:szCs w:val="26"/>
                <w:lang w:val="lv-LV" w:eastAsia="lv-LV"/>
              </w:rPr>
              <w:t>skaidras naudas līdzekļu uzkrājumus</w:t>
            </w:r>
            <w:r w:rsidRPr="00A16A29">
              <w:rPr>
                <w:rFonts w:ascii="Times New Roman" w:hAnsi="Times New Roman"/>
                <w:sz w:val="26"/>
                <w:szCs w:val="26"/>
                <w:lang w:val="lv-LV" w:eastAsia="lv-LV"/>
              </w:rPr>
              <w:t xml:space="preserve"> mantiskā stāvokļa deklarācijā, kas sakrīt ar taksācijas perioda beigām fiziskām personām.</w:t>
            </w:r>
          </w:p>
          <w:p w:rsidR="00600C33" w:rsidRPr="00A16A29" w:rsidRDefault="00600C33" w:rsidP="00600C33">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Numismātikas kolekciju naudas zīmes,</w:t>
            </w:r>
            <w:r w:rsidR="00552263" w:rsidRPr="00A16A29">
              <w:rPr>
                <w:rFonts w:ascii="Times New Roman" w:hAnsi="Times New Roman"/>
                <w:sz w:val="26"/>
                <w:szCs w:val="26"/>
                <w:lang w:val="lv-LV" w:eastAsia="lv-LV"/>
              </w:rPr>
              <w:t xml:space="preserve"> monētas un investīciju monētas</w:t>
            </w:r>
            <w:r w:rsidRPr="00A16A29">
              <w:rPr>
                <w:rFonts w:ascii="Times New Roman" w:hAnsi="Times New Roman"/>
                <w:sz w:val="26"/>
                <w:szCs w:val="26"/>
                <w:lang w:val="lv-LV" w:eastAsia="lv-LV"/>
              </w:rPr>
              <w:t xml:space="preserve"> nav jāieskaita skaidras naudas uzkrājumu kopsummā. Ja šādas naudas kopums veido ievērojamu daļu personas mantiskajā stāvoklī, persona informāciju norāda Mantiskā stāvokļa deklarācijas 15.punktā.</w:t>
            </w:r>
          </w:p>
          <w:p w:rsidR="00600C33" w:rsidRPr="00A16A29" w:rsidRDefault="00600C33" w:rsidP="003A66A2">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Persona veic ar skaidras naudas uzkrājumu iemaksu savā kontā kredītiestādē saistītās darbības, lai uzkrājumu fiksētu pēc stāvokļa 2012.gada 1.jūnija dienas beigās.</w:t>
            </w:r>
          </w:p>
        </w:tc>
      </w:tr>
      <w:tr w:rsidR="00270A9F" w:rsidRPr="00A16A29"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5.</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Projekta izstrādē iesaistītās institūcijas</w:t>
            </w:r>
          </w:p>
        </w:tc>
        <w:tc>
          <w:tcPr>
            <w:tcW w:w="4801" w:type="dxa"/>
          </w:tcPr>
          <w:p w:rsidR="00947E68" w:rsidRPr="00A16A29" w:rsidRDefault="00947E68" w:rsidP="00B043C1">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Finanšu ministrija</w:t>
            </w:r>
            <w:r w:rsidR="00B043C1" w:rsidRPr="00A16A29">
              <w:rPr>
                <w:rFonts w:ascii="Times New Roman" w:hAnsi="Times New Roman"/>
                <w:sz w:val="26"/>
                <w:szCs w:val="26"/>
                <w:lang w:val="lv-LV" w:eastAsia="lv-LV"/>
              </w:rPr>
              <w:t>, Valsts ieņēmumu dienests</w:t>
            </w:r>
            <w:r w:rsidR="001747B4" w:rsidRPr="00A16A29">
              <w:rPr>
                <w:rFonts w:ascii="Times New Roman" w:hAnsi="Times New Roman"/>
                <w:sz w:val="26"/>
                <w:szCs w:val="26"/>
                <w:lang w:val="lv-LV" w:eastAsia="lv-LV"/>
              </w:rPr>
              <w:t>.</w:t>
            </w:r>
            <w:r w:rsidR="00772172" w:rsidRPr="00A16A29">
              <w:rPr>
                <w:rFonts w:ascii="Times New Roman" w:hAnsi="Times New Roman"/>
                <w:sz w:val="26"/>
                <w:szCs w:val="26"/>
                <w:lang w:val="lv-LV" w:eastAsia="lv-LV"/>
              </w:rPr>
              <w:t xml:space="preserve"> </w:t>
            </w:r>
          </w:p>
        </w:tc>
      </w:tr>
      <w:tr w:rsidR="00270A9F" w:rsidRPr="00526E67"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6.</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Iemesli, kādēļ netika nodrošināta sabiedrības līdzdalība</w:t>
            </w:r>
          </w:p>
        </w:tc>
        <w:tc>
          <w:tcPr>
            <w:tcW w:w="4801" w:type="dxa"/>
          </w:tcPr>
          <w:p w:rsidR="00947E68" w:rsidRPr="00A16A29" w:rsidRDefault="00D37305" w:rsidP="00195114">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Noteikumu projekts</w:t>
            </w:r>
            <w:r w:rsidR="00195114" w:rsidRPr="00A16A29">
              <w:rPr>
                <w:rFonts w:ascii="Times New Roman" w:hAnsi="Times New Roman"/>
                <w:sz w:val="26"/>
                <w:szCs w:val="26"/>
                <w:lang w:val="lv-LV" w:eastAsia="lv-LV"/>
              </w:rPr>
              <w:t xml:space="preserve"> šo jomu neskar.</w:t>
            </w:r>
          </w:p>
        </w:tc>
      </w:tr>
      <w:tr w:rsidR="001747B4" w:rsidRPr="00A16A29" w:rsidTr="00537195">
        <w:tc>
          <w:tcPr>
            <w:tcW w:w="496"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7.</w:t>
            </w:r>
          </w:p>
        </w:tc>
        <w:tc>
          <w:tcPr>
            <w:tcW w:w="3990" w:type="dxa"/>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Cita informācija</w:t>
            </w:r>
          </w:p>
        </w:tc>
        <w:tc>
          <w:tcPr>
            <w:tcW w:w="4801" w:type="dxa"/>
          </w:tcPr>
          <w:p w:rsidR="00947E68" w:rsidRPr="00A16A29" w:rsidRDefault="00947E68" w:rsidP="002A4098">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Nav</w:t>
            </w:r>
          </w:p>
        </w:tc>
      </w:tr>
    </w:tbl>
    <w:p w:rsidR="00947E68" w:rsidRPr="00A16A29" w:rsidRDefault="00947E68" w:rsidP="00947E68">
      <w:pPr>
        <w:spacing w:before="100" w:beforeAutospacing="1" w:after="100" w:afterAutospacing="1" w:line="270" w:lineRule="atLeast"/>
        <w:jc w:val="both"/>
        <w:rPr>
          <w:rFonts w:ascii="Times New Roman" w:hAnsi="Times New Roman"/>
          <w:sz w:val="26"/>
          <w:szCs w:val="26"/>
          <w:lang w:val="lv-LV" w:eastAsia="lv-LV"/>
        </w:rPr>
      </w:pPr>
    </w:p>
    <w:tbl>
      <w:tblPr>
        <w:tblW w:w="509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69"/>
        <w:gridCol w:w="3069"/>
        <w:gridCol w:w="5719"/>
      </w:tblGrid>
      <w:tr w:rsidR="00270A9F" w:rsidRPr="00526E67" w:rsidTr="00947E6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947E68" w:rsidRPr="00A16A29" w:rsidRDefault="00947E68" w:rsidP="00947E68">
            <w:pPr>
              <w:spacing w:before="100" w:beforeAutospacing="1" w:after="100" w:afterAutospacing="1" w:line="240" w:lineRule="auto"/>
              <w:jc w:val="center"/>
              <w:rPr>
                <w:rFonts w:ascii="Times New Roman" w:hAnsi="Times New Roman"/>
                <w:b/>
                <w:bCs/>
                <w:sz w:val="26"/>
                <w:szCs w:val="26"/>
                <w:lang w:val="lv-LV" w:eastAsia="lv-LV"/>
              </w:rPr>
            </w:pPr>
            <w:r w:rsidRPr="00A16A29">
              <w:rPr>
                <w:rFonts w:ascii="Times New Roman" w:hAnsi="Times New Roman"/>
                <w:b/>
                <w:bCs/>
                <w:sz w:val="26"/>
                <w:szCs w:val="26"/>
                <w:lang w:val="lv-LV" w:eastAsia="lv-LV"/>
              </w:rPr>
              <w:t>II. Tiesību akta projekta ietekme uz sabiedrību</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1.</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 xml:space="preserve">Sabiedrības </w:t>
            </w:r>
            <w:proofErr w:type="spellStart"/>
            <w:r w:rsidRPr="00A16A29">
              <w:rPr>
                <w:rFonts w:ascii="Times New Roman" w:hAnsi="Times New Roman"/>
                <w:sz w:val="26"/>
                <w:szCs w:val="26"/>
                <w:lang w:val="lv-LV" w:eastAsia="lv-LV"/>
              </w:rPr>
              <w:t>mērķgrupa</w:t>
            </w:r>
            <w:proofErr w:type="spellEnd"/>
          </w:p>
        </w:tc>
        <w:tc>
          <w:tcPr>
            <w:tcW w:w="3056" w:type="pct"/>
            <w:tcBorders>
              <w:top w:val="outset" w:sz="6" w:space="0" w:color="000000"/>
              <w:left w:val="outset" w:sz="6" w:space="0" w:color="000000"/>
              <w:bottom w:val="outset" w:sz="6" w:space="0" w:color="000000"/>
            </w:tcBorders>
          </w:tcPr>
          <w:p w:rsidR="001747B4" w:rsidRPr="00A16A29" w:rsidRDefault="001747B4" w:rsidP="001747B4">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Latvijas Republikas rezidenti, kuru skaidras naudas uzkrājumu kopsumma pārsniedz 10 000 latus vai to ekvivalentu ārvalstu valūtā pēc Latvijas bankas noteiktā valūtas kursa.</w:t>
            </w:r>
          </w:p>
          <w:p w:rsidR="001747B4" w:rsidRPr="00A16A29" w:rsidRDefault="001747B4" w:rsidP="001747B4">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Valsts amatpersonas, kuras sniedz kārtējā gada deklarāciju par 2011.gadu un kuru skaidras naudas uzkrājumu kopsumma pārsniedz 20 minimālās mēnešalgas vai to ekvivalentu ārvalstu valūtā</w:t>
            </w:r>
            <w:r w:rsidR="00B043C1" w:rsidRPr="00A16A29">
              <w:rPr>
                <w:rFonts w:ascii="Times New Roman" w:hAnsi="Times New Roman"/>
                <w:sz w:val="26"/>
                <w:szCs w:val="26"/>
                <w:lang w:val="lv-LV" w:eastAsia="lv-LV"/>
              </w:rPr>
              <w:t xml:space="preserve"> pēc Latvijas Bankas noteiktā valūtas kursa</w:t>
            </w:r>
            <w:r w:rsidRPr="00A16A29">
              <w:rPr>
                <w:rFonts w:ascii="Times New Roman" w:hAnsi="Times New Roman"/>
                <w:sz w:val="26"/>
                <w:szCs w:val="26"/>
                <w:lang w:val="lv-LV" w:eastAsia="lv-LV"/>
              </w:rPr>
              <w:t>.</w:t>
            </w:r>
          </w:p>
          <w:p w:rsidR="00B47939" w:rsidRPr="00A16A29" w:rsidRDefault="00174F8E" w:rsidP="00B47939">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 xml:space="preserve">2011.gada 1.janvārī Latvijā bija 57 052 valsts amatpersonas, no kurām 2 863 </w:t>
            </w:r>
            <w:r w:rsidR="00802B4B" w:rsidRPr="00A16A29">
              <w:rPr>
                <w:rFonts w:ascii="Times New Roman" w:hAnsi="Times New Roman"/>
                <w:sz w:val="26"/>
                <w:szCs w:val="26"/>
                <w:lang w:val="lv-LV" w:eastAsia="lv-LV"/>
              </w:rPr>
              <w:t xml:space="preserve">personām </w:t>
            </w:r>
            <w:r w:rsidR="006143C3" w:rsidRPr="00A16A29">
              <w:rPr>
                <w:rFonts w:ascii="Times New Roman" w:hAnsi="Times New Roman"/>
                <w:sz w:val="26"/>
                <w:szCs w:val="26"/>
                <w:lang w:val="lv-LV" w:eastAsia="lv-LV"/>
              </w:rPr>
              <w:t xml:space="preserve">jeb 5,02 % </w:t>
            </w:r>
            <w:r w:rsidRPr="00A16A29">
              <w:rPr>
                <w:rFonts w:ascii="Times New Roman" w:hAnsi="Times New Roman"/>
                <w:sz w:val="26"/>
                <w:szCs w:val="26"/>
                <w:lang w:val="lv-LV" w:eastAsia="lv-LV"/>
              </w:rPr>
              <w:t>skaidras naudas uzkrājumi pārsniedza 20 minimālās mēnešalgas.</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2.</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Citas sabiedrības grupas (bez </w:t>
            </w:r>
            <w:proofErr w:type="spellStart"/>
            <w:r w:rsidRPr="00A16A29">
              <w:rPr>
                <w:rFonts w:ascii="Times New Roman" w:hAnsi="Times New Roman"/>
                <w:sz w:val="26"/>
                <w:szCs w:val="26"/>
                <w:lang w:val="lv-LV" w:eastAsia="lv-LV"/>
              </w:rPr>
              <w:t>mērķgrupas</w:t>
            </w:r>
            <w:proofErr w:type="spellEnd"/>
            <w:r w:rsidRPr="00A16A29">
              <w:rPr>
                <w:rFonts w:ascii="Times New Roman" w:hAnsi="Times New Roman"/>
                <w:sz w:val="26"/>
                <w:szCs w:val="26"/>
                <w:lang w:val="lv-LV" w:eastAsia="lv-LV"/>
              </w:rPr>
              <w:t>), kuras tiesiskais regulējums arī ietekmē vai varētu ietekmēt</w:t>
            </w:r>
          </w:p>
        </w:tc>
        <w:tc>
          <w:tcPr>
            <w:tcW w:w="3056" w:type="pct"/>
            <w:tcBorders>
              <w:top w:val="outset" w:sz="6" w:space="0" w:color="000000"/>
              <w:left w:val="outset" w:sz="6" w:space="0" w:color="000000"/>
              <w:bottom w:val="outset" w:sz="6" w:space="0" w:color="000000"/>
            </w:tcBorders>
          </w:tcPr>
          <w:p w:rsidR="00947E68" w:rsidRPr="00A16A29" w:rsidRDefault="00204E76" w:rsidP="00204E76">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Kredītiestādēm </w:t>
            </w:r>
            <w:r w:rsidR="00B619D2" w:rsidRPr="00A16A29">
              <w:rPr>
                <w:rFonts w:ascii="Times New Roman" w:hAnsi="Times New Roman"/>
                <w:sz w:val="26"/>
                <w:szCs w:val="26"/>
                <w:lang w:val="lv-LV" w:eastAsia="lv-LV"/>
              </w:rPr>
              <w:t>paredzama noslodzes palielināšanās sakarā ar skaidras naudas uzkrājumu iemaksu kontā.</w:t>
            </w:r>
          </w:p>
          <w:p w:rsidR="00B619D2" w:rsidRPr="00A16A29" w:rsidRDefault="00B619D2" w:rsidP="00204E76">
            <w:pPr>
              <w:spacing w:after="0" w:line="240" w:lineRule="auto"/>
              <w:ind w:firstLine="534"/>
              <w:jc w:val="both"/>
              <w:rPr>
                <w:rFonts w:ascii="Times New Roman" w:hAnsi="Times New Roman"/>
                <w:sz w:val="26"/>
                <w:szCs w:val="26"/>
                <w:lang w:val="lv-LV" w:eastAsia="lv-LV"/>
              </w:rPr>
            </w:pPr>
          </w:p>
        </w:tc>
      </w:tr>
      <w:tr w:rsidR="00270A9F" w:rsidRPr="00A16A29"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3.</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Tiesiskā regulējuma finansiālā ietekme</w:t>
            </w:r>
          </w:p>
        </w:tc>
        <w:tc>
          <w:tcPr>
            <w:tcW w:w="3056" w:type="pct"/>
            <w:tcBorders>
              <w:top w:val="outset" w:sz="6" w:space="0" w:color="000000"/>
              <w:left w:val="outset" w:sz="6" w:space="0" w:color="000000"/>
              <w:bottom w:val="outset" w:sz="6" w:space="0" w:color="000000"/>
            </w:tcBorders>
          </w:tcPr>
          <w:p w:rsidR="00947E68" w:rsidRPr="00A16A29" w:rsidRDefault="00B619D2" w:rsidP="00B619D2">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Paredzami ar kopējo </w:t>
            </w:r>
            <w:r w:rsidR="00204E76" w:rsidRPr="00A16A29">
              <w:rPr>
                <w:rFonts w:ascii="Times New Roman" w:hAnsi="Times New Roman"/>
                <w:sz w:val="26"/>
                <w:szCs w:val="26"/>
                <w:lang w:val="lv-LV" w:eastAsia="lv-LV"/>
              </w:rPr>
              <w:t xml:space="preserve">sabiedrības </w:t>
            </w:r>
            <w:r w:rsidRPr="00A16A29">
              <w:rPr>
                <w:rFonts w:ascii="Times New Roman" w:hAnsi="Times New Roman"/>
                <w:sz w:val="26"/>
                <w:szCs w:val="26"/>
                <w:lang w:val="lv-LV" w:eastAsia="lv-LV"/>
              </w:rPr>
              <w:t xml:space="preserve">ieguvumu samērīgi, nelieli izdevumi personām, kuru skaidras naudas uzkrājumi pārsniedz </w:t>
            </w:r>
            <w:r w:rsidR="001F1E36" w:rsidRPr="00A16A29">
              <w:rPr>
                <w:rFonts w:ascii="Times New Roman" w:hAnsi="Times New Roman"/>
                <w:sz w:val="26"/>
                <w:szCs w:val="26"/>
                <w:lang w:val="lv-LV" w:eastAsia="lv-LV"/>
              </w:rPr>
              <w:t>noteikto līmeni</w:t>
            </w:r>
            <w:r w:rsidRPr="00A16A29">
              <w:rPr>
                <w:rFonts w:ascii="Times New Roman" w:hAnsi="Times New Roman"/>
                <w:sz w:val="26"/>
                <w:szCs w:val="26"/>
                <w:lang w:val="lv-LV" w:eastAsia="lv-LV"/>
              </w:rPr>
              <w:t xml:space="preserve"> (izmaksas konta atvēršanai, skaidras naudas iemaksai un izmaksai)</w:t>
            </w:r>
            <w:r w:rsidR="00947E68" w:rsidRPr="00A16A29">
              <w:rPr>
                <w:rFonts w:ascii="Times New Roman" w:hAnsi="Times New Roman"/>
                <w:sz w:val="26"/>
                <w:szCs w:val="26"/>
                <w:lang w:val="lv-LV" w:eastAsia="lv-LV"/>
              </w:rPr>
              <w:t>.</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Personām pastāv trīs veidu iespējas kā iemaksāt skaidru naudu kredītiestādē un atkarībā no izvēlētā veida atšķiras kredītiestāžu piemērotās komisijas maksas.</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1. Skaidras naudas iemaksa, ieguldot naudas līdzekļus termiņnoguldījumā.</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Personai, noguldot skaidru naudu termiņnoguldījumā (minimālais termiņš parasti ir 1 mēnesis), nav jāmaksā komisijas maksa par skaidras naudas noguldījumu. Papildus tam, par ieguldītajiem naudas līdzekļiem persona saņem procentu ienākumus.</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2. Skaidras naudas iemaksa, ieguldot naudas līdzekļus termiņnoguldījumā uz nenoteiktu laiku ar personas iepriekšēju pieteikumu par izņemšanu (krājkontā). </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Personai, iemaksājot skaidru naudu krājkontā, nav jāmaksā komisijas maksa. Papildus tam, par ieguldītajiem naudas līdzekļiem persona saņem procentu ienākumus.</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3. Skaidras naudas iemaksa norēķinu kontā. </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Personas skaidru naudu var iemaksāt kredītiestāžu filiālēs un atsevišķas kredītiestādes piedāvā izmantot arī naudas iemaksas bankomātus (ATM). Skaidras naudas pakalpojumu cenas tiek norādītas kredītiestāžu cenrāžos, kuri pieejami kredītiestāžu filiālēs un interneta vietnēs. Kredītiestāžu noteiktās komisijas maksas ir atšķirīgas, tās ietekmē: skaidrās naudas valūta (lati vai ārvalstu </w:t>
            </w:r>
            <w:r w:rsidRPr="00A16A29">
              <w:rPr>
                <w:rFonts w:ascii="Times New Roman" w:hAnsi="Times New Roman"/>
                <w:sz w:val="26"/>
                <w:szCs w:val="26"/>
                <w:lang w:val="lv-LV" w:eastAsia="lv-LV"/>
              </w:rPr>
              <w:lastRenderedPageBreak/>
              <w:t>valūta), summas apmērs (bez iemaksātās summas ierobežojuma, ar summas ierobežojumu), iemaksas vieta (filiāle vai ATM).</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Skaidras naudas iemaksa kredītiestādes filiālē. </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Lielākā daļa kredītiestāžu piedāvā skaidras naudas iemaksu kontā bezmaksas, atsevišķas kredītiestādes ir noteikušas iemaksājamās summas ierobežojumu (summas limits iemaksai dienā) līdz kuram pakalpojums ir bezmaksas, atsevišķās kredītiestādēs tas ir maksas pakalpojums, kur komisijas maksas apmērs ir izteikts naudas izteiksmē vai procentos no summas (atkarīgs no iemaksājamās summas). </w:t>
            </w: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Skaidras naudas iemaksa ATM ir bezmaksas.</w:t>
            </w:r>
          </w:p>
          <w:p w:rsidR="00552263" w:rsidRPr="00A16A29" w:rsidRDefault="00552263" w:rsidP="00552263">
            <w:pPr>
              <w:spacing w:after="0" w:line="240" w:lineRule="auto"/>
              <w:ind w:firstLine="534"/>
              <w:jc w:val="both"/>
              <w:rPr>
                <w:rFonts w:ascii="Times New Roman" w:hAnsi="Times New Roman"/>
                <w:sz w:val="26"/>
                <w:szCs w:val="26"/>
                <w:lang w:val="lv-LV" w:eastAsia="lv-LV"/>
              </w:rPr>
            </w:pPr>
          </w:p>
          <w:p w:rsidR="00552263" w:rsidRPr="00A16A29" w:rsidRDefault="00552263" w:rsidP="00552263">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Finanšu un kapitāla tirgus komisijas veiktais pētījums (dati uz 30.06.2011.)</w:t>
            </w:r>
            <w:r w:rsidR="00A55F8D" w:rsidRPr="00A16A29">
              <w:rPr>
                <w:rFonts w:ascii="Times New Roman" w:hAnsi="Times New Roman"/>
                <w:sz w:val="26"/>
                <w:szCs w:val="26"/>
                <w:lang w:val="lv-LV" w:eastAsia="lv-LV"/>
              </w:rPr>
              <w:t>:</w:t>
            </w:r>
          </w:p>
          <w:tbl>
            <w:tblPr>
              <w:tblW w:w="5545" w:type="dxa"/>
              <w:tblInd w:w="94" w:type="dxa"/>
              <w:tblCellMar>
                <w:left w:w="0" w:type="dxa"/>
                <w:right w:w="0" w:type="dxa"/>
              </w:tblCellMar>
              <w:tblLook w:val="00A0" w:firstRow="1" w:lastRow="0" w:firstColumn="1" w:lastColumn="0" w:noHBand="0" w:noVBand="0"/>
            </w:tblPr>
            <w:tblGrid>
              <w:gridCol w:w="2002"/>
              <w:gridCol w:w="1984"/>
              <w:gridCol w:w="1559"/>
            </w:tblGrid>
            <w:tr w:rsidR="00270A9F" w:rsidRPr="00A16A29" w:rsidTr="00A55F8D">
              <w:trPr>
                <w:trHeight w:val="534"/>
              </w:trPr>
              <w:tc>
                <w:tcPr>
                  <w:tcW w:w="2002"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b/>
                      <w:bCs/>
                      <w:iCs/>
                      <w:sz w:val="26"/>
                      <w:szCs w:val="26"/>
                    </w:rPr>
                  </w:pPr>
                  <w:proofErr w:type="spellStart"/>
                  <w:r w:rsidRPr="00A16A29">
                    <w:rPr>
                      <w:rFonts w:ascii="Times New Roman" w:hAnsi="Times New Roman"/>
                      <w:b/>
                      <w:bCs/>
                      <w:iCs/>
                      <w:sz w:val="26"/>
                      <w:szCs w:val="26"/>
                    </w:rPr>
                    <w:t>Pakalpojuma</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veids</w:t>
                  </w:r>
                  <w:proofErr w:type="spellEnd"/>
                </w:p>
              </w:tc>
              <w:tc>
                <w:tcPr>
                  <w:tcW w:w="1984" w:type="dxa"/>
                  <w:tcBorders>
                    <w:top w:val="single" w:sz="8" w:space="0" w:color="auto"/>
                    <w:left w:val="nil"/>
                    <w:bottom w:val="double" w:sz="6"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b/>
                      <w:bCs/>
                      <w:iCs/>
                      <w:sz w:val="26"/>
                      <w:szCs w:val="26"/>
                    </w:rPr>
                  </w:pPr>
                  <w:proofErr w:type="spellStart"/>
                  <w:r w:rsidRPr="00A16A29">
                    <w:rPr>
                      <w:rFonts w:ascii="Times New Roman" w:hAnsi="Times New Roman"/>
                      <w:b/>
                      <w:bCs/>
                      <w:iCs/>
                      <w:sz w:val="26"/>
                      <w:szCs w:val="26"/>
                    </w:rPr>
                    <w:t>Komisijas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maksas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apmērs</w:t>
                  </w:r>
                  <w:proofErr w:type="spellEnd"/>
                </w:p>
              </w:tc>
              <w:tc>
                <w:tcPr>
                  <w:tcW w:w="1559" w:type="dxa"/>
                  <w:tcBorders>
                    <w:top w:val="single" w:sz="8" w:space="0" w:color="auto"/>
                    <w:left w:val="nil"/>
                    <w:bottom w:val="double" w:sz="6"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b/>
                      <w:bCs/>
                      <w:iCs/>
                      <w:sz w:val="26"/>
                      <w:szCs w:val="26"/>
                    </w:rPr>
                  </w:pPr>
                  <w:proofErr w:type="spellStart"/>
                  <w:r w:rsidRPr="00A16A29">
                    <w:rPr>
                      <w:rFonts w:ascii="Times New Roman" w:hAnsi="Times New Roman"/>
                      <w:b/>
                      <w:bCs/>
                      <w:iCs/>
                      <w:sz w:val="26"/>
                      <w:szCs w:val="26"/>
                    </w:rPr>
                    <w:t>Banku</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skaits</w:t>
                  </w:r>
                  <w:proofErr w:type="spellEnd"/>
                </w:p>
              </w:tc>
            </w:tr>
            <w:tr w:rsidR="00270A9F" w:rsidRPr="00A16A29" w:rsidTr="00A55F8D">
              <w:trPr>
                <w:trHeight w:val="372"/>
              </w:trPr>
              <w:tc>
                <w:tcPr>
                  <w:tcW w:w="20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b/>
                      <w:bCs/>
                      <w:iCs/>
                      <w:sz w:val="26"/>
                      <w:szCs w:val="26"/>
                    </w:rPr>
                  </w:pPr>
                  <w:proofErr w:type="spellStart"/>
                  <w:r w:rsidRPr="00A16A29">
                    <w:rPr>
                      <w:rFonts w:ascii="Times New Roman" w:hAnsi="Times New Roman"/>
                      <w:b/>
                      <w:bCs/>
                      <w:iCs/>
                      <w:sz w:val="26"/>
                      <w:szCs w:val="26"/>
                    </w:rPr>
                    <w:t>Skaidras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naudas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iemaksa</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bankā</w:t>
                  </w:r>
                  <w:proofErr w:type="spellEnd"/>
                  <w:r w:rsidRPr="00A16A29">
                    <w:rPr>
                      <w:rFonts w:ascii="Times New Roman" w:hAnsi="Times New Roman"/>
                      <w:b/>
                      <w:bCs/>
                      <w:iCs/>
                      <w:sz w:val="26"/>
                      <w:szCs w:val="26"/>
                    </w:rPr>
                    <w:t>/</w:t>
                  </w:r>
                  <w:proofErr w:type="spellStart"/>
                  <w:r w:rsidRPr="00A16A29">
                    <w:rPr>
                      <w:rFonts w:ascii="Times New Roman" w:hAnsi="Times New Roman"/>
                      <w:b/>
                      <w:bCs/>
                      <w:iCs/>
                      <w:sz w:val="26"/>
                      <w:szCs w:val="26"/>
                    </w:rPr>
                    <w:t>filiālē</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 </w:t>
                  </w:r>
                  <w:proofErr w:type="spellStart"/>
                  <w:r w:rsidRPr="00A16A29">
                    <w:rPr>
                      <w:rFonts w:ascii="Times New Roman" w:hAnsi="Times New Roman"/>
                      <w:iCs/>
                      <w:sz w:val="26"/>
                      <w:szCs w:val="26"/>
                    </w:rPr>
                    <w:t>Bezmaksas</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var</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būt</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ierobežots</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ar</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iemaksājamo</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summu</w:t>
                  </w:r>
                  <w:proofErr w:type="spellEnd"/>
                  <w:r w:rsidRPr="00A16A29">
                    <w:rPr>
                      <w:rFonts w:ascii="Times New Roman" w:hAnsi="Times New Roman"/>
                      <w:iCs/>
                      <w:sz w:val="26"/>
                      <w:szCs w:val="2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19</w:t>
                  </w:r>
                </w:p>
              </w:tc>
            </w:tr>
            <w:tr w:rsidR="00270A9F" w:rsidRPr="00A16A29" w:rsidTr="00A55F8D">
              <w:trPr>
                <w:trHeight w:val="372"/>
              </w:trPr>
              <w:tc>
                <w:tcPr>
                  <w:tcW w:w="2002" w:type="dxa"/>
                  <w:vMerge/>
                  <w:tcBorders>
                    <w:top w:val="nil"/>
                    <w:left w:val="single" w:sz="8" w:space="0" w:color="auto"/>
                    <w:bottom w:val="single" w:sz="8" w:space="0" w:color="auto"/>
                    <w:right w:val="single" w:sz="8" w:space="0" w:color="auto"/>
                  </w:tcBorders>
                  <w:vAlign w:val="center"/>
                </w:tcPr>
                <w:p w:rsidR="00A55F8D" w:rsidRPr="00A16A29" w:rsidRDefault="00A55F8D" w:rsidP="00F47077">
                  <w:pPr>
                    <w:rPr>
                      <w:rFonts w:ascii="Times New Roman" w:hAnsi="Times New Roman"/>
                      <w:b/>
                      <w:bCs/>
                      <w:iCs/>
                      <w:sz w:val="26"/>
                      <w:szCs w:val="2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 xml:space="preserve">0.30LVL - 0.01-0.05% no </w:t>
                  </w:r>
                  <w:proofErr w:type="spellStart"/>
                  <w:r w:rsidRPr="00A16A29">
                    <w:rPr>
                      <w:rFonts w:ascii="Times New Roman" w:hAnsi="Times New Roman"/>
                      <w:iCs/>
                      <w:sz w:val="26"/>
                      <w:szCs w:val="26"/>
                    </w:rPr>
                    <w:t>summas</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var</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būt</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atkarīgs</w:t>
                  </w:r>
                  <w:proofErr w:type="spellEnd"/>
                  <w:r w:rsidRPr="00A16A29">
                    <w:rPr>
                      <w:rFonts w:ascii="Times New Roman" w:hAnsi="Times New Roman"/>
                      <w:iCs/>
                      <w:sz w:val="26"/>
                      <w:szCs w:val="26"/>
                    </w:rPr>
                    <w:t xml:space="preserve"> no </w:t>
                  </w:r>
                  <w:proofErr w:type="spellStart"/>
                  <w:r w:rsidRPr="00A16A29">
                    <w:rPr>
                      <w:rFonts w:ascii="Times New Roman" w:hAnsi="Times New Roman"/>
                      <w:iCs/>
                      <w:sz w:val="26"/>
                      <w:szCs w:val="26"/>
                    </w:rPr>
                    <w:t>iemaksājamās</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summas</w:t>
                  </w:r>
                  <w:proofErr w:type="spellEnd"/>
                  <w:r w:rsidRPr="00A16A29">
                    <w:rPr>
                      <w:rFonts w:ascii="Times New Roman" w:hAnsi="Times New Roman"/>
                      <w:iCs/>
                      <w:sz w:val="26"/>
                      <w:szCs w:val="2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3</w:t>
                  </w:r>
                </w:p>
              </w:tc>
            </w:tr>
            <w:tr w:rsidR="00270A9F" w:rsidRPr="00A16A29" w:rsidTr="00A55F8D">
              <w:trPr>
                <w:trHeight w:val="372"/>
              </w:trPr>
              <w:tc>
                <w:tcPr>
                  <w:tcW w:w="20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b/>
                      <w:bCs/>
                      <w:iCs/>
                      <w:sz w:val="26"/>
                      <w:szCs w:val="26"/>
                    </w:rPr>
                  </w:pPr>
                  <w:proofErr w:type="spellStart"/>
                  <w:r w:rsidRPr="00A16A29">
                    <w:rPr>
                      <w:rFonts w:ascii="Times New Roman" w:hAnsi="Times New Roman"/>
                      <w:b/>
                      <w:bCs/>
                      <w:iCs/>
                      <w:sz w:val="26"/>
                      <w:szCs w:val="26"/>
                    </w:rPr>
                    <w:t>Skaidras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naudas</w:t>
                  </w:r>
                  <w:proofErr w:type="spellEnd"/>
                  <w:r w:rsidRPr="00A16A29">
                    <w:rPr>
                      <w:rFonts w:ascii="Times New Roman" w:hAnsi="Times New Roman"/>
                      <w:b/>
                      <w:bCs/>
                      <w:iCs/>
                      <w:sz w:val="26"/>
                      <w:szCs w:val="26"/>
                    </w:rPr>
                    <w:t xml:space="preserve"> </w:t>
                  </w:r>
                  <w:proofErr w:type="spellStart"/>
                  <w:r w:rsidRPr="00A16A29">
                    <w:rPr>
                      <w:rFonts w:ascii="Times New Roman" w:hAnsi="Times New Roman"/>
                      <w:b/>
                      <w:bCs/>
                      <w:iCs/>
                      <w:sz w:val="26"/>
                      <w:szCs w:val="26"/>
                    </w:rPr>
                    <w:t>iemaksa</w:t>
                  </w:r>
                  <w:proofErr w:type="spellEnd"/>
                  <w:r w:rsidRPr="00A16A29">
                    <w:rPr>
                      <w:rFonts w:ascii="Times New Roman" w:hAnsi="Times New Roman"/>
                      <w:b/>
                      <w:bCs/>
                      <w:iCs/>
                      <w:sz w:val="26"/>
                      <w:szCs w:val="26"/>
                    </w:rPr>
                    <w:t xml:space="preserve"> ATM</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proofErr w:type="spellStart"/>
                  <w:r w:rsidRPr="00A16A29">
                    <w:rPr>
                      <w:rFonts w:ascii="Times New Roman" w:hAnsi="Times New Roman"/>
                      <w:iCs/>
                      <w:sz w:val="26"/>
                      <w:szCs w:val="26"/>
                    </w:rPr>
                    <w:t>Bezmaksas</w:t>
                  </w:r>
                  <w:proofErr w:type="spellEnd"/>
                  <w:r w:rsidRPr="00A16A29">
                    <w:rPr>
                      <w:rFonts w:ascii="Times New Roman" w:hAnsi="Times New Roman"/>
                      <w:iCs/>
                      <w:sz w:val="26"/>
                      <w:szCs w:val="26"/>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6</w:t>
                  </w:r>
                </w:p>
              </w:tc>
            </w:tr>
            <w:tr w:rsidR="00270A9F" w:rsidRPr="00A16A29" w:rsidTr="00A55F8D">
              <w:trPr>
                <w:trHeight w:val="372"/>
              </w:trPr>
              <w:tc>
                <w:tcPr>
                  <w:tcW w:w="2002" w:type="dxa"/>
                  <w:vMerge/>
                  <w:tcBorders>
                    <w:top w:val="nil"/>
                    <w:left w:val="single" w:sz="8" w:space="0" w:color="auto"/>
                    <w:bottom w:val="single" w:sz="8" w:space="0" w:color="auto"/>
                    <w:right w:val="single" w:sz="8" w:space="0" w:color="auto"/>
                  </w:tcBorders>
                  <w:vAlign w:val="center"/>
                </w:tcPr>
                <w:p w:rsidR="00A55F8D" w:rsidRPr="00A16A29" w:rsidRDefault="00A55F8D" w:rsidP="00F47077">
                  <w:pPr>
                    <w:rPr>
                      <w:rFonts w:ascii="Times New Roman" w:hAnsi="Times New Roman"/>
                      <w:b/>
                      <w:bCs/>
                      <w:iCs/>
                      <w:sz w:val="26"/>
                      <w:szCs w:val="2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proofErr w:type="spellStart"/>
                  <w:r w:rsidRPr="00A16A29">
                    <w:rPr>
                      <w:rFonts w:ascii="Times New Roman" w:hAnsi="Times New Roman"/>
                      <w:iCs/>
                      <w:sz w:val="26"/>
                      <w:szCs w:val="26"/>
                    </w:rPr>
                    <w:t>Pakalpojums</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nav</w:t>
                  </w:r>
                  <w:proofErr w:type="spellEnd"/>
                  <w:r w:rsidRPr="00A16A29">
                    <w:rPr>
                      <w:rFonts w:ascii="Times New Roman" w:hAnsi="Times New Roman"/>
                      <w:iCs/>
                      <w:sz w:val="26"/>
                      <w:szCs w:val="26"/>
                    </w:rPr>
                    <w:t xml:space="preserve"> </w:t>
                  </w:r>
                  <w:proofErr w:type="spellStart"/>
                  <w:r w:rsidRPr="00A16A29">
                    <w:rPr>
                      <w:rFonts w:ascii="Times New Roman" w:hAnsi="Times New Roman"/>
                      <w:iCs/>
                      <w:sz w:val="26"/>
                      <w:szCs w:val="26"/>
                    </w:rPr>
                    <w:t>pieejams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55F8D" w:rsidRPr="00A16A29" w:rsidRDefault="00A55F8D" w:rsidP="00F47077">
                  <w:pPr>
                    <w:rPr>
                      <w:rFonts w:ascii="Times New Roman" w:hAnsi="Times New Roman"/>
                      <w:iCs/>
                      <w:sz w:val="26"/>
                      <w:szCs w:val="26"/>
                    </w:rPr>
                  </w:pPr>
                  <w:r w:rsidRPr="00A16A29">
                    <w:rPr>
                      <w:rFonts w:ascii="Times New Roman" w:hAnsi="Times New Roman"/>
                      <w:iCs/>
                      <w:sz w:val="26"/>
                      <w:szCs w:val="26"/>
                    </w:rPr>
                    <w:t>15</w:t>
                  </w:r>
                </w:p>
              </w:tc>
            </w:tr>
          </w:tbl>
          <w:p w:rsidR="00A55F8D" w:rsidRPr="00A16A29" w:rsidRDefault="00A55F8D" w:rsidP="00B619D2">
            <w:pPr>
              <w:spacing w:after="0" w:line="240" w:lineRule="auto"/>
              <w:ind w:firstLine="534"/>
              <w:jc w:val="both"/>
              <w:rPr>
                <w:rFonts w:ascii="Times New Roman" w:hAnsi="Times New Roman"/>
                <w:sz w:val="26"/>
                <w:szCs w:val="26"/>
                <w:lang w:val="lv-LV" w:eastAsia="lv-LV"/>
              </w:rPr>
            </w:pPr>
          </w:p>
          <w:p w:rsidR="00B619D2" w:rsidRPr="00A16A29" w:rsidRDefault="00B619D2" w:rsidP="00B619D2">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Uz citām sabiedrības grupām šī norma finansiālu ietekmi neatstās.</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4.</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 xml:space="preserve">Tiesiskā regulējuma </w:t>
            </w:r>
            <w:r w:rsidRPr="00A16A29">
              <w:rPr>
                <w:rFonts w:ascii="Times New Roman" w:hAnsi="Times New Roman"/>
                <w:sz w:val="26"/>
                <w:szCs w:val="26"/>
                <w:lang w:val="lv-LV" w:eastAsia="lv-LV"/>
              </w:rPr>
              <w:lastRenderedPageBreak/>
              <w:t>nefinansiālā ietekme</w:t>
            </w:r>
          </w:p>
        </w:tc>
        <w:tc>
          <w:tcPr>
            <w:tcW w:w="3056" w:type="pct"/>
            <w:tcBorders>
              <w:top w:val="outset" w:sz="6" w:space="0" w:color="000000"/>
              <w:left w:val="outset" w:sz="6" w:space="0" w:color="000000"/>
              <w:bottom w:val="outset" w:sz="6" w:space="0" w:color="000000"/>
            </w:tcBorders>
          </w:tcPr>
          <w:p w:rsidR="00947E68" w:rsidRPr="00A16A29" w:rsidRDefault="00D37305" w:rsidP="00B043C1">
            <w:pPr>
              <w:spacing w:after="0"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Noteikumu projekts</w:t>
            </w:r>
            <w:r w:rsidRPr="00A16A29">
              <w:rPr>
                <w:rFonts w:ascii="Times New Roman" w:eastAsia="Calibri" w:hAnsi="Times New Roman"/>
                <w:sz w:val="26"/>
                <w:szCs w:val="26"/>
                <w:lang w:val="lv-LV"/>
              </w:rPr>
              <w:t xml:space="preserve"> </w:t>
            </w:r>
            <w:r w:rsidR="00B043C1" w:rsidRPr="00A16A29">
              <w:rPr>
                <w:rFonts w:ascii="Times New Roman" w:eastAsia="Calibri" w:hAnsi="Times New Roman"/>
                <w:sz w:val="26"/>
                <w:szCs w:val="26"/>
                <w:lang w:val="lv-LV"/>
              </w:rPr>
              <w:t xml:space="preserve">uzliek jaunu pienākumu </w:t>
            </w:r>
            <w:r w:rsidR="00B043C1" w:rsidRPr="00A16A29">
              <w:rPr>
                <w:rFonts w:ascii="Times New Roman" w:eastAsia="Calibri" w:hAnsi="Times New Roman"/>
                <w:sz w:val="26"/>
                <w:szCs w:val="26"/>
                <w:lang w:val="lv-LV"/>
              </w:rPr>
              <w:lastRenderedPageBreak/>
              <w:t>personām ieskaitīt skaidrās naudas uzkrājumus kontā. Lai arī šī norma varētu radīt īpašuma tiesību ierobežojumu daļai iedzīvotāju,  tā ir samērīga ar paredzēto ieguvumu – skaidras naudas uzkrājumu kontroles iespēju ar mērķi izskaust nodokļu nemaksāšanu, novērst noziedzīgi iegūtu līdzekļu legalizēšanas mēģinājumus, kā arī ierobežot ēnu ekonomikas aktivitātes.</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5.</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Administratīvās procedūras raksturojums</w:t>
            </w:r>
          </w:p>
        </w:tc>
        <w:tc>
          <w:tcPr>
            <w:tcW w:w="3056" w:type="pct"/>
            <w:tcBorders>
              <w:top w:val="outset" w:sz="6" w:space="0" w:color="000000"/>
              <w:left w:val="outset" w:sz="6" w:space="0" w:color="000000"/>
              <w:bottom w:val="outset" w:sz="6" w:space="0" w:color="000000"/>
            </w:tcBorders>
          </w:tcPr>
          <w:p w:rsidR="00947E68" w:rsidRPr="00A16A29" w:rsidRDefault="00223922" w:rsidP="00147D1D">
            <w:pPr>
              <w:spacing w:after="0" w:line="240" w:lineRule="auto"/>
              <w:ind w:firstLine="534"/>
              <w:jc w:val="both"/>
              <w:rPr>
                <w:rFonts w:ascii="Times New Roman" w:eastAsia="Calibri" w:hAnsi="Times New Roman"/>
                <w:sz w:val="26"/>
                <w:szCs w:val="26"/>
                <w:lang w:val="lv-LV"/>
              </w:rPr>
            </w:pPr>
            <w:r w:rsidRPr="00A16A29">
              <w:rPr>
                <w:rFonts w:ascii="Times New Roman" w:eastAsia="Calibri" w:hAnsi="Times New Roman"/>
                <w:sz w:val="26"/>
                <w:szCs w:val="26"/>
                <w:lang w:val="lv-LV"/>
              </w:rPr>
              <w:t xml:space="preserve">Persona, kas Mantiskā stāvokļa deklarācijā ir aizpildījusi </w:t>
            </w:r>
            <w:r w:rsidR="00147D1D" w:rsidRPr="00A16A29">
              <w:rPr>
                <w:rFonts w:ascii="Times New Roman" w:eastAsia="Calibri" w:hAnsi="Times New Roman"/>
                <w:sz w:val="26"/>
                <w:szCs w:val="26"/>
                <w:lang w:val="lv-LV"/>
              </w:rPr>
              <w:t xml:space="preserve">9.sadaļu, skaidras naudas uzkrājumu daļu, kas pārsniedz deklarēšanas slieksni (vai to ekvivalentu ārvalstu valūtā) ieskaita kontā kredītiestādē tā, lai naudas līdzekļu esamība tiktu fiksēta 2012.gada </w:t>
            </w:r>
            <w:r w:rsidR="005635B9" w:rsidRPr="00A16A29">
              <w:rPr>
                <w:rFonts w:ascii="Times New Roman" w:eastAsia="Calibri" w:hAnsi="Times New Roman"/>
                <w:sz w:val="26"/>
                <w:szCs w:val="26"/>
                <w:lang w:val="lv-LV"/>
              </w:rPr>
              <w:t>1.jūnija</w:t>
            </w:r>
            <w:r w:rsidR="00147D1D" w:rsidRPr="00A16A29">
              <w:rPr>
                <w:rFonts w:ascii="Times New Roman" w:eastAsia="Calibri" w:hAnsi="Times New Roman"/>
                <w:sz w:val="26"/>
                <w:szCs w:val="26"/>
                <w:lang w:val="lv-LV"/>
              </w:rPr>
              <w:t xml:space="preserve"> pulksten 24</w:t>
            </w:r>
            <w:r w:rsidR="002D4A92" w:rsidRPr="00A16A29">
              <w:rPr>
                <w:rFonts w:ascii="Times New Roman" w:eastAsia="Calibri" w:hAnsi="Times New Roman"/>
                <w:sz w:val="26"/>
                <w:szCs w:val="26"/>
                <w:lang w:val="lv-LV"/>
              </w:rPr>
              <w:t>:00</w:t>
            </w:r>
            <w:r w:rsidR="00947E68" w:rsidRPr="00A16A29">
              <w:rPr>
                <w:rFonts w:ascii="Times New Roman" w:eastAsia="Calibri" w:hAnsi="Times New Roman"/>
                <w:sz w:val="26"/>
                <w:szCs w:val="26"/>
                <w:lang w:val="lv-LV"/>
              </w:rPr>
              <w:t>.</w:t>
            </w:r>
          </w:p>
          <w:p w:rsidR="00147D1D" w:rsidRPr="00A16A29" w:rsidRDefault="00147D1D" w:rsidP="00147D1D">
            <w:pPr>
              <w:spacing w:after="0" w:line="240" w:lineRule="auto"/>
              <w:ind w:firstLine="534"/>
              <w:jc w:val="both"/>
              <w:rPr>
                <w:rFonts w:ascii="Times New Roman" w:hAnsi="Times New Roman"/>
                <w:sz w:val="26"/>
                <w:szCs w:val="26"/>
                <w:lang w:val="lv-LV" w:eastAsia="lv-LV"/>
              </w:rPr>
            </w:pPr>
            <w:r w:rsidRPr="00A16A29">
              <w:rPr>
                <w:rFonts w:ascii="Times New Roman" w:eastAsia="Calibri" w:hAnsi="Times New Roman"/>
                <w:sz w:val="26"/>
                <w:szCs w:val="26"/>
                <w:lang w:val="lv-LV"/>
              </w:rPr>
              <w:t>Valsts ieņēmumu dienests vai arī cita kontroles iestāde pieprasa kredītiestādei ziņas par personu esošā regulējuma ietvaros.</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6.</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Administratīvo izmaksu monetārs novērtējums</w:t>
            </w:r>
          </w:p>
        </w:tc>
        <w:tc>
          <w:tcPr>
            <w:tcW w:w="3056" w:type="pct"/>
            <w:tcBorders>
              <w:top w:val="outset" w:sz="6" w:space="0" w:color="000000"/>
              <w:left w:val="outset" w:sz="6" w:space="0" w:color="000000"/>
              <w:bottom w:val="outset" w:sz="6" w:space="0" w:color="000000"/>
            </w:tcBorders>
          </w:tcPr>
          <w:p w:rsidR="00947E68" w:rsidRPr="00A16A29" w:rsidRDefault="00D37305" w:rsidP="002A4098">
            <w:pPr>
              <w:spacing w:before="100" w:beforeAutospacing="1" w:after="100" w:afterAutospacing="1" w:line="240" w:lineRule="auto"/>
              <w:ind w:firstLine="534"/>
              <w:jc w:val="both"/>
              <w:rPr>
                <w:rFonts w:ascii="Times New Roman" w:hAnsi="Times New Roman"/>
                <w:sz w:val="26"/>
                <w:szCs w:val="26"/>
                <w:lang w:val="lv-LV" w:eastAsia="lv-LV"/>
              </w:rPr>
            </w:pPr>
            <w:r w:rsidRPr="00A16A29">
              <w:rPr>
                <w:rFonts w:ascii="Times New Roman" w:hAnsi="Times New Roman"/>
                <w:sz w:val="26"/>
                <w:szCs w:val="26"/>
                <w:lang w:val="lv-LV" w:eastAsia="lv-LV"/>
              </w:rPr>
              <w:t>Noteikumu projekts</w:t>
            </w:r>
            <w:r w:rsidRPr="00A16A29">
              <w:rPr>
                <w:rFonts w:ascii="Times New Roman" w:eastAsia="Calibri" w:hAnsi="Times New Roman"/>
                <w:sz w:val="26"/>
                <w:szCs w:val="26"/>
                <w:lang w:val="lv-LV"/>
              </w:rPr>
              <w:t xml:space="preserve"> </w:t>
            </w:r>
            <w:r w:rsidR="00AB74FF" w:rsidRPr="00A16A29">
              <w:rPr>
                <w:rFonts w:ascii="Times New Roman" w:eastAsia="Calibri" w:hAnsi="Times New Roman"/>
                <w:sz w:val="26"/>
                <w:szCs w:val="26"/>
                <w:lang w:val="lv-LV"/>
              </w:rPr>
              <w:t>šo jomu neskar.</w:t>
            </w:r>
          </w:p>
        </w:tc>
      </w:tr>
      <w:tr w:rsidR="00270A9F" w:rsidRPr="00526E67" w:rsidTr="00802B4B">
        <w:tc>
          <w:tcPr>
            <w:tcW w:w="304" w:type="pct"/>
            <w:tcBorders>
              <w:top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7.</w:t>
            </w:r>
          </w:p>
        </w:tc>
        <w:tc>
          <w:tcPr>
            <w:tcW w:w="1640" w:type="pct"/>
            <w:tcBorders>
              <w:top w:val="outset" w:sz="6" w:space="0" w:color="000000"/>
              <w:left w:val="outset" w:sz="6" w:space="0" w:color="000000"/>
              <w:bottom w:val="outset" w:sz="6" w:space="0" w:color="000000"/>
              <w:right w:val="outset" w:sz="6" w:space="0" w:color="000000"/>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Cita informācija</w:t>
            </w:r>
          </w:p>
        </w:tc>
        <w:tc>
          <w:tcPr>
            <w:tcW w:w="3056" w:type="pct"/>
            <w:tcBorders>
              <w:top w:val="outset" w:sz="6" w:space="0" w:color="000000"/>
              <w:left w:val="outset" w:sz="6" w:space="0" w:color="000000"/>
              <w:bottom w:val="outset" w:sz="6" w:space="0" w:color="000000"/>
            </w:tcBorders>
          </w:tcPr>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Izstrādājot noteikumu projektu, ir izvērtēta noteikumu projekta atbilstība Latvijas Republikas Satversmei, tai skaitā </w:t>
            </w:r>
            <w:r w:rsidR="003B0352" w:rsidRPr="00A16A29">
              <w:rPr>
                <w:rFonts w:ascii="Times New Roman" w:hAnsi="Times New Roman"/>
                <w:sz w:val="26"/>
                <w:szCs w:val="26"/>
                <w:lang w:val="lv-LV" w:eastAsia="lv-LV"/>
              </w:rPr>
              <w:t>90</w:t>
            </w:r>
            <w:r w:rsidRPr="00A16A29">
              <w:rPr>
                <w:rFonts w:ascii="Times New Roman" w:hAnsi="Times New Roman"/>
                <w:sz w:val="26"/>
                <w:szCs w:val="26"/>
                <w:lang w:val="lv-LV" w:eastAsia="lv-LV"/>
              </w:rPr>
              <w:t xml:space="preserve">. un </w:t>
            </w:r>
            <w:r w:rsidR="003B0352" w:rsidRPr="00A16A29">
              <w:rPr>
                <w:rFonts w:ascii="Times New Roman" w:hAnsi="Times New Roman"/>
                <w:sz w:val="26"/>
                <w:szCs w:val="26"/>
                <w:lang w:val="lv-LV" w:eastAsia="lv-LV"/>
              </w:rPr>
              <w:t>105.</w:t>
            </w:r>
            <w:r w:rsidRPr="00A16A29">
              <w:rPr>
                <w:rFonts w:ascii="Times New Roman" w:hAnsi="Times New Roman"/>
                <w:sz w:val="26"/>
                <w:szCs w:val="26"/>
                <w:lang w:val="lv-LV" w:eastAsia="lv-LV"/>
              </w:rPr>
              <w:t xml:space="preserve">pantam. </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Latvijas Republikas Satversmes 90.pants noteic, ka ikvienam ir tiesības zināt savas tiesības. Tas paredz personas subjektīvās publiskās tiesības tikt informētai par tās tiesībām un pienākumiem.</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Noteikumu projekta mērķis atbilstoši Fizisko personu mantiskā stāvokļa un nedeklarēto ienākumu deklarēšanas likuma 8.panta trešajai daļai ir noteikt kārtību un termiņu, kādā likumā noteiktās personas skaidras naudas uzkrājumus iemaksā kontā kredītiestādē, tādējādi, radot normatīvo bāzi personai likumā noteikto pienākumu un tiesību realizēšanas mehānismam, un, radot iespēju kontroles institūcijām pārliecināties par skaidras naudas līdzekļu esamību un nodrošināt skaidras naudas uzkrājumu kontroli, kas savukārt ļaus apkarot ēnu ekonomiku un nodrošināt sabiedrības labklājību ilgtermiņā.</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Ar šo normatīvo aktu tiek radīts mehānisms Fizisko personu mantiskā stāvokļa un nedeklarēto ienākumu deklarēšanas likuma 8.panta pirmajā vai otrajā daļā noteiktās personas informētībai par </w:t>
            </w:r>
            <w:r w:rsidRPr="00A16A29">
              <w:rPr>
                <w:rFonts w:ascii="Times New Roman" w:hAnsi="Times New Roman"/>
                <w:sz w:val="26"/>
                <w:szCs w:val="26"/>
                <w:lang w:val="lv-LV" w:eastAsia="lv-LV"/>
              </w:rPr>
              <w:lastRenderedPageBreak/>
              <w:t xml:space="preserve">personas pienākumiem un tiesībām skaidras naudas līdzekļu uzkrājuma esamības gadījumā, kas izriet no Fizisko personu mantiskā stāvokļa un nedeklarēto ienākumu deklarēšanas likuma tiesiskā regulējuma, nosakot konkrētu personas rīcību un termiņus skaidras naudas uzkrājumu iemaksai savā kontā kredītiestādē. </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Noteikumi tiks izsludināti likumā noteiktajā kārtībā un būs publiski pieejami visiem. Līdz ar to arī šādā veidā tiek ievērotas Satversmē paredzētās personas subjektīvās publiskās tiesības tikt informētai par tās tiesībām un pienākumiem.</w:t>
            </w:r>
          </w:p>
          <w:p w:rsidR="00397870" w:rsidRPr="00A16A29" w:rsidRDefault="00397870" w:rsidP="00397870">
            <w:pPr>
              <w:spacing w:after="0" w:line="240" w:lineRule="auto"/>
              <w:ind w:firstLine="476"/>
              <w:jc w:val="both"/>
              <w:rPr>
                <w:rFonts w:ascii="Times New Roman" w:hAnsi="Times New Roman"/>
                <w:b/>
                <w:sz w:val="26"/>
                <w:szCs w:val="26"/>
                <w:lang w:val="lv-LV" w:eastAsia="lv-LV"/>
              </w:rPr>
            </w:pPr>
            <w:r w:rsidRPr="00A16A29">
              <w:rPr>
                <w:rFonts w:ascii="Times New Roman" w:hAnsi="Times New Roman"/>
                <w:b/>
                <w:sz w:val="26"/>
                <w:szCs w:val="26"/>
                <w:lang w:val="lv-LV" w:eastAsia="lv-LV"/>
              </w:rPr>
              <w:t>Skaidras naudas uzkrājumu iemaksas leģitīmais mērķis un samērīguma izvērtējums</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Latvijas Republikas Satversmes 105.pants nosaka: ”105.pants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 </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Leģitīmais mērķis: Finanšu ministrija, izstrādājot noteikumu projektu, izvērtēja Satversmes 105.pantā paredzētās iespējas ierobežot īpašuma tiesības, lai ilgtermiņā nodrošinātu sabiedrības labklājību, radīt iespēju kontroles iestādēm pārliecināties par skaidras naudas uzkrājumu esamību. </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Noteikumu normas izstrādāta ar mērķi konstatēt fizisko personu mantisko stāvokli un nodrošināt fizisko personu mantiskā stāvokļa, ienākumu un izdevumu atbilstības un attiecīgi nodokļu samaksas un ienākumu legalitātes kontroles iespējas. Normu sagatavošanā tika vērtēti dažādi iespējamie varianti, kā nodrošināt mērķa sasniegšanu. Izvērtējot apgrūtinājuma indivīdam samērīgumu ar ieguvumu sabiedrībai (ēnu ekonomikas apkarošana, tādējādi palielinot nodokļu ieņēmumus valsts budžetā), tika izstrādāta šī noteikumu redakcija, kas uzskatāma par optimālāko risinājumu, lai maksimizētu normas mērķa sasniegšanu un minimāli ierobežotu personas īpašuma tiesības.</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Lai arī noteikumu normas varētu radīt īpašuma </w:t>
            </w:r>
            <w:r w:rsidRPr="00A16A29">
              <w:rPr>
                <w:rFonts w:ascii="Times New Roman" w:hAnsi="Times New Roman"/>
                <w:sz w:val="26"/>
                <w:szCs w:val="26"/>
                <w:lang w:val="lv-LV" w:eastAsia="lv-LV"/>
              </w:rPr>
              <w:lastRenderedPageBreak/>
              <w:t>tiesību ierobežojumu daļai iedzīvotāju,  tās ir samērīgas ar paredzēto ieguvumu – skaidras naudas uzkrājumu kontroles iespēju ar mērķi izskaust nodokļu nemaksāšanu, novērst noziedzīgi iegūtu līdzekļu legalizēšanas mēģinājumus, kā arī ierobežot ēnu ekonomikas aktivitātes.</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Darījumi skaidrā naudā ir grūti izsekojami, tāpēc bieži ir sastopami ēnu ekonomikas sektorā. Ēnu ekonomika atstāj postošu iespaidu uz sabiedrības labklājību ilgtermiņā, kropļojot uzņēmējdarbības vidi un samazinot sociālajiem pakalpojumiem pieejamos līdzekļus (nesamaksātais nodokļu apmērs). Bezskaidras naudas darījumos ir mazāka iespēja veikt krāpnieciskus darījumus un izvairīties no nodokļu nomaksas un ierobežota iespēja legalizēt nelikumīgi iegūtus līdzekļus, </w:t>
            </w:r>
            <w:proofErr w:type="spellStart"/>
            <w:r w:rsidRPr="00A16A29">
              <w:rPr>
                <w:rFonts w:ascii="Times New Roman" w:hAnsi="Times New Roman"/>
                <w:sz w:val="26"/>
                <w:szCs w:val="26"/>
                <w:lang w:val="lv-LV" w:eastAsia="lv-LV"/>
              </w:rPr>
              <w:t>t.sk</w:t>
            </w:r>
            <w:proofErr w:type="spellEnd"/>
            <w:r w:rsidRPr="00A16A29">
              <w:rPr>
                <w:rFonts w:ascii="Times New Roman" w:hAnsi="Times New Roman"/>
                <w:sz w:val="26"/>
                <w:szCs w:val="26"/>
                <w:lang w:val="lv-LV" w:eastAsia="lv-LV"/>
              </w:rPr>
              <w:t>. „aplokšņu algas”.</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Sabiedrības labklājība jāuztver gan kā materiālā labklājība, gan kā tās nemateriālie aspekti, kas nepieciešami harmoniskai sabiedrības funkcionēšanai. Par leģitīmu mērķi atzīstams jebkurš racionāls un ētisks mērķis, kas nav pretrunā konstitucionālajām normām.</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Lai izvērtētu izvēlētā līdzekļa samērīgumu mērķa sasniegšanai, Finanšu ministrija ir izvērtējusi normu atbilstību sekojošiem kritērijiem:</w:t>
            </w:r>
          </w:p>
          <w:p w:rsidR="00397870" w:rsidRPr="00A16A29" w:rsidRDefault="00397870" w:rsidP="00397870">
            <w:pPr>
              <w:spacing w:after="0" w:line="240" w:lineRule="auto"/>
              <w:ind w:firstLine="476"/>
              <w:jc w:val="both"/>
              <w:rPr>
                <w:rFonts w:ascii="Times New Roman" w:hAnsi="Times New Roman"/>
                <w:b/>
                <w:sz w:val="26"/>
                <w:szCs w:val="26"/>
                <w:lang w:val="lv-LV" w:eastAsia="lv-LV"/>
              </w:rPr>
            </w:pPr>
            <w:r w:rsidRPr="00A16A29">
              <w:rPr>
                <w:rFonts w:ascii="Times New Roman" w:hAnsi="Times New Roman"/>
                <w:b/>
                <w:sz w:val="26"/>
                <w:szCs w:val="26"/>
                <w:lang w:val="lv-LV" w:eastAsia="lv-LV"/>
              </w:rPr>
              <w:t>1) Vai likumdevēja lietotie līdzekļi ir piemēroti leģitīmā mērķa sasniegšanai?</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Lai pārliecinātos par skaidras naudas </w:t>
            </w:r>
            <w:r w:rsidR="003B0352" w:rsidRPr="00A16A29">
              <w:rPr>
                <w:rFonts w:ascii="Times New Roman" w:hAnsi="Times New Roman"/>
                <w:sz w:val="26"/>
                <w:szCs w:val="26"/>
                <w:lang w:val="lv-LV" w:eastAsia="lv-LV"/>
              </w:rPr>
              <w:t xml:space="preserve">uzkrājumu esamību, </w:t>
            </w:r>
            <w:r w:rsidRPr="00A16A29">
              <w:rPr>
                <w:rFonts w:ascii="Times New Roman" w:hAnsi="Times New Roman"/>
                <w:sz w:val="26"/>
                <w:szCs w:val="26"/>
                <w:lang w:val="lv-LV" w:eastAsia="lv-LV"/>
              </w:rPr>
              <w:t>likumā ir ietverta norma, kas paredz ieskaitīt skaidras naudas uzkrājumus kontā kredītiestādē, krājaizdevu sabiedrībā vai pasta norēķinu sistēmā. Normā noteiktais rada kontroles iestādēm iespēju viegli pārliecināties par elektroniski ieskaitītās naudas līdzekļu esamību un piederību konkrētam indivīdam.</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Ņemot vērā to, ka norma paredz fiksēt naudas uzkrājumus uz konkrēta datuma konkrētu laiku, tas apgrūtinās personu iespējas norādīt nepatiesu informāciju par tās mantisko stāvokli, tādējādi sekmējot godīgākas un tiesiskākas sabiedrības attīstību.</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Finanšu ministrija uzskata, ka izvēlētais līdzeklis ir piemērots leģitīmā mērķa sasniegšanai.</w:t>
            </w:r>
          </w:p>
          <w:p w:rsidR="00397870" w:rsidRPr="00A16A29" w:rsidRDefault="00397870" w:rsidP="00397870">
            <w:pPr>
              <w:spacing w:after="0" w:line="240" w:lineRule="auto"/>
              <w:ind w:firstLine="476"/>
              <w:jc w:val="both"/>
              <w:rPr>
                <w:rFonts w:ascii="Times New Roman" w:hAnsi="Times New Roman"/>
                <w:b/>
                <w:sz w:val="26"/>
                <w:szCs w:val="26"/>
                <w:lang w:val="lv-LV" w:eastAsia="lv-LV"/>
              </w:rPr>
            </w:pPr>
            <w:r w:rsidRPr="00A16A29">
              <w:rPr>
                <w:rFonts w:ascii="Times New Roman" w:hAnsi="Times New Roman"/>
                <w:b/>
                <w:sz w:val="26"/>
                <w:szCs w:val="26"/>
                <w:lang w:val="lv-LV" w:eastAsia="lv-LV"/>
              </w:rPr>
              <w:t xml:space="preserve">2) Vai šāda rīcība ir nepieciešama, proti, vai </w:t>
            </w:r>
            <w:r w:rsidRPr="00A16A29">
              <w:rPr>
                <w:rFonts w:ascii="Times New Roman" w:hAnsi="Times New Roman"/>
                <w:b/>
                <w:sz w:val="26"/>
                <w:szCs w:val="26"/>
                <w:lang w:val="lv-LV" w:eastAsia="lv-LV"/>
              </w:rPr>
              <w:lastRenderedPageBreak/>
              <w:t>mērķi nevar sasniegt ar citiem, indivīda tiesības mazāk ierobežojošiem līdzekļiem?</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Normas efektivitātei ir nepieciešams fiksēt uzkrājumu esamības faktu visiem normas adresātiem vienā laikā, lai novērstu situāciju, kad tiek deklarēti neesoši līdzekļi jeb arī viens un tas pats skaidras naudas uzkrājums tiek deklarēts vairākas reizes – dažādu normas adresātu deklarācijās.</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Satversmes tiesa ir norādījusi, ka gadījumos, kad pastāv saudzējošāki līdzekļi, jāizvērtē, vai ar tiem leģitīmo mērķi varētu sasniegt tikpat efektīvi. Saudzējošāks līdzeklis ir nevis jebkāds cits, bet tikai tāds līdzeklis, ar kuru leģitīmo mērķi var sasniegt tādā pašā kvalitātē (</w:t>
            </w:r>
            <w:proofErr w:type="spellStart"/>
            <w:r w:rsidRPr="00A16A29">
              <w:rPr>
                <w:rFonts w:ascii="Times New Roman" w:hAnsi="Times New Roman"/>
                <w:sz w:val="26"/>
                <w:szCs w:val="26"/>
                <w:lang w:val="lv-LV" w:eastAsia="lv-LV"/>
              </w:rPr>
              <w:t>sk</w:t>
            </w:r>
            <w:proofErr w:type="spellEnd"/>
            <w:r w:rsidRPr="00A16A29">
              <w:rPr>
                <w:rFonts w:ascii="Times New Roman" w:hAnsi="Times New Roman"/>
                <w:sz w:val="26"/>
                <w:szCs w:val="26"/>
                <w:lang w:val="lv-LV" w:eastAsia="lv-LV"/>
              </w:rPr>
              <w:t>. Satversmes tiesas 2005. gada 13. maija sprieduma lietā Nr. 2004-18-0106 19. punktu). Likumdevējam ir rīcības brīvība piemērotākā mehānisma izvēlei (</w:t>
            </w:r>
            <w:proofErr w:type="spellStart"/>
            <w:r w:rsidRPr="00A16A29">
              <w:rPr>
                <w:rFonts w:ascii="Times New Roman" w:hAnsi="Times New Roman"/>
                <w:sz w:val="26"/>
                <w:szCs w:val="26"/>
                <w:lang w:val="lv-LV" w:eastAsia="lv-LV"/>
              </w:rPr>
              <w:t>sk</w:t>
            </w:r>
            <w:proofErr w:type="spellEnd"/>
            <w:r w:rsidRPr="00A16A29">
              <w:rPr>
                <w:rFonts w:ascii="Times New Roman" w:hAnsi="Times New Roman"/>
                <w:sz w:val="26"/>
                <w:szCs w:val="26"/>
                <w:lang w:val="lv-LV" w:eastAsia="lv-LV"/>
              </w:rPr>
              <w:t>. Satversmes tiesas 2009. gada 30. marta sprieduma lietā Nr. 2009-85-01 19. punktu).</w:t>
            </w:r>
          </w:p>
          <w:p w:rsidR="00397870" w:rsidRPr="00A16A29" w:rsidRDefault="003B0352"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Likum</w:t>
            </w:r>
            <w:r w:rsidR="00397870" w:rsidRPr="00A16A29">
              <w:rPr>
                <w:rFonts w:ascii="Times New Roman" w:hAnsi="Times New Roman"/>
                <w:sz w:val="26"/>
                <w:szCs w:val="26"/>
                <w:lang w:val="lv-LV" w:eastAsia="lv-LV"/>
              </w:rPr>
              <w:t xml:space="preserve">a izstrādes gaitā </w:t>
            </w:r>
            <w:r w:rsidRPr="00A16A29">
              <w:rPr>
                <w:rFonts w:ascii="Times New Roman" w:hAnsi="Times New Roman"/>
                <w:sz w:val="26"/>
                <w:szCs w:val="26"/>
                <w:lang w:val="lv-LV" w:eastAsia="lv-LV"/>
              </w:rPr>
              <w:t>Finanšu ministrija</w:t>
            </w:r>
            <w:r w:rsidR="00397870" w:rsidRPr="00A16A29">
              <w:rPr>
                <w:rFonts w:ascii="Times New Roman" w:hAnsi="Times New Roman"/>
                <w:sz w:val="26"/>
                <w:szCs w:val="26"/>
                <w:lang w:val="lv-LV" w:eastAsia="lv-LV"/>
              </w:rPr>
              <w:t xml:space="preserve"> izvērtēj</w:t>
            </w:r>
            <w:r w:rsidRPr="00A16A29">
              <w:rPr>
                <w:rFonts w:ascii="Times New Roman" w:hAnsi="Times New Roman"/>
                <w:sz w:val="26"/>
                <w:szCs w:val="26"/>
                <w:lang w:val="lv-LV" w:eastAsia="lv-LV"/>
              </w:rPr>
              <w:t>a</w:t>
            </w:r>
            <w:r w:rsidR="00397870" w:rsidRPr="00A16A29">
              <w:rPr>
                <w:rFonts w:ascii="Times New Roman" w:hAnsi="Times New Roman"/>
                <w:sz w:val="26"/>
                <w:szCs w:val="26"/>
                <w:lang w:val="lv-LV" w:eastAsia="lv-LV"/>
              </w:rPr>
              <w:t xml:space="preserve"> arī alternatīvus līdzekļus mērķa sasniegšanai, piemēram, iespēju fiksēt skaidras naudas uzkrājumu esamības faktu ar tiesu izpildītāja aktu par fakta fiksāciju saskaņā ar Tiesu izpildītāju likuma 74.panta pirmās daļas 2.punktu. Latvijā 2010.gadā darbojās 116 zvērināti tiesu izpildītāji, kuru esošā kapacitāte un reģionālais pārklājums vērtējami kā nepietiekami, lai nodrošinātu normas mērķa sasniegšanu. Salīdzinājumam, bankas nodrošina reģionālo pārklājumu Latvijā un lielai daļai iedzīvotāju jau ir atvērti konti kredītiestādēs, krājaizdevu sabiedrībās vai pasta norēķinu sistēmās. Saskaņā ar Latvijas Bankas informāciju pēc stāvokļa uz 2010.gada beigām Latvijā uz vienu iedzīvotāju bija vidēji 2,2 konti, kopumā reģistrēti 4,9 miljoni kontu. Varbūtība, ka personai, kuras uzkrājumi skaidrā naudā pārsniedz 50 minimālās mēnešalgas, nav atvērts konts, ir zema.</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Satversmes tiesa spriedumos ir secinājusi, ka, ja izvirzīto leģitīmo mērķi var sasniegt ar tādiem līdzekļiem, kas personas tiesības ierobežo mazāk, bet vienlaikus prasa nesamērīgi lielu ieguldījumu no valsts un sabiedrības, tad nevar uzskatīt, ka valstij būtu pienākums šādu līdzekli izvēlēties. Skaidras </w:t>
            </w:r>
            <w:r w:rsidRPr="00A16A29">
              <w:rPr>
                <w:rFonts w:ascii="Times New Roman" w:hAnsi="Times New Roman"/>
                <w:sz w:val="26"/>
                <w:szCs w:val="26"/>
                <w:lang w:val="lv-LV" w:eastAsia="lv-LV"/>
              </w:rPr>
              <w:lastRenderedPageBreak/>
              <w:t xml:space="preserve">naudas uzkrājumu esamības pārbaude vienā laikā visām personām, kas atbilst normas kritērijiem, klātienē nav praktiski iespējama. </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Finanšu ministrija uzskata, ka ierobežotā rīcības brīvība ar personas īpašumu laikā, kas nepieciešams, lai uzkrājumu kopsummu fiksētu konta bilances izdrukā, varētu tikt uzskatīta par īpašumtiesību ierobežojumu. Īslaicīgi paredzot īpašuma (naudas līdzekļu) izmantošanas ierobežojumus, netiek aizskartas personas īpašumtiesības un iespējas izmantot šos līdzekļus nākotnē. Jāuzsver, ka īpašuma ierobežojumi tiek noteikti uz konkrētu, ierobežotu laiku, pēc kura izbeigšanās persona atgūst tiesības brīvi rīkoties ar tai piederošo īpašumu.</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Izvērtējot augstāk minēto, secinām, ka  saudzējošāki līdzekļi, kas ļautu sasniegt leģitīmo mērķi, mazāk ierobežojot pieteikuma iesniedzēja tiesības uz īpašumu, nav konstatēti. </w:t>
            </w:r>
          </w:p>
          <w:p w:rsidR="00397870" w:rsidRPr="00A16A29" w:rsidRDefault="00397870" w:rsidP="00397870">
            <w:pPr>
              <w:spacing w:after="0" w:line="240" w:lineRule="auto"/>
              <w:ind w:firstLine="476"/>
              <w:jc w:val="both"/>
              <w:rPr>
                <w:rFonts w:ascii="Times New Roman" w:hAnsi="Times New Roman"/>
                <w:b/>
                <w:sz w:val="26"/>
                <w:szCs w:val="26"/>
                <w:lang w:val="lv-LV" w:eastAsia="lv-LV"/>
              </w:rPr>
            </w:pPr>
            <w:r w:rsidRPr="00A16A29">
              <w:rPr>
                <w:rFonts w:ascii="Times New Roman" w:hAnsi="Times New Roman"/>
                <w:b/>
                <w:sz w:val="26"/>
                <w:szCs w:val="26"/>
                <w:lang w:val="lv-LV" w:eastAsia="lv-LV"/>
              </w:rPr>
              <w:t>3) Vai labums, ko iegūs sabiedrība, ir lielāks par indivīda tiesībām nodarīto kaitējumu?</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Jāuzsver, ka norma</w:t>
            </w:r>
            <w:r w:rsidR="003B0352" w:rsidRPr="00A16A29">
              <w:rPr>
                <w:rFonts w:ascii="Times New Roman" w:hAnsi="Times New Roman"/>
                <w:sz w:val="26"/>
                <w:szCs w:val="26"/>
                <w:lang w:val="lv-LV" w:eastAsia="lv-LV"/>
              </w:rPr>
              <w:t>s</w:t>
            </w:r>
            <w:r w:rsidRPr="00A16A29">
              <w:rPr>
                <w:rFonts w:ascii="Times New Roman" w:hAnsi="Times New Roman"/>
                <w:sz w:val="26"/>
                <w:szCs w:val="26"/>
                <w:lang w:val="lv-LV" w:eastAsia="lv-LV"/>
              </w:rPr>
              <w:t xml:space="preserve"> novērsīs būtisku trūkumu esošajā regulējumā – nodrošinās kontrolējošo iestāžu iespējas pārliecināties par personas deklarēto uzkrājumu esamību. Minētais ir nepieciešams, lai cīnītos pret korupcijas izplatību, ēnu ekonomiku un noziedzīgi iegūtu līdzekļu pielietošanas iespējām. Uzskaitīto parādību apkarošana stiprinās demokrātisko sabiedrību Latvijā.</w:t>
            </w:r>
          </w:p>
          <w:p w:rsidR="00397870" w:rsidRPr="00A16A29" w:rsidRDefault="00397870" w:rsidP="00397870">
            <w:pPr>
              <w:spacing w:after="0" w:line="240" w:lineRule="auto"/>
              <w:ind w:firstLine="476"/>
              <w:jc w:val="both"/>
              <w:rPr>
                <w:rFonts w:ascii="Times New Roman" w:hAnsi="Times New Roman"/>
                <w:sz w:val="26"/>
                <w:szCs w:val="26"/>
                <w:lang w:val="lv-LV" w:eastAsia="lv-LV"/>
              </w:rPr>
            </w:pPr>
            <w:r w:rsidRPr="00A16A29">
              <w:rPr>
                <w:rFonts w:ascii="Times New Roman" w:hAnsi="Times New Roman"/>
                <w:sz w:val="26"/>
                <w:szCs w:val="26"/>
                <w:lang w:val="lv-LV" w:eastAsia="lv-LV"/>
              </w:rPr>
              <w:t>Ēnu ekonomikas samazināšana un korupcijas risku apkarošana ilgtermiņā atstās pozitīvu iespaidu gan uz uzņēmējdarbības vidi, gan uz sabiedrības morāli ētisko vērtību kopumu Latvijā. Jāatzīmē arī šīs normas potenciālā pozitīvā ietekme uz valsts budžetu ilgtermiņā, palielinot nodokļu ieņēmumus un tādējādi radot iespēju vairāk līdzekļus novirzīt sociālajiem pakalpojumiem, izglītībai, sociālajai drošībai.</w:t>
            </w:r>
          </w:p>
          <w:p w:rsidR="00947E68" w:rsidRPr="00A16A29" w:rsidRDefault="00397870" w:rsidP="00397870">
            <w:pPr>
              <w:spacing w:before="100" w:beforeAutospacing="1" w:after="100" w:afterAutospacing="1" w:line="240" w:lineRule="auto"/>
              <w:ind w:firstLine="534"/>
              <w:rPr>
                <w:rFonts w:ascii="Times New Roman" w:hAnsi="Times New Roman"/>
                <w:sz w:val="26"/>
                <w:szCs w:val="26"/>
                <w:lang w:val="lv-LV" w:eastAsia="lv-LV"/>
              </w:rPr>
            </w:pPr>
            <w:r w:rsidRPr="00A16A29">
              <w:rPr>
                <w:rFonts w:ascii="Times New Roman" w:hAnsi="Times New Roman"/>
                <w:sz w:val="26"/>
                <w:szCs w:val="26"/>
                <w:lang w:val="lv-LV" w:eastAsia="lv-LV"/>
              </w:rPr>
              <w:t>Secināms, ka labums, ko iegūs sabiedrība no šādas normas, ir lielāks nekā ierobežojumi atsevišķiem indivīdiem.</w:t>
            </w:r>
          </w:p>
        </w:tc>
      </w:tr>
    </w:tbl>
    <w:p w:rsidR="00947E68" w:rsidRPr="00A16A29" w:rsidRDefault="00D37305"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lastRenderedPageBreak/>
        <w:t xml:space="preserve">III., IV., V. un VI. sadaļas </w:t>
      </w:r>
      <w:r w:rsidR="000A7DBA" w:rsidRPr="00A16A29">
        <w:rPr>
          <w:rFonts w:ascii="Times New Roman" w:hAnsi="Times New Roman"/>
          <w:sz w:val="26"/>
          <w:szCs w:val="26"/>
          <w:lang w:val="lv-LV" w:eastAsia="lv-LV"/>
        </w:rPr>
        <w:t>– Projekts šo jomu neskar.</w:t>
      </w:r>
    </w:p>
    <w:tbl>
      <w:tblPr>
        <w:tblW w:w="503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06"/>
        <w:gridCol w:w="3883"/>
        <w:gridCol w:w="4656"/>
      </w:tblGrid>
      <w:tr w:rsidR="00270A9F" w:rsidRPr="00526E67" w:rsidTr="00947E68">
        <w:tc>
          <w:tcPr>
            <w:tcW w:w="5000" w:type="pct"/>
            <w:gridSpan w:val="3"/>
            <w:tcBorders>
              <w:top w:val="outset" w:sz="6" w:space="0" w:color="000000"/>
              <w:bottom w:val="outset" w:sz="6" w:space="0" w:color="000000"/>
            </w:tcBorders>
          </w:tcPr>
          <w:p w:rsidR="00947E68" w:rsidRPr="00A16A29" w:rsidRDefault="00947E68" w:rsidP="00947E68">
            <w:pPr>
              <w:spacing w:before="100" w:beforeAutospacing="1" w:after="100" w:afterAutospacing="1" w:line="240" w:lineRule="auto"/>
              <w:jc w:val="center"/>
              <w:rPr>
                <w:rFonts w:ascii="Times New Roman" w:hAnsi="Times New Roman"/>
                <w:b/>
                <w:bCs/>
                <w:sz w:val="26"/>
                <w:szCs w:val="26"/>
                <w:lang w:val="lv-LV" w:eastAsia="lv-LV"/>
              </w:rPr>
            </w:pPr>
            <w:r w:rsidRPr="00A16A29">
              <w:rPr>
                <w:rFonts w:ascii="Times New Roman" w:hAnsi="Times New Roman"/>
                <w:b/>
                <w:bCs/>
                <w:sz w:val="26"/>
                <w:szCs w:val="26"/>
                <w:lang w:val="lv-LV" w:eastAsia="lv-LV"/>
              </w:rPr>
              <w:lastRenderedPageBreak/>
              <w:t>VII. Tiesību akta projekta izpildes nodrošināšana un tās ietekme uz institūcijām</w:t>
            </w:r>
          </w:p>
        </w:tc>
      </w:tr>
      <w:tr w:rsidR="00270A9F" w:rsidRPr="00526E67"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1.</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rPr>
                <w:rFonts w:ascii="Times New Roman" w:hAnsi="Times New Roman"/>
                <w:sz w:val="26"/>
                <w:szCs w:val="26"/>
                <w:lang w:val="lv-LV" w:eastAsia="lv-LV"/>
              </w:rPr>
            </w:pPr>
            <w:r w:rsidRPr="00A16A29">
              <w:rPr>
                <w:rFonts w:ascii="Times New Roman" w:hAnsi="Times New Roman"/>
                <w:sz w:val="26"/>
                <w:szCs w:val="26"/>
                <w:lang w:val="lv-LV" w:eastAsia="lv-LV"/>
              </w:rPr>
              <w:t>Projekta izpildē iesaistītās institūcijas</w:t>
            </w:r>
          </w:p>
        </w:tc>
        <w:tc>
          <w:tcPr>
            <w:tcW w:w="2518" w:type="pct"/>
            <w:tcBorders>
              <w:top w:val="outset" w:sz="6" w:space="0" w:color="000000"/>
              <w:left w:val="single" w:sz="4" w:space="0" w:color="auto"/>
              <w:bottom w:val="outset" w:sz="6" w:space="0" w:color="000000"/>
            </w:tcBorders>
          </w:tcPr>
          <w:p w:rsidR="00947E68" w:rsidRPr="00A16A29" w:rsidRDefault="00B043C1" w:rsidP="002A4098">
            <w:pPr>
              <w:spacing w:before="100" w:beforeAutospacing="1" w:after="100" w:afterAutospacing="1" w:line="240" w:lineRule="auto"/>
              <w:ind w:firstLine="514"/>
              <w:jc w:val="both"/>
              <w:rPr>
                <w:rFonts w:ascii="Times New Roman" w:hAnsi="Times New Roman"/>
                <w:sz w:val="26"/>
                <w:szCs w:val="26"/>
                <w:lang w:val="lv-LV" w:eastAsia="lv-LV"/>
              </w:rPr>
            </w:pPr>
            <w:r w:rsidRPr="00A16A29">
              <w:rPr>
                <w:rFonts w:ascii="Times New Roman" w:hAnsi="Times New Roman"/>
                <w:sz w:val="26"/>
                <w:szCs w:val="26"/>
                <w:lang w:val="lv-LV" w:eastAsia="lv-LV"/>
              </w:rPr>
              <w:t>Normatīvā akta izpildi nodrošinās Valsts ieņēmumu dienests un kredītiestādes.</w:t>
            </w:r>
          </w:p>
        </w:tc>
      </w:tr>
      <w:tr w:rsidR="00270A9F" w:rsidRPr="00526E67"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2.</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Projekta izpildes ietekme uz pārvaldes funkcijām</w:t>
            </w:r>
          </w:p>
        </w:tc>
        <w:tc>
          <w:tcPr>
            <w:tcW w:w="2518" w:type="pct"/>
            <w:tcBorders>
              <w:top w:val="outset" w:sz="6" w:space="0" w:color="000000"/>
              <w:left w:val="single" w:sz="4" w:space="0" w:color="auto"/>
              <w:bottom w:val="outset" w:sz="6" w:space="0" w:color="000000"/>
            </w:tcBorders>
          </w:tcPr>
          <w:p w:rsidR="00947E68" w:rsidRPr="00A16A29" w:rsidRDefault="000A7DBA" w:rsidP="002A4098">
            <w:pPr>
              <w:spacing w:before="100" w:beforeAutospacing="1" w:after="100" w:afterAutospacing="1" w:line="240" w:lineRule="auto"/>
              <w:ind w:firstLine="514"/>
              <w:jc w:val="both"/>
              <w:rPr>
                <w:rFonts w:ascii="Times New Roman" w:hAnsi="Times New Roman"/>
                <w:sz w:val="26"/>
                <w:szCs w:val="26"/>
                <w:lang w:val="lv-LV" w:eastAsia="lv-LV"/>
              </w:rPr>
            </w:pPr>
            <w:r w:rsidRPr="00A16A29">
              <w:rPr>
                <w:rFonts w:ascii="Times New Roman" w:hAnsi="Times New Roman"/>
                <w:sz w:val="26"/>
                <w:szCs w:val="26"/>
                <w:lang w:val="lv-LV" w:eastAsia="lv-LV"/>
              </w:rPr>
              <w:t>Funkcija tiks nodrošināta esošās kapacitātes ietvaros</w:t>
            </w:r>
            <w:r w:rsidR="0024266B" w:rsidRPr="00A16A29">
              <w:rPr>
                <w:rFonts w:ascii="Times New Roman" w:hAnsi="Times New Roman"/>
                <w:sz w:val="26"/>
                <w:szCs w:val="26"/>
                <w:lang w:val="lv-LV" w:eastAsia="lv-LV"/>
              </w:rPr>
              <w:t>.</w:t>
            </w:r>
          </w:p>
        </w:tc>
      </w:tr>
      <w:tr w:rsidR="00270A9F" w:rsidRPr="00526E67"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3.</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Projekta izpildes ietekme uz pārvaldes institucionālo struktūru</w:t>
            </w:r>
          </w:p>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Jaunu institūciju izveide</w:t>
            </w:r>
          </w:p>
        </w:tc>
        <w:tc>
          <w:tcPr>
            <w:tcW w:w="2518" w:type="pct"/>
            <w:tcBorders>
              <w:top w:val="outset" w:sz="6" w:space="0" w:color="000000"/>
              <w:left w:val="single" w:sz="4" w:space="0" w:color="auto"/>
              <w:bottom w:val="outset" w:sz="6" w:space="0" w:color="000000"/>
            </w:tcBorders>
          </w:tcPr>
          <w:p w:rsidR="00947E68" w:rsidRPr="00A16A29" w:rsidRDefault="00D37305" w:rsidP="002A4098">
            <w:pPr>
              <w:spacing w:before="100" w:beforeAutospacing="1" w:after="100" w:afterAutospacing="1" w:line="240" w:lineRule="auto"/>
              <w:ind w:firstLine="51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Noteikumu projekts </w:t>
            </w:r>
            <w:r w:rsidR="0024266B" w:rsidRPr="00A16A29">
              <w:rPr>
                <w:rFonts w:ascii="Times New Roman" w:hAnsi="Times New Roman"/>
                <w:sz w:val="26"/>
                <w:szCs w:val="26"/>
                <w:lang w:val="lv-LV" w:eastAsia="lv-LV"/>
              </w:rPr>
              <w:t>šo jomu neskar.</w:t>
            </w:r>
          </w:p>
        </w:tc>
      </w:tr>
      <w:tr w:rsidR="00270A9F" w:rsidRPr="00526E67"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4.</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Projekta izpildes ietekme uz pārvaldes institucionālo struktūru</w:t>
            </w:r>
          </w:p>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Esošo institūciju likvidēšana</w:t>
            </w:r>
          </w:p>
        </w:tc>
        <w:tc>
          <w:tcPr>
            <w:tcW w:w="2518" w:type="pct"/>
            <w:tcBorders>
              <w:top w:val="outset" w:sz="6" w:space="0" w:color="000000"/>
              <w:left w:val="single" w:sz="4" w:space="0" w:color="auto"/>
              <w:bottom w:val="outset" w:sz="6" w:space="0" w:color="000000"/>
            </w:tcBorders>
          </w:tcPr>
          <w:p w:rsidR="00947E68" w:rsidRPr="00A16A29" w:rsidRDefault="00D37305" w:rsidP="002A4098">
            <w:pPr>
              <w:spacing w:before="100" w:beforeAutospacing="1" w:after="100" w:afterAutospacing="1" w:line="240" w:lineRule="auto"/>
              <w:ind w:firstLine="514"/>
              <w:jc w:val="both"/>
              <w:rPr>
                <w:rFonts w:ascii="Times New Roman" w:hAnsi="Times New Roman"/>
                <w:sz w:val="26"/>
                <w:szCs w:val="26"/>
                <w:lang w:val="lv-LV" w:eastAsia="lv-LV"/>
              </w:rPr>
            </w:pPr>
            <w:r w:rsidRPr="00A16A29">
              <w:rPr>
                <w:rFonts w:ascii="Times New Roman" w:hAnsi="Times New Roman"/>
                <w:sz w:val="26"/>
                <w:szCs w:val="26"/>
                <w:lang w:val="lv-LV" w:eastAsia="lv-LV"/>
              </w:rPr>
              <w:t xml:space="preserve">Noteikumu projekts </w:t>
            </w:r>
            <w:r w:rsidR="0024266B" w:rsidRPr="00A16A29">
              <w:rPr>
                <w:rFonts w:ascii="Times New Roman" w:hAnsi="Times New Roman"/>
                <w:sz w:val="26"/>
                <w:szCs w:val="26"/>
                <w:lang w:val="lv-LV" w:eastAsia="lv-LV"/>
              </w:rPr>
              <w:t>šo jomu neskar.</w:t>
            </w:r>
          </w:p>
        </w:tc>
      </w:tr>
      <w:tr w:rsidR="00270A9F" w:rsidRPr="00526E67"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5.</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Projekta izpildes ietekme uz pārvaldes institucionālo struktūru</w:t>
            </w:r>
          </w:p>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Esošo institūciju reorganizācija</w:t>
            </w:r>
          </w:p>
        </w:tc>
        <w:tc>
          <w:tcPr>
            <w:tcW w:w="2518" w:type="pct"/>
            <w:tcBorders>
              <w:top w:val="outset" w:sz="6" w:space="0" w:color="000000"/>
              <w:left w:val="single" w:sz="4" w:space="0" w:color="auto"/>
              <w:bottom w:val="outset" w:sz="6" w:space="0" w:color="000000"/>
            </w:tcBorders>
          </w:tcPr>
          <w:p w:rsidR="00947E68" w:rsidRPr="00A16A29" w:rsidRDefault="00D37305" w:rsidP="002A4098">
            <w:pPr>
              <w:spacing w:before="100" w:beforeAutospacing="1" w:after="100" w:afterAutospacing="1" w:line="240" w:lineRule="auto"/>
              <w:ind w:firstLine="514"/>
              <w:rPr>
                <w:rFonts w:ascii="Times New Roman" w:hAnsi="Times New Roman"/>
                <w:sz w:val="26"/>
                <w:szCs w:val="26"/>
                <w:lang w:val="lv-LV" w:eastAsia="lv-LV"/>
              </w:rPr>
            </w:pPr>
            <w:r w:rsidRPr="00A16A29">
              <w:rPr>
                <w:rFonts w:ascii="Times New Roman" w:hAnsi="Times New Roman"/>
                <w:sz w:val="26"/>
                <w:szCs w:val="26"/>
                <w:lang w:val="lv-LV" w:eastAsia="lv-LV"/>
              </w:rPr>
              <w:t xml:space="preserve">Noteikumu projekts </w:t>
            </w:r>
            <w:r w:rsidR="0024266B" w:rsidRPr="00A16A29">
              <w:rPr>
                <w:rFonts w:ascii="Times New Roman" w:hAnsi="Times New Roman"/>
                <w:sz w:val="26"/>
                <w:szCs w:val="26"/>
                <w:lang w:val="lv-LV" w:eastAsia="lv-LV"/>
              </w:rPr>
              <w:t>šo jomu neskar.</w:t>
            </w:r>
          </w:p>
        </w:tc>
      </w:tr>
      <w:tr w:rsidR="00947E68" w:rsidRPr="00A16A29" w:rsidTr="00947E68">
        <w:tc>
          <w:tcPr>
            <w:tcW w:w="382" w:type="pct"/>
            <w:tcBorders>
              <w:top w:val="outset" w:sz="6" w:space="0" w:color="000000"/>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center"/>
              <w:rPr>
                <w:rFonts w:ascii="Times New Roman" w:hAnsi="Times New Roman"/>
                <w:sz w:val="26"/>
                <w:szCs w:val="26"/>
                <w:lang w:val="lv-LV" w:eastAsia="lv-LV"/>
              </w:rPr>
            </w:pPr>
            <w:r w:rsidRPr="00A16A29">
              <w:rPr>
                <w:rFonts w:ascii="Times New Roman" w:hAnsi="Times New Roman"/>
                <w:sz w:val="26"/>
                <w:szCs w:val="26"/>
                <w:lang w:val="lv-LV" w:eastAsia="lv-LV"/>
              </w:rPr>
              <w:t>6.</w:t>
            </w:r>
          </w:p>
        </w:tc>
        <w:tc>
          <w:tcPr>
            <w:tcW w:w="2100" w:type="pct"/>
            <w:tcBorders>
              <w:top w:val="outset" w:sz="6" w:space="0" w:color="000000"/>
              <w:left w:val="single" w:sz="4" w:space="0" w:color="auto"/>
              <w:bottom w:val="outset" w:sz="6" w:space="0" w:color="000000"/>
              <w:right w:val="single" w:sz="4" w:space="0" w:color="auto"/>
            </w:tcBorders>
          </w:tcPr>
          <w:p w:rsidR="00947E68" w:rsidRPr="00A16A29" w:rsidRDefault="00947E68" w:rsidP="00947E68">
            <w:pPr>
              <w:spacing w:before="100" w:beforeAutospacing="1" w:after="100" w:afterAutospacing="1" w:line="240" w:lineRule="auto"/>
              <w:jc w:val="both"/>
              <w:rPr>
                <w:rFonts w:ascii="Times New Roman" w:hAnsi="Times New Roman"/>
                <w:sz w:val="26"/>
                <w:szCs w:val="26"/>
                <w:lang w:val="lv-LV" w:eastAsia="lv-LV"/>
              </w:rPr>
            </w:pPr>
            <w:r w:rsidRPr="00A16A29">
              <w:rPr>
                <w:rFonts w:ascii="Times New Roman" w:hAnsi="Times New Roman"/>
                <w:sz w:val="26"/>
                <w:szCs w:val="26"/>
                <w:lang w:val="lv-LV" w:eastAsia="lv-LV"/>
              </w:rPr>
              <w:t>Cita informācija</w:t>
            </w:r>
          </w:p>
        </w:tc>
        <w:tc>
          <w:tcPr>
            <w:tcW w:w="2518" w:type="pct"/>
            <w:tcBorders>
              <w:top w:val="outset" w:sz="6" w:space="0" w:color="000000"/>
              <w:left w:val="single" w:sz="4" w:space="0" w:color="auto"/>
              <w:bottom w:val="outset" w:sz="6" w:space="0" w:color="000000"/>
            </w:tcBorders>
          </w:tcPr>
          <w:p w:rsidR="00947E68" w:rsidRPr="00A16A29" w:rsidRDefault="00947E68" w:rsidP="002A4098">
            <w:pPr>
              <w:spacing w:before="100" w:beforeAutospacing="1" w:after="100" w:afterAutospacing="1" w:line="240" w:lineRule="auto"/>
              <w:ind w:firstLine="514"/>
              <w:rPr>
                <w:rFonts w:ascii="Times New Roman" w:hAnsi="Times New Roman"/>
                <w:sz w:val="26"/>
                <w:szCs w:val="26"/>
                <w:lang w:val="lv-LV" w:eastAsia="lv-LV"/>
              </w:rPr>
            </w:pPr>
            <w:r w:rsidRPr="00A16A29">
              <w:rPr>
                <w:rFonts w:ascii="Times New Roman" w:hAnsi="Times New Roman"/>
                <w:sz w:val="26"/>
                <w:szCs w:val="26"/>
                <w:lang w:val="lv-LV" w:eastAsia="lv-LV"/>
              </w:rPr>
              <w:t>Nav</w:t>
            </w:r>
          </w:p>
        </w:tc>
      </w:tr>
    </w:tbl>
    <w:p w:rsidR="00947E68" w:rsidRPr="00A16A29" w:rsidRDefault="00947E68" w:rsidP="00947E68">
      <w:pPr>
        <w:spacing w:before="100" w:beforeAutospacing="1" w:after="100" w:afterAutospacing="1" w:line="240" w:lineRule="auto"/>
        <w:jc w:val="right"/>
        <w:rPr>
          <w:rFonts w:ascii="Times New Roman" w:hAnsi="Times New Roman"/>
          <w:sz w:val="26"/>
          <w:szCs w:val="26"/>
          <w:lang w:val="lv-LV" w:eastAsia="lv-LV"/>
        </w:rPr>
      </w:pPr>
    </w:p>
    <w:p w:rsidR="002D4A92" w:rsidRPr="00A16A29" w:rsidRDefault="00063E9F" w:rsidP="00947E68">
      <w:pPr>
        <w:tabs>
          <w:tab w:val="left" w:pos="6860"/>
        </w:tabs>
        <w:spacing w:before="100" w:beforeAutospacing="1" w:after="100" w:afterAutospacing="1" w:line="240" w:lineRule="auto"/>
        <w:ind w:firstLine="700"/>
        <w:rPr>
          <w:rFonts w:ascii="Times New Roman" w:hAnsi="Times New Roman"/>
          <w:sz w:val="26"/>
          <w:szCs w:val="26"/>
          <w:lang w:val="lv-LV" w:eastAsia="lv-LV"/>
        </w:rPr>
      </w:pPr>
      <w:r w:rsidRPr="00A16A29">
        <w:rPr>
          <w:rFonts w:ascii="Times New Roman" w:hAnsi="Times New Roman"/>
          <w:sz w:val="26"/>
          <w:szCs w:val="26"/>
          <w:lang w:val="lv-LV" w:eastAsia="lv-LV"/>
        </w:rPr>
        <w:t>Finanšu</w:t>
      </w:r>
      <w:r w:rsidR="00947E68" w:rsidRPr="00A16A29">
        <w:rPr>
          <w:rFonts w:ascii="Times New Roman" w:hAnsi="Times New Roman"/>
          <w:sz w:val="26"/>
          <w:szCs w:val="26"/>
          <w:lang w:val="lv-LV" w:eastAsia="lv-LV"/>
        </w:rPr>
        <w:t xml:space="preserve"> ministr</w:t>
      </w:r>
      <w:r w:rsidR="002D4A92" w:rsidRPr="00A16A29">
        <w:rPr>
          <w:rFonts w:ascii="Times New Roman" w:hAnsi="Times New Roman"/>
          <w:sz w:val="26"/>
          <w:szCs w:val="26"/>
          <w:lang w:val="lv-LV" w:eastAsia="lv-LV"/>
        </w:rPr>
        <w:t>a vietā</w:t>
      </w:r>
    </w:p>
    <w:p w:rsidR="00947E68" w:rsidRPr="00A16A29" w:rsidRDefault="003F2E33" w:rsidP="00947E68">
      <w:pPr>
        <w:tabs>
          <w:tab w:val="left" w:pos="6860"/>
        </w:tabs>
        <w:spacing w:before="100" w:beforeAutospacing="1" w:after="100" w:afterAutospacing="1" w:line="240" w:lineRule="auto"/>
        <w:ind w:firstLine="700"/>
        <w:rPr>
          <w:rFonts w:ascii="Times New Roman" w:hAnsi="Times New Roman"/>
          <w:sz w:val="26"/>
          <w:szCs w:val="26"/>
          <w:lang w:val="lv-LV" w:eastAsia="lv-LV"/>
        </w:rPr>
      </w:pPr>
      <w:r w:rsidRPr="00A16A29">
        <w:rPr>
          <w:rFonts w:ascii="Times New Roman" w:hAnsi="Times New Roman"/>
          <w:sz w:val="26"/>
          <w:szCs w:val="26"/>
          <w:lang w:val="lv-LV" w:eastAsia="lv-LV"/>
        </w:rPr>
        <w:t>Labklājības</w:t>
      </w:r>
      <w:r w:rsidR="002D4A92" w:rsidRPr="00A16A29">
        <w:rPr>
          <w:rFonts w:ascii="Times New Roman" w:hAnsi="Times New Roman"/>
          <w:sz w:val="26"/>
          <w:szCs w:val="26"/>
          <w:lang w:val="lv-LV" w:eastAsia="lv-LV"/>
        </w:rPr>
        <w:t xml:space="preserve"> ministre</w:t>
      </w:r>
      <w:r w:rsidR="00947E68" w:rsidRPr="00A16A29">
        <w:rPr>
          <w:rFonts w:ascii="Times New Roman" w:hAnsi="Times New Roman"/>
          <w:sz w:val="26"/>
          <w:szCs w:val="26"/>
          <w:lang w:val="lv-LV" w:eastAsia="lv-LV"/>
        </w:rPr>
        <w:t xml:space="preserve"> </w:t>
      </w:r>
      <w:r w:rsidR="00947E68" w:rsidRPr="00A16A29">
        <w:rPr>
          <w:rFonts w:ascii="Times New Roman" w:hAnsi="Times New Roman"/>
          <w:sz w:val="26"/>
          <w:szCs w:val="26"/>
          <w:lang w:val="lv-LV" w:eastAsia="lv-LV"/>
        </w:rPr>
        <w:tab/>
      </w:r>
      <w:proofErr w:type="spellStart"/>
      <w:r w:rsidR="002D4A92" w:rsidRPr="00A16A29">
        <w:rPr>
          <w:rFonts w:ascii="Times New Roman" w:hAnsi="Times New Roman"/>
          <w:sz w:val="26"/>
          <w:szCs w:val="26"/>
          <w:lang w:val="lv-LV" w:eastAsia="lv-LV"/>
        </w:rPr>
        <w:t>I.Viņķele</w:t>
      </w:r>
      <w:proofErr w:type="spellEnd"/>
    </w:p>
    <w:p w:rsidR="00B043C1" w:rsidRPr="00A16A29" w:rsidRDefault="00B043C1" w:rsidP="00B043C1">
      <w:pPr>
        <w:pStyle w:val="naisf"/>
        <w:spacing w:before="0" w:beforeAutospacing="0" w:after="0" w:afterAutospacing="0"/>
        <w:jc w:val="both"/>
        <w:rPr>
          <w:color w:val="auto"/>
          <w:sz w:val="26"/>
          <w:szCs w:val="26"/>
        </w:rPr>
      </w:pPr>
    </w:p>
    <w:p w:rsidR="00D066CC" w:rsidRPr="00A16A29" w:rsidRDefault="00D066CC" w:rsidP="00B043C1">
      <w:pPr>
        <w:pStyle w:val="naisf"/>
        <w:spacing w:before="0" w:beforeAutospacing="0" w:after="0" w:afterAutospacing="0"/>
        <w:jc w:val="both"/>
        <w:rPr>
          <w:color w:val="auto"/>
          <w:sz w:val="26"/>
          <w:szCs w:val="26"/>
        </w:rPr>
      </w:pPr>
    </w:p>
    <w:p w:rsidR="00D066CC" w:rsidRPr="00A16A29" w:rsidRDefault="00D066CC" w:rsidP="00B043C1">
      <w:pPr>
        <w:pStyle w:val="naisf"/>
        <w:spacing w:before="0" w:beforeAutospacing="0" w:after="0" w:afterAutospacing="0"/>
        <w:jc w:val="both"/>
        <w:rPr>
          <w:color w:val="auto"/>
          <w:sz w:val="26"/>
          <w:szCs w:val="26"/>
        </w:rPr>
      </w:pPr>
    </w:p>
    <w:p w:rsidR="00D066CC" w:rsidRPr="00A16A29" w:rsidRDefault="00D066CC" w:rsidP="00B043C1">
      <w:pPr>
        <w:pStyle w:val="naisf"/>
        <w:spacing w:before="0" w:beforeAutospacing="0" w:after="0" w:afterAutospacing="0"/>
        <w:jc w:val="both"/>
        <w:rPr>
          <w:color w:val="auto"/>
          <w:sz w:val="26"/>
          <w:szCs w:val="26"/>
        </w:rPr>
      </w:pPr>
    </w:p>
    <w:p w:rsidR="00D066CC" w:rsidRPr="00A16A29" w:rsidRDefault="00D066CC" w:rsidP="00B043C1">
      <w:pPr>
        <w:pStyle w:val="naisf"/>
        <w:spacing w:before="0" w:beforeAutospacing="0" w:after="0" w:afterAutospacing="0"/>
        <w:jc w:val="both"/>
        <w:rPr>
          <w:color w:val="auto"/>
          <w:sz w:val="26"/>
          <w:szCs w:val="26"/>
        </w:rPr>
      </w:pPr>
    </w:p>
    <w:p w:rsidR="00D066CC" w:rsidRPr="00A16A29" w:rsidRDefault="00D066CC" w:rsidP="00B043C1">
      <w:pPr>
        <w:pStyle w:val="naisf"/>
        <w:spacing w:before="0" w:beforeAutospacing="0" w:after="0" w:afterAutospacing="0"/>
        <w:jc w:val="both"/>
        <w:rPr>
          <w:color w:val="auto"/>
          <w:sz w:val="26"/>
          <w:szCs w:val="26"/>
        </w:rPr>
      </w:pPr>
    </w:p>
    <w:p w:rsidR="00B043C1" w:rsidRPr="00A16A29" w:rsidRDefault="00B043C1" w:rsidP="00B043C1">
      <w:pPr>
        <w:pStyle w:val="naisf"/>
        <w:spacing w:before="0" w:beforeAutospacing="0" w:after="0" w:afterAutospacing="0"/>
        <w:jc w:val="both"/>
        <w:rPr>
          <w:color w:val="auto"/>
          <w:sz w:val="20"/>
          <w:szCs w:val="20"/>
        </w:rPr>
      </w:pPr>
      <w:r w:rsidRPr="00A16A29">
        <w:rPr>
          <w:color w:val="auto"/>
          <w:sz w:val="20"/>
          <w:szCs w:val="20"/>
        </w:rPr>
        <w:t>201</w:t>
      </w:r>
      <w:r w:rsidR="00D066CC" w:rsidRPr="00A16A29">
        <w:rPr>
          <w:color w:val="auto"/>
          <w:sz w:val="20"/>
          <w:szCs w:val="20"/>
        </w:rPr>
        <w:t>2</w:t>
      </w:r>
      <w:r w:rsidRPr="00A16A29">
        <w:rPr>
          <w:color w:val="auto"/>
          <w:sz w:val="20"/>
          <w:szCs w:val="20"/>
        </w:rPr>
        <w:t>.</w:t>
      </w:r>
      <w:r w:rsidR="00D066CC" w:rsidRPr="00A16A29">
        <w:rPr>
          <w:color w:val="auto"/>
          <w:sz w:val="20"/>
          <w:szCs w:val="20"/>
        </w:rPr>
        <w:t>01</w:t>
      </w:r>
      <w:r w:rsidRPr="00A16A29">
        <w:rPr>
          <w:color w:val="auto"/>
          <w:sz w:val="20"/>
          <w:szCs w:val="20"/>
        </w:rPr>
        <w:t>.</w:t>
      </w:r>
      <w:r w:rsidR="00A16A29">
        <w:rPr>
          <w:color w:val="auto"/>
          <w:sz w:val="20"/>
          <w:szCs w:val="20"/>
        </w:rPr>
        <w:t>19</w:t>
      </w:r>
      <w:r w:rsidRPr="00A16A29">
        <w:rPr>
          <w:color w:val="auto"/>
          <w:sz w:val="20"/>
          <w:szCs w:val="20"/>
        </w:rPr>
        <w:t xml:space="preserve">. </w:t>
      </w:r>
      <w:r w:rsidR="002D4A92" w:rsidRPr="00A16A29">
        <w:rPr>
          <w:color w:val="auto"/>
          <w:sz w:val="20"/>
          <w:szCs w:val="20"/>
        </w:rPr>
        <w:t>1</w:t>
      </w:r>
      <w:r w:rsidR="00E23E5B" w:rsidRPr="00A16A29">
        <w:rPr>
          <w:color w:val="auto"/>
          <w:sz w:val="20"/>
          <w:szCs w:val="20"/>
        </w:rPr>
        <w:t>3:</w:t>
      </w:r>
      <w:r w:rsidR="003A66A2" w:rsidRPr="00A16A29">
        <w:rPr>
          <w:color w:val="auto"/>
          <w:sz w:val="20"/>
          <w:szCs w:val="20"/>
        </w:rPr>
        <w:t>17</w:t>
      </w:r>
    </w:p>
    <w:p w:rsidR="00B043C1" w:rsidRPr="00A16A29" w:rsidRDefault="00A16A29" w:rsidP="00B043C1">
      <w:pPr>
        <w:pStyle w:val="naisf"/>
        <w:spacing w:before="0" w:beforeAutospacing="0" w:after="0" w:afterAutospacing="0"/>
        <w:jc w:val="both"/>
        <w:rPr>
          <w:color w:val="auto"/>
          <w:sz w:val="20"/>
          <w:szCs w:val="20"/>
        </w:rPr>
      </w:pPr>
      <w:r>
        <w:rPr>
          <w:color w:val="auto"/>
          <w:sz w:val="20"/>
          <w:szCs w:val="20"/>
        </w:rPr>
        <w:t>2502</w:t>
      </w:r>
    </w:p>
    <w:p w:rsidR="00B043C1" w:rsidRPr="00A16A29" w:rsidRDefault="00A16A29" w:rsidP="00B043C1">
      <w:pPr>
        <w:pStyle w:val="naisf"/>
        <w:spacing w:before="0" w:beforeAutospacing="0" w:after="0" w:afterAutospacing="0"/>
        <w:jc w:val="both"/>
        <w:rPr>
          <w:color w:val="auto"/>
          <w:sz w:val="20"/>
          <w:szCs w:val="20"/>
        </w:rPr>
      </w:pPr>
      <w:r>
        <w:rPr>
          <w:color w:val="auto"/>
          <w:sz w:val="20"/>
          <w:szCs w:val="20"/>
        </w:rPr>
        <w:t>J.Salmiņa</w:t>
      </w:r>
      <w:r w:rsidR="00B043C1" w:rsidRPr="00A16A29">
        <w:rPr>
          <w:color w:val="auto"/>
          <w:sz w:val="20"/>
          <w:szCs w:val="20"/>
        </w:rPr>
        <w:t>,</w:t>
      </w:r>
    </w:p>
    <w:p w:rsidR="00DF335A" w:rsidRPr="00A16A29" w:rsidRDefault="00B043C1" w:rsidP="000A7DBA">
      <w:pPr>
        <w:pStyle w:val="naisf"/>
        <w:spacing w:before="0" w:beforeAutospacing="0" w:after="0" w:afterAutospacing="0"/>
        <w:jc w:val="both"/>
        <w:rPr>
          <w:color w:val="auto"/>
          <w:sz w:val="20"/>
          <w:szCs w:val="20"/>
        </w:rPr>
      </w:pPr>
      <w:r w:rsidRPr="00A16A29">
        <w:rPr>
          <w:color w:val="auto"/>
          <w:sz w:val="20"/>
          <w:szCs w:val="20"/>
        </w:rPr>
        <w:t>670</w:t>
      </w:r>
      <w:r w:rsidR="00A16A29">
        <w:rPr>
          <w:color w:val="auto"/>
          <w:sz w:val="20"/>
          <w:szCs w:val="20"/>
        </w:rPr>
        <w:t>95517</w:t>
      </w:r>
      <w:r w:rsidRPr="00A16A29">
        <w:rPr>
          <w:color w:val="auto"/>
          <w:sz w:val="20"/>
          <w:szCs w:val="20"/>
        </w:rPr>
        <w:t xml:space="preserve">; </w:t>
      </w:r>
      <w:r w:rsidR="00A16A29">
        <w:rPr>
          <w:color w:val="auto"/>
          <w:sz w:val="20"/>
          <w:szCs w:val="20"/>
        </w:rPr>
        <w:t>Jana.Salmina</w:t>
      </w:r>
      <w:r w:rsidRPr="00A16A29">
        <w:rPr>
          <w:color w:val="auto"/>
          <w:sz w:val="20"/>
          <w:szCs w:val="20"/>
        </w:rPr>
        <w:t>@fm.gov.lv</w:t>
      </w:r>
    </w:p>
    <w:sectPr w:rsidR="00DF335A" w:rsidRPr="00A16A29" w:rsidSect="000E2CF8">
      <w:headerReference w:type="default" r:id="rId9"/>
      <w:footerReference w:type="default" r:id="rId10"/>
      <w:footerReference w:type="first" r:id="rId11"/>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19" w:rsidRDefault="00453919">
      <w:r>
        <w:separator/>
      </w:r>
    </w:p>
  </w:endnote>
  <w:endnote w:type="continuationSeparator" w:id="0">
    <w:p w:rsidR="00453919" w:rsidRDefault="004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19" w:rsidRDefault="00453919" w:rsidP="00947E68">
    <w:pPr>
      <w:spacing w:after="0" w:line="240" w:lineRule="auto"/>
      <w:jc w:val="both"/>
    </w:pPr>
    <w:r w:rsidRPr="00AE249A">
      <w:rPr>
        <w:rFonts w:ascii="Times New Roman" w:hAnsi="Times New Roman"/>
        <w:sz w:val="20"/>
        <w:lang w:val="lv-LV"/>
      </w:rPr>
      <w:fldChar w:fldCharType="begin"/>
    </w:r>
    <w:r w:rsidRPr="00AE249A">
      <w:rPr>
        <w:rFonts w:ascii="Times New Roman" w:hAnsi="Times New Roman"/>
        <w:sz w:val="20"/>
        <w:lang w:val="lv-LV"/>
      </w:rPr>
      <w:instrText xml:space="preserve"> FILENAME  \* MERGEFORMAT </w:instrText>
    </w:r>
    <w:r w:rsidRPr="00AE249A">
      <w:rPr>
        <w:rFonts w:ascii="Times New Roman" w:hAnsi="Times New Roman"/>
        <w:sz w:val="20"/>
        <w:lang w:val="lv-LV"/>
      </w:rPr>
      <w:fldChar w:fldCharType="separate"/>
    </w:r>
    <w:r w:rsidR="00D33048">
      <w:rPr>
        <w:rFonts w:ascii="Times New Roman" w:hAnsi="Times New Roman"/>
        <w:noProof/>
        <w:sz w:val="20"/>
        <w:lang w:val="lv-LV"/>
      </w:rPr>
      <w:t>FMAnot_19</w:t>
    </w:r>
    <w:r>
      <w:rPr>
        <w:rFonts w:ascii="Times New Roman" w:hAnsi="Times New Roman"/>
        <w:noProof/>
        <w:sz w:val="20"/>
        <w:lang w:val="lv-LV"/>
      </w:rPr>
      <w:t>0112_nauda</w:t>
    </w:r>
    <w:r w:rsidRPr="00AE249A">
      <w:rPr>
        <w:rFonts w:ascii="Times New Roman" w:hAnsi="Times New Roman"/>
        <w:sz w:val="20"/>
        <w:lang w:val="lv-LV"/>
      </w:rPr>
      <w:fldChar w:fldCharType="end"/>
    </w:r>
    <w:r w:rsidRPr="00AE249A">
      <w:rPr>
        <w:rFonts w:ascii="Times New Roman" w:hAnsi="Times New Roman"/>
        <w:sz w:val="20"/>
        <w:lang w:val="lv-LV"/>
      </w:rPr>
      <w:t xml:space="preserve">; </w:t>
    </w:r>
    <w:r>
      <w:rPr>
        <w:rFonts w:ascii="Times New Roman" w:hAnsi="Times New Roman"/>
        <w:sz w:val="20"/>
        <w:lang w:val="lv-LV"/>
      </w:rPr>
      <w:t>Ministru kabineta noteikumu projekta „</w:t>
    </w:r>
    <w:r w:rsidRPr="003A66A2">
      <w:rPr>
        <w:rFonts w:ascii="Times New Roman" w:hAnsi="Times New Roman"/>
        <w:sz w:val="20"/>
        <w:lang w:val="lv-LV"/>
      </w:rPr>
      <w:t>Fizisko personu skaidras naudas uzkrājumu iemaksas kontā kredītiestādē kārtība</w:t>
    </w:r>
    <w:r>
      <w:rPr>
        <w:rFonts w:ascii="Times New Roman" w:hAnsi="Times New Roman"/>
        <w:sz w:val="20"/>
        <w:lang w:val="lv-LV"/>
      </w:rPr>
      <w:t xml:space="preserve">” </w:t>
    </w:r>
    <w:r w:rsidRPr="00BD4499">
      <w:rPr>
        <w:rFonts w:ascii="Times New Roman" w:hAnsi="Times New Roman"/>
        <w:sz w:val="20"/>
        <w:lang w:val="lv-LV"/>
      </w:rPr>
      <w:t xml:space="preserve">sākotnējās ietekmes novērtējuma </w:t>
    </w:r>
    <w:smartTag w:uri="schemas-tilde-lv/tildestengine" w:element="veidnes">
      <w:smartTagPr>
        <w:attr w:name="text" w:val="ziņojums"/>
        <w:attr w:name="baseform" w:val="ziтojums"/>
        <w:attr w:name="id" w:val="-1"/>
      </w:smartTagPr>
      <w:r w:rsidRPr="00BD4499">
        <w:rPr>
          <w:rFonts w:ascii="Times New Roman" w:hAnsi="Times New Roman"/>
          <w:sz w:val="20"/>
          <w:lang w:val="lv-LV"/>
        </w:rPr>
        <w:t>ziņojums</w:t>
      </w:r>
    </w:smartTag>
    <w:r w:rsidRPr="00BD4499">
      <w:rPr>
        <w:rFonts w:ascii="Times New Roman" w:hAnsi="Times New Roman"/>
        <w:sz w:val="20"/>
        <w:lang w:val="lv-LV"/>
      </w:rPr>
      <w:t xml:space="preserve"> (anotācija)</w:t>
    </w:r>
  </w:p>
  <w:p w:rsidR="00453919" w:rsidRDefault="0045391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19" w:rsidRDefault="00453919" w:rsidP="00AE3439">
    <w:pPr>
      <w:spacing w:after="0" w:line="240" w:lineRule="auto"/>
      <w:jc w:val="both"/>
    </w:pPr>
    <w:r w:rsidRPr="00AE249A">
      <w:rPr>
        <w:rFonts w:ascii="Times New Roman" w:hAnsi="Times New Roman"/>
        <w:sz w:val="20"/>
        <w:lang w:val="lv-LV"/>
      </w:rPr>
      <w:fldChar w:fldCharType="begin"/>
    </w:r>
    <w:r w:rsidRPr="00AE249A">
      <w:rPr>
        <w:rFonts w:ascii="Times New Roman" w:hAnsi="Times New Roman"/>
        <w:sz w:val="20"/>
        <w:lang w:val="lv-LV"/>
      </w:rPr>
      <w:instrText xml:space="preserve"> FILENAME  \* MERGEFORMAT </w:instrText>
    </w:r>
    <w:r w:rsidRPr="00AE249A">
      <w:rPr>
        <w:rFonts w:ascii="Times New Roman" w:hAnsi="Times New Roman"/>
        <w:sz w:val="20"/>
        <w:lang w:val="lv-LV"/>
      </w:rPr>
      <w:fldChar w:fldCharType="separate"/>
    </w:r>
    <w:r>
      <w:rPr>
        <w:rFonts w:ascii="Times New Roman" w:hAnsi="Times New Roman"/>
        <w:noProof/>
        <w:sz w:val="20"/>
        <w:lang w:val="lv-LV"/>
      </w:rPr>
      <w:t>FMAnot_100112_nauda</w:t>
    </w:r>
    <w:r w:rsidRPr="00AE249A">
      <w:rPr>
        <w:rFonts w:ascii="Times New Roman" w:hAnsi="Times New Roman"/>
        <w:sz w:val="20"/>
        <w:lang w:val="lv-LV"/>
      </w:rPr>
      <w:fldChar w:fldCharType="end"/>
    </w:r>
    <w:r w:rsidRPr="00AE249A">
      <w:rPr>
        <w:rFonts w:ascii="Times New Roman" w:hAnsi="Times New Roman"/>
        <w:sz w:val="20"/>
        <w:lang w:val="lv-LV"/>
      </w:rPr>
      <w:t xml:space="preserve">; </w:t>
    </w:r>
    <w:r>
      <w:rPr>
        <w:rFonts w:ascii="Times New Roman" w:hAnsi="Times New Roman"/>
        <w:sz w:val="20"/>
        <w:lang w:val="lv-LV"/>
      </w:rPr>
      <w:t xml:space="preserve">Ministru kabineta noteikumu projekta „Skaidras naudas uzkrājumu iemaksas kārtība” </w:t>
    </w:r>
    <w:r w:rsidRPr="00BD4499">
      <w:rPr>
        <w:rFonts w:ascii="Times New Roman" w:hAnsi="Times New Roman"/>
        <w:sz w:val="20"/>
        <w:lang w:val="lv-LV"/>
      </w:rPr>
      <w:t xml:space="preserve">sākotnējās ietekmes novērtējuma </w:t>
    </w:r>
    <w:smartTag w:uri="schemas-tilde-lv/tildestengine" w:element="veidnes">
      <w:smartTagPr>
        <w:attr w:name="text" w:val="ziņojums"/>
        <w:attr w:name="baseform" w:val="ziтojums"/>
        <w:attr w:name="id" w:val="-1"/>
      </w:smartTagPr>
      <w:r w:rsidRPr="00BD4499">
        <w:rPr>
          <w:rFonts w:ascii="Times New Roman" w:hAnsi="Times New Roman"/>
          <w:sz w:val="20"/>
          <w:lang w:val="lv-LV"/>
        </w:rPr>
        <w:t>ziņojums</w:t>
      </w:r>
    </w:smartTag>
    <w:r w:rsidRPr="00BD4499">
      <w:rPr>
        <w:rFonts w:ascii="Times New Roman" w:hAnsi="Times New Roman"/>
        <w:sz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19" w:rsidRDefault="00453919">
      <w:r>
        <w:separator/>
      </w:r>
    </w:p>
  </w:footnote>
  <w:footnote w:type="continuationSeparator" w:id="0">
    <w:p w:rsidR="00453919" w:rsidRDefault="0045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41825"/>
      <w:docPartObj>
        <w:docPartGallery w:val="Page Numbers (Top of Page)"/>
        <w:docPartUnique/>
      </w:docPartObj>
    </w:sdtPr>
    <w:sdtEndPr>
      <w:rPr>
        <w:noProof/>
      </w:rPr>
    </w:sdtEndPr>
    <w:sdtContent>
      <w:p w:rsidR="00453919" w:rsidRDefault="00453919" w:rsidP="00AE3439">
        <w:pPr>
          <w:pStyle w:val="Header"/>
          <w:jc w:val="center"/>
        </w:pPr>
        <w:r>
          <w:fldChar w:fldCharType="begin"/>
        </w:r>
        <w:r>
          <w:instrText xml:space="preserve"> PAGE   \* MERGEFORMAT </w:instrText>
        </w:r>
        <w:r>
          <w:fldChar w:fldCharType="separate"/>
        </w:r>
        <w:r w:rsidR="00526E6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992"/>
    <w:multiLevelType w:val="hybridMultilevel"/>
    <w:tmpl w:val="561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1800E9"/>
    <w:multiLevelType w:val="hybridMultilevel"/>
    <w:tmpl w:val="994A4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9A3D9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68"/>
    <w:rsid w:val="00022E8B"/>
    <w:rsid w:val="000240FF"/>
    <w:rsid w:val="0005747B"/>
    <w:rsid w:val="00063E9F"/>
    <w:rsid w:val="00064777"/>
    <w:rsid w:val="000A7DBA"/>
    <w:rsid w:val="000C689B"/>
    <w:rsid w:val="000D0C1A"/>
    <w:rsid w:val="000E2CF8"/>
    <w:rsid w:val="000F3627"/>
    <w:rsid w:val="0010266C"/>
    <w:rsid w:val="001034F9"/>
    <w:rsid w:val="00122F33"/>
    <w:rsid w:val="00147D1D"/>
    <w:rsid w:val="00150D6C"/>
    <w:rsid w:val="001747B4"/>
    <w:rsid w:val="00174F8E"/>
    <w:rsid w:val="00195114"/>
    <w:rsid w:val="001D4A20"/>
    <w:rsid w:val="001F1E36"/>
    <w:rsid w:val="00204E76"/>
    <w:rsid w:val="00223922"/>
    <w:rsid w:val="00227012"/>
    <w:rsid w:val="0024266B"/>
    <w:rsid w:val="00270A9F"/>
    <w:rsid w:val="00276BCC"/>
    <w:rsid w:val="002A4098"/>
    <w:rsid w:val="002D4A92"/>
    <w:rsid w:val="002E2C58"/>
    <w:rsid w:val="002F66A7"/>
    <w:rsid w:val="0032283D"/>
    <w:rsid w:val="003312A1"/>
    <w:rsid w:val="00353A70"/>
    <w:rsid w:val="00355873"/>
    <w:rsid w:val="003806D7"/>
    <w:rsid w:val="00397870"/>
    <w:rsid w:val="003A66A2"/>
    <w:rsid w:val="003B0352"/>
    <w:rsid w:val="003F074A"/>
    <w:rsid w:val="003F2E33"/>
    <w:rsid w:val="004321A9"/>
    <w:rsid w:val="0043360A"/>
    <w:rsid w:val="00446E76"/>
    <w:rsid w:val="00447AFC"/>
    <w:rsid w:val="00453919"/>
    <w:rsid w:val="004641B2"/>
    <w:rsid w:val="00476D8C"/>
    <w:rsid w:val="00483652"/>
    <w:rsid w:val="004930C0"/>
    <w:rsid w:val="004C12B2"/>
    <w:rsid w:val="004C5B59"/>
    <w:rsid w:val="00526E67"/>
    <w:rsid w:val="00537195"/>
    <w:rsid w:val="00551DF6"/>
    <w:rsid w:val="00552263"/>
    <w:rsid w:val="005635B9"/>
    <w:rsid w:val="005721E3"/>
    <w:rsid w:val="00575E26"/>
    <w:rsid w:val="00594B90"/>
    <w:rsid w:val="005A3C2B"/>
    <w:rsid w:val="00600C33"/>
    <w:rsid w:val="0060769B"/>
    <w:rsid w:val="0061226A"/>
    <w:rsid w:val="006143C3"/>
    <w:rsid w:val="006437B1"/>
    <w:rsid w:val="00653673"/>
    <w:rsid w:val="006804F4"/>
    <w:rsid w:val="00712573"/>
    <w:rsid w:val="007578E1"/>
    <w:rsid w:val="00772172"/>
    <w:rsid w:val="007B634F"/>
    <w:rsid w:val="007B643B"/>
    <w:rsid w:val="007E4CE2"/>
    <w:rsid w:val="00802B4B"/>
    <w:rsid w:val="00813586"/>
    <w:rsid w:val="008801FA"/>
    <w:rsid w:val="00894685"/>
    <w:rsid w:val="009213F8"/>
    <w:rsid w:val="00947E68"/>
    <w:rsid w:val="0095588D"/>
    <w:rsid w:val="009616C1"/>
    <w:rsid w:val="00973460"/>
    <w:rsid w:val="009A0FD1"/>
    <w:rsid w:val="009A21F4"/>
    <w:rsid w:val="009E530E"/>
    <w:rsid w:val="00A061E2"/>
    <w:rsid w:val="00A16A29"/>
    <w:rsid w:val="00A55F8D"/>
    <w:rsid w:val="00A74EE2"/>
    <w:rsid w:val="00AB74FF"/>
    <w:rsid w:val="00AE3439"/>
    <w:rsid w:val="00B043C1"/>
    <w:rsid w:val="00B35A77"/>
    <w:rsid w:val="00B47939"/>
    <w:rsid w:val="00B619D2"/>
    <w:rsid w:val="00B672C3"/>
    <w:rsid w:val="00B85305"/>
    <w:rsid w:val="00BD4499"/>
    <w:rsid w:val="00BF6E35"/>
    <w:rsid w:val="00C32090"/>
    <w:rsid w:val="00C84600"/>
    <w:rsid w:val="00CA3EB0"/>
    <w:rsid w:val="00CB5349"/>
    <w:rsid w:val="00CE6527"/>
    <w:rsid w:val="00D03EE3"/>
    <w:rsid w:val="00D066CC"/>
    <w:rsid w:val="00D23261"/>
    <w:rsid w:val="00D33048"/>
    <w:rsid w:val="00D37305"/>
    <w:rsid w:val="00D40F5C"/>
    <w:rsid w:val="00D6371D"/>
    <w:rsid w:val="00D64469"/>
    <w:rsid w:val="00D850C9"/>
    <w:rsid w:val="00D90095"/>
    <w:rsid w:val="00DF335A"/>
    <w:rsid w:val="00E23E5B"/>
    <w:rsid w:val="00E306EE"/>
    <w:rsid w:val="00E35998"/>
    <w:rsid w:val="00E9044A"/>
    <w:rsid w:val="00EE32C8"/>
    <w:rsid w:val="00EF0EEC"/>
    <w:rsid w:val="00F259BB"/>
    <w:rsid w:val="00F368B4"/>
    <w:rsid w:val="00F47077"/>
    <w:rsid w:val="00F7136B"/>
    <w:rsid w:val="00FC5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E68"/>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47E68"/>
    <w:pPr>
      <w:spacing w:before="100" w:beforeAutospacing="1" w:after="100" w:afterAutospacing="1" w:line="240" w:lineRule="auto"/>
    </w:pPr>
    <w:rPr>
      <w:rFonts w:ascii="Times New Roman" w:eastAsia="Calibri" w:hAnsi="Times New Roman"/>
      <w:color w:val="000000"/>
      <w:sz w:val="24"/>
      <w:szCs w:val="24"/>
      <w:lang w:val="lv-LV" w:eastAsia="lv-LV"/>
    </w:rPr>
  </w:style>
  <w:style w:type="paragraph" w:styleId="Footer">
    <w:name w:val="footer"/>
    <w:basedOn w:val="Normal"/>
    <w:link w:val="FooterChar"/>
    <w:rsid w:val="00947E68"/>
    <w:pPr>
      <w:tabs>
        <w:tab w:val="center" w:pos="4153"/>
        <w:tab w:val="right" w:pos="8306"/>
      </w:tabs>
      <w:spacing w:after="0" w:line="240" w:lineRule="auto"/>
    </w:pPr>
  </w:style>
  <w:style w:type="character" w:customStyle="1" w:styleId="FooterChar">
    <w:name w:val="Footer Char"/>
    <w:link w:val="Footer"/>
    <w:locked/>
    <w:rsid w:val="00947E68"/>
    <w:rPr>
      <w:rFonts w:ascii="Calibri" w:hAnsi="Calibri"/>
      <w:sz w:val="22"/>
      <w:szCs w:val="22"/>
      <w:lang w:val="en-US" w:eastAsia="en-US" w:bidi="ar-SA"/>
    </w:rPr>
  </w:style>
  <w:style w:type="paragraph" w:styleId="Header">
    <w:name w:val="header"/>
    <w:basedOn w:val="Normal"/>
    <w:link w:val="HeaderChar"/>
    <w:uiPriority w:val="99"/>
    <w:rsid w:val="00813586"/>
    <w:pPr>
      <w:tabs>
        <w:tab w:val="center" w:pos="4153"/>
        <w:tab w:val="right" w:pos="8306"/>
      </w:tabs>
    </w:pPr>
  </w:style>
  <w:style w:type="character" w:customStyle="1" w:styleId="HeaderChar">
    <w:name w:val="Header Char"/>
    <w:link w:val="Header"/>
    <w:uiPriority w:val="99"/>
    <w:rsid w:val="00813586"/>
    <w:rPr>
      <w:rFonts w:ascii="Calibri" w:hAnsi="Calibri"/>
      <w:sz w:val="22"/>
      <w:szCs w:val="22"/>
      <w:lang w:val="en-US" w:eastAsia="en-US"/>
    </w:rPr>
  </w:style>
  <w:style w:type="paragraph" w:styleId="ListParagraph">
    <w:name w:val="List Paragraph"/>
    <w:basedOn w:val="Normal"/>
    <w:uiPriority w:val="34"/>
    <w:qFormat/>
    <w:rsid w:val="000A7DBA"/>
    <w:pPr>
      <w:ind w:left="720"/>
      <w:contextualSpacing/>
    </w:pPr>
  </w:style>
  <w:style w:type="character" w:styleId="CommentReference">
    <w:name w:val="annotation reference"/>
    <w:basedOn w:val="DefaultParagraphFont"/>
    <w:rsid w:val="006437B1"/>
    <w:rPr>
      <w:sz w:val="16"/>
      <w:szCs w:val="16"/>
    </w:rPr>
  </w:style>
  <w:style w:type="paragraph" w:styleId="CommentText">
    <w:name w:val="annotation text"/>
    <w:basedOn w:val="Normal"/>
    <w:link w:val="CommentTextChar"/>
    <w:rsid w:val="006437B1"/>
    <w:pPr>
      <w:spacing w:line="240" w:lineRule="auto"/>
    </w:pPr>
    <w:rPr>
      <w:sz w:val="20"/>
      <w:szCs w:val="20"/>
    </w:rPr>
  </w:style>
  <w:style w:type="character" w:customStyle="1" w:styleId="CommentTextChar">
    <w:name w:val="Comment Text Char"/>
    <w:basedOn w:val="DefaultParagraphFont"/>
    <w:link w:val="CommentText"/>
    <w:rsid w:val="006437B1"/>
    <w:rPr>
      <w:rFonts w:ascii="Calibri" w:hAnsi="Calibri"/>
      <w:lang w:val="en-US" w:eastAsia="en-US"/>
    </w:rPr>
  </w:style>
  <w:style w:type="paragraph" w:styleId="CommentSubject">
    <w:name w:val="annotation subject"/>
    <w:basedOn w:val="CommentText"/>
    <w:next w:val="CommentText"/>
    <w:link w:val="CommentSubjectChar"/>
    <w:rsid w:val="006437B1"/>
    <w:rPr>
      <w:b/>
      <w:bCs/>
    </w:rPr>
  </w:style>
  <w:style w:type="character" w:customStyle="1" w:styleId="CommentSubjectChar">
    <w:name w:val="Comment Subject Char"/>
    <w:basedOn w:val="CommentTextChar"/>
    <w:link w:val="CommentSubject"/>
    <w:rsid w:val="006437B1"/>
    <w:rPr>
      <w:rFonts w:ascii="Calibri" w:hAnsi="Calibri"/>
      <w:b/>
      <w:bCs/>
      <w:lang w:val="en-US" w:eastAsia="en-US"/>
    </w:rPr>
  </w:style>
  <w:style w:type="paragraph" w:styleId="BalloonText">
    <w:name w:val="Balloon Text"/>
    <w:basedOn w:val="Normal"/>
    <w:link w:val="BalloonTextChar"/>
    <w:rsid w:val="0064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37B1"/>
    <w:rPr>
      <w:rFonts w:ascii="Tahoma" w:hAnsi="Tahoma" w:cs="Tahoma"/>
      <w:sz w:val="16"/>
      <w:szCs w:val="16"/>
      <w:lang w:val="en-US" w:eastAsia="en-US"/>
    </w:rPr>
  </w:style>
  <w:style w:type="character" w:styleId="Hyperlink">
    <w:name w:val="Hyperlink"/>
    <w:basedOn w:val="DefaultParagraphFont"/>
    <w:rsid w:val="00575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E68"/>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47E68"/>
    <w:pPr>
      <w:spacing w:before="100" w:beforeAutospacing="1" w:after="100" w:afterAutospacing="1" w:line="240" w:lineRule="auto"/>
    </w:pPr>
    <w:rPr>
      <w:rFonts w:ascii="Times New Roman" w:eastAsia="Calibri" w:hAnsi="Times New Roman"/>
      <w:color w:val="000000"/>
      <w:sz w:val="24"/>
      <w:szCs w:val="24"/>
      <w:lang w:val="lv-LV" w:eastAsia="lv-LV"/>
    </w:rPr>
  </w:style>
  <w:style w:type="paragraph" w:styleId="Footer">
    <w:name w:val="footer"/>
    <w:basedOn w:val="Normal"/>
    <w:link w:val="FooterChar"/>
    <w:rsid w:val="00947E68"/>
    <w:pPr>
      <w:tabs>
        <w:tab w:val="center" w:pos="4153"/>
        <w:tab w:val="right" w:pos="8306"/>
      </w:tabs>
      <w:spacing w:after="0" w:line="240" w:lineRule="auto"/>
    </w:pPr>
  </w:style>
  <w:style w:type="character" w:customStyle="1" w:styleId="FooterChar">
    <w:name w:val="Footer Char"/>
    <w:link w:val="Footer"/>
    <w:locked/>
    <w:rsid w:val="00947E68"/>
    <w:rPr>
      <w:rFonts w:ascii="Calibri" w:hAnsi="Calibri"/>
      <w:sz w:val="22"/>
      <w:szCs w:val="22"/>
      <w:lang w:val="en-US" w:eastAsia="en-US" w:bidi="ar-SA"/>
    </w:rPr>
  </w:style>
  <w:style w:type="paragraph" w:styleId="Header">
    <w:name w:val="header"/>
    <w:basedOn w:val="Normal"/>
    <w:link w:val="HeaderChar"/>
    <w:uiPriority w:val="99"/>
    <w:rsid w:val="00813586"/>
    <w:pPr>
      <w:tabs>
        <w:tab w:val="center" w:pos="4153"/>
        <w:tab w:val="right" w:pos="8306"/>
      </w:tabs>
    </w:pPr>
  </w:style>
  <w:style w:type="character" w:customStyle="1" w:styleId="HeaderChar">
    <w:name w:val="Header Char"/>
    <w:link w:val="Header"/>
    <w:uiPriority w:val="99"/>
    <w:rsid w:val="00813586"/>
    <w:rPr>
      <w:rFonts w:ascii="Calibri" w:hAnsi="Calibri"/>
      <w:sz w:val="22"/>
      <w:szCs w:val="22"/>
      <w:lang w:val="en-US" w:eastAsia="en-US"/>
    </w:rPr>
  </w:style>
  <w:style w:type="paragraph" w:styleId="ListParagraph">
    <w:name w:val="List Paragraph"/>
    <w:basedOn w:val="Normal"/>
    <w:uiPriority w:val="34"/>
    <w:qFormat/>
    <w:rsid w:val="000A7DBA"/>
    <w:pPr>
      <w:ind w:left="720"/>
      <w:contextualSpacing/>
    </w:pPr>
  </w:style>
  <w:style w:type="character" w:styleId="CommentReference">
    <w:name w:val="annotation reference"/>
    <w:basedOn w:val="DefaultParagraphFont"/>
    <w:rsid w:val="006437B1"/>
    <w:rPr>
      <w:sz w:val="16"/>
      <w:szCs w:val="16"/>
    </w:rPr>
  </w:style>
  <w:style w:type="paragraph" w:styleId="CommentText">
    <w:name w:val="annotation text"/>
    <w:basedOn w:val="Normal"/>
    <w:link w:val="CommentTextChar"/>
    <w:rsid w:val="006437B1"/>
    <w:pPr>
      <w:spacing w:line="240" w:lineRule="auto"/>
    </w:pPr>
    <w:rPr>
      <w:sz w:val="20"/>
      <w:szCs w:val="20"/>
    </w:rPr>
  </w:style>
  <w:style w:type="character" w:customStyle="1" w:styleId="CommentTextChar">
    <w:name w:val="Comment Text Char"/>
    <w:basedOn w:val="DefaultParagraphFont"/>
    <w:link w:val="CommentText"/>
    <w:rsid w:val="006437B1"/>
    <w:rPr>
      <w:rFonts w:ascii="Calibri" w:hAnsi="Calibri"/>
      <w:lang w:val="en-US" w:eastAsia="en-US"/>
    </w:rPr>
  </w:style>
  <w:style w:type="paragraph" w:styleId="CommentSubject">
    <w:name w:val="annotation subject"/>
    <w:basedOn w:val="CommentText"/>
    <w:next w:val="CommentText"/>
    <w:link w:val="CommentSubjectChar"/>
    <w:rsid w:val="006437B1"/>
    <w:rPr>
      <w:b/>
      <w:bCs/>
    </w:rPr>
  </w:style>
  <w:style w:type="character" w:customStyle="1" w:styleId="CommentSubjectChar">
    <w:name w:val="Comment Subject Char"/>
    <w:basedOn w:val="CommentTextChar"/>
    <w:link w:val="CommentSubject"/>
    <w:rsid w:val="006437B1"/>
    <w:rPr>
      <w:rFonts w:ascii="Calibri" w:hAnsi="Calibri"/>
      <w:b/>
      <w:bCs/>
      <w:lang w:val="en-US" w:eastAsia="en-US"/>
    </w:rPr>
  </w:style>
  <w:style w:type="paragraph" w:styleId="BalloonText">
    <w:name w:val="Balloon Text"/>
    <w:basedOn w:val="Normal"/>
    <w:link w:val="BalloonTextChar"/>
    <w:rsid w:val="0064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37B1"/>
    <w:rPr>
      <w:rFonts w:ascii="Tahoma" w:hAnsi="Tahoma" w:cs="Tahoma"/>
      <w:sz w:val="16"/>
      <w:szCs w:val="16"/>
      <w:lang w:val="en-US" w:eastAsia="en-US"/>
    </w:rPr>
  </w:style>
  <w:style w:type="character" w:styleId="Hyperlink">
    <w:name w:val="Hyperlink"/>
    <w:basedOn w:val="DefaultParagraphFont"/>
    <w:rsid w:val="00575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4764">
      <w:bodyDiv w:val="1"/>
      <w:marLeft w:val="0"/>
      <w:marRight w:val="0"/>
      <w:marTop w:val="0"/>
      <w:marBottom w:val="0"/>
      <w:divBdr>
        <w:top w:val="none" w:sz="0" w:space="0" w:color="auto"/>
        <w:left w:val="none" w:sz="0" w:space="0" w:color="auto"/>
        <w:bottom w:val="none" w:sz="0" w:space="0" w:color="auto"/>
        <w:right w:val="none" w:sz="0" w:space="0" w:color="auto"/>
      </w:divBdr>
    </w:div>
    <w:div w:id="689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A853-B8F4-46B0-9E3C-56CF024A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2502</Words>
  <Characters>17827</Characters>
  <Application>Microsoft Office Word</Application>
  <DocSecurity>0</DocSecurity>
  <Lines>148</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interešu konflikta novēršanu valsts amatpersonu darbībā"" sākotnējās ietekmes novērtējuma ziņojums (anotācija)</vt:lpstr>
      <vt:lpstr>Likumprojekts "Grozījumi likumā "Par interešu konflikta novēršanu valsts amatpersonu darbībā"" sākotnējās ietekmes novērtējuma ziņojums (anotācija)</vt:lpstr>
    </vt:vector>
  </TitlesOfParts>
  <Company>SPRK</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„Fizisko personu skaidras naudas uzkrājumu iemaksas kontā kredītiestādē kārtība” sākotnējās ietekmes novērtējuma ziņojums (anotācija)</dc:title>
  <dc:subject>anotācija</dc:subject>
  <dc:creator>J.Salmiņa</dc:creator>
  <dc:description>Jana.Salmina@fm.gov.lv
Tel: 67095517
Fakss: 67095421</dc:description>
  <cp:lastModifiedBy>Windows User</cp:lastModifiedBy>
  <cp:revision>36</cp:revision>
  <dcterms:created xsi:type="dcterms:W3CDTF">2012-01-10T11:17:00Z</dcterms:created>
  <dcterms:modified xsi:type="dcterms:W3CDTF">2012-01-19T14:45:00Z</dcterms:modified>
</cp:coreProperties>
</file>