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C95" w:rsidRPr="00D41C95" w:rsidRDefault="00D41C95" w:rsidP="00D41C95">
      <w:pPr>
        <w:jc w:val="center"/>
        <w:rPr>
          <w:b/>
          <w:sz w:val="28"/>
          <w:szCs w:val="28"/>
        </w:rPr>
      </w:pPr>
      <w:r w:rsidRPr="00D41C95">
        <w:rPr>
          <w:b/>
          <w:sz w:val="28"/>
          <w:szCs w:val="28"/>
        </w:rPr>
        <w:t xml:space="preserve">Ministru kabineta noteikumu projekta </w:t>
      </w:r>
    </w:p>
    <w:p w:rsidR="00D41C95" w:rsidRDefault="00D41C95" w:rsidP="00D41C95">
      <w:pPr>
        <w:jc w:val="center"/>
        <w:rPr>
          <w:b/>
          <w:sz w:val="28"/>
          <w:szCs w:val="28"/>
        </w:rPr>
      </w:pPr>
      <w:r>
        <w:rPr>
          <w:b/>
          <w:sz w:val="28"/>
          <w:szCs w:val="28"/>
        </w:rPr>
        <w:t>„Par Ministru kabineta 1995.gada 18.aprīļa noteikumu Nr.103 „</w:t>
      </w:r>
      <w:r w:rsidRPr="00C84912">
        <w:rPr>
          <w:b/>
          <w:sz w:val="28"/>
          <w:szCs w:val="28"/>
        </w:rPr>
        <w:t>Noteikumi par kārtību, kādā nodokļi, valsts nodevas un citi obligātie maksājumi ieskaitāmi valsts budžetā</w:t>
      </w:r>
      <w:r>
        <w:rPr>
          <w:b/>
          <w:sz w:val="28"/>
          <w:szCs w:val="28"/>
        </w:rPr>
        <w:t>” atzīšanu par spēku zaudējušiem”</w:t>
      </w:r>
    </w:p>
    <w:p w:rsidR="007756FB" w:rsidRPr="00927FB3" w:rsidRDefault="007756FB" w:rsidP="006C37DE">
      <w:pPr>
        <w:pStyle w:val="naislab"/>
        <w:spacing w:before="0" w:after="0"/>
        <w:jc w:val="center"/>
        <w:rPr>
          <w:b/>
          <w:sz w:val="28"/>
          <w:szCs w:val="28"/>
        </w:rPr>
      </w:pPr>
      <w:r w:rsidRPr="00927FB3">
        <w:rPr>
          <w:b/>
          <w:sz w:val="28"/>
          <w:szCs w:val="28"/>
        </w:rPr>
        <w:t>sākotnējās ietekmes novērtējuma ziņojums (anotācija)</w:t>
      </w:r>
    </w:p>
    <w:p w:rsidR="008961E6" w:rsidRPr="003F48E2" w:rsidRDefault="008961E6" w:rsidP="00032C63">
      <w:pPr>
        <w:spacing w:line="270" w:lineRule="atLeast"/>
        <w:jc w:val="both"/>
        <w:rPr>
          <w:rStyle w:val="apple-style-span"/>
          <w:color w:val="000000"/>
          <w:sz w:val="26"/>
          <w:szCs w:val="26"/>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865"/>
        <w:gridCol w:w="4962"/>
      </w:tblGrid>
      <w:tr w:rsidR="00032C63" w:rsidRPr="003F48E2" w:rsidTr="0015480B">
        <w:trPr>
          <w:trHeight w:val="427"/>
        </w:trPr>
        <w:tc>
          <w:tcPr>
            <w:tcW w:w="9323" w:type="dxa"/>
            <w:gridSpan w:val="3"/>
            <w:hideMark/>
          </w:tcPr>
          <w:p w:rsidR="00032C63" w:rsidRPr="003F48E2" w:rsidRDefault="00032C63" w:rsidP="00032C63">
            <w:pPr>
              <w:numPr>
                <w:ilvl w:val="0"/>
                <w:numId w:val="1"/>
              </w:numPr>
              <w:jc w:val="center"/>
              <w:rPr>
                <w:b/>
                <w:bCs/>
                <w:sz w:val="26"/>
                <w:szCs w:val="26"/>
              </w:rPr>
            </w:pPr>
            <w:r w:rsidRPr="003F48E2">
              <w:rPr>
                <w:b/>
                <w:bCs/>
                <w:sz w:val="26"/>
                <w:szCs w:val="26"/>
              </w:rPr>
              <w:t>Tiesību akta projekta izstrādes nepieciešamība</w:t>
            </w:r>
          </w:p>
        </w:tc>
      </w:tr>
      <w:tr w:rsidR="00032C63" w:rsidRPr="003F48E2" w:rsidTr="0015480B">
        <w:trPr>
          <w:trHeight w:val="604"/>
        </w:trPr>
        <w:tc>
          <w:tcPr>
            <w:tcW w:w="496" w:type="dxa"/>
            <w:hideMark/>
          </w:tcPr>
          <w:p w:rsidR="00032C63" w:rsidRPr="003F48E2" w:rsidRDefault="00032C63" w:rsidP="00032C63">
            <w:pPr>
              <w:rPr>
                <w:sz w:val="26"/>
                <w:szCs w:val="26"/>
              </w:rPr>
            </w:pPr>
            <w:r w:rsidRPr="003F48E2">
              <w:rPr>
                <w:sz w:val="26"/>
                <w:szCs w:val="26"/>
              </w:rPr>
              <w:t>1.</w:t>
            </w:r>
          </w:p>
        </w:tc>
        <w:tc>
          <w:tcPr>
            <w:tcW w:w="3865" w:type="dxa"/>
            <w:hideMark/>
          </w:tcPr>
          <w:p w:rsidR="00032C63" w:rsidRPr="003F48E2" w:rsidRDefault="00032C63" w:rsidP="00032C63">
            <w:pPr>
              <w:rPr>
                <w:sz w:val="26"/>
                <w:szCs w:val="26"/>
              </w:rPr>
            </w:pPr>
            <w:r w:rsidRPr="003F48E2">
              <w:rPr>
                <w:sz w:val="26"/>
                <w:szCs w:val="26"/>
              </w:rPr>
              <w:t>Pamatojums</w:t>
            </w:r>
          </w:p>
        </w:tc>
        <w:tc>
          <w:tcPr>
            <w:tcW w:w="4962" w:type="dxa"/>
            <w:hideMark/>
          </w:tcPr>
          <w:p w:rsidR="00032C63" w:rsidRPr="003F48E2" w:rsidRDefault="00172EDD" w:rsidP="00172EDD">
            <w:pPr>
              <w:jc w:val="both"/>
              <w:rPr>
                <w:sz w:val="26"/>
                <w:szCs w:val="26"/>
              </w:rPr>
            </w:pPr>
            <w:r w:rsidRPr="003F48E2">
              <w:rPr>
                <w:sz w:val="26"/>
                <w:szCs w:val="26"/>
              </w:rPr>
              <w:t xml:space="preserve">Ministru prezidenta </w:t>
            </w:r>
            <w:r w:rsidRPr="003F48E2">
              <w:rPr>
                <w:rFonts w:eastAsia="Calibri"/>
                <w:color w:val="000000"/>
                <w:sz w:val="26"/>
                <w:szCs w:val="26"/>
              </w:rPr>
              <w:t xml:space="preserve">2013.gada 14.novembra </w:t>
            </w:r>
            <w:r w:rsidRPr="003F48E2">
              <w:rPr>
                <w:sz w:val="26"/>
                <w:szCs w:val="26"/>
              </w:rPr>
              <w:t>rezolūcija</w:t>
            </w:r>
            <w:r w:rsidRPr="003F48E2">
              <w:rPr>
                <w:rFonts w:eastAsia="Calibri"/>
                <w:color w:val="000000"/>
                <w:sz w:val="26"/>
                <w:szCs w:val="26"/>
              </w:rPr>
              <w:t xml:space="preserve"> Nr.111-1/115</w:t>
            </w:r>
            <w:r w:rsidRPr="003F48E2">
              <w:rPr>
                <w:sz w:val="26"/>
                <w:szCs w:val="26"/>
              </w:rPr>
              <w:t>.</w:t>
            </w:r>
          </w:p>
        </w:tc>
      </w:tr>
      <w:tr w:rsidR="00032C63" w:rsidRPr="003F48E2" w:rsidTr="0015480B">
        <w:tc>
          <w:tcPr>
            <w:tcW w:w="496" w:type="dxa"/>
            <w:hideMark/>
          </w:tcPr>
          <w:p w:rsidR="00032C63" w:rsidRPr="003F48E2" w:rsidRDefault="00032C63" w:rsidP="00032C63">
            <w:pPr>
              <w:rPr>
                <w:sz w:val="26"/>
                <w:szCs w:val="26"/>
              </w:rPr>
            </w:pPr>
            <w:r w:rsidRPr="003F48E2">
              <w:rPr>
                <w:sz w:val="26"/>
                <w:szCs w:val="26"/>
              </w:rPr>
              <w:t>2.</w:t>
            </w:r>
          </w:p>
        </w:tc>
        <w:tc>
          <w:tcPr>
            <w:tcW w:w="3865" w:type="dxa"/>
            <w:hideMark/>
          </w:tcPr>
          <w:p w:rsidR="00032C63" w:rsidRPr="003F48E2" w:rsidRDefault="00032C63" w:rsidP="00032C63">
            <w:pPr>
              <w:rPr>
                <w:sz w:val="26"/>
                <w:szCs w:val="26"/>
              </w:rPr>
            </w:pPr>
            <w:r w:rsidRPr="003F48E2">
              <w:rPr>
                <w:sz w:val="26"/>
                <w:szCs w:val="26"/>
              </w:rPr>
              <w:t>Pašreizējā situācija un problēmas</w:t>
            </w:r>
          </w:p>
        </w:tc>
        <w:tc>
          <w:tcPr>
            <w:tcW w:w="4962" w:type="dxa"/>
            <w:hideMark/>
          </w:tcPr>
          <w:p w:rsidR="00927FB3" w:rsidRPr="003F48E2" w:rsidRDefault="00927FB3" w:rsidP="00927FB3">
            <w:pPr>
              <w:pStyle w:val="Bodytext30"/>
              <w:shd w:val="clear" w:color="auto" w:fill="auto"/>
              <w:spacing w:before="0" w:after="0" w:line="240" w:lineRule="auto"/>
              <w:ind w:left="40" w:right="23" w:firstLine="740"/>
              <w:jc w:val="both"/>
              <w:rPr>
                <w:b w:val="0"/>
                <w:sz w:val="26"/>
                <w:szCs w:val="26"/>
              </w:rPr>
            </w:pPr>
            <w:r w:rsidRPr="003F48E2">
              <w:rPr>
                <w:b w:val="0"/>
                <w:sz w:val="26"/>
                <w:szCs w:val="26"/>
              </w:rPr>
              <w:t>Ministru kabineta 1995.gada 18.aprīļa noteikumos Nr.103 „Noteikumi par kārtību, kādā nodokļi, valsts nodevas un citi obligātie maksājumi ieskaitāmi valsts budžetā” bija noteikta kārtība, kādā veica nodokļu, valsts nodevu un citu obligāto maksājumu iemaksu. Ņemot vērā, ka noteikumi aktualitāti bija zaudējuši, pamatojoties uz Likuma par budžetu un finanšu vadību 25.panta 1</w:t>
            </w:r>
            <w:r w:rsidRPr="003F48E2">
              <w:rPr>
                <w:b w:val="0"/>
                <w:sz w:val="26"/>
                <w:szCs w:val="26"/>
                <w:vertAlign w:val="superscript"/>
              </w:rPr>
              <w:t>1</w:t>
            </w:r>
            <w:r w:rsidRPr="003F48E2">
              <w:rPr>
                <w:b w:val="0"/>
                <w:sz w:val="26"/>
                <w:szCs w:val="26"/>
              </w:rPr>
              <w:t xml:space="preserve"> daļu tika sagatavoti jauni Ministru kabineta 2010.gada 12.oktobra noteikumi Nr.972 „Noteikumi par kārtību, kā veicami maksājumi valsts budžetā un tie atzīstami par saņemtiem, un prasībām tiešsaistes maksājumu pakalpojumu izmantošanai norēķinos ar valsts budžetu”.</w:t>
            </w:r>
          </w:p>
          <w:p w:rsidR="00927FB3" w:rsidRPr="003F48E2" w:rsidRDefault="00927FB3" w:rsidP="00927FB3">
            <w:pPr>
              <w:pStyle w:val="Bodytext30"/>
              <w:shd w:val="clear" w:color="auto" w:fill="auto"/>
              <w:spacing w:before="0" w:after="0" w:line="240" w:lineRule="auto"/>
              <w:ind w:left="40" w:right="23" w:firstLine="740"/>
              <w:jc w:val="both"/>
              <w:rPr>
                <w:b w:val="0"/>
                <w:sz w:val="26"/>
                <w:szCs w:val="26"/>
              </w:rPr>
            </w:pPr>
            <w:r w:rsidRPr="003F48E2">
              <w:rPr>
                <w:b w:val="0"/>
                <w:sz w:val="26"/>
                <w:szCs w:val="26"/>
              </w:rPr>
              <w:t>Tādējādi šobrīd kārtību, kā veicami tiesību aktos noteiktie maksājumi valsts budžetā nosaka Ministru kabineta 2010.gada 12.oktobra noteikumi Nr.972 „Noteikumi par kārtību, kā veicami maksājumi valsts budžetā un tie atzīstami par saņemtiem, un prasībām tiešsaistes maksājumu pakalpojumu izmantošanai norēķinos ar valsts budžetu.</w:t>
            </w:r>
            <w:r w:rsidR="00EF1E87" w:rsidRPr="003F48E2">
              <w:rPr>
                <w:b w:val="0"/>
                <w:sz w:val="26"/>
                <w:szCs w:val="26"/>
              </w:rPr>
              <w:t>”</w:t>
            </w:r>
            <w:r w:rsidRPr="003F48E2">
              <w:rPr>
                <w:b w:val="0"/>
                <w:sz w:val="26"/>
                <w:szCs w:val="26"/>
              </w:rPr>
              <w:t xml:space="preserve"> </w:t>
            </w:r>
          </w:p>
          <w:p w:rsidR="00927FB3" w:rsidRPr="003F48E2" w:rsidRDefault="00927FB3" w:rsidP="00927FB3">
            <w:pPr>
              <w:pStyle w:val="Bodytext30"/>
              <w:shd w:val="clear" w:color="auto" w:fill="auto"/>
              <w:spacing w:before="0" w:after="0" w:line="240" w:lineRule="auto"/>
              <w:ind w:left="40" w:right="23" w:firstLine="740"/>
              <w:jc w:val="both"/>
              <w:rPr>
                <w:b w:val="0"/>
                <w:sz w:val="26"/>
                <w:szCs w:val="26"/>
              </w:rPr>
            </w:pPr>
            <w:r w:rsidRPr="003F48E2">
              <w:rPr>
                <w:b w:val="0"/>
                <w:sz w:val="26"/>
                <w:szCs w:val="26"/>
              </w:rPr>
              <w:t>Savukārt tiesiskai skaidrībai un normatīvo aktu sakārtošanai Ministru kabineta 1995.gada 18.aprīļa noteikumi Nr.103 „Noteikumi par kārtību, kādā nodokļi, valsts nodevas un citi obligātie maksājumi ieskaitāmi valsts budžetā” ir atzīstami par spēku zaudējušiem.</w:t>
            </w:r>
          </w:p>
          <w:p w:rsidR="00F95AE9" w:rsidRPr="003F48E2" w:rsidRDefault="00F95AE9" w:rsidP="00F95AE9">
            <w:pPr>
              <w:pStyle w:val="Bodytext30"/>
              <w:shd w:val="clear" w:color="auto" w:fill="auto"/>
              <w:spacing w:before="0" w:after="0" w:line="240" w:lineRule="auto"/>
              <w:ind w:left="40" w:right="23" w:firstLine="740"/>
              <w:jc w:val="both"/>
              <w:rPr>
                <w:b w:val="0"/>
                <w:sz w:val="26"/>
                <w:szCs w:val="26"/>
              </w:rPr>
            </w:pPr>
          </w:p>
        </w:tc>
      </w:tr>
      <w:tr w:rsidR="00032C63" w:rsidRPr="003F48E2" w:rsidTr="0015480B">
        <w:tc>
          <w:tcPr>
            <w:tcW w:w="496" w:type="dxa"/>
            <w:hideMark/>
          </w:tcPr>
          <w:p w:rsidR="00032C63" w:rsidRPr="003F48E2" w:rsidRDefault="00032C63" w:rsidP="00032C63">
            <w:pPr>
              <w:rPr>
                <w:sz w:val="26"/>
                <w:szCs w:val="26"/>
              </w:rPr>
            </w:pPr>
            <w:r w:rsidRPr="003F48E2">
              <w:rPr>
                <w:sz w:val="26"/>
                <w:szCs w:val="26"/>
              </w:rPr>
              <w:t>3.</w:t>
            </w:r>
          </w:p>
        </w:tc>
        <w:tc>
          <w:tcPr>
            <w:tcW w:w="3865" w:type="dxa"/>
            <w:hideMark/>
          </w:tcPr>
          <w:p w:rsidR="00032C63" w:rsidRPr="003F48E2" w:rsidRDefault="00032C63" w:rsidP="00032C63">
            <w:pPr>
              <w:rPr>
                <w:sz w:val="26"/>
                <w:szCs w:val="26"/>
              </w:rPr>
            </w:pPr>
            <w:r w:rsidRPr="003F48E2">
              <w:rPr>
                <w:sz w:val="26"/>
                <w:szCs w:val="26"/>
              </w:rPr>
              <w:t>Saistītie politikas ietekmes novērtējumi un pētījumi</w:t>
            </w:r>
          </w:p>
        </w:tc>
        <w:tc>
          <w:tcPr>
            <w:tcW w:w="4962" w:type="dxa"/>
            <w:hideMark/>
          </w:tcPr>
          <w:p w:rsidR="00032C63" w:rsidRPr="003F48E2" w:rsidRDefault="00A119B1" w:rsidP="00032C63">
            <w:pPr>
              <w:jc w:val="both"/>
              <w:rPr>
                <w:sz w:val="26"/>
                <w:szCs w:val="26"/>
              </w:rPr>
            </w:pPr>
            <w:r w:rsidRPr="003F48E2">
              <w:rPr>
                <w:sz w:val="26"/>
                <w:szCs w:val="26"/>
              </w:rPr>
              <w:t>Projekts šo jomu neskar</w:t>
            </w:r>
          </w:p>
        </w:tc>
      </w:tr>
      <w:tr w:rsidR="00032C63" w:rsidRPr="003F48E2" w:rsidTr="0015480B">
        <w:tc>
          <w:tcPr>
            <w:tcW w:w="496" w:type="dxa"/>
            <w:hideMark/>
          </w:tcPr>
          <w:p w:rsidR="00032C63" w:rsidRPr="003F48E2" w:rsidRDefault="00032C63" w:rsidP="00032C63">
            <w:pPr>
              <w:rPr>
                <w:sz w:val="26"/>
                <w:szCs w:val="26"/>
              </w:rPr>
            </w:pPr>
            <w:r w:rsidRPr="003F48E2">
              <w:rPr>
                <w:sz w:val="26"/>
                <w:szCs w:val="26"/>
              </w:rPr>
              <w:t>4.</w:t>
            </w:r>
          </w:p>
        </w:tc>
        <w:tc>
          <w:tcPr>
            <w:tcW w:w="3865" w:type="dxa"/>
            <w:hideMark/>
          </w:tcPr>
          <w:p w:rsidR="00032C63" w:rsidRPr="003F48E2" w:rsidRDefault="00032C63" w:rsidP="00032C63">
            <w:pPr>
              <w:rPr>
                <w:sz w:val="26"/>
                <w:szCs w:val="26"/>
              </w:rPr>
            </w:pPr>
            <w:r w:rsidRPr="003F48E2">
              <w:rPr>
                <w:sz w:val="26"/>
                <w:szCs w:val="26"/>
              </w:rPr>
              <w:t>Tiesiskā regulējuma mērķis un būtība</w:t>
            </w:r>
          </w:p>
        </w:tc>
        <w:tc>
          <w:tcPr>
            <w:tcW w:w="4962" w:type="dxa"/>
            <w:hideMark/>
          </w:tcPr>
          <w:p w:rsidR="00AC6F3F" w:rsidRPr="003F48E2" w:rsidRDefault="00AC6F3F" w:rsidP="003F48E2">
            <w:pPr>
              <w:pStyle w:val="Bodytext30"/>
              <w:shd w:val="clear" w:color="auto" w:fill="auto"/>
              <w:spacing w:before="0" w:after="0" w:line="240" w:lineRule="auto"/>
              <w:ind w:left="40" w:right="23" w:firstLine="740"/>
              <w:jc w:val="both"/>
              <w:rPr>
                <w:b w:val="0"/>
                <w:sz w:val="26"/>
                <w:szCs w:val="26"/>
              </w:rPr>
            </w:pPr>
            <w:r w:rsidRPr="003F48E2">
              <w:rPr>
                <w:b w:val="0"/>
                <w:sz w:val="26"/>
                <w:szCs w:val="26"/>
              </w:rPr>
              <w:t xml:space="preserve">Tiesiskai skaidrībai un normatīvo aktu sakārtošanai Ministru kabineta </w:t>
            </w:r>
            <w:r w:rsidRPr="003F48E2">
              <w:rPr>
                <w:b w:val="0"/>
                <w:sz w:val="26"/>
                <w:szCs w:val="26"/>
              </w:rPr>
              <w:lastRenderedPageBreak/>
              <w:t xml:space="preserve">1995.gada 18.aprīļa noteikumi Nr.103 „Noteikumi par kārtību, kādā nodokļi, valsts nodevas un citi obligātie maksājumi ieskaitāmi valsts budžetā” ir atzīstami par spēku zaudējušiem, jo </w:t>
            </w:r>
            <w:r w:rsidR="008D1FB6" w:rsidRPr="003F48E2">
              <w:rPr>
                <w:b w:val="0"/>
                <w:sz w:val="26"/>
                <w:szCs w:val="26"/>
              </w:rPr>
              <w:t>likuma „Par nodokļiem un nodevām” 5. un 10.pantā</w:t>
            </w:r>
            <w:r w:rsidRPr="003F48E2">
              <w:rPr>
                <w:b w:val="0"/>
                <w:sz w:val="26"/>
                <w:szCs w:val="26"/>
              </w:rPr>
              <w:t xml:space="preserve"> nav </w:t>
            </w:r>
            <w:r w:rsidR="008D1FB6" w:rsidRPr="003F48E2">
              <w:rPr>
                <w:b w:val="0"/>
                <w:sz w:val="26"/>
                <w:szCs w:val="26"/>
              </w:rPr>
              <w:t xml:space="preserve">noteikta deleģējuma Ministru kabinetam izdot noteikumus. </w:t>
            </w:r>
            <w:r w:rsidR="003F48E2" w:rsidRPr="003F48E2">
              <w:rPr>
                <w:b w:val="0"/>
                <w:sz w:val="26"/>
                <w:szCs w:val="26"/>
              </w:rPr>
              <w:t>Šobrīd k</w:t>
            </w:r>
            <w:r w:rsidRPr="003F48E2">
              <w:rPr>
                <w:b w:val="0"/>
                <w:sz w:val="26"/>
                <w:szCs w:val="26"/>
              </w:rPr>
              <w:t>ārtību, kā veicami tiesību aktos noteiktie maksājumi valsts budžetā nosaka Ministru kabineta 2010.gada 12.oktobra noteikumi Nr.972 „Noteikumi par kārtību, kā veicami maksājumi valsts budžetā un tie atzīstami par saņemtiem, un prasībām tiešsaistes maksājumu pakalpojumu izmantošanai norēķinos ar valsts budžetu”.</w:t>
            </w:r>
          </w:p>
        </w:tc>
      </w:tr>
      <w:tr w:rsidR="00032C63" w:rsidRPr="003F48E2" w:rsidTr="0015480B">
        <w:tc>
          <w:tcPr>
            <w:tcW w:w="496" w:type="dxa"/>
            <w:hideMark/>
          </w:tcPr>
          <w:p w:rsidR="00032C63" w:rsidRPr="003F48E2" w:rsidRDefault="00032C63" w:rsidP="00032C63">
            <w:pPr>
              <w:rPr>
                <w:sz w:val="26"/>
                <w:szCs w:val="26"/>
              </w:rPr>
            </w:pPr>
            <w:r w:rsidRPr="003F48E2">
              <w:rPr>
                <w:sz w:val="26"/>
                <w:szCs w:val="26"/>
              </w:rPr>
              <w:lastRenderedPageBreak/>
              <w:t>5.</w:t>
            </w:r>
          </w:p>
        </w:tc>
        <w:tc>
          <w:tcPr>
            <w:tcW w:w="3865" w:type="dxa"/>
            <w:hideMark/>
          </w:tcPr>
          <w:p w:rsidR="00032C63" w:rsidRPr="003F48E2" w:rsidRDefault="00032C63" w:rsidP="00032C63">
            <w:pPr>
              <w:rPr>
                <w:sz w:val="26"/>
                <w:szCs w:val="26"/>
              </w:rPr>
            </w:pPr>
            <w:r w:rsidRPr="003F48E2">
              <w:rPr>
                <w:sz w:val="26"/>
                <w:szCs w:val="26"/>
              </w:rPr>
              <w:t>Projekta izstrādē iesaistītās institūcijas</w:t>
            </w:r>
          </w:p>
        </w:tc>
        <w:tc>
          <w:tcPr>
            <w:tcW w:w="4962" w:type="dxa"/>
            <w:hideMark/>
          </w:tcPr>
          <w:p w:rsidR="004E4573" w:rsidRPr="003F48E2" w:rsidRDefault="00032C63" w:rsidP="00927FB3">
            <w:pPr>
              <w:jc w:val="both"/>
              <w:rPr>
                <w:sz w:val="26"/>
                <w:szCs w:val="26"/>
              </w:rPr>
            </w:pPr>
            <w:r w:rsidRPr="003F48E2">
              <w:rPr>
                <w:sz w:val="26"/>
                <w:szCs w:val="26"/>
              </w:rPr>
              <w:t xml:space="preserve">Finanšu ministrija </w:t>
            </w:r>
          </w:p>
        </w:tc>
      </w:tr>
      <w:tr w:rsidR="00032C63" w:rsidRPr="003F48E2" w:rsidTr="0015480B">
        <w:tc>
          <w:tcPr>
            <w:tcW w:w="496" w:type="dxa"/>
            <w:hideMark/>
          </w:tcPr>
          <w:p w:rsidR="00032C63" w:rsidRPr="003F48E2" w:rsidRDefault="00032C63" w:rsidP="00032C63">
            <w:pPr>
              <w:rPr>
                <w:sz w:val="26"/>
                <w:szCs w:val="26"/>
              </w:rPr>
            </w:pPr>
            <w:r w:rsidRPr="003F48E2">
              <w:rPr>
                <w:sz w:val="26"/>
                <w:szCs w:val="26"/>
              </w:rPr>
              <w:t>6.</w:t>
            </w:r>
          </w:p>
        </w:tc>
        <w:tc>
          <w:tcPr>
            <w:tcW w:w="3865" w:type="dxa"/>
            <w:hideMark/>
          </w:tcPr>
          <w:p w:rsidR="00032C63" w:rsidRPr="003F48E2" w:rsidRDefault="00032C63" w:rsidP="00032C63">
            <w:pPr>
              <w:rPr>
                <w:sz w:val="26"/>
                <w:szCs w:val="26"/>
              </w:rPr>
            </w:pPr>
            <w:r w:rsidRPr="003F48E2">
              <w:rPr>
                <w:sz w:val="26"/>
                <w:szCs w:val="26"/>
              </w:rPr>
              <w:t>Iemesli, kādēļ netika nodrošināta sabiedrības līdzdalība</w:t>
            </w:r>
          </w:p>
        </w:tc>
        <w:tc>
          <w:tcPr>
            <w:tcW w:w="4962" w:type="dxa"/>
            <w:hideMark/>
          </w:tcPr>
          <w:p w:rsidR="00347075" w:rsidRPr="003F48E2" w:rsidRDefault="00347075" w:rsidP="007A69C2">
            <w:pPr>
              <w:jc w:val="both"/>
              <w:rPr>
                <w:sz w:val="26"/>
                <w:szCs w:val="26"/>
              </w:rPr>
            </w:pPr>
            <w:r w:rsidRPr="003F48E2">
              <w:rPr>
                <w:sz w:val="26"/>
                <w:szCs w:val="26"/>
              </w:rPr>
              <w:t>Noteikumu projekts neparedz ieviest tādas izmaiņas, kas varētu ietekmēt sabiedrības intereses, bet gan nosaka Ministru kabineta noteikumu atzīšanu par spēku zaudējušiem.</w:t>
            </w:r>
          </w:p>
        </w:tc>
      </w:tr>
      <w:tr w:rsidR="00032C63" w:rsidRPr="003F48E2" w:rsidTr="0015480B">
        <w:tc>
          <w:tcPr>
            <w:tcW w:w="496" w:type="dxa"/>
            <w:hideMark/>
          </w:tcPr>
          <w:p w:rsidR="00032C63" w:rsidRPr="003F48E2" w:rsidRDefault="00032C63" w:rsidP="00032C63">
            <w:pPr>
              <w:rPr>
                <w:sz w:val="26"/>
                <w:szCs w:val="26"/>
              </w:rPr>
            </w:pPr>
            <w:r w:rsidRPr="003F48E2">
              <w:rPr>
                <w:sz w:val="26"/>
                <w:szCs w:val="26"/>
              </w:rPr>
              <w:t>7.</w:t>
            </w:r>
          </w:p>
        </w:tc>
        <w:tc>
          <w:tcPr>
            <w:tcW w:w="3865" w:type="dxa"/>
            <w:hideMark/>
          </w:tcPr>
          <w:p w:rsidR="00032C63" w:rsidRPr="003F48E2" w:rsidRDefault="00032C63" w:rsidP="00032C63">
            <w:pPr>
              <w:rPr>
                <w:sz w:val="26"/>
                <w:szCs w:val="26"/>
              </w:rPr>
            </w:pPr>
            <w:r w:rsidRPr="003F48E2">
              <w:rPr>
                <w:sz w:val="26"/>
                <w:szCs w:val="26"/>
              </w:rPr>
              <w:t>Cita informācija</w:t>
            </w:r>
          </w:p>
        </w:tc>
        <w:tc>
          <w:tcPr>
            <w:tcW w:w="4962" w:type="dxa"/>
            <w:hideMark/>
          </w:tcPr>
          <w:p w:rsidR="00032C63" w:rsidRPr="003F48E2" w:rsidRDefault="00032C63" w:rsidP="00032C63">
            <w:pPr>
              <w:jc w:val="both"/>
              <w:rPr>
                <w:sz w:val="26"/>
                <w:szCs w:val="26"/>
              </w:rPr>
            </w:pPr>
            <w:r w:rsidRPr="003F48E2">
              <w:rPr>
                <w:sz w:val="26"/>
                <w:szCs w:val="26"/>
              </w:rPr>
              <w:t>Nav</w:t>
            </w:r>
          </w:p>
        </w:tc>
      </w:tr>
    </w:tbl>
    <w:p w:rsidR="0015480B" w:rsidRPr="003F48E2" w:rsidRDefault="0015480B" w:rsidP="007756FB">
      <w:pPr>
        <w:rPr>
          <w:sz w:val="26"/>
          <w:szCs w:val="26"/>
        </w:rPr>
      </w:pPr>
      <w:r w:rsidRPr="003F48E2">
        <w:rPr>
          <w:sz w:val="26"/>
          <w:szCs w:val="26"/>
        </w:rPr>
        <w:t>Anotācijas II, III, IV, V</w:t>
      </w:r>
      <w:r w:rsidR="002A417E" w:rsidRPr="003F48E2">
        <w:rPr>
          <w:sz w:val="26"/>
          <w:szCs w:val="26"/>
        </w:rPr>
        <w:t>, VI</w:t>
      </w:r>
      <w:r w:rsidRPr="003F48E2">
        <w:rPr>
          <w:sz w:val="26"/>
          <w:szCs w:val="26"/>
        </w:rPr>
        <w:t xml:space="preserve"> un VII sadaļa – n</w:t>
      </w:r>
      <w:r w:rsidRPr="003F48E2">
        <w:rPr>
          <w:iCs/>
          <w:sz w:val="26"/>
          <w:szCs w:val="26"/>
        </w:rPr>
        <w:t>oteikumu projekts šīs jomas neskar</w:t>
      </w:r>
      <w:r w:rsidRPr="003F48E2">
        <w:rPr>
          <w:sz w:val="26"/>
          <w:szCs w:val="26"/>
        </w:rPr>
        <w:t>.</w:t>
      </w:r>
    </w:p>
    <w:p w:rsidR="0015480B" w:rsidRPr="003F48E2" w:rsidRDefault="0015480B" w:rsidP="007756FB">
      <w:pPr>
        <w:rPr>
          <w:sz w:val="26"/>
          <w:szCs w:val="26"/>
        </w:rPr>
      </w:pPr>
    </w:p>
    <w:p w:rsidR="0015480B" w:rsidRPr="003F48E2" w:rsidRDefault="0015480B" w:rsidP="007756FB">
      <w:pPr>
        <w:rPr>
          <w:sz w:val="26"/>
          <w:szCs w:val="26"/>
        </w:rPr>
      </w:pPr>
    </w:p>
    <w:p w:rsidR="00814F82" w:rsidRDefault="00814F82" w:rsidP="0015480B">
      <w:pPr>
        <w:tabs>
          <w:tab w:val="left" w:pos="7620"/>
        </w:tabs>
        <w:jc w:val="both"/>
        <w:rPr>
          <w:sz w:val="26"/>
          <w:szCs w:val="26"/>
        </w:rPr>
      </w:pPr>
    </w:p>
    <w:p w:rsidR="00814F82" w:rsidRDefault="00814F82" w:rsidP="0015480B">
      <w:pPr>
        <w:tabs>
          <w:tab w:val="left" w:pos="7620"/>
        </w:tabs>
        <w:jc w:val="both"/>
        <w:rPr>
          <w:sz w:val="26"/>
          <w:szCs w:val="26"/>
        </w:rPr>
      </w:pPr>
    </w:p>
    <w:p w:rsidR="0015480B" w:rsidRPr="003F48E2" w:rsidRDefault="00E72C6F" w:rsidP="0015480B">
      <w:pPr>
        <w:tabs>
          <w:tab w:val="left" w:pos="7620"/>
        </w:tabs>
        <w:jc w:val="both"/>
        <w:rPr>
          <w:sz w:val="26"/>
          <w:szCs w:val="26"/>
        </w:rPr>
      </w:pPr>
      <w:r>
        <w:rPr>
          <w:sz w:val="26"/>
          <w:szCs w:val="26"/>
        </w:rPr>
        <w:t>Finanšu ministrs</w:t>
      </w:r>
      <w:r>
        <w:rPr>
          <w:sz w:val="26"/>
          <w:szCs w:val="26"/>
        </w:rPr>
        <w:tab/>
        <w:t>A.Vilks</w:t>
      </w:r>
    </w:p>
    <w:p w:rsidR="0015480B" w:rsidRPr="003F48E2" w:rsidRDefault="0015480B" w:rsidP="0015480B">
      <w:pPr>
        <w:tabs>
          <w:tab w:val="left" w:pos="7620"/>
        </w:tabs>
        <w:jc w:val="both"/>
        <w:rPr>
          <w:sz w:val="26"/>
          <w:szCs w:val="26"/>
        </w:rPr>
      </w:pPr>
    </w:p>
    <w:p w:rsidR="00934026" w:rsidRPr="003F48E2" w:rsidRDefault="00934026" w:rsidP="007756FB">
      <w:pPr>
        <w:rPr>
          <w:sz w:val="26"/>
          <w:szCs w:val="26"/>
        </w:rPr>
      </w:pPr>
    </w:p>
    <w:p w:rsidR="00927FB3" w:rsidRDefault="00927FB3" w:rsidP="007756FB">
      <w:pPr>
        <w:rPr>
          <w:sz w:val="18"/>
          <w:szCs w:val="18"/>
        </w:rPr>
      </w:pPr>
    </w:p>
    <w:p w:rsidR="00927FB3" w:rsidRDefault="00927FB3" w:rsidP="007756FB">
      <w:pPr>
        <w:rPr>
          <w:sz w:val="18"/>
          <w:szCs w:val="18"/>
        </w:rPr>
      </w:pPr>
    </w:p>
    <w:p w:rsidR="00927FB3" w:rsidRDefault="00927FB3" w:rsidP="007756FB">
      <w:pPr>
        <w:rPr>
          <w:sz w:val="18"/>
          <w:szCs w:val="18"/>
        </w:rPr>
      </w:pPr>
    </w:p>
    <w:p w:rsidR="003F48E2" w:rsidRDefault="003F48E2" w:rsidP="007756FB">
      <w:pPr>
        <w:rPr>
          <w:sz w:val="18"/>
          <w:szCs w:val="18"/>
        </w:rPr>
      </w:pPr>
    </w:p>
    <w:p w:rsidR="003F48E2" w:rsidRDefault="003F48E2" w:rsidP="007756FB">
      <w:pPr>
        <w:rPr>
          <w:sz w:val="18"/>
          <w:szCs w:val="18"/>
        </w:rPr>
      </w:pPr>
    </w:p>
    <w:p w:rsidR="003F48E2" w:rsidRDefault="003F48E2" w:rsidP="007756FB">
      <w:pPr>
        <w:rPr>
          <w:sz w:val="18"/>
          <w:szCs w:val="18"/>
        </w:rPr>
      </w:pPr>
    </w:p>
    <w:p w:rsidR="003F48E2" w:rsidRDefault="003F48E2" w:rsidP="007756FB">
      <w:pPr>
        <w:rPr>
          <w:sz w:val="18"/>
          <w:szCs w:val="18"/>
        </w:rPr>
      </w:pPr>
    </w:p>
    <w:p w:rsidR="003F48E2" w:rsidRDefault="003F48E2" w:rsidP="007756FB">
      <w:pPr>
        <w:rPr>
          <w:sz w:val="18"/>
          <w:szCs w:val="18"/>
        </w:rPr>
      </w:pPr>
    </w:p>
    <w:p w:rsidR="003F48E2" w:rsidRDefault="003F48E2" w:rsidP="007756FB">
      <w:pPr>
        <w:rPr>
          <w:sz w:val="18"/>
          <w:szCs w:val="18"/>
        </w:rPr>
      </w:pPr>
    </w:p>
    <w:p w:rsidR="003F48E2" w:rsidRDefault="003F48E2" w:rsidP="007756FB">
      <w:pPr>
        <w:rPr>
          <w:sz w:val="18"/>
          <w:szCs w:val="18"/>
        </w:rPr>
      </w:pPr>
    </w:p>
    <w:p w:rsidR="003F48E2" w:rsidRDefault="003F48E2" w:rsidP="007756FB">
      <w:pPr>
        <w:rPr>
          <w:sz w:val="18"/>
          <w:szCs w:val="18"/>
        </w:rPr>
      </w:pPr>
    </w:p>
    <w:p w:rsidR="00F20563" w:rsidRDefault="00E72C6F" w:rsidP="007756FB">
      <w:pPr>
        <w:rPr>
          <w:sz w:val="18"/>
          <w:szCs w:val="18"/>
        </w:rPr>
      </w:pPr>
      <w:r>
        <w:rPr>
          <w:sz w:val="18"/>
          <w:szCs w:val="18"/>
        </w:rPr>
        <w:t>19</w:t>
      </w:r>
      <w:r w:rsidR="00F20563">
        <w:rPr>
          <w:sz w:val="18"/>
          <w:szCs w:val="18"/>
        </w:rPr>
        <w:t xml:space="preserve">.12.2013 </w:t>
      </w:r>
      <w:r>
        <w:rPr>
          <w:sz w:val="18"/>
          <w:szCs w:val="18"/>
        </w:rPr>
        <w:t>10:15</w:t>
      </w:r>
    </w:p>
    <w:p w:rsidR="007756FB" w:rsidRPr="00B50A43" w:rsidRDefault="00F20563" w:rsidP="007756FB">
      <w:pPr>
        <w:rPr>
          <w:sz w:val="18"/>
          <w:szCs w:val="18"/>
        </w:rPr>
      </w:pPr>
      <w:r>
        <w:rPr>
          <w:sz w:val="18"/>
          <w:szCs w:val="18"/>
        </w:rPr>
        <w:t>39</w:t>
      </w:r>
      <w:r w:rsidR="00E72C6F">
        <w:rPr>
          <w:sz w:val="18"/>
          <w:szCs w:val="18"/>
        </w:rPr>
        <w:t>1</w:t>
      </w:r>
      <w:bookmarkStart w:id="0" w:name="_GoBack"/>
      <w:bookmarkEnd w:id="0"/>
    </w:p>
    <w:p w:rsidR="007756FB" w:rsidRDefault="007756FB" w:rsidP="007756FB">
      <w:pPr>
        <w:pStyle w:val="ListParagraph"/>
        <w:ind w:left="0"/>
        <w:jc w:val="both"/>
        <w:rPr>
          <w:sz w:val="18"/>
          <w:szCs w:val="18"/>
        </w:rPr>
      </w:pPr>
      <w:r>
        <w:rPr>
          <w:sz w:val="18"/>
          <w:szCs w:val="18"/>
        </w:rPr>
        <w:t>I.</w:t>
      </w:r>
      <w:r w:rsidRPr="00B50A43">
        <w:rPr>
          <w:sz w:val="18"/>
          <w:szCs w:val="18"/>
        </w:rPr>
        <w:t>Vanaga</w:t>
      </w:r>
    </w:p>
    <w:p w:rsidR="007756FB" w:rsidRDefault="007756FB" w:rsidP="007756FB">
      <w:pPr>
        <w:pStyle w:val="ListParagraph"/>
        <w:ind w:left="0"/>
        <w:jc w:val="both"/>
        <w:rPr>
          <w:sz w:val="18"/>
          <w:szCs w:val="18"/>
        </w:rPr>
      </w:pPr>
      <w:r>
        <w:rPr>
          <w:sz w:val="18"/>
          <w:szCs w:val="18"/>
        </w:rPr>
        <w:t>Finanšu ministrijas</w:t>
      </w:r>
    </w:p>
    <w:p w:rsidR="007756FB" w:rsidRDefault="007756FB" w:rsidP="007756FB">
      <w:pPr>
        <w:pStyle w:val="ListParagraph"/>
        <w:ind w:left="0"/>
        <w:jc w:val="both"/>
        <w:rPr>
          <w:sz w:val="18"/>
          <w:szCs w:val="18"/>
        </w:rPr>
      </w:pPr>
      <w:r>
        <w:rPr>
          <w:sz w:val="18"/>
          <w:szCs w:val="18"/>
        </w:rPr>
        <w:t xml:space="preserve">Nodokļu administrēšanas </w:t>
      </w:r>
      <w:r w:rsidR="00785F87">
        <w:rPr>
          <w:sz w:val="18"/>
          <w:szCs w:val="18"/>
        </w:rPr>
        <w:t xml:space="preserve">un grāmatvedības </w:t>
      </w:r>
      <w:r>
        <w:rPr>
          <w:sz w:val="18"/>
          <w:szCs w:val="18"/>
        </w:rPr>
        <w:t>politikas departamenta</w:t>
      </w:r>
    </w:p>
    <w:p w:rsidR="007756FB" w:rsidRPr="00B50A43" w:rsidRDefault="007756FB" w:rsidP="007756FB">
      <w:pPr>
        <w:pStyle w:val="ListParagraph"/>
        <w:ind w:left="0"/>
        <w:jc w:val="both"/>
        <w:rPr>
          <w:sz w:val="18"/>
          <w:szCs w:val="18"/>
        </w:rPr>
      </w:pPr>
      <w:r>
        <w:rPr>
          <w:sz w:val="18"/>
          <w:szCs w:val="18"/>
        </w:rPr>
        <w:t xml:space="preserve">Nodokļu administrēšanas </w:t>
      </w:r>
      <w:r w:rsidR="00785F87">
        <w:rPr>
          <w:sz w:val="18"/>
          <w:szCs w:val="18"/>
        </w:rPr>
        <w:t>politikas</w:t>
      </w:r>
      <w:r>
        <w:rPr>
          <w:sz w:val="18"/>
          <w:szCs w:val="18"/>
        </w:rPr>
        <w:t xml:space="preserve"> nodaļas vecākā referente</w:t>
      </w:r>
    </w:p>
    <w:p w:rsidR="007756FB" w:rsidRDefault="007756FB" w:rsidP="007756FB">
      <w:pPr>
        <w:pStyle w:val="ListParagraph"/>
        <w:ind w:left="0"/>
        <w:jc w:val="both"/>
        <w:rPr>
          <w:sz w:val="18"/>
          <w:szCs w:val="18"/>
        </w:rPr>
      </w:pPr>
      <w:proofErr w:type="spellStart"/>
      <w:r>
        <w:rPr>
          <w:sz w:val="18"/>
          <w:szCs w:val="18"/>
        </w:rPr>
        <w:t>tālr</w:t>
      </w:r>
      <w:proofErr w:type="spellEnd"/>
      <w:r>
        <w:rPr>
          <w:sz w:val="18"/>
          <w:szCs w:val="18"/>
        </w:rPr>
        <w:t xml:space="preserve">. </w:t>
      </w:r>
      <w:r w:rsidRPr="00B50A43">
        <w:rPr>
          <w:sz w:val="18"/>
          <w:szCs w:val="18"/>
        </w:rPr>
        <w:t>67083901,</w:t>
      </w:r>
      <w:r>
        <w:rPr>
          <w:sz w:val="18"/>
          <w:szCs w:val="18"/>
        </w:rPr>
        <w:t>fakss 67095497</w:t>
      </w:r>
    </w:p>
    <w:p w:rsidR="007756FB" w:rsidRPr="007756FB" w:rsidRDefault="00E72C6F" w:rsidP="007756FB">
      <w:pPr>
        <w:pStyle w:val="ListParagraph"/>
        <w:ind w:left="0"/>
        <w:jc w:val="both"/>
        <w:rPr>
          <w:sz w:val="18"/>
          <w:szCs w:val="18"/>
        </w:rPr>
      </w:pPr>
      <w:hyperlink r:id="rId9" w:history="1">
        <w:r w:rsidR="007756FB" w:rsidRPr="00B50A43">
          <w:rPr>
            <w:rStyle w:val="Hyperlink"/>
            <w:sz w:val="18"/>
            <w:szCs w:val="18"/>
          </w:rPr>
          <w:t>inese.vanaga</w:t>
        </w:r>
        <w:bookmarkStart w:id="1" w:name="OLE_LINK1"/>
        <w:bookmarkStart w:id="2" w:name="OLE_LINK2"/>
        <w:r w:rsidR="007756FB" w:rsidRPr="00B50A43">
          <w:rPr>
            <w:rStyle w:val="Hyperlink"/>
            <w:sz w:val="18"/>
            <w:szCs w:val="18"/>
          </w:rPr>
          <w:t>@fm.gov.lv</w:t>
        </w:r>
        <w:bookmarkEnd w:id="1"/>
        <w:bookmarkEnd w:id="2"/>
      </w:hyperlink>
    </w:p>
    <w:sectPr w:rsidR="007756FB" w:rsidRPr="007756FB" w:rsidSect="00B52EEC">
      <w:headerReference w:type="even" r:id="rId10"/>
      <w:headerReference w:type="default" r:id="rId11"/>
      <w:footerReference w:type="default" r:id="rId12"/>
      <w:footerReference w:type="first" r:id="rId13"/>
      <w:pgSz w:w="11906" w:h="16838" w:code="9"/>
      <w:pgMar w:top="993" w:right="1134" w:bottom="1134" w:left="1701" w:header="709"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827" w:rsidRDefault="009D5827">
      <w:r>
        <w:separator/>
      </w:r>
    </w:p>
  </w:endnote>
  <w:endnote w:type="continuationSeparator" w:id="0">
    <w:p w:rsidR="009D5827" w:rsidRDefault="009D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F7" w:rsidRPr="00462169" w:rsidRDefault="00D461F7" w:rsidP="00D461F7">
    <w:pPr>
      <w:jc w:val="both"/>
      <w:rPr>
        <w:sz w:val="18"/>
        <w:szCs w:val="18"/>
      </w:rPr>
    </w:pPr>
    <w:r w:rsidRPr="0091278B">
      <w:rPr>
        <w:sz w:val="18"/>
        <w:szCs w:val="18"/>
      </w:rPr>
      <w:t>FMAnot_</w:t>
    </w:r>
    <w:r w:rsidR="00AC6F3F">
      <w:rPr>
        <w:sz w:val="18"/>
        <w:szCs w:val="18"/>
      </w:rPr>
      <w:t>1912</w:t>
    </w:r>
    <w:r>
      <w:rPr>
        <w:sz w:val="18"/>
        <w:szCs w:val="18"/>
      </w:rPr>
      <w:t>13_MK</w:t>
    </w:r>
    <w:r w:rsidR="00462169">
      <w:rPr>
        <w:sz w:val="18"/>
        <w:szCs w:val="18"/>
      </w:rPr>
      <w:t>_</w:t>
    </w:r>
    <w:r>
      <w:rPr>
        <w:sz w:val="18"/>
        <w:szCs w:val="18"/>
      </w:rPr>
      <w:t>103</w:t>
    </w:r>
    <w:r w:rsidRPr="0091278B">
      <w:rPr>
        <w:sz w:val="18"/>
        <w:szCs w:val="18"/>
      </w:rPr>
      <w:t xml:space="preserve">; </w:t>
    </w:r>
    <w:r w:rsidRPr="00D461F7">
      <w:rPr>
        <w:sz w:val="20"/>
        <w:szCs w:val="20"/>
      </w:rPr>
      <w:t>Ministru kabineta noteikumu projekta „Par Ministru kabineta 1995.gada 18.aprīļa noteikumu Nr.103 „Noteikumi par kārtību, kādā nodokļi, valsts nodevas un citi obligātie maksājumi ieskaitāmi valsts budžetā” atzīšanu par spēku zaudējušiem”</w:t>
    </w:r>
    <w:r>
      <w:rPr>
        <w:sz w:val="20"/>
        <w:szCs w:val="20"/>
      </w:rPr>
      <w:t xml:space="preserve"> </w:t>
    </w:r>
    <w:r w:rsidRPr="00D461F7">
      <w:rPr>
        <w:sz w:val="20"/>
        <w:szCs w:val="20"/>
      </w:rPr>
      <w:t>sākotnējās ietekmes novērtējuma ziņojums (anotācija)</w:t>
    </w:r>
  </w:p>
  <w:p w:rsidR="009D5827" w:rsidRPr="00D461F7" w:rsidRDefault="009D5827" w:rsidP="00D461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F7" w:rsidRPr="00D461F7" w:rsidRDefault="009D5827" w:rsidP="00D461F7">
    <w:pPr>
      <w:jc w:val="both"/>
      <w:rPr>
        <w:sz w:val="20"/>
        <w:szCs w:val="20"/>
      </w:rPr>
    </w:pPr>
    <w:r w:rsidRPr="0091278B">
      <w:rPr>
        <w:sz w:val="18"/>
        <w:szCs w:val="18"/>
      </w:rPr>
      <w:t>FMAnot_</w:t>
    </w:r>
    <w:r w:rsidR="00AC6F3F">
      <w:rPr>
        <w:sz w:val="18"/>
        <w:szCs w:val="18"/>
      </w:rPr>
      <w:t>1912</w:t>
    </w:r>
    <w:r w:rsidR="006C37DE">
      <w:rPr>
        <w:sz w:val="18"/>
        <w:szCs w:val="18"/>
      </w:rPr>
      <w:t>13</w:t>
    </w:r>
    <w:r>
      <w:rPr>
        <w:sz w:val="18"/>
        <w:szCs w:val="18"/>
      </w:rPr>
      <w:t>_MK</w:t>
    </w:r>
    <w:r w:rsidR="00462169">
      <w:rPr>
        <w:sz w:val="18"/>
        <w:szCs w:val="18"/>
      </w:rPr>
      <w:t>_</w:t>
    </w:r>
    <w:r w:rsidR="00D461F7">
      <w:rPr>
        <w:sz w:val="18"/>
        <w:szCs w:val="18"/>
      </w:rPr>
      <w:t>103</w:t>
    </w:r>
    <w:r w:rsidRPr="0091278B">
      <w:rPr>
        <w:sz w:val="18"/>
        <w:szCs w:val="18"/>
      </w:rPr>
      <w:t xml:space="preserve">; </w:t>
    </w:r>
    <w:r w:rsidR="00D461F7" w:rsidRPr="00D461F7">
      <w:rPr>
        <w:sz w:val="20"/>
        <w:szCs w:val="20"/>
      </w:rPr>
      <w:t>Ministru kabineta noteikumu projekta „Par Ministru kabineta 1995.gada 18.aprīļa noteikumu Nr.103 „Noteikumi par kārtību, kādā nodokļi, valsts nodevas un citi obligātie maksājumi ieskaitāmi valsts budžetā” atzīšanu par spēku zaudējušiem”</w:t>
    </w:r>
    <w:r w:rsidR="00D461F7">
      <w:rPr>
        <w:sz w:val="20"/>
        <w:szCs w:val="20"/>
      </w:rPr>
      <w:t xml:space="preserve"> </w:t>
    </w:r>
    <w:r w:rsidR="00D461F7" w:rsidRPr="00D461F7">
      <w:rPr>
        <w:sz w:val="20"/>
        <w:szCs w:val="20"/>
      </w:rPr>
      <w:t>sākotnējās ietekmes novērtējuma ziņojums (anotācija)</w:t>
    </w:r>
  </w:p>
  <w:p w:rsidR="009D5827" w:rsidRPr="00D461F7" w:rsidRDefault="009D5827" w:rsidP="00D461F7">
    <w:pP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827" w:rsidRDefault="009D5827">
      <w:r>
        <w:separator/>
      </w:r>
    </w:p>
  </w:footnote>
  <w:footnote w:type="continuationSeparator" w:id="0">
    <w:p w:rsidR="009D5827" w:rsidRDefault="009D5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27" w:rsidRDefault="009D5827"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5827" w:rsidRDefault="009D58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27" w:rsidRDefault="009D5827"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2C6F">
      <w:rPr>
        <w:rStyle w:val="PageNumber"/>
        <w:noProof/>
      </w:rPr>
      <w:t>2</w:t>
    </w:r>
    <w:r>
      <w:rPr>
        <w:rStyle w:val="PageNumber"/>
      </w:rPr>
      <w:fldChar w:fldCharType="end"/>
    </w:r>
  </w:p>
  <w:p w:rsidR="009D5827" w:rsidRDefault="009D5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C3A4B"/>
    <w:multiLevelType w:val="hybridMultilevel"/>
    <w:tmpl w:val="D8C21B5A"/>
    <w:lvl w:ilvl="0" w:tplc="E8DCFCF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C2B2267"/>
    <w:multiLevelType w:val="multilevel"/>
    <w:tmpl w:val="0F34AB8C"/>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40"/>
  <w:drawingGridVerticalSpacing w:val="381"/>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4F"/>
    <w:rsid w:val="0002259A"/>
    <w:rsid w:val="00024D4A"/>
    <w:rsid w:val="00032C63"/>
    <w:rsid w:val="000402B4"/>
    <w:rsid w:val="000428FD"/>
    <w:rsid w:val="0007006B"/>
    <w:rsid w:val="00075879"/>
    <w:rsid w:val="00081DAB"/>
    <w:rsid w:val="00093490"/>
    <w:rsid w:val="000B3304"/>
    <w:rsid w:val="000B6BEE"/>
    <w:rsid w:val="000E06A4"/>
    <w:rsid w:val="000F148C"/>
    <w:rsid w:val="000F7CD5"/>
    <w:rsid w:val="001012AA"/>
    <w:rsid w:val="001166D1"/>
    <w:rsid w:val="0013216F"/>
    <w:rsid w:val="00142AB7"/>
    <w:rsid w:val="0015480B"/>
    <w:rsid w:val="00164AB4"/>
    <w:rsid w:val="00170AC9"/>
    <w:rsid w:val="00172EDD"/>
    <w:rsid w:val="001A0D5C"/>
    <w:rsid w:val="001B6E27"/>
    <w:rsid w:val="001C7060"/>
    <w:rsid w:val="001D73D4"/>
    <w:rsid w:val="001F23CC"/>
    <w:rsid w:val="002268EF"/>
    <w:rsid w:val="00231E45"/>
    <w:rsid w:val="00246D9C"/>
    <w:rsid w:val="002471C3"/>
    <w:rsid w:val="00267711"/>
    <w:rsid w:val="00271A80"/>
    <w:rsid w:val="0027384B"/>
    <w:rsid w:val="002829BB"/>
    <w:rsid w:val="00294287"/>
    <w:rsid w:val="00294A3C"/>
    <w:rsid w:val="00296449"/>
    <w:rsid w:val="002A417E"/>
    <w:rsid w:val="002C2088"/>
    <w:rsid w:val="002D7D23"/>
    <w:rsid w:val="002F4C6B"/>
    <w:rsid w:val="0031278B"/>
    <w:rsid w:val="00324A5D"/>
    <w:rsid w:val="00343F57"/>
    <w:rsid w:val="00347075"/>
    <w:rsid w:val="00352217"/>
    <w:rsid w:val="003537C1"/>
    <w:rsid w:val="00370830"/>
    <w:rsid w:val="0037109E"/>
    <w:rsid w:val="003804CD"/>
    <w:rsid w:val="00384F7E"/>
    <w:rsid w:val="00387B30"/>
    <w:rsid w:val="003C3FCD"/>
    <w:rsid w:val="003C642A"/>
    <w:rsid w:val="003D35D3"/>
    <w:rsid w:val="003F48E2"/>
    <w:rsid w:val="004402AD"/>
    <w:rsid w:val="00462169"/>
    <w:rsid w:val="004800A1"/>
    <w:rsid w:val="00483499"/>
    <w:rsid w:val="004933D4"/>
    <w:rsid w:val="00493932"/>
    <w:rsid w:val="004969A9"/>
    <w:rsid w:val="004D42EC"/>
    <w:rsid w:val="004E4573"/>
    <w:rsid w:val="004E683A"/>
    <w:rsid w:val="004F1B4F"/>
    <w:rsid w:val="004F56AF"/>
    <w:rsid w:val="004F7B81"/>
    <w:rsid w:val="005103BA"/>
    <w:rsid w:val="005524C9"/>
    <w:rsid w:val="005A020D"/>
    <w:rsid w:val="00604115"/>
    <w:rsid w:val="00621AD7"/>
    <w:rsid w:val="00643EAB"/>
    <w:rsid w:val="00651BFF"/>
    <w:rsid w:val="00657D42"/>
    <w:rsid w:val="00684766"/>
    <w:rsid w:val="006924F7"/>
    <w:rsid w:val="00694740"/>
    <w:rsid w:val="006B1B31"/>
    <w:rsid w:val="006C37DE"/>
    <w:rsid w:val="006F7ED4"/>
    <w:rsid w:val="00702067"/>
    <w:rsid w:val="007118F7"/>
    <w:rsid w:val="00735EF4"/>
    <w:rsid w:val="00743410"/>
    <w:rsid w:val="0076494E"/>
    <w:rsid w:val="00774CA6"/>
    <w:rsid w:val="007756FB"/>
    <w:rsid w:val="0078381A"/>
    <w:rsid w:val="00785F87"/>
    <w:rsid w:val="007961CD"/>
    <w:rsid w:val="007A69C2"/>
    <w:rsid w:val="007E7AF1"/>
    <w:rsid w:val="008017E8"/>
    <w:rsid w:val="00814F82"/>
    <w:rsid w:val="008203B4"/>
    <w:rsid w:val="00822CC1"/>
    <w:rsid w:val="00827512"/>
    <w:rsid w:val="008441C4"/>
    <w:rsid w:val="00855E24"/>
    <w:rsid w:val="00864BA4"/>
    <w:rsid w:val="008708F2"/>
    <w:rsid w:val="008961E6"/>
    <w:rsid w:val="008B1170"/>
    <w:rsid w:val="008D1FB6"/>
    <w:rsid w:val="008E2D18"/>
    <w:rsid w:val="008F7DF2"/>
    <w:rsid w:val="00906DD8"/>
    <w:rsid w:val="0091278B"/>
    <w:rsid w:val="00927FB3"/>
    <w:rsid w:val="00934026"/>
    <w:rsid w:val="00944178"/>
    <w:rsid w:val="009525A0"/>
    <w:rsid w:val="00954D03"/>
    <w:rsid w:val="009674B6"/>
    <w:rsid w:val="00977DD4"/>
    <w:rsid w:val="00981B9B"/>
    <w:rsid w:val="00990ED9"/>
    <w:rsid w:val="009920E0"/>
    <w:rsid w:val="00994A1A"/>
    <w:rsid w:val="009A1F3D"/>
    <w:rsid w:val="009D5827"/>
    <w:rsid w:val="009F1159"/>
    <w:rsid w:val="009F2EC3"/>
    <w:rsid w:val="00A0003E"/>
    <w:rsid w:val="00A00266"/>
    <w:rsid w:val="00A119B1"/>
    <w:rsid w:val="00A3208E"/>
    <w:rsid w:val="00A44C40"/>
    <w:rsid w:val="00A54408"/>
    <w:rsid w:val="00A643E2"/>
    <w:rsid w:val="00A70A89"/>
    <w:rsid w:val="00AB01EB"/>
    <w:rsid w:val="00AB25B1"/>
    <w:rsid w:val="00AB4549"/>
    <w:rsid w:val="00AB57C7"/>
    <w:rsid w:val="00AC6F3F"/>
    <w:rsid w:val="00AD1C9F"/>
    <w:rsid w:val="00AD45E2"/>
    <w:rsid w:val="00AE3F15"/>
    <w:rsid w:val="00AE4E30"/>
    <w:rsid w:val="00B31241"/>
    <w:rsid w:val="00B32A57"/>
    <w:rsid w:val="00B50153"/>
    <w:rsid w:val="00B52EEC"/>
    <w:rsid w:val="00B71218"/>
    <w:rsid w:val="00B86095"/>
    <w:rsid w:val="00B94BFC"/>
    <w:rsid w:val="00BA7295"/>
    <w:rsid w:val="00BA79D6"/>
    <w:rsid w:val="00BB060F"/>
    <w:rsid w:val="00C1653F"/>
    <w:rsid w:val="00C21036"/>
    <w:rsid w:val="00C74583"/>
    <w:rsid w:val="00C837B1"/>
    <w:rsid w:val="00C86AC2"/>
    <w:rsid w:val="00CA23A1"/>
    <w:rsid w:val="00CA3FFA"/>
    <w:rsid w:val="00CB3C74"/>
    <w:rsid w:val="00D02168"/>
    <w:rsid w:val="00D26D28"/>
    <w:rsid w:val="00D3032B"/>
    <w:rsid w:val="00D36D69"/>
    <w:rsid w:val="00D41C95"/>
    <w:rsid w:val="00D461F7"/>
    <w:rsid w:val="00D722A3"/>
    <w:rsid w:val="00D874C6"/>
    <w:rsid w:val="00DA236D"/>
    <w:rsid w:val="00DC0AA6"/>
    <w:rsid w:val="00DE0625"/>
    <w:rsid w:val="00DE3D90"/>
    <w:rsid w:val="00E158EC"/>
    <w:rsid w:val="00E316DA"/>
    <w:rsid w:val="00E51879"/>
    <w:rsid w:val="00E60D8F"/>
    <w:rsid w:val="00E63872"/>
    <w:rsid w:val="00E72C6F"/>
    <w:rsid w:val="00E74D8B"/>
    <w:rsid w:val="00EA1287"/>
    <w:rsid w:val="00EA5FA1"/>
    <w:rsid w:val="00EB1818"/>
    <w:rsid w:val="00EF0B31"/>
    <w:rsid w:val="00EF1E87"/>
    <w:rsid w:val="00F0480D"/>
    <w:rsid w:val="00F06673"/>
    <w:rsid w:val="00F20563"/>
    <w:rsid w:val="00F43911"/>
    <w:rsid w:val="00F50E37"/>
    <w:rsid w:val="00F65706"/>
    <w:rsid w:val="00F95AE9"/>
    <w:rsid w:val="00FA728C"/>
    <w:rsid w:val="00FD0B0A"/>
    <w:rsid w:val="00FD13B6"/>
    <w:rsid w:val="00FD6F89"/>
    <w:rsid w:val="00FE779F"/>
    <w:rsid w:val="00FF2D35"/>
    <w:rsid w:val="00FF593A"/>
    <w:rsid w:val="00FF67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4F"/>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B4F"/>
    <w:pPr>
      <w:tabs>
        <w:tab w:val="center" w:pos="4153"/>
        <w:tab w:val="right" w:pos="8306"/>
      </w:tabs>
    </w:pPr>
  </w:style>
  <w:style w:type="character" w:customStyle="1" w:styleId="HeaderChar">
    <w:name w:val="Header Char"/>
    <w:basedOn w:val="DefaultParagraphFont"/>
    <w:link w:val="Header"/>
    <w:rsid w:val="004F1B4F"/>
    <w:rPr>
      <w:rFonts w:eastAsia="Times New Roman" w:cs="Times New Roman"/>
      <w:sz w:val="24"/>
      <w:szCs w:val="24"/>
      <w:lang w:eastAsia="lv-LV"/>
    </w:rPr>
  </w:style>
  <w:style w:type="character" w:styleId="PageNumber">
    <w:name w:val="page number"/>
    <w:basedOn w:val="DefaultParagraphFont"/>
    <w:rsid w:val="004F1B4F"/>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basedOn w:val="DefaultParagraphFont"/>
    <w:rsid w:val="004F1B4F"/>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unhideWhenUsed/>
    <w:rsid w:val="004F1B4F"/>
    <w:rPr>
      <w:rFonts w:ascii="Tahoma" w:hAnsi="Tahoma" w:cs="Tahoma"/>
      <w:sz w:val="16"/>
      <w:szCs w:val="16"/>
    </w:rPr>
  </w:style>
  <w:style w:type="character" w:customStyle="1" w:styleId="BalloonTextChar">
    <w:name w:val="Balloon Text Char"/>
    <w:basedOn w:val="DefaultParagraphFont"/>
    <w:link w:val="BalloonText"/>
    <w:uiPriority w:val="99"/>
    <w:semiHidden/>
    <w:rsid w:val="004F1B4F"/>
    <w:rPr>
      <w:rFonts w:ascii="Tahoma" w:eastAsia="Times New Roman" w:hAnsi="Tahoma" w:cs="Tahoma"/>
      <w:sz w:val="16"/>
      <w:szCs w:val="16"/>
      <w:lang w:eastAsia="lv-LV"/>
    </w:rPr>
  </w:style>
  <w:style w:type="paragraph" w:styleId="Footer">
    <w:name w:val="footer"/>
    <w:basedOn w:val="Normal"/>
    <w:link w:val="FooterChar"/>
    <w:uiPriority w:val="99"/>
    <w:unhideWhenUsed/>
    <w:rsid w:val="00994A1A"/>
    <w:pPr>
      <w:tabs>
        <w:tab w:val="center" w:pos="4153"/>
        <w:tab w:val="right" w:pos="8306"/>
      </w:tabs>
    </w:pPr>
  </w:style>
  <w:style w:type="character" w:customStyle="1" w:styleId="FooterChar">
    <w:name w:val="Footer Char"/>
    <w:basedOn w:val="DefaultParagraphFont"/>
    <w:link w:val="Footer"/>
    <w:uiPriority w:val="99"/>
    <w:rsid w:val="00994A1A"/>
    <w:rPr>
      <w:rFonts w:eastAsia="Times New Roman" w:cs="Times New Roman"/>
      <w:sz w:val="24"/>
      <w:szCs w:val="24"/>
      <w:lang w:eastAsia="lv-LV"/>
    </w:rPr>
  </w:style>
  <w:style w:type="character" w:styleId="Hyperlink">
    <w:name w:val="Hyperlink"/>
    <w:basedOn w:val="DefaultParagraphFont"/>
    <w:rsid w:val="007756FB"/>
    <w:rPr>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basedOn w:val="DefaultParagraphFont"/>
    <w:uiPriority w:val="99"/>
    <w:semiHidden/>
    <w:unhideWhenUsed/>
    <w:rsid w:val="00075879"/>
    <w:rPr>
      <w:sz w:val="16"/>
      <w:szCs w:val="16"/>
    </w:rPr>
  </w:style>
  <w:style w:type="paragraph" w:styleId="CommentText">
    <w:name w:val="annotation text"/>
    <w:basedOn w:val="Normal"/>
    <w:link w:val="CommentTextChar"/>
    <w:uiPriority w:val="99"/>
    <w:semiHidden/>
    <w:unhideWhenUsed/>
    <w:rsid w:val="00075879"/>
    <w:rPr>
      <w:sz w:val="20"/>
      <w:szCs w:val="20"/>
    </w:rPr>
  </w:style>
  <w:style w:type="character" w:customStyle="1" w:styleId="CommentTextChar">
    <w:name w:val="Comment Text Char"/>
    <w:basedOn w:val="DefaultParagraphFont"/>
    <w:link w:val="CommentText"/>
    <w:uiPriority w:val="99"/>
    <w:semiHidden/>
    <w:rsid w:val="00075879"/>
    <w:rPr>
      <w:rFonts w:eastAsia="Times New Roman" w:cs="Times New Roman"/>
      <w:sz w:val="20"/>
      <w:szCs w:val="20"/>
      <w:lang w:eastAsia="lv-LV"/>
    </w:rPr>
  </w:style>
  <w:style w:type="character" w:customStyle="1" w:styleId="Bodytext3">
    <w:name w:val="Body text (3)_"/>
    <w:basedOn w:val="DefaultParagraphFont"/>
    <w:link w:val="Bodytext30"/>
    <w:rsid w:val="00370830"/>
    <w:rPr>
      <w:rFonts w:eastAsia="Times New Roman" w:cs="Times New Roman"/>
      <w:b/>
      <w:bCs/>
      <w:shd w:val="clear" w:color="auto" w:fill="FFFFFF"/>
    </w:rPr>
  </w:style>
  <w:style w:type="paragraph" w:customStyle="1" w:styleId="Bodytext30">
    <w:name w:val="Body text (3)"/>
    <w:basedOn w:val="Normal"/>
    <w:link w:val="Bodytext3"/>
    <w:rsid w:val="00370830"/>
    <w:pPr>
      <w:widowControl w:val="0"/>
      <w:shd w:val="clear" w:color="auto" w:fill="FFFFFF"/>
      <w:spacing w:before="420" w:after="300" w:line="0" w:lineRule="atLeast"/>
      <w:jc w:val="center"/>
    </w:pPr>
    <w:rPr>
      <w:b/>
      <w:bCs/>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4F"/>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B4F"/>
    <w:pPr>
      <w:tabs>
        <w:tab w:val="center" w:pos="4153"/>
        <w:tab w:val="right" w:pos="8306"/>
      </w:tabs>
    </w:pPr>
  </w:style>
  <w:style w:type="character" w:customStyle="1" w:styleId="HeaderChar">
    <w:name w:val="Header Char"/>
    <w:basedOn w:val="DefaultParagraphFont"/>
    <w:link w:val="Header"/>
    <w:rsid w:val="004F1B4F"/>
    <w:rPr>
      <w:rFonts w:eastAsia="Times New Roman" w:cs="Times New Roman"/>
      <w:sz w:val="24"/>
      <w:szCs w:val="24"/>
      <w:lang w:eastAsia="lv-LV"/>
    </w:rPr>
  </w:style>
  <w:style w:type="character" w:styleId="PageNumber">
    <w:name w:val="page number"/>
    <w:basedOn w:val="DefaultParagraphFont"/>
    <w:rsid w:val="004F1B4F"/>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basedOn w:val="DefaultParagraphFont"/>
    <w:rsid w:val="004F1B4F"/>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unhideWhenUsed/>
    <w:rsid w:val="004F1B4F"/>
    <w:rPr>
      <w:rFonts w:ascii="Tahoma" w:hAnsi="Tahoma" w:cs="Tahoma"/>
      <w:sz w:val="16"/>
      <w:szCs w:val="16"/>
    </w:rPr>
  </w:style>
  <w:style w:type="character" w:customStyle="1" w:styleId="BalloonTextChar">
    <w:name w:val="Balloon Text Char"/>
    <w:basedOn w:val="DefaultParagraphFont"/>
    <w:link w:val="BalloonText"/>
    <w:uiPriority w:val="99"/>
    <w:semiHidden/>
    <w:rsid w:val="004F1B4F"/>
    <w:rPr>
      <w:rFonts w:ascii="Tahoma" w:eastAsia="Times New Roman" w:hAnsi="Tahoma" w:cs="Tahoma"/>
      <w:sz w:val="16"/>
      <w:szCs w:val="16"/>
      <w:lang w:eastAsia="lv-LV"/>
    </w:rPr>
  </w:style>
  <w:style w:type="paragraph" w:styleId="Footer">
    <w:name w:val="footer"/>
    <w:basedOn w:val="Normal"/>
    <w:link w:val="FooterChar"/>
    <w:uiPriority w:val="99"/>
    <w:unhideWhenUsed/>
    <w:rsid w:val="00994A1A"/>
    <w:pPr>
      <w:tabs>
        <w:tab w:val="center" w:pos="4153"/>
        <w:tab w:val="right" w:pos="8306"/>
      </w:tabs>
    </w:pPr>
  </w:style>
  <w:style w:type="character" w:customStyle="1" w:styleId="FooterChar">
    <w:name w:val="Footer Char"/>
    <w:basedOn w:val="DefaultParagraphFont"/>
    <w:link w:val="Footer"/>
    <w:uiPriority w:val="99"/>
    <w:rsid w:val="00994A1A"/>
    <w:rPr>
      <w:rFonts w:eastAsia="Times New Roman" w:cs="Times New Roman"/>
      <w:sz w:val="24"/>
      <w:szCs w:val="24"/>
      <w:lang w:eastAsia="lv-LV"/>
    </w:rPr>
  </w:style>
  <w:style w:type="character" w:styleId="Hyperlink">
    <w:name w:val="Hyperlink"/>
    <w:basedOn w:val="DefaultParagraphFont"/>
    <w:rsid w:val="007756FB"/>
    <w:rPr>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basedOn w:val="DefaultParagraphFont"/>
    <w:uiPriority w:val="99"/>
    <w:semiHidden/>
    <w:unhideWhenUsed/>
    <w:rsid w:val="00075879"/>
    <w:rPr>
      <w:sz w:val="16"/>
      <w:szCs w:val="16"/>
    </w:rPr>
  </w:style>
  <w:style w:type="paragraph" w:styleId="CommentText">
    <w:name w:val="annotation text"/>
    <w:basedOn w:val="Normal"/>
    <w:link w:val="CommentTextChar"/>
    <w:uiPriority w:val="99"/>
    <w:semiHidden/>
    <w:unhideWhenUsed/>
    <w:rsid w:val="00075879"/>
    <w:rPr>
      <w:sz w:val="20"/>
      <w:szCs w:val="20"/>
    </w:rPr>
  </w:style>
  <w:style w:type="character" w:customStyle="1" w:styleId="CommentTextChar">
    <w:name w:val="Comment Text Char"/>
    <w:basedOn w:val="DefaultParagraphFont"/>
    <w:link w:val="CommentText"/>
    <w:uiPriority w:val="99"/>
    <w:semiHidden/>
    <w:rsid w:val="00075879"/>
    <w:rPr>
      <w:rFonts w:eastAsia="Times New Roman" w:cs="Times New Roman"/>
      <w:sz w:val="20"/>
      <w:szCs w:val="20"/>
      <w:lang w:eastAsia="lv-LV"/>
    </w:rPr>
  </w:style>
  <w:style w:type="character" w:customStyle="1" w:styleId="Bodytext3">
    <w:name w:val="Body text (3)_"/>
    <w:basedOn w:val="DefaultParagraphFont"/>
    <w:link w:val="Bodytext30"/>
    <w:rsid w:val="00370830"/>
    <w:rPr>
      <w:rFonts w:eastAsia="Times New Roman" w:cs="Times New Roman"/>
      <w:b/>
      <w:bCs/>
      <w:shd w:val="clear" w:color="auto" w:fill="FFFFFF"/>
    </w:rPr>
  </w:style>
  <w:style w:type="paragraph" w:customStyle="1" w:styleId="Bodytext30">
    <w:name w:val="Body text (3)"/>
    <w:basedOn w:val="Normal"/>
    <w:link w:val="Bodytext3"/>
    <w:rsid w:val="00370830"/>
    <w:pPr>
      <w:widowControl w:val="0"/>
      <w:shd w:val="clear" w:color="auto" w:fill="FFFFFF"/>
      <w:spacing w:before="420" w:after="300" w:line="0" w:lineRule="atLeast"/>
      <w:jc w:val="center"/>
    </w:pPr>
    <w:rPr>
      <w:b/>
      <w:bCs/>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355007">
      <w:bodyDiv w:val="1"/>
      <w:marLeft w:val="0"/>
      <w:marRight w:val="0"/>
      <w:marTop w:val="0"/>
      <w:marBottom w:val="0"/>
      <w:divBdr>
        <w:top w:val="none" w:sz="0" w:space="0" w:color="auto"/>
        <w:left w:val="none" w:sz="0" w:space="0" w:color="auto"/>
        <w:bottom w:val="none" w:sz="0" w:space="0" w:color="auto"/>
        <w:right w:val="none" w:sz="0" w:space="0" w:color="auto"/>
      </w:divBdr>
    </w:div>
    <w:div w:id="584148781">
      <w:bodyDiv w:val="1"/>
      <w:marLeft w:val="0"/>
      <w:marRight w:val="0"/>
      <w:marTop w:val="0"/>
      <w:marBottom w:val="0"/>
      <w:divBdr>
        <w:top w:val="none" w:sz="0" w:space="0" w:color="auto"/>
        <w:left w:val="none" w:sz="0" w:space="0" w:color="auto"/>
        <w:bottom w:val="none" w:sz="0" w:space="0" w:color="auto"/>
        <w:right w:val="none" w:sz="0" w:space="0" w:color="auto"/>
      </w:divBdr>
    </w:div>
    <w:div w:id="686325686">
      <w:bodyDiv w:val="1"/>
      <w:marLeft w:val="0"/>
      <w:marRight w:val="0"/>
      <w:marTop w:val="0"/>
      <w:marBottom w:val="0"/>
      <w:divBdr>
        <w:top w:val="none" w:sz="0" w:space="0" w:color="auto"/>
        <w:left w:val="none" w:sz="0" w:space="0" w:color="auto"/>
        <w:bottom w:val="none" w:sz="0" w:space="0" w:color="auto"/>
        <w:right w:val="none" w:sz="0" w:space="0" w:color="auto"/>
      </w:divBdr>
    </w:div>
    <w:div w:id="1476412215">
      <w:bodyDiv w:val="1"/>
      <w:marLeft w:val="0"/>
      <w:marRight w:val="0"/>
      <w:marTop w:val="0"/>
      <w:marBottom w:val="0"/>
      <w:divBdr>
        <w:top w:val="none" w:sz="0" w:space="0" w:color="auto"/>
        <w:left w:val="none" w:sz="0" w:space="0" w:color="auto"/>
        <w:bottom w:val="none" w:sz="0" w:space="0" w:color="auto"/>
        <w:right w:val="none" w:sz="0" w:space="0" w:color="auto"/>
      </w:divBdr>
    </w:div>
    <w:div w:id="2034107985">
      <w:bodyDiv w:val="1"/>
      <w:marLeft w:val="0"/>
      <w:marRight w:val="0"/>
      <w:marTop w:val="0"/>
      <w:marBottom w:val="0"/>
      <w:divBdr>
        <w:top w:val="none" w:sz="0" w:space="0" w:color="auto"/>
        <w:left w:val="none" w:sz="0" w:space="0" w:color="auto"/>
        <w:bottom w:val="none" w:sz="0" w:space="0" w:color="auto"/>
        <w:right w:val="none" w:sz="0" w:space="0" w:color="auto"/>
      </w:divBdr>
    </w:div>
    <w:div w:id="210430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ese.vanaga@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EF08F-12AB-4867-9142-661192957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2048</Words>
  <Characters>1168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„Par Ministru kabineta 1995.gada 18.aprīļa noteikumu Nr.103 „Noteikumi par kārtību, kādā nodokļi, valsts nodevas un citi obligātie maksājumi ieskaitāmi valsts budžetā” atzīšanu par spēku zaudējušiem”</vt:lpstr>
    </vt:vector>
  </TitlesOfParts>
  <Company>Finanšu ministrija</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1995.gada 18.aprīļa noteikumu Nr.103 „Noteikumi par kārtību, kādā nodokļi, valsts nodevas un citi obligātie maksājumi ieskaitāmi valsts budžetā” atzīšanu par spēku zaudējušiem”</dc:title>
  <dc:subject>anotācija</dc:subject>
  <dc:creator>I.Vanaga</dc:creator>
  <dc:description>inese.vanaga@fm.gov.lv, 67083901</dc:description>
  <cp:lastModifiedBy>Windows User</cp:lastModifiedBy>
  <cp:revision>11</cp:revision>
  <cp:lastPrinted>2013-11-28T07:42:00Z</cp:lastPrinted>
  <dcterms:created xsi:type="dcterms:W3CDTF">2013-12-19T06:46:00Z</dcterms:created>
  <dcterms:modified xsi:type="dcterms:W3CDTF">2014-01-03T13:45:00Z</dcterms:modified>
</cp:coreProperties>
</file>