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F1" w:rsidRPr="00117E73" w:rsidRDefault="003F4905" w:rsidP="00117E73">
      <w:pPr>
        <w:spacing w:line="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117E73">
        <w:rPr>
          <w:rFonts w:ascii="Times New Roman" w:hAnsi="Times New Roman" w:cs="Times New Roman"/>
          <w:b/>
          <w:sz w:val="28"/>
          <w:szCs w:val="28"/>
        </w:rPr>
        <w:t>projekta</w:t>
      </w:r>
      <w:bookmarkStart w:id="2" w:name="OLE_LINK5"/>
      <w:bookmarkStart w:id="3" w:name="OLE_LINK6"/>
    </w:p>
    <w:p w:rsidR="00A34550" w:rsidRPr="00117E73" w:rsidRDefault="00A34550" w:rsidP="00117E73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117E73">
        <w:rPr>
          <w:rFonts w:ascii="Times New Roman" w:hAnsi="Times New Roman" w:cs="Times New Roman"/>
          <w:b/>
          <w:sz w:val="28"/>
          <w:szCs w:val="28"/>
        </w:rPr>
        <w:t>„</w:t>
      </w:r>
      <w:r w:rsidR="00117E73" w:rsidRPr="00117E73">
        <w:rPr>
          <w:rFonts w:ascii="Times New Roman" w:hAnsi="Times New Roman" w:cs="Times New Roman"/>
          <w:b/>
          <w:sz w:val="28"/>
          <w:szCs w:val="28"/>
        </w:rPr>
        <w:t xml:space="preserve">Muitas noteikumos atzītas preču izmantošanas – </w:t>
      </w:r>
      <w:r w:rsidR="00117E73">
        <w:rPr>
          <w:rFonts w:ascii="Times New Roman" w:hAnsi="Times New Roman" w:cs="Times New Roman"/>
          <w:b/>
          <w:sz w:val="28"/>
          <w:szCs w:val="28"/>
        </w:rPr>
        <w:t>p</w:t>
      </w:r>
      <w:r w:rsidR="00117E73" w:rsidRPr="00117E73">
        <w:rPr>
          <w:rFonts w:ascii="Times New Roman" w:hAnsi="Times New Roman" w:cs="Times New Roman"/>
          <w:b/>
          <w:sz w:val="28"/>
          <w:szCs w:val="28"/>
        </w:rPr>
        <w:t xml:space="preserve">reču </w:t>
      </w:r>
      <w:r w:rsidR="00687998">
        <w:rPr>
          <w:rFonts w:ascii="Times New Roman" w:hAnsi="Times New Roman" w:cs="Times New Roman"/>
          <w:b/>
          <w:sz w:val="28"/>
          <w:szCs w:val="28"/>
        </w:rPr>
        <w:t>atpakaļizvešana</w:t>
      </w:r>
      <w:r w:rsidR="00117E73" w:rsidRPr="00117E73">
        <w:rPr>
          <w:rFonts w:ascii="Times New Roman" w:hAnsi="Times New Roman" w:cs="Times New Roman"/>
          <w:b/>
          <w:sz w:val="28"/>
          <w:szCs w:val="28"/>
        </w:rPr>
        <w:t xml:space="preserve"> – pieteikšanas kārtība</w:t>
      </w:r>
      <w:r w:rsidRPr="00117E73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2"/>
    <w:bookmarkEnd w:id="3"/>
    <w:bookmarkEnd w:id="0"/>
    <w:bookmarkEnd w:id="1"/>
    <w:p w:rsidR="00C26070" w:rsidRPr="00C26070" w:rsidRDefault="00C26070" w:rsidP="00416ABD">
      <w:pPr>
        <w:spacing w:before="100" w:beforeAutospacing="1" w:after="100" w:afterAutospacing="1" w:line="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0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5"/>
        <w:gridCol w:w="21"/>
        <w:gridCol w:w="85"/>
        <w:gridCol w:w="1089"/>
        <w:gridCol w:w="304"/>
        <w:gridCol w:w="308"/>
        <w:gridCol w:w="851"/>
        <w:gridCol w:w="929"/>
        <w:gridCol w:w="41"/>
        <w:gridCol w:w="224"/>
        <w:gridCol w:w="472"/>
        <w:gridCol w:w="1550"/>
        <w:gridCol w:w="2596"/>
      </w:tblGrid>
      <w:tr w:rsidR="00C26070" w:rsidRPr="00C26070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70" w:rsidRPr="00C26070" w:rsidRDefault="00C26070" w:rsidP="00A47322">
            <w:pPr>
              <w:spacing w:before="100" w:beforeAutospacing="1" w:after="100" w:afterAutospacing="1" w:line="40" w:lineRule="atLeast"/>
              <w:ind w:left="0" w:firstLineChars="709" w:firstLine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26070" w:rsidRPr="00C26070" w:rsidTr="00520F8A">
        <w:trPr>
          <w:trHeight w:val="316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C26070" w:rsidRDefault="00C26070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C26070" w:rsidRDefault="00C26070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3E55A8" w:rsidRDefault="00C26070" w:rsidP="003B196C">
            <w:pPr>
              <w:spacing w:before="100" w:beforeAutospacing="1" w:after="100" w:afterAutospacing="1" w:line="40" w:lineRule="atLeast"/>
              <w:ind w:left="0" w:firstLineChars="230" w:firstLine="5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B1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Muitas likuma 4.panta trešā daļa.</w:t>
            </w:r>
          </w:p>
        </w:tc>
      </w:tr>
      <w:tr w:rsidR="002D7DCA" w:rsidRPr="00C26070" w:rsidTr="00C04F50">
        <w:trPr>
          <w:trHeight w:val="472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757" w:rsidRDefault="00BB7CD5" w:rsidP="00A47322">
            <w:pPr>
              <w:spacing w:line="40" w:lineRule="atLeast"/>
              <w:ind w:left="0" w:firstLineChars="230"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285B54">
              <w:rPr>
                <w:rFonts w:ascii="Times New Roman" w:hAnsi="Times New Roman" w:cs="Times New Roman"/>
                <w:sz w:val="24"/>
                <w:szCs w:val="24"/>
              </w:rPr>
              <w:t xml:space="preserve">Šobrīd kārtību, kādā </w:t>
            </w:r>
            <w:r w:rsidR="00DA391B">
              <w:rPr>
                <w:rFonts w:ascii="Times New Roman" w:hAnsi="Times New Roman" w:cs="Times New Roman"/>
                <w:sz w:val="24"/>
                <w:szCs w:val="24"/>
              </w:rPr>
              <w:t xml:space="preserve">piesaka muitas noteikumos atzītu preču izmantošanu – preču </w:t>
            </w:r>
            <w:r w:rsidR="00687998">
              <w:rPr>
                <w:rFonts w:ascii="Times New Roman" w:hAnsi="Times New Roman" w:cs="Times New Roman"/>
                <w:sz w:val="24"/>
                <w:szCs w:val="24"/>
              </w:rPr>
              <w:t>atpakaļizvešana</w:t>
            </w:r>
            <w:r w:rsidR="00DA391B">
              <w:rPr>
                <w:rFonts w:ascii="Times New Roman" w:hAnsi="Times New Roman" w:cs="Times New Roman"/>
                <w:sz w:val="24"/>
                <w:szCs w:val="24"/>
              </w:rPr>
              <w:t xml:space="preserve">, nosaka </w:t>
            </w:r>
            <w:r w:rsidR="00DA391B" w:rsidRPr="00285B54">
              <w:rPr>
                <w:rFonts w:ascii="Times New Roman" w:hAnsi="Times New Roman" w:cs="Times New Roman"/>
                <w:sz w:val="24"/>
                <w:szCs w:val="24"/>
              </w:rPr>
              <w:t>Ministru kabineta 200</w:t>
            </w:r>
            <w:r w:rsidR="00DA3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91B" w:rsidRPr="00285B54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DA391B">
              <w:rPr>
                <w:rFonts w:ascii="Times New Roman" w:hAnsi="Times New Roman" w:cs="Times New Roman"/>
                <w:sz w:val="24"/>
                <w:szCs w:val="24"/>
              </w:rPr>
              <w:t>27.jūnija</w:t>
            </w:r>
            <w:r w:rsidR="00DA391B" w:rsidRPr="00285B54">
              <w:rPr>
                <w:rFonts w:ascii="Times New Roman" w:hAnsi="Times New Roman" w:cs="Times New Roman"/>
                <w:sz w:val="24"/>
                <w:szCs w:val="24"/>
              </w:rPr>
              <w:t xml:space="preserve"> noteikumi Nr.</w:t>
            </w:r>
            <w:r w:rsidR="00DA391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DA391B" w:rsidRPr="00285B5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A391B">
              <w:rPr>
                <w:rFonts w:ascii="Times New Roman" w:hAnsi="Times New Roman" w:cs="Times New Roman"/>
                <w:sz w:val="24"/>
                <w:szCs w:val="24"/>
              </w:rPr>
              <w:t>Muitošanas režīma – preču atpakaļizvešana – pieteikšanas kārtība</w:t>
            </w:r>
            <w:r w:rsidR="00DA391B" w:rsidRPr="00285B54">
              <w:rPr>
                <w:rFonts w:ascii="Times New Roman" w:hAnsi="Times New Roman" w:cs="Times New Roman"/>
                <w:sz w:val="24"/>
                <w:szCs w:val="24"/>
              </w:rPr>
              <w:t>” (turpmāk – MK noteikumi Nr.</w:t>
            </w:r>
            <w:r w:rsidR="00DA391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DA391B" w:rsidRPr="00285B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F5294">
              <w:rPr>
                <w:rFonts w:ascii="Times New Roman" w:hAnsi="Times New Roman" w:cs="Times New Roman"/>
                <w:sz w:val="24"/>
                <w:szCs w:val="24"/>
              </w:rPr>
              <w:t xml:space="preserve"> MK noteikumi Nr.511 nosaka, ka, lai pieteiktu preču </w:t>
            </w:r>
            <w:r w:rsidR="00687998">
              <w:rPr>
                <w:rFonts w:ascii="Times New Roman" w:hAnsi="Times New Roman" w:cs="Times New Roman"/>
                <w:sz w:val="24"/>
                <w:szCs w:val="24"/>
              </w:rPr>
              <w:t>atpakaļizvešanu</w:t>
            </w:r>
            <w:r w:rsidR="002F5294">
              <w:rPr>
                <w:rFonts w:ascii="Times New Roman" w:hAnsi="Times New Roman" w:cs="Times New Roman"/>
                <w:sz w:val="24"/>
                <w:szCs w:val="24"/>
              </w:rPr>
              <w:t>, persona muitas iestādē iesniedz noteiktu informāciju par minētajām precēm</w:t>
            </w:r>
            <w:r w:rsidR="0038166F">
              <w:rPr>
                <w:rFonts w:ascii="Times New Roman" w:hAnsi="Times New Roman" w:cs="Times New Roman"/>
                <w:sz w:val="24"/>
                <w:szCs w:val="24"/>
              </w:rPr>
              <w:t xml:space="preserve">. Šāda informācija šobrīd jāiesniedz gadījumos, kad </w:t>
            </w:r>
            <w:r w:rsidR="00B55757">
              <w:rPr>
                <w:rFonts w:ascii="Times New Roman" w:hAnsi="Times New Roman" w:cs="Times New Roman"/>
                <w:sz w:val="24"/>
                <w:szCs w:val="24"/>
              </w:rPr>
              <w:t>preces iepriekš nav bijušas pakļautas kādai no muitas procedūrām ar ekonomisku ietekmi (glabāšana muitas noliktavā, ievešana pārstrādei, pārstrāde muitas kontrolē, pagaidu ievešana, izvešana pārstrādei).</w:t>
            </w:r>
          </w:p>
          <w:p w:rsidR="00683B03" w:rsidRDefault="00D75D34" w:rsidP="00683B03">
            <w:pPr>
              <w:spacing w:line="40" w:lineRule="atLeast"/>
              <w:ind w:left="0" w:firstLineChars="230" w:firstLine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2011.gada 1.janvāri</w:t>
            </w:r>
            <w:r w:rsidR="0068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5AC">
              <w:rPr>
                <w:rFonts w:ascii="Times New Roman" w:hAnsi="Times New Roman" w:cs="Times New Roman"/>
                <w:sz w:val="24"/>
                <w:szCs w:val="24"/>
              </w:rPr>
              <w:t>sāks</w:t>
            </w:r>
            <w:r w:rsidR="00683B03">
              <w:rPr>
                <w:rFonts w:ascii="Times New Roman" w:hAnsi="Times New Roman" w:cs="Times New Roman"/>
                <w:sz w:val="24"/>
                <w:szCs w:val="24"/>
              </w:rPr>
              <w:t xml:space="preserve"> piemērot Komisijas 1993.gada 2.jūlija regulas (EEK) Nr.2454/93, ar ko nosaka īstenošanas noteikumus Padomes Regulai (EEK) Nr.2913/92 par Kopienas Muitas kodeksa izveidi</w:t>
            </w:r>
            <w:r w:rsidR="0077354C">
              <w:rPr>
                <w:rFonts w:ascii="Times New Roman" w:hAnsi="Times New Roman" w:cs="Times New Roman"/>
                <w:sz w:val="24"/>
                <w:szCs w:val="24"/>
              </w:rPr>
              <w:t xml:space="preserve"> (turpmāk – regula Nr.2454/93) </w:t>
            </w:r>
            <w:r w:rsidR="0068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757">
              <w:rPr>
                <w:rFonts w:ascii="Times New Roman" w:hAnsi="Times New Roman" w:cs="Times New Roman"/>
                <w:sz w:val="24"/>
                <w:szCs w:val="24"/>
              </w:rPr>
              <w:t xml:space="preserve">grozītā </w:t>
            </w:r>
            <w:r w:rsidR="00683B03">
              <w:rPr>
                <w:rFonts w:ascii="Times New Roman" w:hAnsi="Times New Roman" w:cs="Times New Roman"/>
                <w:sz w:val="24"/>
                <w:szCs w:val="24"/>
              </w:rPr>
              <w:t xml:space="preserve">841.a panta normas, kas paredz, ka persona par preču </w:t>
            </w:r>
            <w:r w:rsidR="000975E1">
              <w:rPr>
                <w:rFonts w:ascii="Times New Roman" w:hAnsi="Times New Roman" w:cs="Times New Roman"/>
                <w:sz w:val="24"/>
                <w:szCs w:val="24"/>
              </w:rPr>
              <w:t>atpakaļizvešanu</w:t>
            </w:r>
            <w:r w:rsidR="008015AC">
              <w:rPr>
                <w:rFonts w:ascii="Times New Roman" w:hAnsi="Times New Roman" w:cs="Times New Roman"/>
                <w:sz w:val="24"/>
                <w:szCs w:val="24"/>
              </w:rPr>
              <w:t xml:space="preserve"> paziņo muitas iestādei, kuras kompetencē ir vieta, no kuras preces izvedīs no Kopienas muitas teritorijas, un šādu paziņojumu sniedz pirms preču izvešanas un muitas dienestu noteiktajā veidā.</w:t>
            </w:r>
            <w:r w:rsidR="0077354C">
              <w:rPr>
                <w:rFonts w:ascii="Times New Roman" w:hAnsi="Times New Roman" w:cs="Times New Roman"/>
                <w:sz w:val="24"/>
                <w:szCs w:val="24"/>
              </w:rPr>
              <w:t xml:space="preserve"> Regulas 2454/93 84</w:t>
            </w:r>
            <w:r w:rsidR="001B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4C">
              <w:rPr>
                <w:rFonts w:ascii="Times New Roman" w:hAnsi="Times New Roman" w:cs="Times New Roman"/>
                <w:sz w:val="24"/>
                <w:szCs w:val="24"/>
              </w:rPr>
              <w:t xml:space="preserve">.a panta </w:t>
            </w:r>
            <w:r w:rsidR="001B5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6158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77354C">
              <w:rPr>
                <w:rFonts w:ascii="Times New Roman" w:hAnsi="Times New Roman" w:cs="Times New Roman"/>
                <w:sz w:val="24"/>
                <w:szCs w:val="24"/>
              </w:rPr>
              <w:t xml:space="preserve"> nosaka gadījum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7354C">
              <w:rPr>
                <w:rFonts w:ascii="Times New Roman" w:hAnsi="Times New Roman" w:cs="Times New Roman"/>
                <w:sz w:val="24"/>
                <w:szCs w:val="24"/>
              </w:rPr>
              <w:t xml:space="preserve">s, kuros jāiesniedz preču </w:t>
            </w:r>
            <w:r w:rsidR="000975E1">
              <w:rPr>
                <w:rFonts w:ascii="Times New Roman" w:hAnsi="Times New Roman" w:cs="Times New Roman"/>
                <w:sz w:val="24"/>
                <w:szCs w:val="24"/>
              </w:rPr>
              <w:t>atpakaļizvešanas</w:t>
            </w:r>
            <w:r w:rsidR="0077354C">
              <w:rPr>
                <w:rFonts w:ascii="Times New Roman" w:hAnsi="Times New Roman" w:cs="Times New Roman"/>
                <w:sz w:val="24"/>
                <w:szCs w:val="24"/>
              </w:rPr>
              <w:t xml:space="preserve"> paziņojums.</w:t>
            </w:r>
            <w:r w:rsidR="008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DCA" w:rsidRPr="00661E43" w:rsidRDefault="00505801" w:rsidP="00505801">
            <w:pPr>
              <w:spacing w:line="40" w:lineRule="atLeast"/>
              <w:ind w:left="0" w:firstLineChars="230" w:firstLine="5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minēto, atbilstoši jāprecizē MK noteikumu Nr.511 normas.</w:t>
            </w:r>
          </w:p>
        </w:tc>
      </w:tr>
      <w:tr w:rsidR="002D7DCA" w:rsidRPr="00C26070" w:rsidTr="00C04F50">
        <w:trPr>
          <w:trHeight w:val="651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ED585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352B9" w:rsidP="00A47322">
            <w:pPr>
              <w:spacing w:before="100" w:beforeAutospacing="1" w:after="100" w:afterAutospacing="1" w:line="40" w:lineRule="atLeast"/>
              <w:ind w:left="0" w:firstLineChars="230" w:firstLine="5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2D7DCA" w:rsidRPr="00C26070" w:rsidTr="00C04F50">
        <w:trPr>
          <w:trHeight w:val="384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ED585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A56" w:rsidRDefault="00D27A56" w:rsidP="00A47322">
            <w:pPr>
              <w:spacing w:line="40" w:lineRule="atLeast"/>
              <w:ind w:left="34" w:firstLineChars="215"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aizstās MK noteikumu</w:t>
            </w:r>
            <w:r w:rsidR="005517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252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BF045F" w:rsidRDefault="00F34223" w:rsidP="001F6D21">
            <w:pPr>
              <w:spacing w:line="40" w:lineRule="atLeast"/>
              <w:ind w:left="34" w:firstLineChars="215"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mērķis ir </w:t>
            </w:r>
            <w:r w:rsidR="00BF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 MK noteikumu Nr.511 normas atbilstoši regulas Nr.2454/93 normām.</w:t>
            </w:r>
          </w:p>
          <w:p w:rsidR="001F6D21" w:rsidRDefault="00BF045F" w:rsidP="001F6D21">
            <w:pPr>
              <w:spacing w:line="40" w:lineRule="atLeast"/>
              <w:ind w:left="34" w:firstLineChars="215"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nosaka kārtību, kādā piesaka muitas noteikumos atzītu preču izmantošanu – preču </w:t>
            </w:r>
            <w:r w:rsidR="000975E1">
              <w:rPr>
                <w:rFonts w:ascii="Times New Roman" w:hAnsi="Times New Roman" w:cs="Times New Roman"/>
                <w:sz w:val="24"/>
                <w:szCs w:val="24"/>
              </w:rPr>
              <w:t>atpakaļizvešana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60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kārtību, kādā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muitas iestādē iesniedzams preču </w:t>
            </w:r>
            <w:r w:rsidR="00B54E59">
              <w:rPr>
                <w:rFonts w:ascii="Times New Roman" w:hAnsi="Times New Roman" w:cs="Times New Roman"/>
                <w:sz w:val="24"/>
                <w:szCs w:val="24"/>
              </w:rPr>
              <w:t>atpakaļizvešanas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paziņojums. </w:t>
            </w:r>
          </w:p>
          <w:p w:rsidR="00572C7A" w:rsidRDefault="00572C7A" w:rsidP="001F6D21">
            <w:pPr>
              <w:spacing w:line="40" w:lineRule="atLeast"/>
              <w:ind w:left="34" w:firstLineChars="215"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Saskaņā ar Regulas Nr.2454/93</w:t>
            </w:r>
            <w:r w:rsidR="007E5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841.a panta 2.</w:t>
            </w:r>
            <w:r w:rsidR="00CB6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punkta</w:t>
            </w:r>
            <w:r w:rsidR="00AD4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nosacījumiem, kas spēkā stāsies no 2011.gada 1.janvāra,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veic tādu preču </w:t>
            </w:r>
            <w:r w:rsidR="00B54E59">
              <w:rPr>
                <w:rFonts w:ascii="Times New Roman" w:hAnsi="Times New Roman" w:cs="Times New Roman"/>
                <w:sz w:val="24"/>
                <w:szCs w:val="24"/>
              </w:rPr>
              <w:t>atpakaļizvešanu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atrodas pagaidu uzglabāšanā vai I kontroles tipa brīvajā zonā un nav vajadzīga muitas deklarācija vai izvešanas kopsavilkuma deklarācija, par preču atpakaļizvešanu paziņo muitas iestādei.</w:t>
            </w:r>
          </w:p>
          <w:p w:rsidR="00BF045F" w:rsidRDefault="00BF045F" w:rsidP="001F6D21">
            <w:pPr>
              <w:spacing w:line="40" w:lineRule="atLeast"/>
              <w:ind w:left="34" w:firstLineChars="215"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nosaka informāciju, kas jānorāda pre</w:t>
            </w:r>
            <w:r w:rsidR="0010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B54E59">
              <w:rPr>
                <w:rFonts w:ascii="Times New Roman" w:hAnsi="Times New Roman" w:cs="Times New Roman"/>
                <w:sz w:val="24"/>
                <w:szCs w:val="24"/>
              </w:rPr>
              <w:t>atpakaļizvešanas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paziņojumā.</w:t>
            </w:r>
          </w:p>
          <w:p w:rsidR="002D7DCA" w:rsidRPr="00C26070" w:rsidRDefault="00501916" w:rsidP="00BF045F">
            <w:pPr>
              <w:spacing w:line="40" w:lineRule="atLeast"/>
              <w:ind w:left="34" w:firstLineChars="215"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07036" w:rsidRPr="00C23AE7">
              <w:rPr>
                <w:rFonts w:ascii="Times New Roman" w:hAnsi="Times New Roman" w:cs="Times New Roman"/>
                <w:sz w:val="24"/>
                <w:szCs w:val="24"/>
              </w:rPr>
              <w:t>ā kā veicamo grozījumu apjoms MK noteikumos Nr.</w:t>
            </w:r>
            <w:r w:rsidR="00BF045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C07036" w:rsidRPr="00C23AE7">
              <w:rPr>
                <w:rFonts w:ascii="Times New Roman" w:hAnsi="Times New Roman" w:cs="Times New Roman"/>
                <w:sz w:val="24"/>
                <w:szCs w:val="24"/>
              </w:rPr>
              <w:t xml:space="preserve"> sastāda vairāk kā 50% no teksta, saskaņā ar juridiskās tehnikas prasībām ir izstrādāts jauns </w:t>
            </w:r>
            <w:r w:rsidR="00435971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C07036" w:rsidRPr="00C23AE7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nevis veikti grozījumi MK noteikumos Nr.</w:t>
            </w:r>
            <w:r w:rsidR="00BF045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5B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DCA" w:rsidRPr="00C26070" w:rsidTr="00C04F50">
        <w:trPr>
          <w:trHeight w:val="476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5.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0B29AA" w:rsidP="00C56C72">
            <w:pPr>
              <w:spacing w:before="100" w:beforeAutospacing="1" w:after="100" w:afterAutospacing="1" w:line="40" w:lineRule="atLeast"/>
              <w:ind w:left="0" w:firstLineChars="230" w:firstLine="5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ieņēmumu dienests</w:t>
            </w:r>
          </w:p>
        </w:tc>
      </w:tr>
      <w:tr w:rsidR="002D7DCA" w:rsidRPr="00C26070" w:rsidTr="00C04F50">
        <w:trPr>
          <w:trHeight w:val="568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F7482C" w:rsidP="00F7482C">
            <w:pPr>
              <w:spacing w:before="100" w:beforeAutospacing="1" w:after="100" w:afterAutospacing="1" w:line="40" w:lineRule="atLeast"/>
              <w:ind w:left="0" w:firstLineChars="230" w:firstLine="5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projekta izstrādi tika ievietota Finanšu ministrijas mājas lapā.</w:t>
            </w:r>
          </w:p>
        </w:tc>
      </w:tr>
      <w:tr w:rsidR="002D7DCA" w:rsidRPr="00C26070" w:rsidTr="00C04F50">
        <w:trPr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C26070" w:rsidRDefault="000B29AA" w:rsidP="00C56C72">
            <w:pPr>
              <w:spacing w:before="100" w:beforeAutospacing="1" w:after="100" w:afterAutospacing="1" w:line="40" w:lineRule="atLeast"/>
              <w:ind w:left="0" w:firstLineChars="230" w:firstLine="5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62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90599" w:rsidRPr="004D266F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firstLineChars="709" w:firstLine="1708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II. Tiesību akta projekta ietekme uz sabiedrību</w:t>
            </w:r>
          </w:p>
        </w:tc>
      </w:tr>
      <w:tr w:rsidR="00490599" w:rsidRPr="004D266F" w:rsidTr="000F17FF">
        <w:trPr>
          <w:trHeight w:val="46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left="0" w:firstLineChars="709" w:firstLine="170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0F17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mērķgrupa</w:t>
            </w:r>
            <w:proofErr w:type="spellEnd"/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17F" w:rsidRDefault="00490599" w:rsidP="005477A6">
            <w:pPr>
              <w:spacing w:after="0" w:line="40" w:lineRule="atLeast"/>
              <w:ind w:left="0" w:right="85" w:firstLine="5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F65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</w:t>
            </w:r>
            <w:proofErr w:type="spellStart"/>
            <w:r w:rsidRPr="00EF65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mērķgrupa</w:t>
            </w:r>
            <w:proofErr w:type="spellEnd"/>
            <w:r w:rsidRPr="00EF65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</w:t>
            </w:r>
            <w:r w:rsidR="004101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 komersanti</w:t>
            </w:r>
            <w:r w:rsidR="00DE06D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E06D2" w:rsidRPr="009D3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 fiziskas personas</w:t>
            </w:r>
            <w:r w:rsidR="0041017F" w:rsidRPr="009D3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kas </w:t>
            </w:r>
            <w:r w:rsidR="00F06171" w:rsidRPr="009D3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piemēro vai turpmāk piemē</w:t>
            </w:r>
            <w:r w:rsidR="00F061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ros muitas noteikumos atzītu preču izmantošanu – preču </w:t>
            </w:r>
            <w:r w:rsidR="00B54E59">
              <w:rPr>
                <w:rFonts w:ascii="Times New Roman" w:hAnsi="Times New Roman" w:cs="Times New Roman"/>
                <w:sz w:val="24"/>
                <w:szCs w:val="24"/>
              </w:rPr>
              <w:t>atpakaļizvešana</w:t>
            </w:r>
            <w:r w:rsidR="00F061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B26F78" w:rsidRDefault="00B26F78" w:rsidP="005477A6">
            <w:pPr>
              <w:spacing w:after="0" w:line="40" w:lineRule="atLeast"/>
              <w:ind w:left="0" w:right="85" w:firstLine="5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2009.gadā Valsts ieņēmumu dienesta Muitas pārvaldes muitas kontroles punktos tika iesniegti 3512 paziņojumi par preču </w:t>
            </w:r>
            <w:r w:rsidR="00B54E59">
              <w:rPr>
                <w:rFonts w:ascii="Times New Roman" w:hAnsi="Times New Roman" w:cs="Times New Roman"/>
                <w:sz w:val="24"/>
                <w:szCs w:val="24"/>
              </w:rPr>
              <w:t>atpakaļizvešanu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124882" w:rsidRPr="004D266F" w:rsidRDefault="00124882" w:rsidP="005477A6">
            <w:pPr>
              <w:spacing w:after="0" w:line="40" w:lineRule="atLeast"/>
              <w:ind w:left="0" w:right="85" w:firstLine="5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90599" w:rsidRPr="004D266F" w:rsidTr="000F17FF">
        <w:trPr>
          <w:trHeight w:val="523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left="0" w:firstLineChars="709" w:firstLine="170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Citas sabiedrības grupas (bez </w:t>
            </w:r>
            <w:proofErr w:type="spellStart"/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), kuras tiesiskais regulējums arī ietekmē vai varētu ietekmēt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C56C72">
            <w:pPr>
              <w:spacing w:before="100" w:beforeAutospacing="1" w:after="100" w:afterAutospacing="1" w:line="40" w:lineRule="atLeast"/>
              <w:ind w:left="127" w:right="84" w:firstLineChars="177" w:firstLine="4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490599" w:rsidRPr="004D266F" w:rsidTr="000F17FF">
        <w:trPr>
          <w:trHeight w:val="51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left="0" w:firstLineChars="709" w:firstLine="170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finansiālā ietekme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C56C72">
            <w:pPr>
              <w:spacing w:before="100" w:beforeAutospacing="1" w:after="100" w:afterAutospacing="1" w:line="40" w:lineRule="atLeast"/>
              <w:ind w:left="127" w:right="84" w:firstLineChars="177" w:firstLine="4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490599" w:rsidRPr="004D266F" w:rsidTr="000F17FF">
        <w:trPr>
          <w:trHeight w:val="51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left="0" w:firstLineChars="709" w:firstLine="170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nefinansiālā ietekme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C56C72">
            <w:pPr>
              <w:spacing w:before="100" w:beforeAutospacing="1" w:after="100" w:afterAutospacing="1" w:line="40" w:lineRule="atLeast"/>
              <w:ind w:left="127" w:right="84" w:firstLineChars="177" w:firstLine="4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490599" w:rsidRPr="004D266F" w:rsidTr="000F17FF">
        <w:trPr>
          <w:trHeight w:val="531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left="0" w:firstLineChars="709" w:firstLine="170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Administratīvās procedūras raksturojums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DF6463" w:rsidRDefault="00356689" w:rsidP="00CB6158">
            <w:pPr>
              <w:spacing w:line="40" w:lineRule="atLeast"/>
              <w:ind w:left="34" w:firstLineChars="215" w:firstLine="516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3566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Turpmāk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paziņojums par preču </w:t>
            </w:r>
            <w:r w:rsidR="00B54E59">
              <w:rPr>
                <w:rFonts w:ascii="Times New Roman" w:hAnsi="Times New Roman" w:cs="Times New Roman"/>
                <w:sz w:val="24"/>
                <w:szCs w:val="24"/>
              </w:rPr>
              <w:t>atpakaļizvešanu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muitas iestāde būs jāsniedz </w:t>
            </w:r>
            <w:r w:rsidR="00F747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gadījumos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minēti Regulas Nr.2454/93 841.a panta 2.</w:t>
            </w:r>
            <w:r w:rsidR="00CB61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ja veiks tādu preču </w:t>
            </w:r>
            <w:r w:rsidR="00B54E59">
              <w:rPr>
                <w:rFonts w:ascii="Times New Roman" w:hAnsi="Times New Roman" w:cs="Times New Roman"/>
                <w:sz w:val="24"/>
                <w:szCs w:val="24"/>
              </w:rPr>
              <w:t>atpakaļizvešanu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atrodas pagaidu uzglabāšanā vai I kontroles tipa brīvajā zonā un nav vajadzīga muitas deklarācija vai izvešanas kopsavilkuma deklarācija.</w:t>
            </w:r>
          </w:p>
        </w:tc>
      </w:tr>
      <w:tr w:rsidR="00490599" w:rsidRPr="004D266F" w:rsidTr="000F17FF">
        <w:trPr>
          <w:trHeight w:val="35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left="0" w:firstLineChars="709" w:firstLine="170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Administratīvo izmaksu </w:t>
            </w: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monetārs novērtējums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136854">
            <w:pPr>
              <w:spacing w:before="100" w:beforeAutospacing="1" w:after="100" w:afterAutospacing="1" w:line="40" w:lineRule="atLeast"/>
              <w:ind w:left="127" w:right="84" w:firstLineChars="177" w:firstLine="4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Nav attiecināms</w:t>
            </w:r>
          </w:p>
        </w:tc>
      </w:tr>
      <w:tr w:rsidR="00490599" w:rsidRPr="004D266F" w:rsidTr="000F17FF">
        <w:trPr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A47322">
            <w:pPr>
              <w:spacing w:before="100" w:beforeAutospacing="1" w:after="100" w:afterAutospacing="1" w:line="40" w:lineRule="atLeast"/>
              <w:ind w:left="0" w:firstLineChars="709" w:firstLine="170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7.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4D266F" w:rsidRDefault="00490599" w:rsidP="00136854">
            <w:pPr>
              <w:spacing w:before="100" w:beforeAutospacing="1" w:after="100" w:afterAutospacing="1" w:line="40" w:lineRule="atLeast"/>
              <w:ind w:left="127" w:right="84" w:firstLineChars="177" w:firstLine="4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D26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C247B" w:rsidRPr="006C247B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47B" w:rsidRPr="006C247B" w:rsidRDefault="006C247B" w:rsidP="007F13F6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C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C247B" w:rsidRPr="006C247B" w:rsidTr="00C04F50">
        <w:trPr>
          <w:trHeight w:val="154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47B" w:rsidRPr="006C247B" w:rsidRDefault="006C247B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6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47B" w:rsidRPr="006C247B" w:rsidRDefault="006C247B" w:rsidP="00075AE3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47B" w:rsidRPr="006C247B" w:rsidRDefault="006C247B" w:rsidP="00B00016">
            <w:pPr>
              <w:spacing w:before="120" w:line="40" w:lineRule="atLeast"/>
              <w:ind w:left="0" w:firstLineChars="230" w:firstLine="5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projekta pieņemšanu spēku zaudēs </w:t>
            </w:r>
            <w:r w:rsidR="0006100D" w:rsidRPr="0006100D">
              <w:rPr>
                <w:rFonts w:ascii="Times New Roman" w:hAnsi="Times New Roman" w:cs="Times New Roman"/>
                <w:sz w:val="24"/>
                <w:szCs w:val="24"/>
              </w:rPr>
              <w:t>Ministru kabineta 200</w:t>
            </w:r>
            <w:r w:rsidR="00B00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00D" w:rsidRPr="0006100D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B00016">
              <w:rPr>
                <w:rFonts w:ascii="Times New Roman" w:hAnsi="Times New Roman" w:cs="Times New Roman"/>
                <w:sz w:val="24"/>
                <w:szCs w:val="24"/>
              </w:rPr>
              <w:t>27.jūnija</w:t>
            </w:r>
            <w:r w:rsidR="0006100D">
              <w:rPr>
                <w:rFonts w:ascii="Times New Roman" w:hAnsi="Times New Roman" w:cs="Times New Roman"/>
                <w:sz w:val="24"/>
                <w:szCs w:val="24"/>
              </w:rPr>
              <w:t xml:space="preserve"> noteikumi</w:t>
            </w:r>
            <w:r w:rsidR="0006100D" w:rsidRPr="0006100D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B0001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06100D" w:rsidRPr="0006100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00016">
              <w:rPr>
                <w:rFonts w:ascii="Times New Roman" w:hAnsi="Times New Roman" w:cs="Times New Roman"/>
                <w:sz w:val="24"/>
                <w:szCs w:val="24"/>
              </w:rPr>
              <w:t>Muitošanas režīma – preču atpakaļizvešana – pieteikšanas kārtība</w:t>
            </w:r>
            <w:r w:rsidR="0006100D" w:rsidRPr="0006100D">
              <w:rPr>
                <w:rFonts w:ascii="Times New Roman" w:hAnsi="Times New Roman" w:cs="Times New Roman"/>
                <w:sz w:val="24"/>
                <w:szCs w:val="24"/>
              </w:rPr>
              <w:t>" (Latvijas Vēstnesis, 200</w:t>
            </w:r>
            <w:r w:rsidR="00B00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00D" w:rsidRPr="00061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0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100D" w:rsidRPr="0006100D">
              <w:rPr>
                <w:rFonts w:ascii="Times New Roman" w:hAnsi="Times New Roman" w:cs="Times New Roman"/>
                <w:sz w:val="24"/>
                <w:szCs w:val="24"/>
              </w:rPr>
              <w:t>.nr.)</w:t>
            </w:r>
          </w:p>
        </w:tc>
      </w:tr>
      <w:tr w:rsidR="006C247B" w:rsidRPr="006C247B" w:rsidTr="00C04F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47B" w:rsidRPr="006C247B" w:rsidRDefault="006C247B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6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47B" w:rsidRPr="006C247B" w:rsidRDefault="006C247B" w:rsidP="00075AE3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4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47B" w:rsidRPr="006C247B" w:rsidRDefault="00A15C5E" w:rsidP="00136854">
            <w:pPr>
              <w:spacing w:before="100" w:beforeAutospacing="1" w:after="100" w:afterAutospacing="1" w:line="40" w:lineRule="atLeast"/>
              <w:ind w:left="0" w:firstLineChars="230" w:firstLine="5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A2614" w:rsidRPr="005A2614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075AE3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A2614" w:rsidRPr="009D34F4" w:rsidTr="00C04F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6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075AE3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890" w:rsidRPr="009D34F4" w:rsidRDefault="00526592" w:rsidP="00136854">
            <w:pPr>
              <w:spacing w:line="40" w:lineRule="atLeast"/>
              <w:ind w:left="0" w:firstLineChars="230"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9D34F4">
              <w:rPr>
                <w:rFonts w:ascii="Times New Roman" w:hAnsi="Times New Roman" w:cs="Times New Roman"/>
                <w:sz w:val="24"/>
                <w:szCs w:val="24"/>
              </w:rPr>
              <w:t>Regula Nr.2454/93</w:t>
            </w:r>
            <w:r w:rsidR="004378AA" w:rsidRPr="009D3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3890" w:rsidRPr="009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DB" w:rsidRPr="009D34F4" w:rsidRDefault="00B061DB" w:rsidP="00B061DB">
            <w:pPr>
              <w:spacing w:line="40" w:lineRule="atLeast"/>
              <w:ind w:left="0"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9D34F4">
              <w:rPr>
                <w:rFonts w:ascii="Times New Roman" w:hAnsi="Times New Roman" w:cs="Times New Roman"/>
                <w:sz w:val="24"/>
                <w:szCs w:val="24"/>
              </w:rPr>
              <w:t>Padomes 1992.gada 12.oktobra Regula (EEK) Nr.2913/92 par Kopienas Muitas kodeksa izveidi;</w:t>
            </w:r>
          </w:p>
          <w:p w:rsidR="004378AA" w:rsidRPr="009D34F4" w:rsidRDefault="004378AA" w:rsidP="004378AA">
            <w:pPr>
              <w:spacing w:line="40" w:lineRule="atLeast"/>
              <w:ind w:left="0" w:firstLineChars="230"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9D34F4">
              <w:rPr>
                <w:rFonts w:ascii="Times New Roman" w:hAnsi="Times New Roman" w:cs="Times New Roman"/>
                <w:sz w:val="24"/>
                <w:szCs w:val="24"/>
              </w:rPr>
              <w:t>Komisijas 2010.gada 20.m</w:t>
            </w:r>
            <w:r w:rsidR="001343DD" w:rsidRPr="009D34F4">
              <w:rPr>
                <w:rFonts w:ascii="Times New Roman" w:hAnsi="Times New Roman" w:cs="Times New Roman"/>
                <w:sz w:val="24"/>
                <w:szCs w:val="24"/>
              </w:rPr>
              <w:t>aija regula Nr.430/2010, ar kuru</w:t>
            </w:r>
            <w:r w:rsidRPr="009D34F4">
              <w:rPr>
                <w:rFonts w:ascii="Times New Roman" w:hAnsi="Times New Roman" w:cs="Times New Roman"/>
                <w:sz w:val="24"/>
                <w:szCs w:val="24"/>
              </w:rPr>
              <w:t xml:space="preserve"> groza Regulu (EEK) Nr.2454/93, ar ko nosaka īstenošanas noteikumus padomes regulai (EEK) Nr.2913/92 par Kopienas Muitas kodeksa </w:t>
            </w:r>
            <w:r w:rsidR="001343DD" w:rsidRPr="009D34F4">
              <w:rPr>
                <w:rFonts w:ascii="Times New Roman" w:hAnsi="Times New Roman" w:cs="Times New Roman"/>
                <w:sz w:val="24"/>
                <w:szCs w:val="24"/>
              </w:rPr>
              <w:t xml:space="preserve">izveidi; </w:t>
            </w:r>
          </w:p>
          <w:p w:rsidR="001343DD" w:rsidRPr="009D34F4" w:rsidRDefault="001343DD" w:rsidP="00B01E70">
            <w:pPr>
              <w:spacing w:line="40" w:lineRule="atLeast"/>
              <w:ind w:left="0" w:firstLineChars="230"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9D34F4">
              <w:rPr>
                <w:rFonts w:ascii="Times New Roman" w:hAnsi="Times New Roman" w:cs="Times New Roman"/>
                <w:sz w:val="24"/>
                <w:szCs w:val="24"/>
              </w:rPr>
              <w:t>Komisijas 2006.gada 18.decembra regula Nr.1875/2006, ar kuru groza Regulu (EEK) Nr.2454/93, ar ko nosaka īstenošanas noteikumus padomes regulai (EEK) Nr.2913/92 par Kopienas Muitas kodeksa izveidi.</w:t>
            </w:r>
          </w:p>
        </w:tc>
      </w:tr>
      <w:tr w:rsidR="005A2614" w:rsidRPr="005A2614" w:rsidTr="00C04F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6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075AE3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B24517" w:rsidP="00136854">
            <w:pPr>
              <w:spacing w:before="100" w:beforeAutospacing="1" w:after="100" w:afterAutospacing="1" w:line="40" w:lineRule="atLeast"/>
              <w:ind w:left="0" w:firstLineChars="230" w:firstLine="5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6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075AE3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136854">
            <w:pPr>
              <w:spacing w:before="100" w:beforeAutospacing="1" w:after="100" w:afterAutospacing="1" w:line="40" w:lineRule="atLeast"/>
              <w:ind w:left="0" w:firstLineChars="230" w:firstLine="5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24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A2614" w:rsidRPr="005A2614" w:rsidTr="00C04F50">
        <w:trPr>
          <w:trHeight w:val="523"/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520F8A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1.tabula</w:t>
            </w:r>
            <w:r w:rsidR="00520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="005A2614" w:rsidRPr="005A2614" w:rsidTr="00C04F50">
        <w:trPr>
          <w:trHeight w:val="1252"/>
          <w:tblCellSpacing w:w="0" w:type="dxa"/>
        </w:trPr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Attiecīgā ES tiesību akta datums, numurs un nosaukums</w:t>
            </w:r>
          </w:p>
        </w:tc>
        <w:tc>
          <w:tcPr>
            <w:tcW w:w="72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13685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Aizpilda, ja ar projektu tiek pārņemts vai ieviests vairāk nekā viens ES tiesību akts – jānorāda tā pati informācija, kas prasīta instrukcijas 55.1.apakšpunktā un jau tikusi norādīta arī </w:t>
            </w:r>
            <w:proofErr w:type="spellStart"/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 sadaļas</w:t>
            </w:r>
            <w:proofErr w:type="spellEnd"/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1.punkta ietvaros</w:t>
            </w:r>
          </w:p>
        </w:tc>
      </w:tr>
      <w:tr w:rsidR="005A2614" w:rsidRPr="005A2614" w:rsidTr="00C04F50">
        <w:trPr>
          <w:trHeight w:val="163"/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5A2614" w:rsidRPr="005A2614" w:rsidTr="00C04F50">
        <w:trPr>
          <w:trHeight w:val="165"/>
          <w:tblCellSpacing w:w="0" w:type="dxa"/>
        </w:trPr>
        <w:tc>
          <w:tcPr>
            <w:tcW w:w="2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2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</w:t>
            </w:r>
          </w:p>
        </w:tc>
      </w:tr>
      <w:tr w:rsidR="005A2614" w:rsidRPr="005A2614" w:rsidTr="00C04F50">
        <w:trPr>
          <w:trHeight w:val="889"/>
          <w:tblCellSpacing w:w="0" w:type="dxa"/>
        </w:trPr>
        <w:tc>
          <w:tcPr>
            <w:tcW w:w="2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2132C3" w:rsidP="00520F8A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Regula Nr.2913/92 182.pants</w:t>
            </w:r>
            <w:r w:rsidR="00520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6D41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FA4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egula Nr.</w:t>
            </w:r>
            <w:r w:rsidR="00FE0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2454</w:t>
            </w:r>
            <w:r w:rsidR="00FA4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/9</w:t>
            </w:r>
            <w:r w:rsidR="00FE0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FA4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7E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841.pants; 841.a pants</w:t>
            </w:r>
          </w:p>
        </w:tc>
        <w:tc>
          <w:tcPr>
            <w:tcW w:w="2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201A4D" w:rsidP="00607E8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607E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F47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6630ED" w:rsidP="0013685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ieviests pilnībā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2078C5" w:rsidP="0013685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Nacionālais tiesību akts neparedz stingrākas prasības</w:t>
            </w:r>
          </w:p>
        </w:tc>
      </w:tr>
      <w:tr w:rsidR="005A2614" w:rsidRPr="005A2614" w:rsidTr="00C04F50">
        <w:trPr>
          <w:trHeight w:val="972"/>
          <w:tblCellSpacing w:w="0" w:type="dxa"/>
        </w:trPr>
        <w:tc>
          <w:tcPr>
            <w:tcW w:w="2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03110D" w:rsidP="00607E8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CF47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egula Nr.2454/93 </w:t>
            </w:r>
            <w:r w:rsidR="00607E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842</w:t>
            </w:r>
            <w:r w:rsidR="00215D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.a</w:t>
            </w:r>
            <w:r w:rsidR="00CF47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.pants</w:t>
            </w:r>
          </w:p>
        </w:tc>
        <w:tc>
          <w:tcPr>
            <w:tcW w:w="2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D01496" w:rsidP="00607E8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607E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F4705" w:rsidRPr="00781B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52" w:rsidRPr="005A2614" w:rsidRDefault="006630ED" w:rsidP="0003110D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ieviests pilnībā</w:t>
            </w:r>
          </w:p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2078C5" w:rsidP="00520F8A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Nacionālais tiesību akts neparedz stingrākas prasības</w:t>
            </w:r>
          </w:p>
        </w:tc>
      </w:tr>
      <w:tr w:rsidR="0038206D" w:rsidRPr="005A2614" w:rsidTr="00C04F50">
        <w:trPr>
          <w:trHeight w:val="191"/>
          <w:tblCellSpacing w:w="0" w:type="dxa"/>
        </w:trPr>
        <w:tc>
          <w:tcPr>
            <w:tcW w:w="2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6D" w:rsidRPr="005A2614" w:rsidRDefault="00EF4F42" w:rsidP="00A5779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Regula Nr.2454/93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842.a.pants</w:t>
            </w:r>
          </w:p>
        </w:tc>
        <w:tc>
          <w:tcPr>
            <w:tcW w:w="2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6D" w:rsidRPr="005A2614" w:rsidRDefault="00732690" w:rsidP="00EF4F4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Noteikumu </w:t>
            </w:r>
            <w:r w:rsidR="00216F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0F7B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6D" w:rsidRPr="005A2614" w:rsidRDefault="006630ED" w:rsidP="0003110D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ieviests pilnībā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06D" w:rsidRPr="005A2614" w:rsidRDefault="002078C5" w:rsidP="0003110D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Nacionālais tiesību akts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neparedz stingrākas prasības</w:t>
            </w:r>
          </w:p>
        </w:tc>
      </w:tr>
      <w:tr w:rsidR="005A2614" w:rsidRPr="005A2614" w:rsidTr="00C04F50">
        <w:trPr>
          <w:trHeight w:val="281"/>
          <w:tblCellSpacing w:w="0" w:type="dxa"/>
        </w:trPr>
        <w:tc>
          <w:tcPr>
            <w:tcW w:w="2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9A33A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 akta normas.</w:t>
            </w:r>
          </w:p>
          <w:p w:rsidR="005A2614" w:rsidRPr="005A2614" w:rsidRDefault="005A2614" w:rsidP="009A33A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Kādēļ?</w:t>
            </w:r>
          </w:p>
        </w:tc>
        <w:tc>
          <w:tcPr>
            <w:tcW w:w="66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D503E9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913"/>
          <w:tblCellSpacing w:w="0" w:type="dxa"/>
        </w:trPr>
        <w:tc>
          <w:tcPr>
            <w:tcW w:w="2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9A33A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D503E9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579"/>
          <w:tblCellSpacing w:w="0" w:type="dxa"/>
        </w:trPr>
        <w:tc>
          <w:tcPr>
            <w:tcW w:w="2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9A33A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66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A22599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A2614" w:rsidRPr="005A2614" w:rsidTr="00C04F50">
        <w:trPr>
          <w:trHeight w:val="792"/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9A33A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2.tabula</w:t>
            </w:r>
            <w:r w:rsidR="00520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tiesību akta projektu uzņemtās saistības, kas izriet no starptautiskajiem tiesību aktiem vai starptautiskas institūcijas vai organizācijas dokumentiem</w:t>
            </w:r>
          </w:p>
          <w:p w:rsidR="005A2614" w:rsidRPr="005A2614" w:rsidRDefault="005A2614" w:rsidP="009A33A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5A2614" w:rsidRPr="005A2614" w:rsidTr="006F0BF7">
        <w:trPr>
          <w:trHeight w:val="411"/>
          <w:tblCellSpacing w:w="0" w:type="dxa"/>
        </w:trPr>
        <w:tc>
          <w:tcPr>
            <w:tcW w:w="1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9A33AF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69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A43E12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5A2614" w:rsidRPr="005A2614" w:rsidTr="00C04F50">
        <w:trPr>
          <w:trHeight w:val="341"/>
          <w:tblCellSpacing w:w="0" w:type="dxa"/>
        </w:trPr>
        <w:tc>
          <w:tcPr>
            <w:tcW w:w="1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2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</w:t>
            </w: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</w:t>
            </w:r>
          </w:p>
        </w:tc>
      </w:tr>
      <w:tr w:rsidR="005A2614" w:rsidRPr="005A2614" w:rsidTr="00C04F50">
        <w:trPr>
          <w:trHeight w:val="161"/>
          <w:tblCellSpacing w:w="0" w:type="dxa"/>
        </w:trPr>
        <w:tc>
          <w:tcPr>
            <w:tcW w:w="1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="00A43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  <w:tc>
          <w:tcPr>
            <w:tcW w:w="2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A43E12" w:rsidP="009A33A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A43E12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5A2614" w:rsidRPr="005A2614" w:rsidTr="00C04F50">
        <w:trPr>
          <w:trHeight w:val="161"/>
          <w:tblCellSpacing w:w="0" w:type="dxa"/>
        </w:trPr>
        <w:tc>
          <w:tcPr>
            <w:tcW w:w="1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614" w:rsidRPr="005A2614" w:rsidRDefault="005A2614" w:rsidP="001B238A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starptautiskajā dokumentā paredzētās saistības nav pretrunā ar jau esošajām Latvijas Republikas </w:t>
            </w: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starptautiskajām saistībām</w:t>
            </w:r>
          </w:p>
        </w:tc>
        <w:tc>
          <w:tcPr>
            <w:tcW w:w="69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A43E12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Nav attiecināms</w:t>
            </w:r>
          </w:p>
        </w:tc>
      </w:tr>
      <w:tr w:rsidR="005A2614" w:rsidRPr="005A2614" w:rsidTr="00C04F50">
        <w:trPr>
          <w:trHeight w:val="709"/>
          <w:tblCellSpacing w:w="0" w:type="dxa"/>
        </w:trPr>
        <w:tc>
          <w:tcPr>
            <w:tcW w:w="1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1B238A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69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A43E12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A2614" w:rsidRPr="005A2614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6F0BF7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šīs līdzdalības rezultāti</w:t>
            </w:r>
          </w:p>
        </w:tc>
      </w:tr>
      <w:tr w:rsidR="005A2614" w:rsidRPr="005A2614" w:rsidTr="00C04F50">
        <w:trPr>
          <w:trHeight w:val="553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1B238A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informēšana par projekta izstrādes uzsākšanu</w:t>
            </w:r>
          </w:p>
        </w:tc>
        <w:tc>
          <w:tcPr>
            <w:tcW w:w="48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685905" w:rsidP="00685905">
            <w:pPr>
              <w:spacing w:before="100" w:beforeAutospacing="1" w:after="100" w:afterAutospacing="1" w:line="40" w:lineRule="atLeast"/>
              <w:ind w:left="0" w:firstLine="3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D7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nformācija par Ministru kabineta noteikumu projekta izstrādes uzsākšanu tika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ievietota Finanšu ministrijas mājas lapā.</w:t>
            </w:r>
          </w:p>
        </w:tc>
      </w:tr>
      <w:tr w:rsidR="005A2614" w:rsidRPr="005A2614" w:rsidTr="00C04F50">
        <w:trPr>
          <w:trHeight w:val="339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1B238A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48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665" w:rsidRPr="005A2614" w:rsidRDefault="00685905" w:rsidP="00221C53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375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3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1B238A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48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685905" w:rsidP="00685905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397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3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1B238A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Saeimas un ekspertu līdzdalība</w:t>
            </w:r>
          </w:p>
        </w:tc>
        <w:tc>
          <w:tcPr>
            <w:tcW w:w="48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9C2FE6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476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3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221C53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8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9C2FE6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A2614" w:rsidRPr="005A2614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8D539B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2614" w:rsidRPr="005A2614" w:rsidTr="00C04F50">
        <w:trPr>
          <w:trHeight w:val="427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DE0407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ieņēmumu dienests</w:t>
            </w:r>
            <w:r w:rsidR="00365D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A2614" w:rsidRPr="005A2614" w:rsidTr="00C04F50">
        <w:trPr>
          <w:trHeight w:val="463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3F5366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725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3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:rsidR="005A2614" w:rsidRPr="005A2614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3F5366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780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3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F01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:rsidR="005A2614" w:rsidRPr="005A2614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likvidācija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3F5366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A2614" w:rsidRPr="005A2614" w:rsidTr="00C04F50">
        <w:trPr>
          <w:trHeight w:val="703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3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:rsidR="005A2614" w:rsidRPr="005A2614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407F01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3F53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 attiecināms.</w:t>
            </w:r>
          </w:p>
        </w:tc>
      </w:tr>
      <w:tr w:rsidR="005A2614" w:rsidRPr="005A2614" w:rsidTr="00C04F50">
        <w:trPr>
          <w:trHeight w:val="476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A47322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3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5A2614" w:rsidRDefault="000D2C98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672E0" w:rsidRPr="00E04030" w:rsidRDefault="00A672E0" w:rsidP="00407F01">
      <w:pPr>
        <w:spacing w:before="100" w:beforeAutospacing="1" w:after="100" w:afterAutospacing="1" w:line="40" w:lineRule="atLeast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40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Anotācijas </w:t>
      </w:r>
      <w:r w:rsidR="00BF4463" w:rsidRPr="00E040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E040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</w:t>
      </w:r>
      <w:r w:rsidR="00BF4463" w:rsidRPr="00E040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sadaļa</w:t>
      </w:r>
      <w:r w:rsidRPr="00E040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 nav attiecināms.</w:t>
      </w:r>
    </w:p>
    <w:p w:rsidR="00E93646" w:rsidRDefault="00E93646" w:rsidP="00A47322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firstLineChars="709" w:firstLine="1985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04202" w:rsidRPr="00B446E0" w:rsidRDefault="00E04202" w:rsidP="00B446E0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right="-625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46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ministrs                                                        </w:t>
      </w:r>
      <w:r w:rsidR="00407F01" w:rsidRPr="00B446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Pr="00B446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="00145066" w:rsidRPr="00B446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B446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="0001074A">
        <w:rPr>
          <w:rFonts w:ascii="Times New Roman" w:eastAsia="Times New Roman" w:hAnsi="Times New Roman" w:cs="Times New Roman"/>
          <w:sz w:val="24"/>
          <w:szCs w:val="24"/>
          <w:lang w:eastAsia="lv-LV"/>
        </w:rPr>
        <w:t>A.Vilks</w:t>
      </w:r>
    </w:p>
    <w:p w:rsidR="00B01E70" w:rsidRDefault="00B01E70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4" w:name="_GoBack"/>
      <w:bookmarkEnd w:id="4"/>
    </w:p>
    <w:p w:rsidR="00B01E70" w:rsidRDefault="00B01E70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45066" w:rsidRPr="007153F1" w:rsidRDefault="006F246A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</w:t>
      </w:r>
      <w:r w:rsidR="00145066"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D85C90">
        <w:rPr>
          <w:rFonts w:ascii="Times New Roman" w:eastAsia="Times New Roman" w:hAnsi="Times New Roman" w:cs="Times New Roman"/>
          <w:sz w:val="20"/>
          <w:szCs w:val="20"/>
          <w:lang w:eastAsia="lv-LV"/>
        </w:rPr>
        <w:t>01.2011</w:t>
      </w:r>
      <w:r w:rsidR="00145066"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>.  11:37</w:t>
      </w:r>
    </w:p>
    <w:p w:rsidR="00F8765B" w:rsidRDefault="003862DA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  <w:r w:rsidR="00527969">
        <w:rPr>
          <w:rFonts w:ascii="Times New Roman" w:eastAsia="Times New Roman" w:hAnsi="Times New Roman" w:cs="Times New Roman"/>
          <w:sz w:val="20"/>
          <w:szCs w:val="20"/>
          <w:lang w:eastAsia="lv-LV"/>
        </w:rPr>
        <w:t>89</w:t>
      </w:r>
    </w:p>
    <w:p w:rsidR="007D750C" w:rsidRPr="007153F1" w:rsidRDefault="00920186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>M.Munča</w:t>
      </w:r>
    </w:p>
    <w:p w:rsidR="00C26070" w:rsidRPr="007153F1" w:rsidRDefault="007D750C" w:rsidP="00292AC0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>670955</w:t>
      </w:r>
      <w:r w:rsidR="00920186"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>59</w:t>
      </w:r>
      <w:r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proofErr w:type="spellStart"/>
      <w:r w:rsidR="00920186"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>Marika.Munca</w:t>
      </w:r>
      <w:r w:rsidRPr="007153F1">
        <w:rPr>
          <w:rFonts w:ascii="Times New Roman" w:eastAsia="Times New Roman" w:hAnsi="Times New Roman" w:cs="Times New Roman"/>
          <w:sz w:val="20"/>
          <w:szCs w:val="20"/>
          <w:lang w:eastAsia="lv-LV"/>
        </w:rPr>
        <w:t>@fm.gov.lv</w:t>
      </w:r>
      <w:proofErr w:type="spellEnd"/>
      <w:r w:rsidR="00C26070" w:rsidRPr="007153F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 </w:t>
      </w:r>
    </w:p>
    <w:p w:rsidR="003F4905" w:rsidRDefault="003F4905" w:rsidP="00A47322">
      <w:pPr>
        <w:spacing w:line="40" w:lineRule="atLeast"/>
        <w:ind w:firstLineChars="709" w:firstLine="1560"/>
      </w:pPr>
    </w:p>
    <w:sectPr w:rsidR="003F4905" w:rsidSect="00F03EF2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03" w:rsidRDefault="00683B03" w:rsidP="003B0A1E">
      <w:pPr>
        <w:spacing w:after="0"/>
      </w:pPr>
      <w:r>
        <w:separator/>
      </w:r>
    </w:p>
  </w:endnote>
  <w:endnote w:type="continuationSeparator" w:id="0">
    <w:p w:rsidR="00683B03" w:rsidRDefault="00683B03" w:rsidP="003B0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2A" w:rsidRPr="00603101" w:rsidRDefault="00D55B2A" w:rsidP="00D55B2A">
    <w:pPr>
      <w:ind w:left="0"/>
      <w:rPr>
        <w:rFonts w:ascii="Times New Roman" w:hAnsi="Times New Roman" w:cs="Times New Roman"/>
        <w:sz w:val="20"/>
        <w:szCs w:val="20"/>
      </w:rPr>
    </w:pPr>
    <w:r w:rsidRPr="00603101">
      <w:rPr>
        <w:rFonts w:ascii="Times New Roman" w:hAnsi="Times New Roman" w:cs="Times New Roman"/>
        <w:sz w:val="20"/>
        <w:szCs w:val="20"/>
      </w:rPr>
      <w:t>FMAnot_</w:t>
    </w:r>
    <w:r w:rsidR="00AC652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0111</w:t>
    </w:r>
    <w:r w:rsidRPr="0060310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atpakalizvesana</w:t>
    </w:r>
    <w:r w:rsidRPr="00603101">
      <w:rPr>
        <w:rFonts w:ascii="Times New Roman" w:hAnsi="Times New Roman" w:cs="Times New Roman"/>
        <w:sz w:val="20"/>
        <w:szCs w:val="20"/>
      </w:rPr>
      <w:t xml:space="preserve">; Ministru kabineta noteikumu projekta „Muitas noteikumos atzītas preču izmantošanas – preču </w:t>
    </w:r>
    <w:r>
      <w:rPr>
        <w:rFonts w:ascii="Times New Roman" w:hAnsi="Times New Roman" w:cs="Times New Roman"/>
        <w:sz w:val="20"/>
        <w:szCs w:val="20"/>
      </w:rPr>
      <w:t>atpakaļizvešana</w:t>
    </w:r>
    <w:r w:rsidRPr="00603101">
      <w:rPr>
        <w:rFonts w:ascii="Times New Roman" w:hAnsi="Times New Roman" w:cs="Times New Roman"/>
        <w:sz w:val="20"/>
        <w:szCs w:val="20"/>
      </w:rPr>
      <w:t xml:space="preserve"> – pieteikšanas kārtība”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2A" w:rsidRPr="00603101" w:rsidRDefault="00D55B2A" w:rsidP="00D55B2A">
    <w:pPr>
      <w:ind w:left="0"/>
      <w:rPr>
        <w:rFonts w:ascii="Times New Roman" w:hAnsi="Times New Roman" w:cs="Times New Roman"/>
        <w:sz w:val="20"/>
        <w:szCs w:val="20"/>
      </w:rPr>
    </w:pPr>
    <w:r w:rsidRPr="00603101">
      <w:rPr>
        <w:rFonts w:ascii="Times New Roman" w:hAnsi="Times New Roman" w:cs="Times New Roman"/>
        <w:sz w:val="20"/>
        <w:szCs w:val="20"/>
      </w:rPr>
      <w:t>FMAnot_</w:t>
    </w:r>
    <w:r w:rsidR="00AC652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0111</w:t>
    </w:r>
    <w:r w:rsidRPr="0060310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atpakalizvesana</w:t>
    </w:r>
    <w:r w:rsidRPr="00603101">
      <w:rPr>
        <w:rFonts w:ascii="Times New Roman" w:hAnsi="Times New Roman" w:cs="Times New Roman"/>
        <w:sz w:val="20"/>
        <w:szCs w:val="20"/>
      </w:rPr>
      <w:t xml:space="preserve">; Ministru kabineta noteikumu projekta „Muitas noteikumos atzītas preču izmantošanas – preču </w:t>
    </w:r>
    <w:r>
      <w:rPr>
        <w:rFonts w:ascii="Times New Roman" w:hAnsi="Times New Roman" w:cs="Times New Roman"/>
        <w:sz w:val="20"/>
        <w:szCs w:val="20"/>
      </w:rPr>
      <w:t>atpakaļizvešana</w:t>
    </w:r>
    <w:r w:rsidRPr="00603101">
      <w:rPr>
        <w:rFonts w:ascii="Times New Roman" w:hAnsi="Times New Roman" w:cs="Times New Roman"/>
        <w:sz w:val="20"/>
        <w:szCs w:val="20"/>
      </w:rPr>
      <w:t xml:space="preserve"> – pieteikšanas kārtība”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03" w:rsidRDefault="00683B03" w:rsidP="003B0A1E">
      <w:pPr>
        <w:spacing w:after="0"/>
      </w:pPr>
      <w:r>
        <w:separator/>
      </w:r>
    </w:p>
  </w:footnote>
  <w:footnote w:type="continuationSeparator" w:id="0">
    <w:p w:rsidR="00683B03" w:rsidRDefault="00683B03" w:rsidP="003B0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78954"/>
      <w:docPartObj>
        <w:docPartGallery w:val="Page Numbers (Top of Page)"/>
        <w:docPartUnique/>
      </w:docPartObj>
    </w:sdtPr>
    <w:sdtEndPr/>
    <w:sdtContent>
      <w:p w:rsidR="00683B03" w:rsidRDefault="00683B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5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3B03" w:rsidRDefault="00683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1A"/>
    <w:multiLevelType w:val="hybridMultilevel"/>
    <w:tmpl w:val="2B502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70"/>
    <w:rsid w:val="000015B0"/>
    <w:rsid w:val="0001074A"/>
    <w:rsid w:val="0001413F"/>
    <w:rsid w:val="00014352"/>
    <w:rsid w:val="00016716"/>
    <w:rsid w:val="0003110D"/>
    <w:rsid w:val="0004072A"/>
    <w:rsid w:val="000455CC"/>
    <w:rsid w:val="00054DDF"/>
    <w:rsid w:val="0005520E"/>
    <w:rsid w:val="0006100D"/>
    <w:rsid w:val="00063C76"/>
    <w:rsid w:val="00064612"/>
    <w:rsid w:val="0006671A"/>
    <w:rsid w:val="00066DD7"/>
    <w:rsid w:val="00075AE3"/>
    <w:rsid w:val="00081806"/>
    <w:rsid w:val="00082B1E"/>
    <w:rsid w:val="00082BE2"/>
    <w:rsid w:val="00086C4E"/>
    <w:rsid w:val="00091396"/>
    <w:rsid w:val="000975E1"/>
    <w:rsid w:val="000A05CC"/>
    <w:rsid w:val="000A573B"/>
    <w:rsid w:val="000B0BF5"/>
    <w:rsid w:val="000B1464"/>
    <w:rsid w:val="000B29AA"/>
    <w:rsid w:val="000B624E"/>
    <w:rsid w:val="000C54B0"/>
    <w:rsid w:val="000D2C98"/>
    <w:rsid w:val="000E208D"/>
    <w:rsid w:val="000E262F"/>
    <w:rsid w:val="000E3353"/>
    <w:rsid w:val="000E6DF8"/>
    <w:rsid w:val="000F0E77"/>
    <w:rsid w:val="000F17FF"/>
    <w:rsid w:val="000F7BE7"/>
    <w:rsid w:val="00100644"/>
    <w:rsid w:val="00101542"/>
    <w:rsid w:val="001171B7"/>
    <w:rsid w:val="00117E73"/>
    <w:rsid w:val="00124882"/>
    <w:rsid w:val="001343DD"/>
    <w:rsid w:val="00136854"/>
    <w:rsid w:val="00136A66"/>
    <w:rsid w:val="001428D1"/>
    <w:rsid w:val="00142C3D"/>
    <w:rsid w:val="00145066"/>
    <w:rsid w:val="00145BC2"/>
    <w:rsid w:val="00146D2C"/>
    <w:rsid w:val="00154D04"/>
    <w:rsid w:val="001566F5"/>
    <w:rsid w:val="0016210B"/>
    <w:rsid w:val="00167BF2"/>
    <w:rsid w:val="00167D58"/>
    <w:rsid w:val="00173D17"/>
    <w:rsid w:val="00180440"/>
    <w:rsid w:val="001B238A"/>
    <w:rsid w:val="001B50C6"/>
    <w:rsid w:val="001B514E"/>
    <w:rsid w:val="001C0AFC"/>
    <w:rsid w:val="001D1731"/>
    <w:rsid w:val="001E0C45"/>
    <w:rsid w:val="001F249E"/>
    <w:rsid w:val="001F3523"/>
    <w:rsid w:val="001F54B3"/>
    <w:rsid w:val="001F6D21"/>
    <w:rsid w:val="00201A4D"/>
    <w:rsid w:val="002078C5"/>
    <w:rsid w:val="00207D4F"/>
    <w:rsid w:val="00212388"/>
    <w:rsid w:val="00212DF2"/>
    <w:rsid w:val="00213214"/>
    <w:rsid w:val="002132C3"/>
    <w:rsid w:val="00215DFB"/>
    <w:rsid w:val="00216F28"/>
    <w:rsid w:val="0021754D"/>
    <w:rsid w:val="00220B8F"/>
    <w:rsid w:val="00221C53"/>
    <w:rsid w:val="00223646"/>
    <w:rsid w:val="00227178"/>
    <w:rsid w:val="00233E8D"/>
    <w:rsid w:val="002352B9"/>
    <w:rsid w:val="00241038"/>
    <w:rsid w:val="0024350A"/>
    <w:rsid w:val="00246B36"/>
    <w:rsid w:val="0024715B"/>
    <w:rsid w:val="002522D4"/>
    <w:rsid w:val="0026022E"/>
    <w:rsid w:val="00261BD4"/>
    <w:rsid w:val="00266487"/>
    <w:rsid w:val="00276147"/>
    <w:rsid w:val="00284C81"/>
    <w:rsid w:val="00285B54"/>
    <w:rsid w:val="00292AC0"/>
    <w:rsid w:val="002930E7"/>
    <w:rsid w:val="0029537B"/>
    <w:rsid w:val="002A3474"/>
    <w:rsid w:val="002A5DF2"/>
    <w:rsid w:val="002B5591"/>
    <w:rsid w:val="002B55E6"/>
    <w:rsid w:val="002B60F5"/>
    <w:rsid w:val="002C0A46"/>
    <w:rsid w:val="002C0D2E"/>
    <w:rsid w:val="002C2F0E"/>
    <w:rsid w:val="002C3D74"/>
    <w:rsid w:val="002C4963"/>
    <w:rsid w:val="002D10FE"/>
    <w:rsid w:val="002D3734"/>
    <w:rsid w:val="002D712A"/>
    <w:rsid w:val="002D7DCA"/>
    <w:rsid w:val="002E7084"/>
    <w:rsid w:val="002E73A3"/>
    <w:rsid w:val="002F0097"/>
    <w:rsid w:val="002F5294"/>
    <w:rsid w:val="00302B00"/>
    <w:rsid w:val="00304EC6"/>
    <w:rsid w:val="003069BB"/>
    <w:rsid w:val="0031215B"/>
    <w:rsid w:val="00313DD0"/>
    <w:rsid w:val="0033269B"/>
    <w:rsid w:val="00333667"/>
    <w:rsid w:val="00334621"/>
    <w:rsid w:val="00340A83"/>
    <w:rsid w:val="003527F8"/>
    <w:rsid w:val="00353957"/>
    <w:rsid w:val="003562AF"/>
    <w:rsid w:val="00356689"/>
    <w:rsid w:val="00365DF2"/>
    <w:rsid w:val="00367A5D"/>
    <w:rsid w:val="0037077D"/>
    <w:rsid w:val="00371A60"/>
    <w:rsid w:val="0037378B"/>
    <w:rsid w:val="00374251"/>
    <w:rsid w:val="0037544A"/>
    <w:rsid w:val="003770DD"/>
    <w:rsid w:val="0038166F"/>
    <w:rsid w:val="0038206D"/>
    <w:rsid w:val="00385C57"/>
    <w:rsid w:val="003862DA"/>
    <w:rsid w:val="003868F2"/>
    <w:rsid w:val="00394693"/>
    <w:rsid w:val="00394CFF"/>
    <w:rsid w:val="00395096"/>
    <w:rsid w:val="003A0C55"/>
    <w:rsid w:val="003A2FEC"/>
    <w:rsid w:val="003A4836"/>
    <w:rsid w:val="003B0A1E"/>
    <w:rsid w:val="003B196C"/>
    <w:rsid w:val="003B3A42"/>
    <w:rsid w:val="003B3CCA"/>
    <w:rsid w:val="003C62FD"/>
    <w:rsid w:val="003C74FD"/>
    <w:rsid w:val="003D0EE4"/>
    <w:rsid w:val="003D7E8C"/>
    <w:rsid w:val="003E21F9"/>
    <w:rsid w:val="003E55A8"/>
    <w:rsid w:val="003F0903"/>
    <w:rsid w:val="003F4905"/>
    <w:rsid w:val="003F5366"/>
    <w:rsid w:val="003F5B02"/>
    <w:rsid w:val="0040143E"/>
    <w:rsid w:val="00401FF6"/>
    <w:rsid w:val="0040354D"/>
    <w:rsid w:val="004061B2"/>
    <w:rsid w:val="00406B05"/>
    <w:rsid w:val="00407E46"/>
    <w:rsid w:val="00407F01"/>
    <w:rsid w:val="0041017F"/>
    <w:rsid w:val="00413FA9"/>
    <w:rsid w:val="00416ABD"/>
    <w:rsid w:val="0041746F"/>
    <w:rsid w:val="004205AD"/>
    <w:rsid w:val="00420C2A"/>
    <w:rsid w:val="00423709"/>
    <w:rsid w:val="004248AC"/>
    <w:rsid w:val="00424CCB"/>
    <w:rsid w:val="00435971"/>
    <w:rsid w:val="004378AA"/>
    <w:rsid w:val="00444DA2"/>
    <w:rsid w:val="004534A5"/>
    <w:rsid w:val="00456C1B"/>
    <w:rsid w:val="00476455"/>
    <w:rsid w:val="00485FB6"/>
    <w:rsid w:val="00490599"/>
    <w:rsid w:val="00492D0D"/>
    <w:rsid w:val="004954F4"/>
    <w:rsid w:val="004B2DFA"/>
    <w:rsid w:val="004B4AAF"/>
    <w:rsid w:val="004D079F"/>
    <w:rsid w:val="004D42FE"/>
    <w:rsid w:val="004F2CF1"/>
    <w:rsid w:val="004F5F66"/>
    <w:rsid w:val="00501916"/>
    <w:rsid w:val="00505801"/>
    <w:rsid w:val="00512D0C"/>
    <w:rsid w:val="00513CB4"/>
    <w:rsid w:val="00520F8A"/>
    <w:rsid w:val="0052471D"/>
    <w:rsid w:val="00526592"/>
    <w:rsid w:val="00527969"/>
    <w:rsid w:val="00541F04"/>
    <w:rsid w:val="005477A6"/>
    <w:rsid w:val="00551798"/>
    <w:rsid w:val="00555BC8"/>
    <w:rsid w:val="00565BA7"/>
    <w:rsid w:val="00572784"/>
    <w:rsid w:val="00572C7A"/>
    <w:rsid w:val="00575F4D"/>
    <w:rsid w:val="00587441"/>
    <w:rsid w:val="00592C65"/>
    <w:rsid w:val="005938F0"/>
    <w:rsid w:val="005940FD"/>
    <w:rsid w:val="005A0ECD"/>
    <w:rsid w:val="005A2614"/>
    <w:rsid w:val="005A2AC1"/>
    <w:rsid w:val="005A79E1"/>
    <w:rsid w:val="005B0DE6"/>
    <w:rsid w:val="005B3604"/>
    <w:rsid w:val="005B3F4F"/>
    <w:rsid w:val="005C4B5B"/>
    <w:rsid w:val="005C5709"/>
    <w:rsid w:val="005D4A18"/>
    <w:rsid w:val="005F7CD2"/>
    <w:rsid w:val="00603101"/>
    <w:rsid w:val="00607794"/>
    <w:rsid w:val="0060791D"/>
    <w:rsid w:val="00607E84"/>
    <w:rsid w:val="006156FB"/>
    <w:rsid w:val="006173DB"/>
    <w:rsid w:val="00622CDC"/>
    <w:rsid w:val="0063594D"/>
    <w:rsid w:val="0063732D"/>
    <w:rsid w:val="00640D66"/>
    <w:rsid w:val="006436AF"/>
    <w:rsid w:val="00643A5A"/>
    <w:rsid w:val="00643BC9"/>
    <w:rsid w:val="006630ED"/>
    <w:rsid w:val="00683B03"/>
    <w:rsid w:val="00685905"/>
    <w:rsid w:val="00687998"/>
    <w:rsid w:val="00692697"/>
    <w:rsid w:val="00694472"/>
    <w:rsid w:val="006977F2"/>
    <w:rsid w:val="006A2EF9"/>
    <w:rsid w:val="006A3C8F"/>
    <w:rsid w:val="006C247B"/>
    <w:rsid w:val="006C2740"/>
    <w:rsid w:val="006D0336"/>
    <w:rsid w:val="006D3957"/>
    <w:rsid w:val="006D4119"/>
    <w:rsid w:val="006D4DA7"/>
    <w:rsid w:val="006E239F"/>
    <w:rsid w:val="006E7A84"/>
    <w:rsid w:val="006F0BF7"/>
    <w:rsid w:val="006F246A"/>
    <w:rsid w:val="007153F1"/>
    <w:rsid w:val="00717B54"/>
    <w:rsid w:val="00722F9D"/>
    <w:rsid w:val="00730F9A"/>
    <w:rsid w:val="007310A0"/>
    <w:rsid w:val="007323C3"/>
    <w:rsid w:val="00732690"/>
    <w:rsid w:val="00740CA7"/>
    <w:rsid w:val="0074329F"/>
    <w:rsid w:val="00747858"/>
    <w:rsid w:val="0075166E"/>
    <w:rsid w:val="007611D3"/>
    <w:rsid w:val="00766BE3"/>
    <w:rsid w:val="0077354C"/>
    <w:rsid w:val="00776CAE"/>
    <w:rsid w:val="00781413"/>
    <w:rsid w:val="007817B5"/>
    <w:rsid w:val="00781BEF"/>
    <w:rsid w:val="007852AF"/>
    <w:rsid w:val="00792D51"/>
    <w:rsid w:val="0079609A"/>
    <w:rsid w:val="007964EB"/>
    <w:rsid w:val="007A065A"/>
    <w:rsid w:val="007B04AC"/>
    <w:rsid w:val="007B3914"/>
    <w:rsid w:val="007C31D1"/>
    <w:rsid w:val="007C5A61"/>
    <w:rsid w:val="007C7E6C"/>
    <w:rsid w:val="007D1F94"/>
    <w:rsid w:val="007D3BF4"/>
    <w:rsid w:val="007D750C"/>
    <w:rsid w:val="007E531B"/>
    <w:rsid w:val="007E71F1"/>
    <w:rsid w:val="007F13F6"/>
    <w:rsid w:val="007F1E4E"/>
    <w:rsid w:val="008015AC"/>
    <w:rsid w:val="008015B5"/>
    <w:rsid w:val="00816DD0"/>
    <w:rsid w:val="00817FAC"/>
    <w:rsid w:val="0083478F"/>
    <w:rsid w:val="008352F1"/>
    <w:rsid w:val="008376B8"/>
    <w:rsid w:val="008456D3"/>
    <w:rsid w:val="00847995"/>
    <w:rsid w:val="008557BD"/>
    <w:rsid w:val="0086376E"/>
    <w:rsid w:val="00882993"/>
    <w:rsid w:val="008861E2"/>
    <w:rsid w:val="00886629"/>
    <w:rsid w:val="008A64BD"/>
    <w:rsid w:val="008B2510"/>
    <w:rsid w:val="008C2643"/>
    <w:rsid w:val="008C4AF7"/>
    <w:rsid w:val="008C5285"/>
    <w:rsid w:val="008C54F4"/>
    <w:rsid w:val="008C6393"/>
    <w:rsid w:val="008D539B"/>
    <w:rsid w:val="008E7FA7"/>
    <w:rsid w:val="00914234"/>
    <w:rsid w:val="009154AA"/>
    <w:rsid w:val="009166C8"/>
    <w:rsid w:val="00920186"/>
    <w:rsid w:val="00922661"/>
    <w:rsid w:val="00922766"/>
    <w:rsid w:val="00923600"/>
    <w:rsid w:val="009257ED"/>
    <w:rsid w:val="0092701A"/>
    <w:rsid w:val="00930B0A"/>
    <w:rsid w:val="00937F13"/>
    <w:rsid w:val="00942319"/>
    <w:rsid w:val="0095254C"/>
    <w:rsid w:val="00953D0D"/>
    <w:rsid w:val="00960AEB"/>
    <w:rsid w:val="00961381"/>
    <w:rsid w:val="0096204E"/>
    <w:rsid w:val="00965BA7"/>
    <w:rsid w:val="009672A1"/>
    <w:rsid w:val="0097287D"/>
    <w:rsid w:val="00972D21"/>
    <w:rsid w:val="00972E6D"/>
    <w:rsid w:val="00984053"/>
    <w:rsid w:val="00990310"/>
    <w:rsid w:val="00993129"/>
    <w:rsid w:val="00996C91"/>
    <w:rsid w:val="009A33AF"/>
    <w:rsid w:val="009B4C3D"/>
    <w:rsid w:val="009C2FE6"/>
    <w:rsid w:val="009C5880"/>
    <w:rsid w:val="009D0B7B"/>
    <w:rsid w:val="009D34F4"/>
    <w:rsid w:val="009D4AD8"/>
    <w:rsid w:val="009D50B2"/>
    <w:rsid w:val="009E25FE"/>
    <w:rsid w:val="009F266B"/>
    <w:rsid w:val="009F3890"/>
    <w:rsid w:val="00A15C5E"/>
    <w:rsid w:val="00A22599"/>
    <w:rsid w:val="00A22FE6"/>
    <w:rsid w:val="00A27A38"/>
    <w:rsid w:val="00A3060B"/>
    <w:rsid w:val="00A34550"/>
    <w:rsid w:val="00A40211"/>
    <w:rsid w:val="00A43E12"/>
    <w:rsid w:val="00A44D4F"/>
    <w:rsid w:val="00A47166"/>
    <w:rsid w:val="00A47322"/>
    <w:rsid w:val="00A523C6"/>
    <w:rsid w:val="00A5425B"/>
    <w:rsid w:val="00A57794"/>
    <w:rsid w:val="00A672E0"/>
    <w:rsid w:val="00A77745"/>
    <w:rsid w:val="00A87103"/>
    <w:rsid w:val="00A91A60"/>
    <w:rsid w:val="00AA7E67"/>
    <w:rsid w:val="00AB05BE"/>
    <w:rsid w:val="00AC196C"/>
    <w:rsid w:val="00AC5A84"/>
    <w:rsid w:val="00AC6527"/>
    <w:rsid w:val="00AD0042"/>
    <w:rsid w:val="00AD16A9"/>
    <w:rsid w:val="00AD38FB"/>
    <w:rsid w:val="00AD43F2"/>
    <w:rsid w:val="00AD637E"/>
    <w:rsid w:val="00AE0F4C"/>
    <w:rsid w:val="00AE29E7"/>
    <w:rsid w:val="00AF3991"/>
    <w:rsid w:val="00AF4237"/>
    <w:rsid w:val="00B00016"/>
    <w:rsid w:val="00B01E70"/>
    <w:rsid w:val="00B03F04"/>
    <w:rsid w:val="00B061DB"/>
    <w:rsid w:val="00B1276D"/>
    <w:rsid w:val="00B14E71"/>
    <w:rsid w:val="00B172EB"/>
    <w:rsid w:val="00B24517"/>
    <w:rsid w:val="00B26F78"/>
    <w:rsid w:val="00B32FA1"/>
    <w:rsid w:val="00B41AFE"/>
    <w:rsid w:val="00B42309"/>
    <w:rsid w:val="00B433BC"/>
    <w:rsid w:val="00B446E0"/>
    <w:rsid w:val="00B54459"/>
    <w:rsid w:val="00B54E59"/>
    <w:rsid w:val="00B55757"/>
    <w:rsid w:val="00B55846"/>
    <w:rsid w:val="00B56E35"/>
    <w:rsid w:val="00B8165F"/>
    <w:rsid w:val="00B93D4E"/>
    <w:rsid w:val="00B94AAB"/>
    <w:rsid w:val="00BA03E9"/>
    <w:rsid w:val="00BB17BD"/>
    <w:rsid w:val="00BB7CD5"/>
    <w:rsid w:val="00BC1D0C"/>
    <w:rsid w:val="00BC25DF"/>
    <w:rsid w:val="00BE0048"/>
    <w:rsid w:val="00BE445F"/>
    <w:rsid w:val="00BF045F"/>
    <w:rsid w:val="00BF4463"/>
    <w:rsid w:val="00BF6DA8"/>
    <w:rsid w:val="00C01AFD"/>
    <w:rsid w:val="00C04F50"/>
    <w:rsid w:val="00C06FFA"/>
    <w:rsid w:val="00C07036"/>
    <w:rsid w:val="00C23AE7"/>
    <w:rsid w:val="00C258D8"/>
    <w:rsid w:val="00C26070"/>
    <w:rsid w:val="00C27D63"/>
    <w:rsid w:val="00C3335E"/>
    <w:rsid w:val="00C33917"/>
    <w:rsid w:val="00C42F1D"/>
    <w:rsid w:val="00C44C5D"/>
    <w:rsid w:val="00C450C4"/>
    <w:rsid w:val="00C457D4"/>
    <w:rsid w:val="00C501B8"/>
    <w:rsid w:val="00C52C82"/>
    <w:rsid w:val="00C56C72"/>
    <w:rsid w:val="00C75B55"/>
    <w:rsid w:val="00C77EB8"/>
    <w:rsid w:val="00C97E24"/>
    <w:rsid w:val="00CA2FD4"/>
    <w:rsid w:val="00CB42A4"/>
    <w:rsid w:val="00CB6158"/>
    <w:rsid w:val="00CC007C"/>
    <w:rsid w:val="00CC148C"/>
    <w:rsid w:val="00CD0FDA"/>
    <w:rsid w:val="00CD219E"/>
    <w:rsid w:val="00CD4E4A"/>
    <w:rsid w:val="00CE09F6"/>
    <w:rsid w:val="00CF3848"/>
    <w:rsid w:val="00CF4705"/>
    <w:rsid w:val="00D01496"/>
    <w:rsid w:val="00D02C55"/>
    <w:rsid w:val="00D04427"/>
    <w:rsid w:val="00D06B75"/>
    <w:rsid w:val="00D115E0"/>
    <w:rsid w:val="00D27A56"/>
    <w:rsid w:val="00D35106"/>
    <w:rsid w:val="00D36684"/>
    <w:rsid w:val="00D43EB7"/>
    <w:rsid w:val="00D503E9"/>
    <w:rsid w:val="00D54AB5"/>
    <w:rsid w:val="00D55B2A"/>
    <w:rsid w:val="00D66441"/>
    <w:rsid w:val="00D671BC"/>
    <w:rsid w:val="00D71067"/>
    <w:rsid w:val="00D75D34"/>
    <w:rsid w:val="00D85C90"/>
    <w:rsid w:val="00D87689"/>
    <w:rsid w:val="00D96A72"/>
    <w:rsid w:val="00D97C40"/>
    <w:rsid w:val="00DA391B"/>
    <w:rsid w:val="00DA4DFD"/>
    <w:rsid w:val="00DB16B4"/>
    <w:rsid w:val="00DB57AB"/>
    <w:rsid w:val="00DD4665"/>
    <w:rsid w:val="00DD65CF"/>
    <w:rsid w:val="00DE0407"/>
    <w:rsid w:val="00DE06D2"/>
    <w:rsid w:val="00DE2DED"/>
    <w:rsid w:val="00DF2603"/>
    <w:rsid w:val="00DF4DF3"/>
    <w:rsid w:val="00E01D8C"/>
    <w:rsid w:val="00E04030"/>
    <w:rsid w:val="00E04202"/>
    <w:rsid w:val="00E05EF2"/>
    <w:rsid w:val="00E062D6"/>
    <w:rsid w:val="00E16243"/>
    <w:rsid w:val="00E27964"/>
    <w:rsid w:val="00E32419"/>
    <w:rsid w:val="00E34C26"/>
    <w:rsid w:val="00E377FA"/>
    <w:rsid w:val="00E4473D"/>
    <w:rsid w:val="00E52DE4"/>
    <w:rsid w:val="00E568AA"/>
    <w:rsid w:val="00E605B7"/>
    <w:rsid w:val="00E67595"/>
    <w:rsid w:val="00E706B2"/>
    <w:rsid w:val="00E72C99"/>
    <w:rsid w:val="00E8328F"/>
    <w:rsid w:val="00E93646"/>
    <w:rsid w:val="00E970C6"/>
    <w:rsid w:val="00EB334C"/>
    <w:rsid w:val="00EC0AF8"/>
    <w:rsid w:val="00EC5DA9"/>
    <w:rsid w:val="00ED0C9E"/>
    <w:rsid w:val="00ED5857"/>
    <w:rsid w:val="00EE1BC8"/>
    <w:rsid w:val="00EE698D"/>
    <w:rsid w:val="00EE73D4"/>
    <w:rsid w:val="00EE7566"/>
    <w:rsid w:val="00EF31E5"/>
    <w:rsid w:val="00EF4F42"/>
    <w:rsid w:val="00EF63D5"/>
    <w:rsid w:val="00F03EF2"/>
    <w:rsid w:val="00F057FB"/>
    <w:rsid w:val="00F06171"/>
    <w:rsid w:val="00F071DA"/>
    <w:rsid w:val="00F1151B"/>
    <w:rsid w:val="00F23EA1"/>
    <w:rsid w:val="00F323D1"/>
    <w:rsid w:val="00F34223"/>
    <w:rsid w:val="00F36198"/>
    <w:rsid w:val="00F4326B"/>
    <w:rsid w:val="00F451A2"/>
    <w:rsid w:val="00F575C7"/>
    <w:rsid w:val="00F647BC"/>
    <w:rsid w:val="00F673C9"/>
    <w:rsid w:val="00F72005"/>
    <w:rsid w:val="00F722F4"/>
    <w:rsid w:val="00F735DB"/>
    <w:rsid w:val="00F73B38"/>
    <w:rsid w:val="00F74728"/>
    <w:rsid w:val="00F7482C"/>
    <w:rsid w:val="00F75551"/>
    <w:rsid w:val="00F75921"/>
    <w:rsid w:val="00F773D4"/>
    <w:rsid w:val="00F8765B"/>
    <w:rsid w:val="00F92E91"/>
    <w:rsid w:val="00FA429B"/>
    <w:rsid w:val="00FA4FF5"/>
    <w:rsid w:val="00FB16DD"/>
    <w:rsid w:val="00FB51CE"/>
    <w:rsid w:val="00FC7181"/>
    <w:rsid w:val="00FD1504"/>
    <w:rsid w:val="00FD5F8C"/>
    <w:rsid w:val="00FE03BC"/>
    <w:rsid w:val="00FE10D8"/>
    <w:rsid w:val="00FE451F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5</Pages>
  <Words>5226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Muitas noteikumos atzītas preču izmantošanas – preču atpakaļizvešana – pieteikšanas kārtība</vt:lpstr>
      <vt:lpstr>Noteikumi par vienkāršoto deklarēšanu un vietējo muitošanu, atzītā nosūtītāja un atzītā saņēmēja statusu, vienoto atļauju un atzītā komersanta sertifikātu</vt:lpstr>
    </vt:vector>
  </TitlesOfParts>
  <Manager>V.Vaškevičs</Manager>
  <Company> Finanšu ministrija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Muitas noteikumos atzītas preču izmantošanas – preču atpakaļizvešana – pieteikšanas kārtība</dc:title>
  <dc:subject>Anotācija</dc:subject>
  <dc:creator>M.Munča</dc:creator>
  <cp:keywords/>
  <dc:description>Marika Munča_x000d_
67095559_x000d_
Marika.Munca@fm.gov.lv</dc:description>
  <cp:lastModifiedBy>nd-munca</cp:lastModifiedBy>
  <cp:revision>328</cp:revision>
  <cp:lastPrinted>2010-06-17T13:01:00Z</cp:lastPrinted>
  <dcterms:created xsi:type="dcterms:W3CDTF">2010-01-20T14:16:00Z</dcterms:created>
  <dcterms:modified xsi:type="dcterms:W3CDTF">2011-01-20T09:00:00Z</dcterms:modified>
  <cp:category>anotācija</cp:category>
</cp:coreProperties>
</file>