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F7" w:rsidRPr="00BD036E" w:rsidRDefault="004C18F7" w:rsidP="002C36FB">
      <w:pPr>
        <w:jc w:val="center"/>
        <w:rPr>
          <w:rFonts w:eastAsia="Times New Roman" w:cs="Times New Roman"/>
          <w:b/>
          <w:bCs/>
          <w:szCs w:val="28"/>
          <w:lang w:eastAsia="lv-LV"/>
        </w:rPr>
      </w:pPr>
      <w:bookmarkStart w:id="0" w:name="OLE_LINK1"/>
      <w:bookmarkStart w:id="1" w:name="OLE_LINK2"/>
      <w:r w:rsidRPr="00417678">
        <w:rPr>
          <w:rFonts w:eastAsia="Times New Roman" w:cs="Times New Roman"/>
          <w:b/>
          <w:bCs/>
          <w:szCs w:val="28"/>
          <w:lang w:eastAsia="lv-LV"/>
        </w:rPr>
        <w:t>Ministru kabineta noteikumu projekta „</w:t>
      </w:r>
      <w:r w:rsidR="002C36FB" w:rsidRPr="00BD036E">
        <w:rPr>
          <w:rFonts w:eastAsia="Times New Roman" w:cs="Times New Roman"/>
          <w:b/>
          <w:bCs/>
          <w:szCs w:val="28"/>
          <w:lang w:eastAsia="lv-LV"/>
        </w:rPr>
        <w:t>Kārtība, kādā atsavināma publiskas personas manta</w:t>
      </w:r>
      <w:r w:rsidRPr="00417678">
        <w:rPr>
          <w:rFonts w:eastAsia="Times New Roman" w:cs="Times New Roman"/>
          <w:b/>
          <w:bCs/>
          <w:szCs w:val="28"/>
          <w:lang w:eastAsia="lv-LV"/>
        </w:rPr>
        <w:t>” sākotnējās ietekmes novērtējuma ziņojums (anotācija)</w:t>
      </w:r>
    </w:p>
    <w:bookmarkEnd w:id="0"/>
    <w:bookmarkEnd w:id="1"/>
    <w:p w:rsidR="004C18F7" w:rsidRPr="00483A5B" w:rsidRDefault="004C18F7" w:rsidP="004C18F7">
      <w:pPr>
        <w:jc w:val="center"/>
        <w:rPr>
          <w:rFonts w:eastAsia="Times New Roman" w:cs="Times New Roman"/>
          <w:sz w:val="16"/>
          <w:szCs w:val="16"/>
          <w:lang w:eastAsia="lv-LV"/>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2184"/>
        <w:gridCol w:w="6804"/>
      </w:tblGrid>
      <w:tr w:rsidR="004C18F7" w:rsidRPr="004C18F7" w:rsidTr="00D0274D">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b/>
                <w:bCs/>
                <w:sz w:val="24"/>
                <w:szCs w:val="24"/>
                <w:lang w:eastAsia="lv-LV"/>
              </w:rPr>
              <w:t> I. Tiesību akta projekta izstrādes nepieciešamība</w:t>
            </w:r>
          </w:p>
        </w:tc>
      </w:tr>
      <w:tr w:rsidR="001A62FF" w:rsidRPr="004C18F7" w:rsidTr="00D0274D">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1.</w:t>
            </w:r>
          </w:p>
        </w:tc>
        <w:tc>
          <w:tcPr>
            <w:tcW w:w="2184" w:type="dxa"/>
            <w:tcBorders>
              <w:top w:val="outset" w:sz="6" w:space="0" w:color="auto"/>
              <w:left w:val="outset" w:sz="6" w:space="0" w:color="auto"/>
              <w:bottom w:val="outset" w:sz="6" w:space="0" w:color="auto"/>
              <w:right w:val="outset" w:sz="6" w:space="0" w:color="auto"/>
            </w:tcBorders>
            <w:hideMark/>
          </w:tcPr>
          <w:p w:rsidR="004C18F7" w:rsidRPr="00C500E4" w:rsidRDefault="004C18F7" w:rsidP="004C18F7">
            <w:pPr>
              <w:spacing w:before="100" w:beforeAutospacing="1" w:after="100" w:afterAutospacing="1"/>
              <w:rPr>
                <w:rFonts w:eastAsia="Times New Roman" w:cs="Times New Roman"/>
                <w:sz w:val="24"/>
                <w:szCs w:val="24"/>
                <w:lang w:eastAsia="lv-LV"/>
              </w:rPr>
            </w:pPr>
            <w:r w:rsidRPr="00C500E4">
              <w:rPr>
                <w:rFonts w:eastAsia="Times New Roman" w:cs="Times New Roman"/>
                <w:sz w:val="24"/>
                <w:szCs w:val="24"/>
                <w:lang w:eastAsia="lv-LV"/>
              </w:rPr>
              <w:t> Pamatojums</w:t>
            </w:r>
          </w:p>
        </w:tc>
        <w:tc>
          <w:tcPr>
            <w:tcW w:w="6804" w:type="dxa"/>
            <w:tcBorders>
              <w:top w:val="outset" w:sz="6" w:space="0" w:color="auto"/>
              <w:left w:val="outset" w:sz="6" w:space="0" w:color="auto"/>
              <w:bottom w:val="outset" w:sz="6" w:space="0" w:color="auto"/>
              <w:right w:val="outset" w:sz="6" w:space="0" w:color="auto"/>
            </w:tcBorders>
            <w:hideMark/>
          </w:tcPr>
          <w:p w:rsidR="004C18F7" w:rsidRPr="00BA666A" w:rsidRDefault="005D2161" w:rsidP="009023AD">
            <w:pPr>
              <w:jc w:val="both"/>
              <w:rPr>
                <w:rFonts w:eastAsia="Times New Roman" w:cs="Times New Roman"/>
                <w:sz w:val="24"/>
                <w:szCs w:val="24"/>
                <w:lang w:eastAsia="lv-LV"/>
              </w:rPr>
            </w:pPr>
            <w:r>
              <w:rPr>
                <w:rFonts w:cs="Times New Roman"/>
                <w:bCs/>
                <w:sz w:val="24"/>
                <w:szCs w:val="24"/>
                <w:lang w:eastAsia="lv-LV"/>
              </w:rPr>
              <w:t xml:space="preserve">        </w:t>
            </w:r>
            <w:r w:rsidR="002C36FB" w:rsidRPr="005D2161">
              <w:rPr>
                <w:rFonts w:cs="Times New Roman"/>
                <w:bCs/>
                <w:sz w:val="24"/>
                <w:szCs w:val="24"/>
                <w:lang w:eastAsia="lv-LV"/>
              </w:rPr>
              <w:t>2011.gada 1.janvārī stā</w:t>
            </w:r>
            <w:r w:rsidR="009023AD">
              <w:rPr>
                <w:rFonts w:cs="Times New Roman"/>
                <w:bCs/>
                <w:sz w:val="24"/>
                <w:szCs w:val="24"/>
                <w:lang w:eastAsia="lv-LV"/>
              </w:rPr>
              <w:t>jies</w:t>
            </w:r>
            <w:r w:rsidR="002C36FB" w:rsidRPr="005D2161">
              <w:rPr>
                <w:rFonts w:cs="Times New Roman"/>
                <w:bCs/>
                <w:sz w:val="24"/>
                <w:szCs w:val="24"/>
                <w:lang w:eastAsia="lv-LV"/>
              </w:rPr>
              <w:t xml:space="preserve"> spēkā </w:t>
            </w:r>
            <w:r w:rsidR="00EC7CAD" w:rsidRPr="005D2161">
              <w:rPr>
                <w:rFonts w:cs="Times New Roman"/>
                <w:bCs/>
                <w:sz w:val="24"/>
                <w:szCs w:val="24"/>
                <w:lang w:eastAsia="lv-LV"/>
              </w:rPr>
              <w:t>Saeimā 2010.gada 21.oktobrī pieņemtais likums „G</w:t>
            </w:r>
            <w:r w:rsidR="002C36FB" w:rsidRPr="005D2161">
              <w:rPr>
                <w:rFonts w:cs="Times New Roman"/>
                <w:bCs/>
                <w:sz w:val="24"/>
                <w:szCs w:val="24"/>
                <w:lang w:eastAsia="lv-LV"/>
              </w:rPr>
              <w:t>rozījum</w:t>
            </w:r>
            <w:r w:rsidR="00EC7CAD" w:rsidRPr="005D2161">
              <w:rPr>
                <w:rFonts w:cs="Times New Roman"/>
                <w:bCs/>
                <w:sz w:val="24"/>
                <w:szCs w:val="24"/>
                <w:lang w:eastAsia="lv-LV"/>
              </w:rPr>
              <w:t>i</w:t>
            </w:r>
            <w:r w:rsidR="002C36FB" w:rsidRPr="005D2161">
              <w:rPr>
                <w:rFonts w:cs="Times New Roman"/>
                <w:bCs/>
                <w:sz w:val="24"/>
                <w:szCs w:val="24"/>
                <w:lang w:eastAsia="lv-LV"/>
              </w:rPr>
              <w:t xml:space="preserve"> Valsts un pašvaldību mantas atsavināšanas likumā</w:t>
            </w:r>
            <w:r w:rsidR="00EC7CAD" w:rsidRPr="005D2161">
              <w:rPr>
                <w:rFonts w:cs="Times New Roman"/>
                <w:bCs/>
                <w:sz w:val="24"/>
                <w:szCs w:val="24"/>
                <w:lang w:eastAsia="lv-LV"/>
              </w:rPr>
              <w:t>”</w:t>
            </w:r>
            <w:r w:rsidR="002C36FB" w:rsidRPr="005D2161">
              <w:rPr>
                <w:rFonts w:cs="Times New Roman"/>
                <w:bCs/>
                <w:sz w:val="24"/>
                <w:szCs w:val="24"/>
                <w:lang w:eastAsia="lv-LV"/>
              </w:rPr>
              <w:t xml:space="preserve">. Ņemot vērā to, ka dažas </w:t>
            </w:r>
            <w:r w:rsidR="00C500E4" w:rsidRPr="005D2161">
              <w:rPr>
                <w:rFonts w:cs="Times New Roman"/>
                <w:bCs/>
                <w:sz w:val="24"/>
                <w:szCs w:val="24"/>
                <w:lang w:eastAsia="lv-LV"/>
              </w:rPr>
              <w:t xml:space="preserve">Valsts un pašvaldību mantas atsavināšanas </w:t>
            </w:r>
            <w:r w:rsidR="002C36FB" w:rsidRPr="005D2161">
              <w:rPr>
                <w:rFonts w:cs="Times New Roman"/>
                <w:bCs/>
                <w:sz w:val="24"/>
                <w:szCs w:val="24"/>
                <w:lang w:eastAsia="lv-LV"/>
              </w:rPr>
              <w:t xml:space="preserve">likuma normas, kuras paredz deleģējumu Ministru kabinetam izdot attiecīgus Ministru kabineta noteikumus, </w:t>
            </w:r>
            <w:r w:rsidR="00C500E4" w:rsidRPr="005D2161">
              <w:rPr>
                <w:rFonts w:cs="Times New Roman"/>
                <w:bCs/>
                <w:sz w:val="24"/>
                <w:szCs w:val="24"/>
                <w:lang w:eastAsia="lv-LV"/>
              </w:rPr>
              <w:t xml:space="preserve">izteiktas jaunā redakcijā, </w:t>
            </w:r>
            <w:r w:rsidR="002C36FB" w:rsidRPr="00AA321B">
              <w:rPr>
                <w:rFonts w:cs="Times New Roman"/>
                <w:bCs/>
                <w:i/>
                <w:sz w:val="24"/>
                <w:szCs w:val="24"/>
                <w:u w:val="single"/>
                <w:lang w:eastAsia="lv-LV"/>
              </w:rPr>
              <w:t xml:space="preserve">nepieciešams </w:t>
            </w:r>
            <w:r w:rsidR="005D4452" w:rsidRPr="00425548">
              <w:rPr>
                <w:rFonts w:cs="Times New Roman"/>
                <w:bCs/>
                <w:i/>
                <w:sz w:val="24"/>
                <w:szCs w:val="24"/>
                <w:u w:val="single"/>
                <w:lang w:eastAsia="lv-LV"/>
              </w:rPr>
              <w:t>pār izdot</w:t>
            </w:r>
            <w:r w:rsidR="002C36FB" w:rsidRPr="00AA321B">
              <w:rPr>
                <w:rFonts w:cs="Times New Roman"/>
                <w:bCs/>
                <w:i/>
                <w:sz w:val="24"/>
                <w:szCs w:val="24"/>
                <w:u w:val="single"/>
                <w:lang w:eastAsia="lv-LV"/>
              </w:rPr>
              <w:t xml:space="preserve"> jaunā redakcijā Ministru kabineta </w:t>
            </w:r>
            <w:r w:rsidR="005D4452" w:rsidRPr="00AA321B">
              <w:rPr>
                <w:rFonts w:cs="Times New Roman"/>
                <w:bCs/>
                <w:i/>
                <w:sz w:val="24"/>
                <w:szCs w:val="24"/>
                <w:u w:val="single"/>
                <w:lang w:eastAsia="lv-LV"/>
              </w:rPr>
              <w:t>2006.gada 30.maija</w:t>
            </w:r>
            <w:r w:rsidR="002C36FB" w:rsidRPr="00AA321B">
              <w:rPr>
                <w:rFonts w:cs="Times New Roman"/>
                <w:bCs/>
                <w:i/>
                <w:sz w:val="24"/>
                <w:szCs w:val="24"/>
                <w:u w:val="single"/>
                <w:lang w:eastAsia="lv-LV"/>
              </w:rPr>
              <w:t xml:space="preserve"> noteikumus Nr.425 „</w:t>
            </w:r>
            <w:r w:rsidR="005D4452" w:rsidRPr="00AA321B">
              <w:rPr>
                <w:rFonts w:cs="Times New Roman"/>
                <w:bCs/>
                <w:i/>
                <w:sz w:val="24"/>
                <w:szCs w:val="24"/>
                <w:u w:val="single"/>
                <w:lang w:eastAsia="lv-LV"/>
              </w:rPr>
              <w:t>Kārtība, kādā atsavināma valsts un pašvaldību manta”</w:t>
            </w:r>
            <w:r w:rsidR="002C36FB" w:rsidRPr="005D2161">
              <w:rPr>
                <w:rFonts w:cs="Times New Roman"/>
                <w:bCs/>
                <w:sz w:val="24"/>
                <w:szCs w:val="24"/>
                <w:lang w:eastAsia="lv-LV"/>
              </w:rPr>
              <w:t xml:space="preserve"> un</w:t>
            </w:r>
            <w:r w:rsidRPr="005D2161">
              <w:rPr>
                <w:rFonts w:cs="Times New Roman"/>
                <w:bCs/>
                <w:sz w:val="24"/>
                <w:szCs w:val="24"/>
                <w:lang w:eastAsia="lv-LV"/>
              </w:rPr>
              <w:t xml:space="preserve"> </w:t>
            </w:r>
            <w:r w:rsidRPr="005D2161">
              <w:rPr>
                <w:rFonts w:eastAsia="Times New Roman" w:cs="Times New Roman"/>
                <w:bCs/>
                <w:sz w:val="24"/>
                <w:szCs w:val="24"/>
                <w:lang w:eastAsia="lv-LV"/>
              </w:rPr>
              <w:t xml:space="preserve">Ministru kabineta </w:t>
            </w:r>
            <w:r w:rsidRPr="005D2161">
              <w:rPr>
                <w:rFonts w:eastAsia="Times New Roman" w:cs="Times New Roman"/>
                <w:sz w:val="24"/>
                <w:szCs w:val="24"/>
                <w:lang w:eastAsia="lv-LV"/>
              </w:rPr>
              <w:t>2010.gada 23.februāra</w:t>
            </w:r>
            <w:r w:rsidRPr="005D2161">
              <w:rPr>
                <w:rFonts w:eastAsia="Times New Roman" w:cs="Times New Roman"/>
                <w:bCs/>
                <w:sz w:val="24"/>
                <w:szCs w:val="24"/>
                <w:lang w:eastAsia="lv-LV"/>
              </w:rPr>
              <w:t xml:space="preserve"> noteikum</w:t>
            </w:r>
            <w:r>
              <w:rPr>
                <w:rFonts w:eastAsia="Times New Roman" w:cs="Times New Roman"/>
                <w:bCs/>
                <w:sz w:val="24"/>
                <w:szCs w:val="24"/>
                <w:lang w:eastAsia="lv-LV"/>
              </w:rPr>
              <w:t>us</w:t>
            </w:r>
            <w:r w:rsidRPr="005D2161">
              <w:rPr>
                <w:rFonts w:eastAsia="Times New Roman" w:cs="Times New Roman"/>
                <w:bCs/>
                <w:sz w:val="24"/>
                <w:szCs w:val="24"/>
                <w:lang w:eastAsia="lv-LV"/>
              </w:rPr>
              <w:t xml:space="preserve"> Nr.164</w:t>
            </w:r>
            <w:r w:rsidRPr="005D2161">
              <w:rPr>
                <w:rFonts w:eastAsia="Times New Roman" w:cs="Times New Roman"/>
                <w:sz w:val="24"/>
                <w:szCs w:val="24"/>
                <w:lang w:eastAsia="lv-LV"/>
              </w:rPr>
              <w:t xml:space="preserve"> </w:t>
            </w:r>
            <w:r w:rsidRPr="005D2161">
              <w:rPr>
                <w:rFonts w:eastAsia="Times New Roman" w:cs="Times New Roman"/>
                <w:sz w:val="24"/>
                <w:szCs w:val="24"/>
                <w:lang w:eastAsia="lv-LV"/>
              </w:rPr>
              <w:br/>
            </w:r>
            <w:r w:rsidRPr="005D2161">
              <w:rPr>
                <w:rFonts w:eastAsia="Times New Roman" w:cs="Times New Roman"/>
                <w:bCs/>
                <w:sz w:val="24"/>
                <w:szCs w:val="24"/>
                <w:lang w:eastAsia="lv-LV"/>
              </w:rPr>
              <w:t>„Noteikumi par kārtību, kādā iestāde izvēlas piedāvājumu valsts vai pašvaldības kustamās mantas maiņai, un gadījumiem, kuros var nenoskaidrot valsts iestāžu vajadzību pēc citām valsts iestādēm nevajadzīgās kustamās mantas”.</w:t>
            </w:r>
          </w:p>
        </w:tc>
      </w:tr>
      <w:tr w:rsidR="001A62FF" w:rsidRPr="004C18F7" w:rsidTr="00D0274D">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2.</w:t>
            </w:r>
          </w:p>
        </w:tc>
        <w:tc>
          <w:tcPr>
            <w:tcW w:w="2184" w:type="dxa"/>
            <w:tcBorders>
              <w:top w:val="outset" w:sz="6" w:space="0" w:color="auto"/>
              <w:left w:val="outset" w:sz="6" w:space="0" w:color="auto"/>
              <w:bottom w:val="outset" w:sz="6" w:space="0" w:color="auto"/>
              <w:right w:val="outset" w:sz="6" w:space="0" w:color="auto"/>
            </w:tcBorders>
            <w:hideMark/>
          </w:tcPr>
          <w:p w:rsidR="004C18F7" w:rsidRPr="00C500E4" w:rsidRDefault="004C18F7" w:rsidP="004C18F7">
            <w:pPr>
              <w:spacing w:before="100" w:beforeAutospacing="1" w:after="100" w:afterAutospacing="1"/>
              <w:rPr>
                <w:rFonts w:eastAsia="Times New Roman" w:cs="Times New Roman"/>
                <w:sz w:val="24"/>
                <w:szCs w:val="24"/>
                <w:lang w:eastAsia="lv-LV"/>
              </w:rPr>
            </w:pPr>
            <w:r w:rsidRPr="00C500E4">
              <w:rPr>
                <w:rFonts w:eastAsia="Times New Roman" w:cs="Times New Roman"/>
                <w:sz w:val="24"/>
                <w:szCs w:val="24"/>
                <w:lang w:eastAsia="lv-LV"/>
              </w:rPr>
              <w:t> Pašreizējā situācija un problēmas</w:t>
            </w:r>
          </w:p>
        </w:tc>
        <w:tc>
          <w:tcPr>
            <w:tcW w:w="6804" w:type="dxa"/>
            <w:tcBorders>
              <w:top w:val="outset" w:sz="6" w:space="0" w:color="auto"/>
              <w:left w:val="outset" w:sz="6" w:space="0" w:color="auto"/>
              <w:bottom w:val="outset" w:sz="6" w:space="0" w:color="auto"/>
              <w:right w:val="outset" w:sz="6" w:space="0" w:color="auto"/>
            </w:tcBorders>
            <w:hideMark/>
          </w:tcPr>
          <w:p w:rsidR="009B465B" w:rsidRDefault="00660CB0" w:rsidP="00CC0566">
            <w:pPr>
              <w:jc w:val="both"/>
              <w:rPr>
                <w:rFonts w:eastAsia="Times New Roman" w:cs="Times New Roman"/>
                <w:sz w:val="24"/>
                <w:szCs w:val="24"/>
                <w:lang w:eastAsia="lv-LV"/>
              </w:rPr>
            </w:pPr>
            <w:r>
              <w:rPr>
                <w:rFonts w:eastAsia="Times New Roman" w:cs="Times New Roman"/>
                <w:sz w:val="24"/>
                <w:szCs w:val="24"/>
                <w:lang w:eastAsia="lv-LV"/>
              </w:rPr>
              <w:t xml:space="preserve">         </w:t>
            </w:r>
            <w:r w:rsidR="00AA321B">
              <w:rPr>
                <w:rFonts w:eastAsia="Times New Roman" w:cs="Times New Roman"/>
                <w:sz w:val="24"/>
                <w:szCs w:val="24"/>
                <w:lang w:eastAsia="lv-LV"/>
              </w:rPr>
              <w:t>Pašreiz</w:t>
            </w:r>
            <w:r w:rsidR="009B465B" w:rsidRPr="00C500E4">
              <w:rPr>
                <w:rFonts w:eastAsia="Times New Roman" w:cs="Times New Roman"/>
                <w:sz w:val="24"/>
                <w:szCs w:val="24"/>
                <w:lang w:eastAsia="lv-LV"/>
              </w:rPr>
              <w:t xml:space="preserve"> spēkā esošo </w:t>
            </w:r>
            <w:r w:rsidR="009B465B" w:rsidRPr="00C500E4">
              <w:rPr>
                <w:bCs/>
                <w:sz w:val="24"/>
                <w:szCs w:val="24"/>
                <w:lang w:eastAsia="lv-LV"/>
              </w:rPr>
              <w:t xml:space="preserve">Ministru kabineta 2006.gada 30.maija noteikumu Nr.425 „Kārtība, kādā atsavināma valsts un pašvaldību manta” un </w:t>
            </w:r>
            <w:r w:rsidR="005D2161" w:rsidRPr="005D2161">
              <w:rPr>
                <w:rFonts w:eastAsia="Times New Roman" w:cs="Times New Roman"/>
                <w:bCs/>
                <w:sz w:val="24"/>
                <w:szCs w:val="24"/>
                <w:lang w:eastAsia="lv-LV"/>
              </w:rPr>
              <w:t xml:space="preserve">Ministru kabineta </w:t>
            </w:r>
            <w:r w:rsidR="005D2161" w:rsidRPr="005D2161">
              <w:rPr>
                <w:rFonts w:eastAsia="Times New Roman" w:cs="Times New Roman"/>
                <w:sz w:val="24"/>
                <w:szCs w:val="24"/>
                <w:lang w:eastAsia="lv-LV"/>
              </w:rPr>
              <w:t>2010.gada 23.februāra</w:t>
            </w:r>
            <w:r w:rsidR="005D2161" w:rsidRPr="005D2161">
              <w:rPr>
                <w:rFonts w:eastAsia="Times New Roman" w:cs="Times New Roman"/>
                <w:bCs/>
                <w:sz w:val="24"/>
                <w:szCs w:val="24"/>
                <w:lang w:eastAsia="lv-LV"/>
              </w:rPr>
              <w:t xml:space="preserve"> noteikum</w:t>
            </w:r>
            <w:r w:rsidR="005D2161">
              <w:rPr>
                <w:rFonts w:eastAsia="Times New Roman" w:cs="Times New Roman"/>
                <w:bCs/>
                <w:sz w:val="24"/>
                <w:szCs w:val="24"/>
                <w:lang w:eastAsia="lv-LV"/>
              </w:rPr>
              <w:t>u</w:t>
            </w:r>
            <w:r w:rsidR="005D2161" w:rsidRPr="005D2161">
              <w:rPr>
                <w:rFonts w:eastAsia="Times New Roman" w:cs="Times New Roman"/>
                <w:bCs/>
                <w:sz w:val="24"/>
                <w:szCs w:val="24"/>
                <w:lang w:eastAsia="lv-LV"/>
              </w:rPr>
              <w:t xml:space="preserve"> Nr.164</w:t>
            </w:r>
            <w:r w:rsidR="005D2161">
              <w:rPr>
                <w:rFonts w:eastAsia="Times New Roman" w:cs="Times New Roman"/>
                <w:sz w:val="24"/>
                <w:szCs w:val="24"/>
                <w:lang w:eastAsia="lv-LV"/>
              </w:rPr>
              <w:t xml:space="preserve"> </w:t>
            </w:r>
            <w:r w:rsidR="005D2161" w:rsidRPr="005D2161">
              <w:rPr>
                <w:rFonts w:eastAsia="Times New Roman" w:cs="Times New Roman"/>
                <w:bCs/>
                <w:sz w:val="24"/>
                <w:szCs w:val="24"/>
                <w:lang w:eastAsia="lv-LV"/>
              </w:rPr>
              <w:t>„Noteikumi par kārtību, kādā iestāde izvēlas piedāvājumu valsts vai pašvaldības kustamās mantas maiņai, un gadījumiem, kuros var nenoskaidrot valsts iestāžu vajadzību pēc citām valsts iestādēm nevajadzīgās kustamās mantas</w:t>
            </w:r>
            <w:r w:rsidR="005D2161">
              <w:rPr>
                <w:rFonts w:eastAsia="Times New Roman" w:cs="Times New Roman"/>
                <w:bCs/>
                <w:sz w:val="24"/>
                <w:szCs w:val="24"/>
                <w:lang w:eastAsia="lv-LV"/>
              </w:rPr>
              <w:t>”</w:t>
            </w:r>
            <w:r w:rsidR="009B465B">
              <w:rPr>
                <w:bCs/>
                <w:sz w:val="24"/>
                <w:szCs w:val="24"/>
                <w:lang w:eastAsia="lv-LV"/>
              </w:rPr>
              <w:t xml:space="preserve"> normas attiecas tikai uz valsts un pašvaldību mantas atsavināšanu, tie neattiecas uz citu atvasinātu</w:t>
            </w:r>
            <w:r w:rsidR="005D2161">
              <w:rPr>
                <w:bCs/>
                <w:sz w:val="24"/>
                <w:szCs w:val="24"/>
                <w:lang w:eastAsia="lv-LV"/>
              </w:rPr>
              <w:t xml:space="preserve"> publisku personu</w:t>
            </w:r>
            <w:r w:rsidR="009B465B">
              <w:rPr>
                <w:bCs/>
                <w:sz w:val="24"/>
                <w:szCs w:val="24"/>
                <w:lang w:eastAsia="lv-LV"/>
              </w:rPr>
              <w:t>, piemēram, augstskolu, mantas atsavināšanu.</w:t>
            </w:r>
          </w:p>
          <w:p w:rsidR="004C18F7" w:rsidRDefault="00660CB0" w:rsidP="00CC0566">
            <w:pPr>
              <w:jc w:val="both"/>
              <w:rPr>
                <w:bCs/>
                <w:sz w:val="24"/>
                <w:szCs w:val="24"/>
                <w:lang w:eastAsia="lv-LV"/>
              </w:rPr>
            </w:pPr>
            <w:r>
              <w:rPr>
                <w:bCs/>
                <w:sz w:val="24"/>
                <w:szCs w:val="24"/>
                <w:lang w:eastAsia="lv-LV"/>
              </w:rPr>
              <w:t xml:space="preserve">         </w:t>
            </w:r>
            <w:r w:rsidR="00AA321B">
              <w:rPr>
                <w:bCs/>
                <w:sz w:val="24"/>
                <w:szCs w:val="24"/>
                <w:lang w:eastAsia="lv-LV"/>
              </w:rPr>
              <w:t>Pašreiz spēkā esošā tiesiskā regulējuma</w:t>
            </w:r>
            <w:r w:rsidR="00C500E4" w:rsidRPr="00C500E4">
              <w:rPr>
                <w:bCs/>
                <w:sz w:val="24"/>
                <w:szCs w:val="24"/>
                <w:lang w:eastAsia="lv-LV"/>
              </w:rPr>
              <w:t>:</w:t>
            </w:r>
          </w:p>
          <w:p w:rsidR="00C500E4" w:rsidRDefault="00C500E4" w:rsidP="00CC0566">
            <w:pPr>
              <w:pStyle w:val="ListParagraph"/>
              <w:numPr>
                <w:ilvl w:val="0"/>
                <w:numId w:val="1"/>
              </w:numPr>
              <w:ind w:left="410" w:hanging="284"/>
              <w:jc w:val="both"/>
              <w:rPr>
                <w:bCs/>
                <w:sz w:val="24"/>
                <w:szCs w:val="24"/>
                <w:lang w:eastAsia="lv-LV"/>
              </w:rPr>
            </w:pPr>
            <w:r>
              <w:rPr>
                <w:bCs/>
                <w:sz w:val="24"/>
                <w:szCs w:val="24"/>
                <w:lang w:eastAsia="lv-LV"/>
              </w:rPr>
              <w:t>Atsavināšana ir apgrūtināta situācijās, kad uz publiskai personai piederoša vai piekrītoša zemesgabala ir divi vai vairāki patstāvīgi ēku īpašnieki, kas pieder dažādiem īpašniekiem. Praksē problēmas rada notariāl</w:t>
            </w:r>
            <w:r w:rsidR="009B465B">
              <w:rPr>
                <w:bCs/>
                <w:sz w:val="24"/>
                <w:szCs w:val="24"/>
                <w:lang w:eastAsia="lv-LV"/>
              </w:rPr>
              <w:t>i apliecinātas</w:t>
            </w:r>
            <w:r>
              <w:rPr>
                <w:bCs/>
                <w:sz w:val="24"/>
                <w:szCs w:val="24"/>
                <w:lang w:eastAsia="lv-LV"/>
              </w:rPr>
              <w:t xml:space="preserve"> vienošanās nepieciešamība, jo ēku īpašnieki atsakās notariāli vienoties</w:t>
            </w:r>
            <w:r w:rsidR="009B465B">
              <w:rPr>
                <w:bCs/>
                <w:sz w:val="24"/>
                <w:szCs w:val="24"/>
                <w:lang w:eastAsia="lv-LV"/>
              </w:rPr>
              <w:t>.</w:t>
            </w:r>
          </w:p>
          <w:p w:rsidR="00C500E4" w:rsidRPr="009B465B" w:rsidRDefault="009B465B" w:rsidP="009B465B">
            <w:pPr>
              <w:pStyle w:val="ListParagraph"/>
              <w:numPr>
                <w:ilvl w:val="0"/>
                <w:numId w:val="1"/>
              </w:numPr>
              <w:ind w:left="410" w:hanging="284"/>
              <w:jc w:val="both"/>
              <w:rPr>
                <w:bCs/>
                <w:sz w:val="24"/>
                <w:szCs w:val="24"/>
                <w:lang w:eastAsia="lv-LV"/>
              </w:rPr>
            </w:pPr>
            <w:r>
              <w:rPr>
                <w:bCs/>
                <w:sz w:val="24"/>
                <w:szCs w:val="24"/>
                <w:lang w:eastAsia="lv-LV"/>
              </w:rPr>
              <w:t>Šobrīd ir laikietilpīga valsts iestāžu vajadzību noskaidrošanas procedūra attiecībā uz kustamo mantu, ko nepieciešams vienkāršot.</w:t>
            </w:r>
          </w:p>
        </w:tc>
      </w:tr>
      <w:tr w:rsidR="001A62FF" w:rsidRPr="004C18F7" w:rsidTr="00D0274D">
        <w:trPr>
          <w:trHeight w:val="791"/>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3.</w:t>
            </w:r>
          </w:p>
        </w:tc>
        <w:tc>
          <w:tcPr>
            <w:tcW w:w="2184" w:type="dxa"/>
            <w:tcBorders>
              <w:top w:val="outset" w:sz="6" w:space="0" w:color="auto"/>
              <w:left w:val="outset" w:sz="6" w:space="0" w:color="auto"/>
              <w:bottom w:val="outset" w:sz="6" w:space="0" w:color="auto"/>
              <w:right w:val="outset" w:sz="6" w:space="0" w:color="auto"/>
            </w:tcBorders>
            <w:hideMark/>
          </w:tcPr>
          <w:p w:rsidR="004C18F7" w:rsidRPr="00C500E4" w:rsidRDefault="004C18F7" w:rsidP="004C18F7">
            <w:pPr>
              <w:spacing w:before="100" w:beforeAutospacing="1" w:after="100" w:afterAutospacing="1"/>
              <w:rPr>
                <w:rFonts w:eastAsia="Times New Roman" w:cs="Times New Roman"/>
                <w:sz w:val="24"/>
                <w:szCs w:val="24"/>
                <w:lang w:eastAsia="lv-LV"/>
              </w:rPr>
            </w:pPr>
            <w:r w:rsidRPr="00C500E4">
              <w:rPr>
                <w:rFonts w:eastAsia="Times New Roman" w:cs="Times New Roman"/>
                <w:sz w:val="24"/>
                <w:szCs w:val="24"/>
                <w:lang w:eastAsia="lv-LV"/>
              </w:rPr>
              <w:t> Saistītie politikas ietekmes novērtējumi un pētījumi</w:t>
            </w:r>
          </w:p>
        </w:tc>
        <w:tc>
          <w:tcPr>
            <w:tcW w:w="6804" w:type="dxa"/>
            <w:tcBorders>
              <w:top w:val="outset" w:sz="6" w:space="0" w:color="auto"/>
              <w:left w:val="outset" w:sz="6" w:space="0" w:color="auto"/>
              <w:bottom w:val="outset" w:sz="6" w:space="0" w:color="auto"/>
              <w:right w:val="outset" w:sz="6" w:space="0" w:color="auto"/>
            </w:tcBorders>
            <w:hideMark/>
          </w:tcPr>
          <w:p w:rsidR="004C18F7" w:rsidRPr="00C500E4" w:rsidRDefault="00C4111D" w:rsidP="002D29BE">
            <w:pPr>
              <w:spacing w:before="100" w:beforeAutospacing="1" w:after="100" w:afterAutospacing="1"/>
              <w:rPr>
                <w:rFonts w:eastAsia="Times New Roman" w:cs="Times New Roman"/>
                <w:sz w:val="24"/>
                <w:szCs w:val="24"/>
                <w:lang w:eastAsia="lv-LV"/>
              </w:rPr>
            </w:pPr>
            <w:r w:rsidRPr="00C500E4">
              <w:rPr>
                <w:rFonts w:eastAsia="Times New Roman" w:cs="Times New Roman"/>
                <w:sz w:val="24"/>
                <w:szCs w:val="24"/>
                <w:lang w:eastAsia="lv-LV"/>
              </w:rPr>
              <w:t>Nav attiecinām</w:t>
            </w:r>
            <w:r w:rsidR="00AA321B">
              <w:rPr>
                <w:rFonts w:eastAsia="Times New Roman" w:cs="Times New Roman"/>
                <w:sz w:val="24"/>
                <w:szCs w:val="24"/>
                <w:lang w:eastAsia="lv-LV"/>
              </w:rPr>
              <w:t>s</w:t>
            </w:r>
          </w:p>
        </w:tc>
      </w:tr>
      <w:tr w:rsidR="001A62FF" w:rsidRPr="004C18F7" w:rsidTr="00702D84">
        <w:trPr>
          <w:trHeight w:val="688"/>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4.</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Tiesiskā regulējuma mērķis un būtība</w:t>
            </w:r>
          </w:p>
        </w:tc>
        <w:tc>
          <w:tcPr>
            <w:tcW w:w="6804" w:type="dxa"/>
            <w:tcBorders>
              <w:top w:val="outset" w:sz="6" w:space="0" w:color="auto"/>
              <w:left w:val="outset" w:sz="6" w:space="0" w:color="auto"/>
              <w:bottom w:val="outset" w:sz="6" w:space="0" w:color="auto"/>
              <w:right w:val="outset" w:sz="6" w:space="0" w:color="auto"/>
            </w:tcBorders>
            <w:hideMark/>
          </w:tcPr>
          <w:p w:rsidR="00873E5E" w:rsidRDefault="00660CB0" w:rsidP="00CC0566">
            <w:pPr>
              <w:jc w:val="both"/>
              <w:rPr>
                <w:rFonts w:eastAsia="Times New Roman" w:cs="Times New Roman"/>
                <w:sz w:val="24"/>
                <w:szCs w:val="24"/>
                <w:lang w:eastAsia="lv-LV"/>
              </w:rPr>
            </w:pPr>
            <w:r>
              <w:rPr>
                <w:rFonts w:eastAsia="Times New Roman" w:cs="Times New Roman"/>
                <w:sz w:val="24"/>
                <w:szCs w:val="24"/>
                <w:lang w:eastAsia="lv-LV"/>
              </w:rPr>
              <w:t xml:space="preserve">          </w:t>
            </w:r>
            <w:r w:rsidR="00E54512">
              <w:rPr>
                <w:rFonts w:eastAsia="Times New Roman" w:cs="Times New Roman"/>
                <w:sz w:val="24"/>
                <w:szCs w:val="24"/>
                <w:lang w:eastAsia="lv-LV"/>
              </w:rPr>
              <w:t xml:space="preserve">Ministru kabineta noteikumu projekta mērķis ir nodrošināt </w:t>
            </w:r>
            <w:r w:rsidR="00D248CC">
              <w:rPr>
                <w:rFonts w:eastAsia="Times New Roman" w:cs="Times New Roman"/>
                <w:sz w:val="24"/>
                <w:szCs w:val="24"/>
                <w:lang w:eastAsia="lv-LV"/>
              </w:rPr>
              <w:t>likumā Ministru kabinetam</w:t>
            </w:r>
            <w:r w:rsidR="00D6003A">
              <w:rPr>
                <w:rFonts w:eastAsia="Times New Roman" w:cs="Times New Roman"/>
                <w:sz w:val="24"/>
                <w:szCs w:val="24"/>
                <w:lang w:eastAsia="lv-LV"/>
              </w:rPr>
              <w:t xml:space="preserve"> doto uzdevumu</w:t>
            </w:r>
            <w:r w:rsidR="00D248CC">
              <w:rPr>
                <w:rFonts w:eastAsia="Times New Roman" w:cs="Times New Roman"/>
                <w:sz w:val="24"/>
                <w:szCs w:val="24"/>
                <w:lang w:eastAsia="lv-LV"/>
              </w:rPr>
              <w:t xml:space="preserve"> izpildi</w:t>
            </w:r>
            <w:r w:rsidR="00E54512">
              <w:rPr>
                <w:rFonts w:eastAsia="Times New Roman" w:cs="Times New Roman"/>
                <w:sz w:val="24"/>
                <w:szCs w:val="24"/>
                <w:lang w:eastAsia="lv-LV"/>
              </w:rPr>
              <w:t xml:space="preserve">. </w:t>
            </w:r>
          </w:p>
          <w:p w:rsidR="004C18F7" w:rsidRDefault="00660CB0" w:rsidP="00CC0566">
            <w:pPr>
              <w:jc w:val="both"/>
              <w:rPr>
                <w:rFonts w:eastAsia="Times New Roman" w:cs="Times New Roman"/>
                <w:sz w:val="24"/>
                <w:szCs w:val="24"/>
                <w:lang w:eastAsia="lv-LV"/>
              </w:rPr>
            </w:pPr>
            <w:r>
              <w:rPr>
                <w:rFonts w:eastAsia="Times New Roman" w:cs="Times New Roman"/>
                <w:sz w:val="24"/>
                <w:szCs w:val="24"/>
                <w:lang w:eastAsia="lv-LV"/>
              </w:rPr>
              <w:t xml:space="preserve">          Ministru kabineta n</w:t>
            </w:r>
            <w:r w:rsidR="00E54512">
              <w:rPr>
                <w:rFonts w:eastAsia="Times New Roman" w:cs="Times New Roman"/>
                <w:sz w:val="24"/>
                <w:szCs w:val="24"/>
                <w:lang w:eastAsia="lv-LV"/>
              </w:rPr>
              <w:t>oteikumu normas atbilstoši grozījumiem likumā tiks attiecinātas uz viesām atvasinātajām personām, ne tikai pašvaldībām.</w:t>
            </w:r>
          </w:p>
          <w:p w:rsidR="00BC6990" w:rsidRPr="00BC6990" w:rsidRDefault="00660CB0" w:rsidP="00CC0566">
            <w:pPr>
              <w:ind w:firstLine="375"/>
              <w:jc w:val="both"/>
              <w:rPr>
                <w:sz w:val="24"/>
                <w:szCs w:val="24"/>
                <w:lang w:eastAsia="lv-LV"/>
              </w:rPr>
            </w:pPr>
            <w:r>
              <w:rPr>
                <w:bCs/>
                <w:sz w:val="24"/>
                <w:szCs w:val="24"/>
                <w:lang w:eastAsia="lv-LV"/>
              </w:rPr>
              <w:t xml:space="preserve">    </w:t>
            </w:r>
            <w:r w:rsidR="00BC6990">
              <w:rPr>
                <w:bCs/>
                <w:sz w:val="24"/>
                <w:szCs w:val="24"/>
                <w:lang w:eastAsia="lv-LV"/>
              </w:rPr>
              <w:t>Lai uzlabotu atsavināšanas regulējumu</w:t>
            </w:r>
            <w:r w:rsidR="00BC6990" w:rsidRPr="00BC6990">
              <w:rPr>
                <w:bCs/>
                <w:sz w:val="24"/>
                <w:szCs w:val="24"/>
                <w:lang w:eastAsia="lv-LV"/>
              </w:rPr>
              <w:t xml:space="preserve"> gadījumiem, kad uz publiskai personai piederoša vai piekrītoša zemesgabala ir divi vai vairāki patstāvīgi ēku īpašnieki, kas pieder dažādiem īpašniekiem, paredzēts, ka</w:t>
            </w:r>
            <w:r w:rsidR="00BC6990" w:rsidRPr="00BC6990">
              <w:rPr>
                <w:sz w:val="24"/>
                <w:szCs w:val="24"/>
                <w:lang w:eastAsia="lv-LV"/>
              </w:rPr>
              <w:t>, ja uz zemesgabala ir divi vai vairāki patstāvīgi ēku īpašumi, kas pieder dažādiem īpašniekiem:</w:t>
            </w:r>
          </w:p>
          <w:p w:rsidR="00BC6990" w:rsidRPr="00CC7869" w:rsidRDefault="00BC6990" w:rsidP="00CC0566">
            <w:pPr>
              <w:ind w:firstLine="375"/>
              <w:jc w:val="both"/>
              <w:rPr>
                <w:sz w:val="24"/>
                <w:szCs w:val="24"/>
                <w:lang w:eastAsia="lv-LV"/>
              </w:rPr>
            </w:pPr>
            <w:r w:rsidRPr="00BC6990">
              <w:rPr>
                <w:sz w:val="24"/>
                <w:szCs w:val="24"/>
                <w:lang w:eastAsia="lv-LV"/>
              </w:rPr>
              <w:lastRenderedPageBreak/>
              <w:t xml:space="preserve">1) kuri savas īpašuma tiesības ir nostiprinājuši zemesgrāmatā, atsavināšanas ierosinājumam pievieno notariāli apliecinātu vienošanos par to, kādās domājamās daļās katrs īpašnieks iegūst zemesgabalu vai Valsts zemes dienesta izziņu par zemesgabala sadalījumu domājamās daļās kopā ar kāda no ēku īpašniekiem notariāli apliecinātu atteikumu </w:t>
            </w:r>
            <w:r w:rsidRPr="00CC7869">
              <w:rPr>
                <w:sz w:val="24"/>
                <w:szCs w:val="24"/>
                <w:lang w:eastAsia="lv-LV"/>
              </w:rPr>
              <w:t>slēgt šādu vienošanos;</w:t>
            </w:r>
          </w:p>
          <w:p w:rsidR="00BC6990" w:rsidRPr="00CC7869" w:rsidRDefault="00BC6990" w:rsidP="00CC0566">
            <w:pPr>
              <w:ind w:firstLine="375"/>
              <w:jc w:val="both"/>
              <w:rPr>
                <w:sz w:val="24"/>
                <w:szCs w:val="24"/>
                <w:lang w:eastAsia="lv-LV"/>
              </w:rPr>
            </w:pPr>
            <w:r w:rsidRPr="00CC7869">
              <w:rPr>
                <w:sz w:val="24"/>
                <w:szCs w:val="24"/>
                <w:lang w:eastAsia="lv-LV"/>
              </w:rPr>
              <w:t>2) no kuriem tikai viens savas īpašuma tiesības ir nostiprinājis zemesgrāmatā un iesniedzis atsavināšanas ierosinājumu, atsavināšanas ierosinājumam pievieno Valsts zemes dienesta izziņu par zemesgabala sadalījumu domājamās daļās;</w:t>
            </w:r>
          </w:p>
          <w:p w:rsidR="00CC7869" w:rsidRPr="00CC7869" w:rsidRDefault="00CC7869" w:rsidP="00CC0566">
            <w:pPr>
              <w:ind w:firstLine="375"/>
              <w:jc w:val="both"/>
              <w:rPr>
                <w:sz w:val="24"/>
                <w:szCs w:val="24"/>
                <w:lang w:eastAsia="lv-LV"/>
              </w:rPr>
            </w:pPr>
            <w:r w:rsidRPr="00CC7869">
              <w:rPr>
                <w:sz w:val="24"/>
                <w:szCs w:val="24"/>
                <w:lang w:eastAsia="lv-LV"/>
              </w:rPr>
              <w:t>3) no kuriem daži ēku īpašnieki savas īpašuma tiesības ir nostiprinājuši zemesgrāmatā, izņemot 2.punktā minēto gadījumu, atsavināšanas ierosinājumam pievieno notariāli apliecinātu vienošanos par to, kādās domājamās daļās katrs īpašnieks iegūst zemesgabalu, paredzot, ka zemesgrāmatā neierakstītajām ēkām tiek rezervēta tām piekrītoša, proporcionāla zemesgabala domājamā daļa, pamatojoties uz Valsts zemes dienesta izdotu izziņu par zemesgabala sadalījumu domājamās daļās, vai Valsts zemes dienesta izziņu par zemesgabala sadalījumu domājamās daļās kopā ar kāda no ēku īpašniekiem, kurš savas īpašuma tiesības ir nostiprinājis zemesgrāmatā, notariāli apliecinātu atteikumu slēgt šādu vienošanos.</w:t>
            </w:r>
          </w:p>
          <w:p w:rsidR="00424388" w:rsidRDefault="00424388" w:rsidP="00CC0566">
            <w:pPr>
              <w:ind w:firstLine="375"/>
              <w:jc w:val="both"/>
              <w:rPr>
                <w:sz w:val="24"/>
                <w:szCs w:val="24"/>
                <w:lang w:eastAsia="lv-LV"/>
              </w:rPr>
            </w:pPr>
            <w:r>
              <w:rPr>
                <w:sz w:val="24"/>
                <w:szCs w:val="24"/>
                <w:lang w:eastAsia="lv-LV"/>
              </w:rPr>
              <w:t xml:space="preserve">Noteikumu projekts papildināts ar diviem nosacījumiem, kad </w:t>
            </w:r>
            <w:r w:rsidR="001D7692" w:rsidRPr="00A036D6">
              <w:rPr>
                <w:sz w:val="24"/>
                <w:szCs w:val="24"/>
                <w:lang w:eastAsia="lv-LV"/>
              </w:rPr>
              <w:t xml:space="preserve">nekustamā īpašuma atsavināšanu </w:t>
            </w:r>
            <w:r w:rsidR="00425548">
              <w:rPr>
                <w:sz w:val="24"/>
                <w:szCs w:val="24"/>
                <w:lang w:eastAsia="lv-LV"/>
              </w:rPr>
              <w:t>atsaka</w:t>
            </w:r>
            <w:r>
              <w:rPr>
                <w:sz w:val="24"/>
                <w:szCs w:val="24"/>
                <w:lang w:eastAsia="lv-LV"/>
              </w:rPr>
              <w:t xml:space="preserve">, </w:t>
            </w:r>
            <w:proofErr w:type="spellStart"/>
            <w:r>
              <w:rPr>
                <w:sz w:val="24"/>
                <w:szCs w:val="24"/>
                <w:lang w:eastAsia="lv-LV"/>
              </w:rPr>
              <w:t>t.i</w:t>
            </w:r>
            <w:proofErr w:type="spellEnd"/>
            <w:r>
              <w:rPr>
                <w:sz w:val="24"/>
                <w:szCs w:val="24"/>
                <w:lang w:eastAsia="lv-LV"/>
              </w:rPr>
              <w:t>.,</w:t>
            </w:r>
          </w:p>
          <w:p w:rsidR="00A036D6" w:rsidRPr="00853BB5" w:rsidRDefault="00424388" w:rsidP="00853BB5">
            <w:pPr>
              <w:ind w:firstLine="375"/>
              <w:jc w:val="both"/>
              <w:rPr>
                <w:sz w:val="24"/>
                <w:szCs w:val="24"/>
                <w:lang w:eastAsia="lv-LV"/>
              </w:rPr>
            </w:pPr>
            <w:r>
              <w:rPr>
                <w:sz w:val="24"/>
                <w:szCs w:val="24"/>
                <w:lang w:eastAsia="lv-LV"/>
              </w:rPr>
              <w:t>1)</w:t>
            </w:r>
            <w:r w:rsidR="001D7692" w:rsidRPr="00A036D6">
              <w:rPr>
                <w:sz w:val="24"/>
                <w:szCs w:val="24"/>
                <w:lang w:eastAsia="lv-LV"/>
              </w:rPr>
              <w:t xml:space="preserve"> ja </w:t>
            </w:r>
            <w:r w:rsidR="00A036D6" w:rsidRPr="00A036D6">
              <w:rPr>
                <w:sz w:val="24"/>
                <w:szCs w:val="24"/>
                <w:lang w:eastAsia="lv-LV"/>
              </w:rPr>
              <w:t xml:space="preserve">Ministru kabinets vai atvasinātas publiskas personas lēmējinstitūcija par publiskas personas mantu ir pieņēmusi </w:t>
            </w:r>
            <w:r w:rsidR="00425548">
              <w:rPr>
                <w:sz w:val="24"/>
                <w:szCs w:val="24"/>
                <w:lang w:eastAsia="lv-LV"/>
              </w:rPr>
              <w:t xml:space="preserve">lēmumu par </w:t>
            </w:r>
            <w:r w:rsidR="00A036D6" w:rsidRPr="00A036D6">
              <w:rPr>
                <w:sz w:val="24"/>
                <w:szCs w:val="24"/>
                <w:lang w:eastAsia="lv-LV"/>
              </w:rPr>
              <w:t xml:space="preserve">pamatotu atsavināšanas ierosinājuma </w:t>
            </w:r>
            <w:r w:rsidR="00425548">
              <w:rPr>
                <w:sz w:val="24"/>
                <w:szCs w:val="24"/>
                <w:lang w:eastAsia="lv-LV"/>
              </w:rPr>
              <w:t>atteikumu</w:t>
            </w:r>
            <w:r w:rsidR="00425548" w:rsidRPr="00A036D6">
              <w:rPr>
                <w:sz w:val="24"/>
                <w:szCs w:val="24"/>
                <w:lang w:eastAsia="lv-LV"/>
              </w:rPr>
              <w:t xml:space="preserve"> </w:t>
            </w:r>
            <w:r w:rsidR="00A036D6" w:rsidRPr="00A036D6">
              <w:rPr>
                <w:sz w:val="24"/>
                <w:szCs w:val="24"/>
                <w:lang w:eastAsia="lv-LV"/>
              </w:rPr>
              <w:t xml:space="preserve">(neierobežojot to tikai ar nepieciešamību nodrošināt publisko funkciju). Šādu normu, piemēram, piemēro situācijā, kad publiskai personai un privātpersonai kopīpašumā ir ēka Rīgas </w:t>
            </w:r>
            <w:r w:rsidR="00A036D6" w:rsidRPr="0078305A">
              <w:rPr>
                <w:sz w:val="24"/>
                <w:szCs w:val="24"/>
                <w:lang w:eastAsia="lv-LV"/>
              </w:rPr>
              <w:t xml:space="preserve">vēsturiskajā centrā un šis objekts ir rentabls, kā rezultātā publiskai personai finansiāli izdevīgāk ir īpašuma tiesības uz kopīpašuma daļu </w:t>
            </w:r>
            <w:r w:rsidR="00A036D6" w:rsidRPr="00853BB5">
              <w:rPr>
                <w:sz w:val="24"/>
                <w:szCs w:val="24"/>
                <w:lang w:eastAsia="lv-LV"/>
              </w:rPr>
              <w:t>saglabāt</w:t>
            </w:r>
            <w:r w:rsidRPr="00853BB5">
              <w:rPr>
                <w:sz w:val="24"/>
                <w:szCs w:val="24"/>
                <w:lang w:eastAsia="lv-LV"/>
              </w:rPr>
              <w:t>, nevis atsavināt kopīpašniekam;</w:t>
            </w:r>
          </w:p>
          <w:p w:rsidR="00424388" w:rsidRPr="00853BB5" w:rsidRDefault="00424388" w:rsidP="00853BB5">
            <w:pPr>
              <w:ind w:firstLine="375"/>
              <w:jc w:val="both"/>
              <w:rPr>
                <w:sz w:val="24"/>
                <w:szCs w:val="24"/>
                <w:lang w:eastAsia="lv-LV"/>
              </w:rPr>
            </w:pPr>
            <w:r w:rsidRPr="00853BB5">
              <w:rPr>
                <w:sz w:val="24"/>
                <w:szCs w:val="24"/>
                <w:lang w:eastAsia="lv-LV"/>
              </w:rPr>
              <w:t xml:space="preserve">2) </w:t>
            </w:r>
            <w:r w:rsidR="0078305A" w:rsidRPr="00853BB5">
              <w:rPr>
                <w:sz w:val="24"/>
                <w:szCs w:val="24"/>
                <w:lang w:eastAsia="lv-LV"/>
              </w:rPr>
              <w:t>atsavināšanas ierosinājumu iesniegusi persona, kura ir norādīta Likuma 4.panta ceturtās daļas 3.un 4.apakšpunktā, bet visas zemesgrāmatā ierakstītās ēkas (būves) dabā neeksistē.</w:t>
            </w:r>
          </w:p>
          <w:p w:rsidR="00425548" w:rsidRDefault="00853BB5" w:rsidP="00700E8B">
            <w:pPr>
              <w:ind w:firstLine="410"/>
              <w:jc w:val="both"/>
              <w:rPr>
                <w:sz w:val="24"/>
                <w:szCs w:val="24"/>
                <w:lang w:eastAsia="lv-LV"/>
              </w:rPr>
            </w:pPr>
            <w:r>
              <w:rPr>
                <w:sz w:val="24"/>
                <w:szCs w:val="24"/>
              </w:rPr>
              <w:t xml:space="preserve">      </w:t>
            </w:r>
            <w:r w:rsidRPr="00853BB5">
              <w:rPr>
                <w:sz w:val="24"/>
                <w:szCs w:val="24"/>
              </w:rPr>
              <w:t xml:space="preserve">Ņemot vērā to, ka šobrīd nav regulējuma, kā rīkoties, ja persona vēlas precizēt vai apstrīdēt nekustamā īpašuma vērtību, noteikumu projektā paredzēts, ka  atsavināšanas process tiek apturēts, ja persona ir vērsusies </w:t>
            </w:r>
            <w:r w:rsidRPr="00853BB5">
              <w:rPr>
                <w:sz w:val="24"/>
                <w:szCs w:val="24"/>
                <w:lang w:eastAsia="lv-LV"/>
              </w:rPr>
              <w:t>biedrībā „Latvijas Īpašumu Vērtētāju Asociācija”</w:t>
            </w:r>
            <w:r w:rsidR="00BD036E">
              <w:rPr>
                <w:sz w:val="24"/>
                <w:szCs w:val="24"/>
                <w:lang w:eastAsia="lv-LV"/>
              </w:rPr>
              <w:t>. Vienlaikus MK noteikumu projektā</w:t>
            </w:r>
            <w:r w:rsidR="00425548">
              <w:rPr>
                <w:sz w:val="24"/>
                <w:szCs w:val="24"/>
                <w:lang w:eastAsia="lv-LV"/>
              </w:rPr>
              <w:t xml:space="preserve"> noteikts, ka publiskas personas nekustamā īpašuma atsavināšanas ierosinājumu atsaka, ja nekustamais īpašuma atrodas teritorijās, kur atsavināšana ir aizliegta ar likumiem. Tiesību norma paredz, ka </w:t>
            </w:r>
            <w:r w:rsidR="00700E8B">
              <w:rPr>
                <w:sz w:val="24"/>
                <w:szCs w:val="24"/>
                <w:lang w:eastAsia="lv-LV"/>
              </w:rPr>
              <w:t xml:space="preserve">atsavināšanas ierosinājums ir atsakāms arī gadījumos, ja atsavināmais nekustamais īpašums atrodas </w:t>
            </w:r>
            <w:r w:rsidR="00425548">
              <w:rPr>
                <w:sz w:val="24"/>
                <w:szCs w:val="24"/>
                <w:lang w:eastAsia="lv-LV"/>
              </w:rPr>
              <w:t>teritorijās, kurām saskaņā ar likumiem vides aizsardzības jomā (</w:t>
            </w:r>
            <w:r w:rsidR="00425548" w:rsidRPr="00700E8B">
              <w:rPr>
                <w:i/>
                <w:sz w:val="24"/>
                <w:szCs w:val="24"/>
                <w:lang w:eastAsia="lv-LV"/>
              </w:rPr>
              <w:t>Vides aizsardzības likums, Aizsargjoslu likums, likums „Par īpaši aizsargājamām dabas teritorijām”</w:t>
            </w:r>
            <w:r w:rsidR="00700E8B" w:rsidRPr="00700E8B">
              <w:rPr>
                <w:i/>
                <w:sz w:val="24"/>
                <w:szCs w:val="24"/>
                <w:lang w:eastAsia="lv-LV"/>
              </w:rPr>
              <w:t xml:space="preserve"> </w:t>
            </w:r>
            <w:proofErr w:type="spellStart"/>
            <w:r w:rsidR="00700E8B" w:rsidRPr="00700E8B">
              <w:rPr>
                <w:i/>
                <w:sz w:val="24"/>
                <w:szCs w:val="24"/>
                <w:lang w:eastAsia="lv-LV"/>
              </w:rPr>
              <w:t>u.c</w:t>
            </w:r>
            <w:proofErr w:type="spellEnd"/>
            <w:r w:rsidR="00700E8B" w:rsidRPr="00700E8B">
              <w:rPr>
                <w:i/>
                <w:sz w:val="24"/>
                <w:szCs w:val="24"/>
                <w:lang w:eastAsia="lv-LV"/>
              </w:rPr>
              <w:t>.</w:t>
            </w:r>
            <w:r w:rsidR="00700E8B">
              <w:rPr>
                <w:sz w:val="24"/>
                <w:szCs w:val="24"/>
                <w:lang w:eastAsia="lv-LV"/>
              </w:rPr>
              <w:t xml:space="preserve">) ir noteikts īpašs statuss un kurās atsavināšana ir aizliegta.  </w:t>
            </w:r>
          </w:p>
          <w:p w:rsidR="00700E8B" w:rsidRPr="00BA666A" w:rsidRDefault="00700E8B" w:rsidP="00700E8B">
            <w:pPr>
              <w:jc w:val="both"/>
              <w:rPr>
                <w:sz w:val="12"/>
                <w:szCs w:val="12"/>
                <w:lang w:eastAsia="lv-LV"/>
              </w:rPr>
            </w:pPr>
          </w:p>
          <w:p w:rsidR="00700E8B" w:rsidRPr="00BA666A" w:rsidRDefault="007376A7" w:rsidP="00700E8B">
            <w:pPr>
              <w:jc w:val="both"/>
              <w:rPr>
                <w:sz w:val="24"/>
                <w:szCs w:val="24"/>
                <w:lang w:eastAsia="lv-LV"/>
              </w:rPr>
            </w:pPr>
            <w:r w:rsidRPr="00BA666A">
              <w:rPr>
                <w:sz w:val="24"/>
                <w:szCs w:val="24"/>
                <w:lang w:eastAsia="lv-LV"/>
              </w:rPr>
              <w:t>Lai uzlabotu kustamas mantas atsavināšanas procesu, Ministru kabineta noteikumu projektā paredzēts, k</w:t>
            </w:r>
            <w:r w:rsidR="00F53C75" w:rsidRPr="00BA666A">
              <w:rPr>
                <w:sz w:val="24"/>
                <w:szCs w:val="24"/>
                <w:lang w:eastAsia="lv-LV"/>
              </w:rPr>
              <w:t xml:space="preserve">a, </w:t>
            </w:r>
            <w:r w:rsidR="00700E8B" w:rsidRPr="00BA666A">
              <w:rPr>
                <w:sz w:val="24"/>
                <w:szCs w:val="24"/>
              </w:rPr>
              <w:t>ministrija</w:t>
            </w:r>
            <w:r w:rsidR="00626E26" w:rsidRPr="00BA666A">
              <w:rPr>
                <w:sz w:val="24"/>
                <w:szCs w:val="24"/>
              </w:rPr>
              <w:t>s</w:t>
            </w:r>
            <w:r w:rsidR="00700E8B" w:rsidRPr="00BA666A">
              <w:rPr>
                <w:sz w:val="24"/>
                <w:szCs w:val="24"/>
              </w:rPr>
              <w:t xml:space="preserve"> noskaidro tās </w:t>
            </w:r>
            <w:r w:rsidR="00700E8B" w:rsidRPr="00BA666A">
              <w:rPr>
                <w:sz w:val="24"/>
                <w:szCs w:val="24"/>
              </w:rPr>
              <w:lastRenderedPageBreak/>
              <w:t xml:space="preserve">padotībā esošo iestāžu vajadzības pēc ministrijas, tās padotībā esošas iestādes vai kapitālsabiedrības valdījumā esošās nevajadzīgās valsts kustamās mantas un nodod šo mantu bez atlīdzības tās padotībā esošām iestādēm šādā kārtībā, proti, ja mantu vienlaikus pieprasa vairākas padotībā esošas iestādes, to nodod tai iestādei, kurai tā nepieciešama tās tiešo funkciju nodrošināšanai. Savukārt, ja mantu vienlaikus pieprasa vairākas padotībā esošas iestādes to tiešo funkciju nodrošināšanai, jautājumu par mantas nodošanu atrisina pēc izlozes principa. Ja uz ministrijas, tās padotībā esošas iestādes vai kapitālsabiedrības valdījumā vai turējumā esošo nevajadzīgo valsts kustamo mantu nav pieteikusies neviena ministrijas padotībā esoša iestāde, lai noskaidrotu citu valsts iestāžu un atvasinātu publisku personu vai to iestāžu vajadzību pēc ministrijas, tās padotībā esošas iestādes vai kapitālsabiedrības valdījumā vai turējumā esošās nevajadzīgās valsts kustamās mantas (tajā skaitā valsts dzīvās kustamās mantas), ministrija, tās padotībā esoša iestāde vai kapitālsabiedrība  </w:t>
            </w:r>
            <w:r w:rsidR="00700E8B" w:rsidRPr="00BA666A">
              <w:rPr>
                <w:sz w:val="24"/>
                <w:szCs w:val="24"/>
                <w:u w:val="single"/>
              </w:rPr>
              <w:t>informāciju par nevajadzīgo valsts kustamo mantu, norādot tās apjomu, bilances vērtību, tehnis</w:t>
            </w:r>
            <w:r w:rsidR="00700E8B" w:rsidRPr="00BA666A">
              <w:rPr>
                <w:sz w:val="24"/>
                <w:szCs w:val="24"/>
                <w:u w:val="single"/>
              </w:rPr>
              <w:softHyphen/>
              <w:t>ko stāvokli un tehnisko aprakstu atkarībā no mantas veida, bez maksas publicē valsts akciju sabiedrības „Valsts nekustamie īpašumi” mājas lapā internetā.</w:t>
            </w:r>
          </w:p>
          <w:p w:rsidR="00700E8B" w:rsidRPr="00702D84" w:rsidRDefault="00700E8B" w:rsidP="00700E8B">
            <w:pPr>
              <w:jc w:val="both"/>
              <w:rPr>
                <w:sz w:val="12"/>
                <w:szCs w:val="12"/>
                <w:lang w:eastAsia="lv-LV"/>
              </w:rPr>
            </w:pPr>
          </w:p>
          <w:p w:rsidR="00700E8B" w:rsidRPr="00702D84" w:rsidRDefault="00F53C75" w:rsidP="00700E8B">
            <w:pPr>
              <w:jc w:val="both"/>
              <w:rPr>
                <w:sz w:val="24"/>
                <w:szCs w:val="24"/>
              </w:rPr>
            </w:pPr>
            <w:r w:rsidRPr="00702D84">
              <w:rPr>
                <w:sz w:val="24"/>
                <w:szCs w:val="24"/>
              </w:rPr>
              <w:t xml:space="preserve">Tādējādi iestādēm pēc 2011.gada 1.jūlija </w:t>
            </w:r>
            <w:r w:rsidRPr="00702D84">
              <w:rPr>
                <w:sz w:val="24"/>
                <w:szCs w:val="24"/>
                <w:u w:val="single"/>
              </w:rPr>
              <w:t>nevajadzēs</w:t>
            </w:r>
            <w:r w:rsidRPr="00702D84">
              <w:rPr>
                <w:sz w:val="24"/>
                <w:szCs w:val="24"/>
              </w:rPr>
              <w:t xml:space="preserve"> gatavot attiecīgus informatīvos ziņojumus un iesniegt tos Valsts sekretāru sanāksmē, bet informāciju ievadīt valsts akciju sabiedrības „Valsts nekustamie īpašumi” mājas lapā. Turklāt šādā veidā process būs arī pārredzamāks, informācija būs atrodama vienuviet un ieinteresētā iestāde varēs sekot līdzi procesam un būt savlaicīgi informētai par to, ka piesakās arī citas iestādes vai publisko tiesību subjekti. </w:t>
            </w:r>
          </w:p>
          <w:p w:rsidR="00702D84" w:rsidRPr="00702D84" w:rsidRDefault="00702D84" w:rsidP="00700E8B">
            <w:pPr>
              <w:pStyle w:val="naisf"/>
              <w:spacing w:before="0" w:beforeAutospacing="0" w:after="0" w:afterAutospacing="0"/>
              <w:ind w:firstLine="425"/>
              <w:jc w:val="both"/>
              <w:rPr>
                <w:sz w:val="12"/>
                <w:szCs w:val="12"/>
              </w:rPr>
            </w:pPr>
          </w:p>
          <w:p w:rsidR="00700E8B" w:rsidRPr="00702D84" w:rsidRDefault="00700E8B" w:rsidP="00700E8B">
            <w:pPr>
              <w:pStyle w:val="naisf"/>
              <w:spacing w:before="0" w:beforeAutospacing="0" w:after="0" w:afterAutospacing="0"/>
              <w:ind w:firstLine="425"/>
              <w:jc w:val="both"/>
            </w:pPr>
            <w:r w:rsidRPr="00702D84">
              <w:t>Noteikumu projektā noteikts, ka mantu, nodod bez atlīdzības šādā kārtībā:</w:t>
            </w:r>
          </w:p>
          <w:p w:rsidR="00700E8B" w:rsidRPr="00BA666A" w:rsidRDefault="00700E8B" w:rsidP="00626E26">
            <w:pPr>
              <w:pStyle w:val="naisf"/>
              <w:numPr>
                <w:ilvl w:val="0"/>
                <w:numId w:val="4"/>
              </w:numPr>
              <w:spacing w:before="0" w:beforeAutospacing="0" w:after="0" w:afterAutospacing="0"/>
              <w:ind w:left="835" w:hanging="283"/>
              <w:jc w:val="both"/>
            </w:pPr>
            <w:r w:rsidRPr="00BA666A">
              <w:t>ja uz nevajadzīgo valsts kustamo mantu piesakās vismaz viena valsts iestāde (arī gadījumā, ja pirmā ir pieteikusies atvasināta publiska persona vai tās iestāde)– valsts iestādei, kura pirmā to ir pieprasījusi. Ja vairākas valsts iestādes mantu pieprasa vienlaikus (atzīme Sabiedrības mājas lapā izdarīta vienā datumā un laikā), to nodod tai iestādei, kurai tā nepieciešama tās tiešo funkciju nodrošināšanai. Ja mantu vienlaikus (vienā datumā) pieprasa vairākas valsts iestādes to tiešo funkciju nodrošināšanai, jautājumu par mantas nodošanu atrisina pēc izlozes principa;</w:t>
            </w:r>
          </w:p>
          <w:p w:rsidR="00700E8B" w:rsidRPr="00BA666A" w:rsidRDefault="00700E8B" w:rsidP="00700E8B">
            <w:pPr>
              <w:pStyle w:val="naisf"/>
              <w:numPr>
                <w:ilvl w:val="0"/>
                <w:numId w:val="4"/>
              </w:numPr>
              <w:spacing w:before="0" w:beforeAutospacing="0" w:after="0" w:afterAutospacing="0"/>
              <w:ind w:left="835" w:hanging="283"/>
              <w:jc w:val="both"/>
            </w:pPr>
            <w:r w:rsidRPr="00BA666A">
              <w:t>ja uz nevajadzīgo valsts kustamo mantu nav pieteikusies neviena valsts iestāde – tai atvasinātai publiskai personai vai tās iestādei, kura pirmā to ir pieprasījusi. Ja mantu vienlaikus (atzīme Sabiedrības mājas lapā izdarīta vienā datumā un laikā) pieprasa vairākas atvasinātas publiskas personas vai to iestādes, jautājumu par mantas nodošanu atrisina pēc izlozes principa</w:t>
            </w:r>
            <w:r w:rsidR="00626E26" w:rsidRPr="00BA666A">
              <w:t>.</w:t>
            </w:r>
          </w:p>
          <w:p w:rsidR="00702D84" w:rsidRPr="00702D84" w:rsidRDefault="00702D84" w:rsidP="00BA63B9">
            <w:pPr>
              <w:pStyle w:val="naisf"/>
              <w:spacing w:before="0" w:beforeAutospacing="0" w:after="0" w:afterAutospacing="0"/>
              <w:ind w:firstLine="426"/>
              <w:jc w:val="both"/>
              <w:rPr>
                <w:sz w:val="12"/>
                <w:szCs w:val="12"/>
              </w:rPr>
            </w:pPr>
          </w:p>
          <w:p w:rsidR="00E54512" w:rsidRDefault="001024B0" w:rsidP="00BA63B9">
            <w:pPr>
              <w:pStyle w:val="naisf"/>
              <w:spacing w:before="0" w:beforeAutospacing="0" w:after="0" w:afterAutospacing="0"/>
              <w:ind w:firstLine="426"/>
              <w:jc w:val="both"/>
            </w:pPr>
            <w:r w:rsidRPr="00BA63B9">
              <w:t>Tāpat noteikumu projektā pare</w:t>
            </w:r>
            <w:r w:rsidR="00BA63B9" w:rsidRPr="00BA63B9">
              <w:t>d</w:t>
            </w:r>
            <w:r w:rsidRPr="00BA63B9">
              <w:t xml:space="preserve">zēts, ka </w:t>
            </w:r>
            <w:r w:rsidR="00BA63B9" w:rsidRPr="00BA63B9">
              <w:t xml:space="preserve">iestāžu vajadzību noskaidrot informāciju publicējot valsts akciju sabiedrības „Valsts </w:t>
            </w:r>
            <w:r w:rsidR="00BA63B9" w:rsidRPr="00BA63B9">
              <w:lastRenderedPageBreak/>
              <w:t xml:space="preserve">nekustamie īpašumi” mājas lapā nav nepieciešams, ja </w:t>
            </w:r>
            <w:r w:rsidRPr="00BA63B9">
              <w:t>Ministru kabinets saskaņā ar Publiskas personas mantas atsavināšanas likuma 43.</w:t>
            </w:r>
            <w:r w:rsidRPr="00BA63B9">
              <w:rPr>
                <w:vertAlign w:val="superscript"/>
              </w:rPr>
              <w:t>1</w:t>
            </w:r>
            <w:r w:rsidRPr="00BA63B9">
              <w:t xml:space="preserve"> panta pirmo daļu lemj par kustamās mantas nodošanu bez atlīdzības sabiedriskā labuma organizācijai īpašumā, kā arī ārvalstu valdību un starptautisko organizāciju īpašumā. </w:t>
            </w:r>
            <w:r w:rsidR="00BA63B9" w:rsidRPr="00BA63B9">
              <w:t>Šādā gadījumu iestāžu vajadzības tiek noskaidrotas attiecīga Ministru kabineta rīkojuma projekta virzīšanas procesā.</w:t>
            </w:r>
          </w:p>
          <w:p w:rsidR="00702D84" w:rsidRPr="00702D84" w:rsidRDefault="00702D84" w:rsidP="00626E26">
            <w:pPr>
              <w:pStyle w:val="naisf"/>
              <w:spacing w:before="0" w:beforeAutospacing="0" w:after="0" w:afterAutospacing="0"/>
              <w:ind w:firstLine="410"/>
              <w:jc w:val="both"/>
              <w:rPr>
                <w:color w:val="FF0000"/>
                <w:sz w:val="12"/>
                <w:szCs w:val="12"/>
              </w:rPr>
            </w:pPr>
          </w:p>
          <w:p w:rsidR="00626E26" w:rsidRPr="00BA666A" w:rsidRDefault="00626E26" w:rsidP="00626E26">
            <w:pPr>
              <w:pStyle w:val="naisf"/>
              <w:spacing w:before="0" w:beforeAutospacing="0" w:after="0" w:afterAutospacing="0"/>
              <w:ind w:firstLine="410"/>
              <w:jc w:val="both"/>
            </w:pPr>
            <w:r w:rsidRPr="00BA666A">
              <w:t>Ministru k</w:t>
            </w:r>
            <w:r w:rsidR="00BD036E">
              <w:t xml:space="preserve">abineta noteikumu projektā </w:t>
            </w:r>
            <w:r w:rsidRPr="00BA666A">
              <w:t xml:space="preserve">noteikts, ka ja maiņas līguma paredzamā līgumcena ir 3000 latu vai lielāka, piedāvājumu publiskas personas mantas maiņai pret līdzvērtīgu citas personas kustamo mantu, tai skaitā pretendentus, izvēlas Publisko iepirkumu likumā paredzētajā kārtībā. </w:t>
            </w:r>
          </w:p>
          <w:p w:rsidR="00626E26" w:rsidRPr="00BA666A" w:rsidRDefault="00626E26" w:rsidP="00626E26">
            <w:pPr>
              <w:ind w:firstLine="410"/>
              <w:jc w:val="both"/>
              <w:rPr>
                <w:sz w:val="24"/>
                <w:szCs w:val="24"/>
              </w:rPr>
            </w:pPr>
            <w:r w:rsidRPr="00BA666A">
              <w:rPr>
                <w:sz w:val="24"/>
                <w:szCs w:val="24"/>
              </w:rPr>
              <w:t xml:space="preserve">Publisko iepirkumu regulē </w:t>
            </w:r>
            <w:r w:rsidRPr="00BA666A">
              <w:rPr>
                <w:i/>
                <w:sz w:val="24"/>
                <w:szCs w:val="24"/>
              </w:rPr>
              <w:t>Publisko iepirkumu likums</w:t>
            </w:r>
            <w:r w:rsidRPr="00BA666A">
              <w:rPr>
                <w:sz w:val="24"/>
                <w:szCs w:val="24"/>
              </w:rPr>
              <w:t xml:space="preserve">, kura mērķis ir nodrošināt: </w:t>
            </w:r>
          </w:p>
          <w:p w:rsidR="00626E26" w:rsidRPr="00BA666A" w:rsidRDefault="00626E26" w:rsidP="00626E26">
            <w:pPr>
              <w:pStyle w:val="naisf"/>
              <w:spacing w:before="0" w:beforeAutospacing="0" w:after="0" w:afterAutospacing="0"/>
              <w:ind w:firstLine="175"/>
            </w:pPr>
            <w:r w:rsidRPr="00BA666A">
              <w:t>1)</w:t>
            </w:r>
            <w:bookmarkStart w:id="2" w:name="bkm15"/>
            <w:r w:rsidRPr="00BA666A">
              <w:t xml:space="preserve"> iepirkumu procedūras atklātumu;</w:t>
            </w:r>
          </w:p>
          <w:p w:rsidR="00626E26" w:rsidRPr="00BA666A" w:rsidRDefault="00626E26" w:rsidP="00626E26">
            <w:pPr>
              <w:pStyle w:val="naisf"/>
              <w:spacing w:before="0" w:beforeAutospacing="0" w:after="0" w:afterAutospacing="0"/>
              <w:ind w:firstLine="175"/>
            </w:pPr>
            <w:r w:rsidRPr="00BA666A">
              <w:t>2) piegādātāju brīvu konkurenci, kā arī vienlīdzīgu un taisnīgu attieksmi pret tiem;</w:t>
            </w:r>
          </w:p>
          <w:p w:rsidR="00626E26" w:rsidRPr="00BA666A" w:rsidRDefault="00626E26" w:rsidP="00626E26">
            <w:pPr>
              <w:pStyle w:val="naisf"/>
              <w:spacing w:before="0" w:beforeAutospacing="0" w:after="0" w:afterAutospacing="0"/>
              <w:ind w:firstLine="175"/>
            </w:pPr>
            <w:r w:rsidRPr="00BA666A">
              <w:t>3) valsts un pašvaldību līdzekļu efektīvu izmantošanu, maksimāli samazinot pasūtītāja risku.</w:t>
            </w:r>
            <w:bookmarkEnd w:id="2"/>
          </w:p>
          <w:p w:rsidR="00626E26" w:rsidRPr="00BA666A" w:rsidRDefault="00626E26" w:rsidP="00626E26">
            <w:pPr>
              <w:ind w:firstLine="410"/>
              <w:jc w:val="both"/>
              <w:rPr>
                <w:sz w:val="24"/>
                <w:szCs w:val="24"/>
              </w:rPr>
            </w:pPr>
            <w:r w:rsidRPr="00BA666A">
              <w:rPr>
                <w:sz w:val="24"/>
                <w:szCs w:val="24"/>
              </w:rPr>
              <w:t xml:space="preserve">Ņemot vērā analoģiju ar </w:t>
            </w:r>
            <w:r w:rsidRPr="00BA666A">
              <w:rPr>
                <w:i/>
                <w:sz w:val="24"/>
                <w:szCs w:val="24"/>
              </w:rPr>
              <w:t>Publiskas personas mantas atsavināšanas likuma</w:t>
            </w:r>
            <w:r w:rsidRPr="00BA666A">
              <w:rPr>
                <w:sz w:val="24"/>
                <w:szCs w:val="24"/>
              </w:rPr>
              <w:t xml:space="preserve"> 38.panta ceturto daļu, kā arī maiņas tiesisko attiecību līdzību ar pirkuma tiesiskajām attiecībām, ir lietderīgi </w:t>
            </w:r>
            <w:r w:rsidRPr="00BA666A">
              <w:rPr>
                <w:i/>
                <w:sz w:val="24"/>
                <w:szCs w:val="24"/>
              </w:rPr>
              <w:t>Publisko iepirkumu likuma</w:t>
            </w:r>
            <w:r w:rsidRPr="00BA666A">
              <w:rPr>
                <w:sz w:val="24"/>
                <w:szCs w:val="24"/>
              </w:rPr>
              <w:t xml:space="preserve"> noteikumus piemērot attiecībā uz kārtību, </w:t>
            </w:r>
            <w:r w:rsidRPr="00BA666A">
              <w:rPr>
                <w:bCs/>
                <w:sz w:val="24"/>
                <w:szCs w:val="24"/>
              </w:rPr>
              <w:t xml:space="preserve">kādā iestāde izvēlas </w:t>
            </w:r>
            <w:r w:rsidRPr="00BA666A">
              <w:rPr>
                <w:sz w:val="24"/>
                <w:szCs w:val="24"/>
              </w:rPr>
              <w:t xml:space="preserve">piedāvājumu valsts vai pašvaldības kustamās mantas maiņai pret līdzvērtīgu citas personas kustamo mantu. </w:t>
            </w:r>
          </w:p>
          <w:p w:rsidR="00626E26" w:rsidRPr="00BA666A" w:rsidRDefault="00626E26" w:rsidP="00626E26">
            <w:pPr>
              <w:ind w:firstLine="410"/>
              <w:jc w:val="both"/>
              <w:rPr>
                <w:sz w:val="24"/>
                <w:szCs w:val="24"/>
              </w:rPr>
            </w:pPr>
            <w:r w:rsidRPr="00BA666A">
              <w:rPr>
                <w:sz w:val="24"/>
                <w:szCs w:val="24"/>
              </w:rPr>
              <w:t xml:space="preserve">Šādā gadījumā valsts un pašvaldību iestāžu pienākums būs ievērot </w:t>
            </w:r>
            <w:r w:rsidRPr="00BA666A">
              <w:rPr>
                <w:i/>
                <w:sz w:val="24"/>
                <w:szCs w:val="24"/>
              </w:rPr>
              <w:t>Publisko iepirkumu likumā</w:t>
            </w:r>
            <w:r w:rsidRPr="00BA666A">
              <w:rPr>
                <w:sz w:val="24"/>
                <w:szCs w:val="24"/>
              </w:rPr>
              <w:t xml:space="preserve"> paredzēto kārtību, tostarp šajā likumā noteiktās iepirkumu procedūras. </w:t>
            </w:r>
          </w:p>
          <w:p w:rsidR="00626E26" w:rsidRPr="00BA666A" w:rsidRDefault="00626E26" w:rsidP="00626E26">
            <w:pPr>
              <w:ind w:firstLine="410"/>
              <w:jc w:val="both"/>
              <w:rPr>
                <w:sz w:val="24"/>
                <w:szCs w:val="24"/>
              </w:rPr>
            </w:pPr>
            <w:r w:rsidRPr="00BA666A">
              <w:rPr>
                <w:sz w:val="24"/>
                <w:szCs w:val="24"/>
              </w:rPr>
              <w:t>Iestādes pienākums būs izvēlēties iepirkuma procedūru atkarībā no paredzamās līgumcenas. Savukārt maiņas gadījumā paredzamo līgumcenu veidos plānotās līdzvērtīgās citas personas kustamo mantas vērtība bez pievienotās vērtības nodokļa. Ja ir prognozējams, ka maināmām kustamām mantām radīsies nosacīto cenu starpība, tad arī šī vērtība iestādei būs jāņem vērā, nosakot paredzamo līgumcenu.</w:t>
            </w:r>
          </w:p>
          <w:p w:rsidR="00626E26" w:rsidRPr="00BA666A" w:rsidRDefault="00626E26" w:rsidP="00626E26">
            <w:pPr>
              <w:ind w:firstLine="410"/>
              <w:jc w:val="both"/>
              <w:rPr>
                <w:sz w:val="24"/>
                <w:szCs w:val="24"/>
              </w:rPr>
            </w:pPr>
            <w:r w:rsidRPr="00BA666A">
              <w:rPr>
                <w:sz w:val="24"/>
                <w:szCs w:val="24"/>
              </w:rPr>
              <w:t xml:space="preserve">Ja publisku piegādes līgumu paredzamā līgumcena ir vienāda ar 3000 latu vai lielāka, bet mazāka par 20 000 latu, tad pasūtītāja pienākums ir vadīties </w:t>
            </w:r>
            <w:r w:rsidRPr="00BA666A">
              <w:rPr>
                <w:bCs/>
                <w:sz w:val="24"/>
                <w:szCs w:val="24"/>
              </w:rPr>
              <w:t xml:space="preserve">pēc </w:t>
            </w:r>
            <w:r w:rsidRPr="00BA666A">
              <w:rPr>
                <w:i/>
                <w:sz w:val="24"/>
                <w:szCs w:val="24"/>
              </w:rPr>
              <w:t>Publisko iepirkumu likuma</w:t>
            </w:r>
            <w:r w:rsidRPr="00BA666A">
              <w:rPr>
                <w:sz w:val="24"/>
                <w:szCs w:val="24"/>
              </w:rPr>
              <w:t xml:space="preserve"> </w:t>
            </w:r>
            <w:r w:rsidRPr="00BA666A">
              <w:rPr>
                <w:bCs/>
                <w:sz w:val="24"/>
                <w:szCs w:val="24"/>
              </w:rPr>
              <w:t>8.</w:t>
            </w:r>
            <w:r w:rsidRPr="00BA666A">
              <w:rPr>
                <w:bCs/>
                <w:sz w:val="24"/>
                <w:szCs w:val="24"/>
                <w:vertAlign w:val="superscript"/>
              </w:rPr>
              <w:t>1 </w:t>
            </w:r>
            <w:r w:rsidRPr="00BA666A">
              <w:rPr>
                <w:sz w:val="24"/>
                <w:szCs w:val="24"/>
              </w:rPr>
              <w:t xml:space="preserve"> panta noteikumiem. Ņemot vērā to, ka </w:t>
            </w:r>
            <w:r w:rsidRPr="00BA666A">
              <w:rPr>
                <w:i/>
                <w:sz w:val="24"/>
                <w:szCs w:val="24"/>
              </w:rPr>
              <w:t>Publisko iepirkumu likums</w:t>
            </w:r>
            <w:r w:rsidRPr="00BA666A">
              <w:rPr>
                <w:sz w:val="24"/>
                <w:szCs w:val="24"/>
              </w:rPr>
              <w:t xml:space="preserve"> neregulē iepirkumus ar paredzamo līgumcenu līdz 3000 latu, tad noteikumu projektā ir paredzēts, ka uz šo maiņu attieksies arī </w:t>
            </w:r>
            <w:r w:rsidRPr="00BA666A">
              <w:rPr>
                <w:i/>
                <w:sz w:val="24"/>
                <w:szCs w:val="24"/>
              </w:rPr>
              <w:t>Publisko iepirkumu likuma</w:t>
            </w:r>
            <w:r w:rsidRPr="00BA666A">
              <w:rPr>
                <w:sz w:val="24"/>
                <w:szCs w:val="24"/>
              </w:rPr>
              <w:t xml:space="preserve"> </w:t>
            </w:r>
            <w:r w:rsidRPr="00BA666A">
              <w:rPr>
                <w:bCs/>
                <w:sz w:val="24"/>
                <w:szCs w:val="24"/>
              </w:rPr>
              <w:t>8.</w:t>
            </w:r>
            <w:r w:rsidRPr="00BA666A">
              <w:rPr>
                <w:bCs/>
                <w:sz w:val="24"/>
                <w:szCs w:val="24"/>
                <w:vertAlign w:val="superscript"/>
              </w:rPr>
              <w:t>1 </w:t>
            </w:r>
            <w:r w:rsidRPr="00BA666A">
              <w:rPr>
                <w:sz w:val="24"/>
                <w:szCs w:val="24"/>
              </w:rPr>
              <w:t xml:space="preserve"> pantā paredzētā kārtība (izņemot šā panta ceturto, astoto, desmito, vienpadsmito un divpadsmito daļu). Lai nodrošinātu atklātuma principa ievērošanu, maiņas (ar paredzamo līgumcenu līdz 3000 latu) gadījumā:</w:t>
            </w:r>
          </w:p>
          <w:p w:rsidR="00626E26" w:rsidRPr="00BA666A" w:rsidRDefault="00626E26" w:rsidP="00626E26">
            <w:pPr>
              <w:ind w:left="835" w:hanging="425"/>
              <w:jc w:val="both"/>
              <w:rPr>
                <w:sz w:val="24"/>
                <w:szCs w:val="24"/>
              </w:rPr>
            </w:pPr>
            <w:r w:rsidRPr="00BA666A">
              <w:rPr>
                <w:sz w:val="24"/>
                <w:szCs w:val="24"/>
              </w:rPr>
              <w:t xml:space="preserve"> 1) jāpublicē paziņojums par plānoto līgumu savā </w:t>
            </w:r>
            <w:proofErr w:type="spellStart"/>
            <w:r w:rsidRPr="00BA666A">
              <w:rPr>
                <w:sz w:val="24"/>
                <w:szCs w:val="24"/>
              </w:rPr>
              <w:t>mājaslapā</w:t>
            </w:r>
            <w:proofErr w:type="spellEnd"/>
            <w:r w:rsidRPr="00BA666A">
              <w:rPr>
                <w:sz w:val="24"/>
                <w:szCs w:val="24"/>
              </w:rPr>
              <w:t xml:space="preserve"> internetā, nosakot piedāvājumu iesniegšanas termiņu, kas nav īsāks par septiņām dienām no dienas, kad šis paziņojums ievietots </w:t>
            </w:r>
            <w:proofErr w:type="spellStart"/>
            <w:r w:rsidRPr="00BA666A">
              <w:rPr>
                <w:sz w:val="24"/>
                <w:szCs w:val="24"/>
              </w:rPr>
              <w:t>mājaslapā</w:t>
            </w:r>
            <w:proofErr w:type="spellEnd"/>
            <w:r w:rsidRPr="00BA666A">
              <w:rPr>
                <w:sz w:val="24"/>
                <w:szCs w:val="24"/>
              </w:rPr>
              <w:t xml:space="preserve"> internetā;</w:t>
            </w:r>
          </w:p>
          <w:p w:rsidR="00626E26" w:rsidRPr="00BA666A" w:rsidRDefault="00626E26" w:rsidP="00626E26">
            <w:pPr>
              <w:ind w:left="835" w:hanging="425"/>
              <w:jc w:val="both"/>
              <w:rPr>
                <w:sz w:val="24"/>
                <w:szCs w:val="24"/>
              </w:rPr>
            </w:pPr>
            <w:r w:rsidRPr="00BA666A">
              <w:rPr>
                <w:sz w:val="24"/>
                <w:szCs w:val="24"/>
              </w:rPr>
              <w:t xml:space="preserve">2)  ne vēlāk kā piecas dienas pēc tam, kad noslēgts maiņas </w:t>
            </w:r>
            <w:r w:rsidRPr="00BA666A">
              <w:rPr>
                <w:sz w:val="24"/>
                <w:szCs w:val="24"/>
              </w:rPr>
              <w:lastRenderedPageBreak/>
              <w:t xml:space="preserve">līgums, jāpublicē informatīvais paziņojums par noslēgto maiņas līgumu savā </w:t>
            </w:r>
            <w:proofErr w:type="spellStart"/>
            <w:r w:rsidRPr="00BA666A">
              <w:rPr>
                <w:sz w:val="24"/>
                <w:szCs w:val="24"/>
              </w:rPr>
              <w:t>mājaslapā</w:t>
            </w:r>
            <w:proofErr w:type="spellEnd"/>
            <w:r w:rsidRPr="00BA666A">
              <w:rPr>
                <w:sz w:val="24"/>
                <w:szCs w:val="24"/>
              </w:rPr>
              <w:t xml:space="preserve"> internetā.</w:t>
            </w:r>
          </w:p>
          <w:p w:rsidR="00626E26" w:rsidRPr="00BA666A" w:rsidRDefault="00626E26" w:rsidP="00626E26">
            <w:pPr>
              <w:pStyle w:val="naisf"/>
              <w:spacing w:before="0" w:beforeAutospacing="0" w:after="0" w:afterAutospacing="0"/>
              <w:ind w:firstLine="410"/>
              <w:jc w:val="both"/>
            </w:pPr>
            <w:r w:rsidRPr="00BA666A">
              <w:t>Iepirkuma veikšanai pasūtītājs izveido iepirkuma komisiju vismaz triju locekļu sastāvā, nodrošinot, ka šī komisija ir kompetenta tā iepirkuma jomā, par kuru slēdz līgumu.</w:t>
            </w:r>
          </w:p>
          <w:p w:rsidR="00626E26" w:rsidRPr="00BA666A" w:rsidRDefault="00626E26" w:rsidP="00626E26">
            <w:pPr>
              <w:pStyle w:val="naisf"/>
              <w:spacing w:before="0" w:beforeAutospacing="0" w:after="0" w:afterAutospacing="0"/>
              <w:ind w:firstLine="410"/>
              <w:jc w:val="both"/>
              <w:rPr>
                <w:sz w:val="12"/>
                <w:szCs w:val="12"/>
              </w:rPr>
            </w:pPr>
          </w:p>
          <w:p w:rsidR="008B5218" w:rsidRPr="00BA666A" w:rsidRDefault="00BD036E" w:rsidP="008B5218">
            <w:pPr>
              <w:pStyle w:val="naisf"/>
              <w:spacing w:before="0" w:beforeAutospacing="0" w:after="0" w:afterAutospacing="0"/>
              <w:ind w:firstLine="410"/>
              <w:jc w:val="both"/>
            </w:pPr>
            <w:r>
              <w:t>Tāpat MK noteikumu projektā</w:t>
            </w:r>
            <w:r w:rsidR="008B5218" w:rsidRPr="00BA666A">
              <w:t xml:space="preserve"> ir noteikts, ka Šo noteikumu izpratnē paredzamās līgumcenas vērtību veido līdzvērtīgas citas personas kustamās mantas (kas tiks saņemta pret publiskas personas kustamo mantu) vērtība bez pievienotās vērtības nodokļa. Nosakot paredzamo līgumcenu, ņem vērā arī maināmo kustamo mantu nosacīto cenu starpību. Publiska persona vai tās iestāde cenu starpību sedz naudā.</w:t>
            </w:r>
          </w:p>
          <w:p w:rsidR="008B5218" w:rsidRPr="00BA666A" w:rsidRDefault="008B5218" w:rsidP="008B5218">
            <w:pPr>
              <w:pStyle w:val="naisf"/>
              <w:spacing w:before="0" w:beforeAutospacing="0" w:after="0" w:afterAutospacing="0"/>
              <w:ind w:firstLine="410"/>
              <w:jc w:val="both"/>
            </w:pPr>
            <w:r w:rsidRPr="00BA666A">
              <w:t xml:space="preserve">Saskaņā ar </w:t>
            </w:r>
            <w:r w:rsidRPr="00BA666A">
              <w:rPr>
                <w:i/>
              </w:rPr>
              <w:t>Likuma par budžetu un finanšu vadību</w:t>
            </w:r>
            <w:r w:rsidRPr="00BA666A">
              <w:t xml:space="preserve"> 27.panta pirmo daļu Valsts budžeta iestādes asignējumu saņemšanai un izdevumu veikšanai no valsts budžeta līdzekļiem atver valsts pamatbudžeta un valsts speciālā budžeta līdzekļu kontus tikai Valsts kasē. Valsts budžeta līdzekļu saņemšanai un no tiem veicamo izdevumu izdarīšanai budžeta finansētas institūcijas, izņemot valsts budžeta iestādes un pašvaldības, atver norēķinu kontus tikai Valsts kasē. Valsts budžeta līdzekļu saņemšanai un no tiem finansēto investīciju projektu un vienreizējo pasākumu izdevumu veikšanai pašvaldības un to iestādes atver norēķinu kontus Valsts kasē. Budžeta nefinansētas iestādes atver norēķinu kontus tikai Valsts kasē.</w:t>
            </w:r>
          </w:p>
          <w:p w:rsidR="008B5218" w:rsidRPr="00BA666A" w:rsidRDefault="008B5218" w:rsidP="008B5218">
            <w:pPr>
              <w:pStyle w:val="naisf"/>
              <w:spacing w:before="0" w:beforeAutospacing="0" w:after="0" w:afterAutospacing="0"/>
              <w:ind w:firstLine="410"/>
              <w:jc w:val="both"/>
            </w:pPr>
            <w:r w:rsidRPr="00BA666A">
              <w:t>Minētā panta ceturtajā daļā noteikts, ka Pašvaldības un no valsts budžeta daļēji finansētas atvasinātas publiskas personas, kā arī kapitālsabiedrības, kurās ieguldīta valsts vai pašvaldību kapitāla daļa, var atvērt kontus Valsts kasē.</w:t>
            </w:r>
          </w:p>
          <w:p w:rsidR="008B5218" w:rsidRPr="00BA666A" w:rsidRDefault="008B5218" w:rsidP="008B5218">
            <w:pPr>
              <w:pStyle w:val="naisf"/>
              <w:spacing w:before="0" w:beforeAutospacing="0" w:after="0" w:afterAutospacing="0"/>
              <w:ind w:firstLine="410"/>
              <w:jc w:val="both"/>
            </w:pPr>
            <w:r w:rsidRPr="00BA666A">
              <w:t>Savukārt ar Ministru kabineta 2009.gada 22.decembra noteikumiem Nr.1637 „</w:t>
            </w:r>
            <w:r w:rsidRPr="00BA666A">
              <w:rPr>
                <w:i/>
              </w:rPr>
              <w:t>Kontu lietošanas un maksājumu izpildes kārtība Valsts kasē</w:t>
            </w:r>
            <w:r w:rsidRPr="00BA666A">
              <w:t>” noteikta kārtība, kādā budžeta finansētas institūcijas, pašvaldības, budžeta nefinansētas iestādes, kā arī kapitālsabiedrības, kurās ieguldīta valsts vai pašvaldību kapitāla daļa (turpmāk – klients), atver un lieto kontus Valsts kasē, kā arī iesniedz un Valsts kase izpilda maksājumus no klientu atvērtajiem kontiem.</w:t>
            </w:r>
          </w:p>
          <w:p w:rsidR="008B5218" w:rsidRPr="00BA666A" w:rsidRDefault="008B5218" w:rsidP="008B5218">
            <w:pPr>
              <w:pStyle w:val="naisf"/>
              <w:spacing w:before="0" w:beforeAutospacing="0" w:after="0" w:afterAutospacing="0"/>
              <w:ind w:firstLine="410"/>
              <w:jc w:val="both"/>
            </w:pPr>
            <w:r w:rsidRPr="00BA666A">
              <w:t>Ņemot vērā minēto, kā arī balstoties uz pašreizējo praksi secināms, ka norēķini starp publiskām personām tiek veikti bezskaidras naudas norēķinu veidā.</w:t>
            </w:r>
          </w:p>
          <w:p w:rsidR="00702D84" w:rsidRPr="00BA666A" w:rsidRDefault="00702D84" w:rsidP="00702D84">
            <w:pPr>
              <w:pStyle w:val="naisf"/>
              <w:spacing w:before="0" w:beforeAutospacing="0" w:after="0" w:afterAutospacing="0"/>
              <w:ind w:firstLine="410"/>
              <w:jc w:val="both"/>
              <w:rPr>
                <w:sz w:val="12"/>
                <w:szCs w:val="12"/>
              </w:rPr>
            </w:pPr>
          </w:p>
          <w:p w:rsidR="008B5218" w:rsidRPr="00702D84" w:rsidRDefault="008B5218" w:rsidP="00BD036E">
            <w:pPr>
              <w:pStyle w:val="naisf"/>
              <w:spacing w:before="0" w:beforeAutospacing="0" w:after="0" w:afterAutospacing="0"/>
              <w:ind w:firstLine="410"/>
              <w:jc w:val="both"/>
              <w:rPr>
                <w:iCs/>
                <w:color w:val="FF0000"/>
              </w:rPr>
            </w:pPr>
            <w:r w:rsidRPr="00BA666A">
              <w:t>Mini</w:t>
            </w:r>
            <w:r w:rsidR="00BD036E">
              <w:t>stru kabineta noteikumu projektā</w:t>
            </w:r>
            <w:r w:rsidRPr="00BA666A">
              <w:t xml:space="preserve"> noteikts, ka </w:t>
            </w:r>
            <w:r w:rsidR="00BD036E">
              <w:rPr>
                <w:iCs/>
              </w:rPr>
              <w:t>j</w:t>
            </w:r>
            <w:r w:rsidRPr="00BA666A">
              <w:rPr>
                <w:iCs/>
              </w:rPr>
              <w:t>a valsts nekustamais īpašums atsavināts līdz 2009.gada 21.augustam, Valsts kase pēc valsts nekustamā īpašuma atsavinātāja pamatota pieprasījuma pieņem atsevišķu lēmumu par kārtību, kādā attiecīgā valsts nekustamā īpašuma atsavināšanā iegūtie līdzekļi ieskaitāmi valsts budžetā.</w:t>
            </w:r>
            <w:r w:rsidR="00702D84" w:rsidRPr="00BA666A">
              <w:rPr>
                <w:iCs/>
              </w:rPr>
              <w:t xml:space="preserve"> </w:t>
            </w:r>
            <w:r w:rsidR="00702D84" w:rsidRPr="00BA666A">
              <w:t xml:space="preserve">Starp valsts akciju sabiedrību „Valsts nekustamie īpašumi” un Valsts kasi ir noslēgta vienošanās par to, ka ja valsts nekustamais īpašums ir atsavināts līdz 2009.gada 21.augustam, Valsts kase pēc valsts nekustamā īpašuma atsavinātāja pamatota pieprasījuma pieņem atsevišķu lēmumu par kārtību, kādā attiecīgā valsts nekustamā īpašuma atsavināšanā iegūtie līdzekļi ieskaitāmi </w:t>
            </w:r>
            <w:r w:rsidR="00702D84" w:rsidRPr="00BA666A">
              <w:lastRenderedPageBreak/>
              <w:t>valsts budžetā.</w:t>
            </w:r>
          </w:p>
        </w:tc>
      </w:tr>
      <w:tr w:rsidR="001A62FF" w:rsidRPr="004C18F7" w:rsidTr="00D0274D">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lastRenderedPageBreak/>
              <w:t> 5.</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hideMark/>
          </w:tcPr>
          <w:p w:rsidR="004C18F7" w:rsidRPr="004C18F7" w:rsidRDefault="007E7637" w:rsidP="00E54512">
            <w:pPr>
              <w:spacing w:before="100" w:beforeAutospacing="1" w:after="100" w:afterAutospacing="1"/>
              <w:jc w:val="both"/>
              <w:rPr>
                <w:rFonts w:eastAsia="Times New Roman" w:cs="Times New Roman"/>
                <w:sz w:val="24"/>
                <w:szCs w:val="24"/>
                <w:lang w:eastAsia="lv-LV"/>
              </w:rPr>
            </w:pPr>
            <w:r>
              <w:rPr>
                <w:rFonts w:eastAsia="Times New Roman" w:cs="Times New Roman"/>
                <w:sz w:val="24"/>
                <w:szCs w:val="24"/>
                <w:lang w:eastAsia="lv-LV"/>
              </w:rPr>
              <w:t>Ministru kabineta noteikumu projekt</w:t>
            </w:r>
            <w:r w:rsidR="00E54512">
              <w:rPr>
                <w:rFonts w:eastAsia="Times New Roman" w:cs="Times New Roman"/>
                <w:sz w:val="24"/>
                <w:szCs w:val="24"/>
                <w:lang w:eastAsia="lv-LV"/>
              </w:rPr>
              <w:t>u</w:t>
            </w:r>
            <w:r>
              <w:rPr>
                <w:rFonts w:eastAsia="Times New Roman" w:cs="Times New Roman"/>
                <w:sz w:val="24"/>
                <w:szCs w:val="24"/>
                <w:lang w:eastAsia="lv-LV"/>
              </w:rPr>
              <w:t xml:space="preserve"> izstrād</w:t>
            </w:r>
            <w:r w:rsidR="00E54512">
              <w:rPr>
                <w:rFonts w:eastAsia="Times New Roman" w:cs="Times New Roman"/>
                <w:sz w:val="24"/>
                <w:szCs w:val="24"/>
                <w:lang w:eastAsia="lv-LV"/>
              </w:rPr>
              <w:t>āja Finanšu ministrija sadarbībā ar valsts akciju sabiedrību „Valsts nekustamie īpašumi”.</w:t>
            </w:r>
            <w:r>
              <w:rPr>
                <w:rFonts w:eastAsia="Times New Roman" w:cs="Times New Roman"/>
                <w:sz w:val="24"/>
                <w:szCs w:val="24"/>
                <w:lang w:eastAsia="lv-LV"/>
              </w:rPr>
              <w:t xml:space="preserve"> </w:t>
            </w:r>
          </w:p>
        </w:tc>
      </w:tr>
      <w:tr w:rsidR="001A62FF" w:rsidRPr="004C18F7" w:rsidTr="00D0274D">
        <w:trPr>
          <w:trHeight w:val="83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6.</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Iemesli, kādēļ netika nodrošināta sabiedrības līdzdalība</w:t>
            </w:r>
          </w:p>
        </w:tc>
        <w:tc>
          <w:tcPr>
            <w:tcW w:w="6804" w:type="dxa"/>
            <w:tcBorders>
              <w:top w:val="outset" w:sz="6" w:space="0" w:color="auto"/>
              <w:left w:val="outset" w:sz="6" w:space="0" w:color="auto"/>
              <w:bottom w:val="outset" w:sz="6" w:space="0" w:color="auto"/>
              <w:right w:val="outset" w:sz="6" w:space="0" w:color="auto"/>
            </w:tcBorders>
            <w:hideMark/>
          </w:tcPr>
          <w:p w:rsidR="004C18F7" w:rsidRPr="004C18F7" w:rsidRDefault="00AF69A5" w:rsidP="00E54512">
            <w:pPr>
              <w:spacing w:before="100" w:beforeAutospacing="1" w:after="100" w:afterAutospacing="1"/>
              <w:jc w:val="both"/>
              <w:rPr>
                <w:rFonts w:eastAsia="Times New Roman" w:cs="Times New Roman"/>
                <w:sz w:val="24"/>
                <w:szCs w:val="24"/>
                <w:lang w:eastAsia="lv-LV"/>
              </w:rPr>
            </w:pPr>
            <w:r w:rsidRPr="00AF69A5">
              <w:rPr>
                <w:rFonts w:eastAsia="Calibri" w:cs="Times New Roman"/>
                <w:sz w:val="24"/>
                <w:szCs w:val="24"/>
              </w:rPr>
              <w:t>Konsultācijas nav notikušas, jo noteikumu projekts nekādā veidā neierobežo un nesašaurina nevienas personu grupas vai indivīda tiesības.</w:t>
            </w:r>
          </w:p>
        </w:tc>
      </w:tr>
      <w:tr w:rsidR="001A62FF" w:rsidRPr="004C18F7" w:rsidTr="00D0274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7.</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Cita informācija</w:t>
            </w:r>
          </w:p>
        </w:tc>
        <w:tc>
          <w:tcPr>
            <w:tcW w:w="6804" w:type="dxa"/>
            <w:tcBorders>
              <w:top w:val="outset" w:sz="6" w:space="0" w:color="auto"/>
              <w:left w:val="outset" w:sz="6" w:space="0" w:color="auto"/>
              <w:bottom w:val="outset" w:sz="6" w:space="0" w:color="auto"/>
              <w:right w:val="outset" w:sz="6" w:space="0" w:color="auto"/>
            </w:tcBorders>
            <w:hideMark/>
          </w:tcPr>
          <w:p w:rsidR="004C18F7" w:rsidRPr="004C18F7" w:rsidRDefault="00096AC2" w:rsidP="00AF69A5">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Nav</w:t>
            </w:r>
          </w:p>
        </w:tc>
      </w:tr>
    </w:tbl>
    <w:p w:rsidR="004C18F7" w:rsidRPr="004C18F7" w:rsidRDefault="004C18F7" w:rsidP="00483A5B">
      <w:pPr>
        <w:rPr>
          <w:rFonts w:eastAsia="Times New Roman" w:cs="Times New Roman"/>
          <w:sz w:val="24"/>
          <w:szCs w:val="24"/>
          <w:lang w:eastAsia="lv-LV"/>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3465"/>
        <w:gridCol w:w="5529"/>
      </w:tblGrid>
      <w:tr w:rsidR="004C18F7" w:rsidRPr="004C18F7" w:rsidTr="00D0274D">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hideMark/>
          </w:tcPr>
          <w:p w:rsidR="004C18F7" w:rsidRPr="004C18F7" w:rsidRDefault="004C18F7" w:rsidP="004C18F7">
            <w:pPr>
              <w:spacing w:before="100" w:beforeAutospacing="1" w:after="100" w:afterAutospacing="1"/>
              <w:rPr>
                <w:rFonts w:eastAsia="Times New Roman" w:cs="Times New Roman"/>
                <w:b/>
                <w:sz w:val="24"/>
                <w:szCs w:val="24"/>
                <w:lang w:eastAsia="lv-LV"/>
              </w:rPr>
            </w:pPr>
            <w:r w:rsidRPr="004C18F7">
              <w:rPr>
                <w:rFonts w:eastAsia="Times New Roman" w:cs="Times New Roman"/>
                <w:sz w:val="24"/>
                <w:szCs w:val="24"/>
                <w:lang w:eastAsia="lv-LV"/>
              </w:rPr>
              <w:t> </w:t>
            </w:r>
            <w:r w:rsidRPr="004C18F7">
              <w:rPr>
                <w:rFonts w:eastAsia="Times New Roman" w:cs="Times New Roman"/>
                <w:b/>
                <w:sz w:val="24"/>
                <w:szCs w:val="24"/>
                <w:lang w:eastAsia="lv-LV"/>
              </w:rPr>
              <w:t>II. Tiesību akta projekta ietekme uz sabiedrību</w:t>
            </w:r>
          </w:p>
        </w:tc>
      </w:tr>
      <w:tr w:rsidR="004C18F7" w:rsidRPr="004C18F7" w:rsidTr="00D0274D">
        <w:trPr>
          <w:trHeight w:val="46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1.</w:t>
            </w:r>
          </w:p>
        </w:tc>
        <w:tc>
          <w:tcPr>
            <w:tcW w:w="346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xml:space="preserve"> Sabiedrības </w:t>
            </w:r>
            <w:proofErr w:type="spellStart"/>
            <w:r w:rsidRPr="004C18F7">
              <w:rPr>
                <w:rFonts w:eastAsia="Times New Roman" w:cs="Times New Roman"/>
                <w:sz w:val="24"/>
                <w:szCs w:val="24"/>
                <w:lang w:eastAsia="lv-LV"/>
              </w:rPr>
              <w:t>mērķgrupa</w:t>
            </w:r>
            <w:proofErr w:type="spellEnd"/>
          </w:p>
        </w:tc>
        <w:tc>
          <w:tcPr>
            <w:tcW w:w="5529" w:type="dxa"/>
            <w:tcBorders>
              <w:top w:val="outset" w:sz="6" w:space="0" w:color="auto"/>
              <w:left w:val="outset" w:sz="6" w:space="0" w:color="auto"/>
              <w:bottom w:val="outset" w:sz="6" w:space="0" w:color="auto"/>
              <w:right w:val="outset" w:sz="6" w:space="0" w:color="auto"/>
            </w:tcBorders>
            <w:hideMark/>
          </w:tcPr>
          <w:p w:rsidR="004C18F7" w:rsidRPr="004C18F7" w:rsidRDefault="00637A42" w:rsidP="008E76A6">
            <w:pPr>
              <w:spacing w:before="100" w:beforeAutospacing="1" w:after="100" w:afterAutospacing="1"/>
              <w:jc w:val="both"/>
              <w:rPr>
                <w:rFonts w:eastAsia="Times New Roman" w:cs="Times New Roman"/>
                <w:sz w:val="24"/>
                <w:szCs w:val="24"/>
                <w:lang w:eastAsia="lv-LV"/>
              </w:rPr>
            </w:pPr>
            <w:r>
              <w:rPr>
                <w:rFonts w:eastAsia="Times New Roman" w:cs="Times New Roman"/>
                <w:sz w:val="24"/>
                <w:szCs w:val="24"/>
                <w:lang w:eastAsia="lv-LV"/>
              </w:rPr>
              <w:t xml:space="preserve">Ministru kabineta noteikumu projekts attiecas uz </w:t>
            </w:r>
            <w:r w:rsidR="008E76A6">
              <w:rPr>
                <w:rFonts w:eastAsia="Times New Roman" w:cs="Times New Roman"/>
                <w:sz w:val="24"/>
                <w:szCs w:val="24"/>
                <w:lang w:eastAsia="lv-LV"/>
              </w:rPr>
              <w:t>publiskām personām, to iestādēm</w:t>
            </w:r>
            <w:r>
              <w:rPr>
                <w:rFonts w:eastAsia="Times New Roman" w:cs="Times New Roman"/>
                <w:sz w:val="24"/>
                <w:szCs w:val="24"/>
                <w:lang w:eastAsia="lv-LV"/>
              </w:rPr>
              <w:t>, kā arī privātpersonām</w:t>
            </w:r>
          </w:p>
        </w:tc>
      </w:tr>
      <w:tr w:rsidR="004C18F7" w:rsidRPr="004C18F7" w:rsidTr="00D0274D">
        <w:trPr>
          <w:trHeight w:val="523"/>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2.</w:t>
            </w:r>
          </w:p>
        </w:tc>
        <w:tc>
          <w:tcPr>
            <w:tcW w:w="346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xml:space="preserve"> Citas sabiedrības grupas (bez </w:t>
            </w:r>
            <w:proofErr w:type="spellStart"/>
            <w:r w:rsidRPr="004C18F7">
              <w:rPr>
                <w:rFonts w:eastAsia="Times New Roman" w:cs="Times New Roman"/>
                <w:sz w:val="24"/>
                <w:szCs w:val="24"/>
                <w:lang w:eastAsia="lv-LV"/>
              </w:rPr>
              <w:t>mērķgrupas</w:t>
            </w:r>
            <w:proofErr w:type="spellEnd"/>
            <w:r w:rsidRPr="004C18F7">
              <w:rPr>
                <w:rFonts w:eastAsia="Times New Roman" w:cs="Times New Roman"/>
                <w:sz w:val="24"/>
                <w:szCs w:val="24"/>
                <w:lang w:eastAsia="lv-LV"/>
              </w:rPr>
              <w:t>), kuras tiesiskais regulējums arī ietekmē vai varētu ietekmēt</w:t>
            </w:r>
          </w:p>
        </w:tc>
        <w:tc>
          <w:tcPr>
            <w:tcW w:w="552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A2698A">
            <w:pPr>
              <w:spacing w:before="100" w:beforeAutospacing="1" w:after="100" w:afterAutospacing="1"/>
              <w:jc w:val="both"/>
              <w:rPr>
                <w:rFonts w:eastAsia="Times New Roman" w:cs="Times New Roman"/>
                <w:sz w:val="24"/>
                <w:szCs w:val="24"/>
                <w:lang w:eastAsia="lv-LV"/>
              </w:rPr>
            </w:pPr>
            <w:r w:rsidRPr="004C18F7">
              <w:rPr>
                <w:rFonts w:eastAsia="Times New Roman" w:cs="Times New Roman"/>
                <w:sz w:val="24"/>
                <w:szCs w:val="24"/>
                <w:lang w:eastAsia="lv-LV"/>
              </w:rPr>
              <w:t> </w:t>
            </w:r>
            <w:r w:rsidR="00A2698A">
              <w:rPr>
                <w:rFonts w:eastAsia="Times New Roman" w:cs="Times New Roman"/>
                <w:sz w:val="24"/>
                <w:szCs w:val="24"/>
                <w:lang w:eastAsia="lv-LV"/>
              </w:rPr>
              <w:t>Nav attiecināms</w:t>
            </w:r>
          </w:p>
        </w:tc>
      </w:tr>
      <w:tr w:rsidR="004C18F7" w:rsidRPr="004C18F7" w:rsidTr="00D0274D">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3.</w:t>
            </w:r>
          </w:p>
        </w:tc>
        <w:tc>
          <w:tcPr>
            <w:tcW w:w="346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Tiesiskā regulējuma finansiālā ietekme</w:t>
            </w:r>
          </w:p>
        </w:tc>
        <w:tc>
          <w:tcPr>
            <w:tcW w:w="552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8E76A6">
            <w:pPr>
              <w:spacing w:before="100" w:beforeAutospacing="1" w:after="100" w:afterAutospacing="1"/>
              <w:jc w:val="both"/>
              <w:rPr>
                <w:rFonts w:eastAsia="Times New Roman" w:cs="Times New Roman"/>
                <w:sz w:val="24"/>
                <w:szCs w:val="24"/>
                <w:lang w:eastAsia="lv-LV"/>
              </w:rPr>
            </w:pPr>
            <w:r w:rsidRPr="004C18F7">
              <w:rPr>
                <w:rFonts w:eastAsia="Times New Roman" w:cs="Times New Roman"/>
                <w:sz w:val="24"/>
                <w:szCs w:val="24"/>
                <w:lang w:eastAsia="lv-LV"/>
              </w:rPr>
              <w:t> </w:t>
            </w:r>
            <w:r w:rsidR="00A2698A">
              <w:rPr>
                <w:rFonts w:eastAsia="Times New Roman" w:cs="Times New Roman"/>
                <w:sz w:val="24"/>
                <w:szCs w:val="24"/>
                <w:lang w:eastAsia="lv-LV"/>
              </w:rPr>
              <w:t xml:space="preserve">Privātpersonām tiesību akta projekts tiešu finansiālu ietekmi nerada. </w:t>
            </w:r>
          </w:p>
        </w:tc>
      </w:tr>
      <w:tr w:rsidR="004C18F7" w:rsidRPr="004C18F7" w:rsidTr="00D0274D">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4.</w:t>
            </w:r>
          </w:p>
        </w:tc>
        <w:tc>
          <w:tcPr>
            <w:tcW w:w="346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Tiesiskā regulējuma nefinansiālā ietekme</w:t>
            </w:r>
          </w:p>
        </w:tc>
        <w:tc>
          <w:tcPr>
            <w:tcW w:w="552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3529D">
            <w:pPr>
              <w:spacing w:before="100" w:beforeAutospacing="1" w:after="100" w:afterAutospacing="1"/>
              <w:jc w:val="both"/>
              <w:rPr>
                <w:rFonts w:eastAsia="Times New Roman" w:cs="Times New Roman"/>
                <w:sz w:val="24"/>
                <w:szCs w:val="24"/>
                <w:lang w:eastAsia="lv-LV"/>
              </w:rPr>
            </w:pPr>
            <w:r w:rsidRPr="004C18F7">
              <w:rPr>
                <w:rFonts w:eastAsia="Times New Roman" w:cs="Times New Roman"/>
                <w:sz w:val="24"/>
                <w:szCs w:val="24"/>
                <w:lang w:eastAsia="lv-LV"/>
              </w:rPr>
              <w:t> </w:t>
            </w:r>
            <w:r w:rsidR="0043529D">
              <w:rPr>
                <w:rFonts w:eastAsia="Times New Roman" w:cs="Times New Roman"/>
                <w:sz w:val="24"/>
                <w:szCs w:val="24"/>
                <w:lang w:eastAsia="lv-LV"/>
              </w:rPr>
              <w:t>Noteikumu projekts atvieglos publiskas personas zemes, uz kuras ir divi vai vairāki patstāvīgi ēku īpašumi, kas pieder dažādiem īpašniekiem, atsavināšanas procesu.</w:t>
            </w:r>
          </w:p>
        </w:tc>
      </w:tr>
      <w:tr w:rsidR="004C18F7" w:rsidRPr="004C18F7" w:rsidTr="00D0274D">
        <w:trPr>
          <w:trHeight w:val="531"/>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5.</w:t>
            </w:r>
          </w:p>
        </w:tc>
        <w:tc>
          <w:tcPr>
            <w:tcW w:w="346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Administratīvās procedūras raksturojums</w:t>
            </w:r>
          </w:p>
        </w:tc>
        <w:tc>
          <w:tcPr>
            <w:tcW w:w="5529" w:type="dxa"/>
            <w:tcBorders>
              <w:top w:val="outset" w:sz="6" w:space="0" w:color="auto"/>
              <w:left w:val="outset" w:sz="6" w:space="0" w:color="auto"/>
              <w:bottom w:val="outset" w:sz="6" w:space="0" w:color="auto"/>
              <w:right w:val="outset" w:sz="6" w:space="0" w:color="auto"/>
            </w:tcBorders>
            <w:hideMark/>
          </w:tcPr>
          <w:p w:rsidR="0084308C" w:rsidRDefault="004C18F7" w:rsidP="00910DCA">
            <w:pPr>
              <w:ind w:firstLine="418"/>
              <w:jc w:val="both"/>
              <w:rPr>
                <w:sz w:val="24"/>
                <w:szCs w:val="24"/>
                <w:lang w:eastAsia="lv-LV"/>
              </w:rPr>
            </w:pPr>
            <w:r w:rsidRPr="004C18F7">
              <w:rPr>
                <w:rFonts w:eastAsia="Times New Roman" w:cs="Times New Roman"/>
                <w:sz w:val="24"/>
                <w:szCs w:val="24"/>
                <w:lang w:eastAsia="lv-LV"/>
              </w:rPr>
              <w:t> </w:t>
            </w:r>
            <w:r w:rsidR="002B080C">
              <w:rPr>
                <w:rFonts w:eastAsia="Times New Roman" w:cs="Times New Roman"/>
                <w:sz w:val="24"/>
                <w:szCs w:val="24"/>
                <w:lang w:eastAsia="lv-LV"/>
              </w:rPr>
              <w:t xml:space="preserve">Tiesību </w:t>
            </w:r>
            <w:r w:rsidR="002B080C" w:rsidRPr="0043529D">
              <w:rPr>
                <w:rFonts w:eastAsia="Times New Roman" w:cs="Times New Roman"/>
                <w:sz w:val="24"/>
                <w:szCs w:val="24"/>
                <w:lang w:eastAsia="lv-LV"/>
              </w:rPr>
              <w:t xml:space="preserve">akta projekts nosaka, </w:t>
            </w:r>
            <w:r w:rsidR="0043529D" w:rsidRPr="0043529D">
              <w:rPr>
                <w:rFonts w:eastAsia="Times New Roman" w:cs="Times New Roman"/>
                <w:sz w:val="24"/>
                <w:szCs w:val="24"/>
                <w:lang w:eastAsia="lv-LV"/>
              </w:rPr>
              <w:t xml:space="preserve">kādi dokumenti pievienojami atsavināšanas ierosinājumam, kā arī paredz atsavināšanas procedūras apturēšanu gadījumā, ja </w:t>
            </w:r>
            <w:r w:rsidR="0043529D" w:rsidRPr="0043529D">
              <w:rPr>
                <w:sz w:val="24"/>
                <w:szCs w:val="24"/>
                <w:lang w:eastAsia="lv-LV"/>
              </w:rPr>
              <w:t>pēc atsavināšanas paziņojuma saņemšanas persona ar motivētu iesniegumu vērsusies atsavināšanu veicošajā institūcijā un biedrībā „Latvijas Īpašumu Vērtētāju Asociācijā” par vērtības precizēšanu līdz biedrības „Latvijas Īpašumu Vērtētāju Asociācija” atzinuma saņemšanai atsavināšanu veicošajā institūcijā.</w:t>
            </w:r>
          </w:p>
          <w:p w:rsidR="00910DCA" w:rsidRDefault="0043529D" w:rsidP="00910DCA">
            <w:pPr>
              <w:ind w:firstLine="418"/>
              <w:jc w:val="both"/>
              <w:rPr>
                <w:sz w:val="24"/>
                <w:szCs w:val="24"/>
                <w:lang w:eastAsia="lv-LV"/>
              </w:rPr>
            </w:pPr>
            <w:r>
              <w:rPr>
                <w:sz w:val="24"/>
                <w:szCs w:val="24"/>
                <w:lang w:eastAsia="lv-LV"/>
              </w:rPr>
              <w:t>Privātpersona, kura atsavināš</w:t>
            </w:r>
            <w:r w:rsidR="00910DCA">
              <w:rPr>
                <w:sz w:val="24"/>
                <w:szCs w:val="24"/>
                <w:lang w:eastAsia="lv-LV"/>
              </w:rPr>
              <w:t>anas ierosinājumu iesniegusi līdz 2006.gada 31.augustam,</w:t>
            </w:r>
            <w:r>
              <w:rPr>
                <w:sz w:val="24"/>
                <w:szCs w:val="24"/>
                <w:lang w:eastAsia="lv-LV"/>
              </w:rPr>
              <w:t xml:space="preserve"> savas intereses var aizstāvēt administratīvā procesa kārtībā</w:t>
            </w:r>
            <w:r w:rsidR="00910DCA">
              <w:rPr>
                <w:sz w:val="24"/>
                <w:szCs w:val="24"/>
                <w:lang w:eastAsia="lv-LV"/>
              </w:rPr>
              <w:t>.</w:t>
            </w:r>
          </w:p>
          <w:p w:rsidR="00AA321B" w:rsidRDefault="00910DCA" w:rsidP="00AA321B">
            <w:pPr>
              <w:ind w:firstLine="418"/>
              <w:jc w:val="both"/>
              <w:rPr>
                <w:sz w:val="24"/>
                <w:szCs w:val="24"/>
                <w:lang w:eastAsia="lv-LV"/>
              </w:rPr>
            </w:pPr>
            <w:r>
              <w:rPr>
                <w:sz w:val="24"/>
                <w:szCs w:val="24"/>
                <w:lang w:eastAsia="lv-LV"/>
              </w:rPr>
              <w:t xml:space="preserve"> Privātpersona, kura atsavināšanas ierosinājumu iesniegusi pēc 2006.gada 31.augusta, savas intereses var aizstāvēt civilprocesuālā kārtībā.</w:t>
            </w:r>
          </w:p>
          <w:p w:rsidR="00702D84" w:rsidRPr="00702D84" w:rsidRDefault="00702D84" w:rsidP="002D1DE6">
            <w:pPr>
              <w:ind w:firstLine="418"/>
              <w:jc w:val="both"/>
              <w:rPr>
                <w:sz w:val="12"/>
                <w:szCs w:val="12"/>
              </w:rPr>
            </w:pPr>
          </w:p>
          <w:p w:rsidR="00AA321B" w:rsidRPr="00BA666A" w:rsidRDefault="002D1DE6" w:rsidP="002D1DE6">
            <w:pPr>
              <w:ind w:firstLine="418"/>
              <w:jc w:val="both"/>
              <w:rPr>
                <w:sz w:val="24"/>
                <w:szCs w:val="24"/>
                <w:lang w:eastAsia="lv-LV"/>
              </w:rPr>
            </w:pPr>
            <w:r w:rsidRPr="002D1DE6">
              <w:rPr>
                <w:sz w:val="24"/>
                <w:szCs w:val="24"/>
              </w:rPr>
              <w:t>Ministru kabineta noteikumu projekta 4.punktā noteikti dokumenti, kas priv</w:t>
            </w:r>
            <w:r w:rsidRPr="00700E8B">
              <w:rPr>
                <w:sz w:val="24"/>
                <w:szCs w:val="24"/>
              </w:rPr>
              <w:t xml:space="preserve">ātpersonai jāpievieno atsavināšanas ierosinājumam. Lai gan Administratīvā procesa likuma </w:t>
            </w:r>
            <w:r w:rsidRPr="00BA666A">
              <w:rPr>
                <w:sz w:val="24"/>
                <w:szCs w:val="24"/>
              </w:rPr>
              <w:t xml:space="preserve">59. Pantā noteikts, ka  ja iestādei nepieciešamā informācija ir nevis administratīvā procesa dalībnieku, bet gan citas institūcijas rīcībā, iestāde to iegūst pati, nevis pieprasa no administratīvā procesa dalībniekiem, Administratīvā procesa likuma 59.panta noteikumu piemērošana atsavināšanas procesā nav obligāta.  </w:t>
            </w:r>
            <w:r w:rsidRPr="002D1DE6">
              <w:rPr>
                <w:sz w:val="24"/>
                <w:szCs w:val="24"/>
              </w:rPr>
              <w:t xml:space="preserve">Proti, </w:t>
            </w:r>
            <w:r w:rsidR="00AA321B" w:rsidRPr="00BA666A">
              <w:rPr>
                <w:sz w:val="24"/>
                <w:szCs w:val="24"/>
              </w:rPr>
              <w:t xml:space="preserve">Latvijas Republikas Augstākās tiesas </w:t>
            </w:r>
            <w:r w:rsidR="00AA321B" w:rsidRPr="00BA666A">
              <w:rPr>
                <w:spacing w:val="-1"/>
                <w:sz w:val="24"/>
                <w:szCs w:val="24"/>
              </w:rPr>
              <w:t>Senāta Administratīvo lietu departaments vairāk</w:t>
            </w:r>
            <w:r w:rsidR="00BA666A">
              <w:rPr>
                <w:spacing w:val="-1"/>
                <w:sz w:val="24"/>
                <w:szCs w:val="24"/>
              </w:rPr>
              <w:t xml:space="preserve"> </w:t>
            </w:r>
            <w:r w:rsidR="00AA321B" w:rsidRPr="00BA666A">
              <w:rPr>
                <w:spacing w:val="-1"/>
                <w:sz w:val="24"/>
                <w:szCs w:val="24"/>
              </w:rPr>
              <w:t xml:space="preserve">kārt ir </w:t>
            </w:r>
            <w:r w:rsidR="00AA321B" w:rsidRPr="00BA666A">
              <w:rPr>
                <w:spacing w:val="-1"/>
                <w:sz w:val="24"/>
                <w:szCs w:val="24"/>
              </w:rPr>
              <w:lastRenderedPageBreak/>
              <w:t>norādījis (</w:t>
            </w:r>
            <w:r w:rsidR="00AA321B" w:rsidRPr="00BA666A">
              <w:rPr>
                <w:i/>
                <w:spacing w:val="-1"/>
                <w:sz w:val="24"/>
                <w:szCs w:val="24"/>
              </w:rPr>
              <w:t>2008.gada 28.aprīļa lēmums lietā SKA-353/2008; 2008.gada 25.augusta lēmums lietā SKA-574/2008</w:t>
            </w:r>
            <w:r w:rsidR="00AA321B" w:rsidRPr="00BA666A">
              <w:rPr>
                <w:spacing w:val="-1"/>
                <w:sz w:val="24"/>
                <w:szCs w:val="24"/>
              </w:rPr>
              <w:t xml:space="preserve">),  ka </w:t>
            </w:r>
            <w:r w:rsidR="00AA321B" w:rsidRPr="00BA666A">
              <w:rPr>
                <w:sz w:val="24"/>
                <w:szCs w:val="24"/>
              </w:rPr>
              <w:t xml:space="preserve">valsts nekustamā īpašuma atsavināšana tikai noteiktos apstākļos – ja zemesgrāmatā ierakstītas ēkas īpašnieks atsavināšanas ierosinājumu ir iesniedzis līdz 2006.gada 31.augustam -  iekļaujas valsts ekonomiskajā reformā un ir publisko tiesību jautājums. </w:t>
            </w:r>
            <w:r w:rsidR="00AA321B" w:rsidRPr="00BA666A">
              <w:rPr>
                <w:spacing w:val="-1"/>
                <w:sz w:val="24"/>
                <w:szCs w:val="24"/>
              </w:rPr>
              <w:t xml:space="preserve">Ja </w:t>
            </w:r>
            <w:r w:rsidR="00AA321B" w:rsidRPr="00BA666A">
              <w:rPr>
                <w:sz w:val="24"/>
                <w:szCs w:val="24"/>
              </w:rPr>
              <w:t xml:space="preserve">personas iesniegums par zemes gabala atsavināšanu, pamatojoties uz Valsts un pašvaldību mantas atsavināšanas likumu, iesniegts atsavināšanu veicošajai institūcijai </w:t>
            </w:r>
            <w:r w:rsidR="00AA321B" w:rsidRPr="00BA666A">
              <w:rPr>
                <w:i/>
                <w:sz w:val="24"/>
                <w:szCs w:val="24"/>
              </w:rPr>
              <w:t>pēc 2006.gada 31.augusta</w:t>
            </w:r>
            <w:r w:rsidR="00AA321B" w:rsidRPr="00BA666A">
              <w:rPr>
                <w:sz w:val="24"/>
                <w:szCs w:val="24"/>
              </w:rPr>
              <w:t>, tad mantas atsavināšanas process nav pakļauts administratīvo tiesu kontrolei, jo tas nenotiek publisko tiesību jomā. Šādā gadījumā atsavināšanas darījums starp valsti un privātpersonu ir atzīstams par civiltiesisku darījumu.</w:t>
            </w:r>
          </w:p>
        </w:tc>
      </w:tr>
      <w:tr w:rsidR="004C18F7" w:rsidRPr="004C18F7" w:rsidTr="00D0274D">
        <w:trPr>
          <w:trHeight w:val="35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lastRenderedPageBreak/>
              <w:t> 6.</w:t>
            </w:r>
          </w:p>
        </w:tc>
        <w:tc>
          <w:tcPr>
            <w:tcW w:w="346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Administratīvo izmaksu monetārs novērtējums</w:t>
            </w:r>
          </w:p>
        </w:tc>
        <w:tc>
          <w:tcPr>
            <w:tcW w:w="5529" w:type="dxa"/>
            <w:tcBorders>
              <w:top w:val="outset" w:sz="6" w:space="0" w:color="auto"/>
              <w:left w:val="outset" w:sz="6" w:space="0" w:color="auto"/>
              <w:bottom w:val="outset" w:sz="6" w:space="0" w:color="auto"/>
              <w:right w:val="outset" w:sz="6" w:space="0" w:color="auto"/>
            </w:tcBorders>
            <w:hideMark/>
          </w:tcPr>
          <w:p w:rsidR="004C18F7" w:rsidRPr="004C18F7" w:rsidRDefault="00497963" w:rsidP="004C18F7">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Nav attiecināms</w:t>
            </w:r>
          </w:p>
        </w:tc>
      </w:tr>
      <w:tr w:rsidR="004C18F7" w:rsidRPr="004C18F7" w:rsidTr="00D0274D">
        <w:trPr>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7.</w:t>
            </w:r>
          </w:p>
        </w:tc>
        <w:tc>
          <w:tcPr>
            <w:tcW w:w="346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Cita informācija</w:t>
            </w:r>
          </w:p>
        </w:tc>
        <w:tc>
          <w:tcPr>
            <w:tcW w:w="552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97963">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w:t>
            </w:r>
            <w:r w:rsidR="00497963">
              <w:rPr>
                <w:rFonts w:eastAsia="Times New Roman" w:cs="Times New Roman"/>
                <w:sz w:val="24"/>
                <w:szCs w:val="24"/>
                <w:lang w:eastAsia="lv-LV"/>
              </w:rPr>
              <w:t>Nav</w:t>
            </w:r>
          </w:p>
        </w:tc>
      </w:tr>
    </w:tbl>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w:t>
      </w:r>
      <w:r w:rsidR="00910DCA">
        <w:rPr>
          <w:rFonts w:eastAsia="Times New Roman" w:cs="Times New Roman"/>
          <w:sz w:val="24"/>
          <w:szCs w:val="24"/>
          <w:lang w:eastAsia="lv-LV"/>
        </w:rPr>
        <w:t>Anotācijas III</w:t>
      </w:r>
      <w:r w:rsidR="00BA666A">
        <w:rPr>
          <w:rFonts w:eastAsia="Times New Roman" w:cs="Times New Roman"/>
          <w:sz w:val="24"/>
          <w:szCs w:val="24"/>
          <w:lang w:eastAsia="lv-LV"/>
        </w:rPr>
        <w:t>, IV, V un VI sa</w:t>
      </w:r>
      <w:r w:rsidR="00732347">
        <w:rPr>
          <w:rFonts w:eastAsia="Times New Roman" w:cs="Times New Roman"/>
          <w:sz w:val="24"/>
          <w:szCs w:val="24"/>
          <w:lang w:eastAsia="lv-LV"/>
        </w:rPr>
        <w:t>daļas nav attiecināmas.</w:t>
      </w:r>
      <w:r w:rsidRPr="004C18F7">
        <w:rPr>
          <w:rFonts w:eastAsia="Times New Roman" w:cs="Times New Roman"/>
          <w:sz w:val="24"/>
          <w:szCs w:val="24"/>
          <w:lang w:eastAsia="lv-LV"/>
        </w:rPr>
        <w:t>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930"/>
        <w:gridCol w:w="5079"/>
      </w:tblGrid>
      <w:tr w:rsidR="004C18F7" w:rsidRPr="004C18F7" w:rsidTr="00101BA6">
        <w:trPr>
          <w:tblCellSpacing w:w="0" w:type="dxa"/>
        </w:trPr>
        <w:tc>
          <w:tcPr>
            <w:tcW w:w="9513" w:type="dxa"/>
            <w:gridSpan w:val="3"/>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b/>
                <w:bCs/>
                <w:sz w:val="24"/>
                <w:szCs w:val="24"/>
                <w:lang w:eastAsia="lv-LV"/>
              </w:rPr>
              <w:t> VII. Tiesību akta projekta izpildes nodrošināšana un tās ietekme uz institūcijām</w:t>
            </w:r>
          </w:p>
        </w:tc>
      </w:tr>
      <w:tr w:rsidR="004C18F7" w:rsidRPr="004C18F7" w:rsidTr="00101BA6">
        <w:trPr>
          <w:trHeight w:val="427"/>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1.</w:t>
            </w:r>
          </w:p>
        </w:tc>
        <w:tc>
          <w:tcPr>
            <w:tcW w:w="3930"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Projekta izpildē iesaistītās institūcijas</w:t>
            </w:r>
          </w:p>
        </w:tc>
        <w:tc>
          <w:tcPr>
            <w:tcW w:w="507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73234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w:t>
            </w:r>
            <w:r w:rsidR="00AF69A5">
              <w:rPr>
                <w:rFonts w:eastAsia="Times New Roman" w:cs="Times New Roman"/>
                <w:sz w:val="24"/>
                <w:szCs w:val="24"/>
                <w:lang w:eastAsia="lv-LV"/>
              </w:rPr>
              <w:t xml:space="preserve">Jaunas </w:t>
            </w:r>
            <w:r w:rsidR="00732347">
              <w:rPr>
                <w:rFonts w:eastAsia="Times New Roman" w:cs="Times New Roman"/>
                <w:sz w:val="24"/>
                <w:szCs w:val="24"/>
                <w:lang w:eastAsia="lv-LV"/>
              </w:rPr>
              <w:t>publisku personu</w:t>
            </w:r>
            <w:r w:rsidR="00AF69A5">
              <w:rPr>
                <w:rFonts w:eastAsia="Times New Roman" w:cs="Times New Roman"/>
                <w:sz w:val="24"/>
                <w:szCs w:val="24"/>
                <w:lang w:eastAsia="lv-LV"/>
              </w:rPr>
              <w:t xml:space="preserve"> institūcijas netiks radītas, kā arī netiks paplašinātas esošo institūciju funkcijas.</w:t>
            </w:r>
          </w:p>
        </w:tc>
      </w:tr>
      <w:tr w:rsidR="004C18F7" w:rsidRPr="004C18F7" w:rsidTr="00101BA6">
        <w:trPr>
          <w:trHeight w:val="463"/>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2.</w:t>
            </w:r>
          </w:p>
        </w:tc>
        <w:tc>
          <w:tcPr>
            <w:tcW w:w="3930"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Projekta izpildes ietekme uz pārvaldes funkcijām</w:t>
            </w:r>
          </w:p>
        </w:tc>
        <w:tc>
          <w:tcPr>
            <w:tcW w:w="507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AF69A5">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w:t>
            </w:r>
            <w:r w:rsidR="00AF69A5">
              <w:rPr>
                <w:rFonts w:eastAsia="Times New Roman" w:cs="Times New Roman"/>
                <w:sz w:val="24"/>
                <w:szCs w:val="24"/>
                <w:lang w:eastAsia="lv-LV"/>
              </w:rPr>
              <w:t>Nav attiecināms</w:t>
            </w:r>
          </w:p>
        </w:tc>
      </w:tr>
      <w:tr w:rsidR="004C18F7" w:rsidRPr="004C18F7" w:rsidTr="00101BA6">
        <w:trPr>
          <w:trHeight w:val="725"/>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3.</w:t>
            </w:r>
          </w:p>
        </w:tc>
        <w:tc>
          <w:tcPr>
            <w:tcW w:w="3930"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Projekta izpildes ietekme uz pārvaldes institucionālo struktūru.</w:t>
            </w:r>
          </w:p>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Jaunu institūciju izveide</w:t>
            </w:r>
          </w:p>
        </w:tc>
        <w:tc>
          <w:tcPr>
            <w:tcW w:w="507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AF69A5">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w:t>
            </w:r>
            <w:r w:rsidR="00AF69A5">
              <w:rPr>
                <w:rFonts w:eastAsia="Times New Roman" w:cs="Times New Roman"/>
                <w:sz w:val="24"/>
                <w:szCs w:val="24"/>
                <w:lang w:eastAsia="lv-LV"/>
              </w:rPr>
              <w:t>Jaunas institūcijas netiks veidotas</w:t>
            </w:r>
          </w:p>
        </w:tc>
      </w:tr>
      <w:tr w:rsidR="004C18F7" w:rsidRPr="004C18F7" w:rsidTr="00101BA6">
        <w:trPr>
          <w:trHeight w:val="780"/>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4.</w:t>
            </w:r>
          </w:p>
        </w:tc>
        <w:tc>
          <w:tcPr>
            <w:tcW w:w="3930"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Projekta izpildes ietekme uz pārvaldes institucionālo struktūru.</w:t>
            </w:r>
          </w:p>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Esošu institūciju likvidācija</w:t>
            </w:r>
          </w:p>
        </w:tc>
        <w:tc>
          <w:tcPr>
            <w:tcW w:w="5079" w:type="dxa"/>
            <w:tcBorders>
              <w:top w:val="outset" w:sz="6" w:space="0" w:color="auto"/>
              <w:left w:val="outset" w:sz="6" w:space="0" w:color="auto"/>
              <w:bottom w:val="outset" w:sz="6" w:space="0" w:color="auto"/>
              <w:right w:val="outset" w:sz="6" w:space="0" w:color="auto"/>
            </w:tcBorders>
            <w:hideMark/>
          </w:tcPr>
          <w:p w:rsidR="004C18F7" w:rsidRPr="004C18F7" w:rsidRDefault="00AF69A5" w:rsidP="004C18F7">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Esošās institūcijas netiks likvidētas</w:t>
            </w:r>
          </w:p>
        </w:tc>
      </w:tr>
      <w:tr w:rsidR="004C18F7" w:rsidRPr="004C18F7" w:rsidTr="00101BA6">
        <w:trPr>
          <w:trHeight w:val="703"/>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5.</w:t>
            </w:r>
          </w:p>
        </w:tc>
        <w:tc>
          <w:tcPr>
            <w:tcW w:w="3930"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Projekta izpildes ietekme uz pārvaldes institucionālo struktūru.</w:t>
            </w:r>
          </w:p>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Esošu institūciju reorganizācija</w:t>
            </w:r>
          </w:p>
        </w:tc>
        <w:tc>
          <w:tcPr>
            <w:tcW w:w="507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AF69A5">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w:t>
            </w:r>
            <w:r w:rsidR="00AF69A5">
              <w:rPr>
                <w:rFonts w:eastAsia="Times New Roman" w:cs="Times New Roman"/>
                <w:sz w:val="24"/>
                <w:szCs w:val="24"/>
                <w:lang w:eastAsia="lv-LV"/>
              </w:rPr>
              <w:t>Esošās institūcijas netiks reorganizētas</w:t>
            </w:r>
          </w:p>
        </w:tc>
      </w:tr>
      <w:tr w:rsidR="004C18F7" w:rsidRPr="004C18F7" w:rsidTr="00101BA6">
        <w:trPr>
          <w:trHeight w:val="476"/>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6.</w:t>
            </w:r>
          </w:p>
        </w:tc>
        <w:tc>
          <w:tcPr>
            <w:tcW w:w="3930"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Cita informācija</w:t>
            </w:r>
          </w:p>
        </w:tc>
        <w:tc>
          <w:tcPr>
            <w:tcW w:w="5079" w:type="dxa"/>
            <w:tcBorders>
              <w:top w:val="outset" w:sz="6" w:space="0" w:color="auto"/>
              <w:left w:val="outset" w:sz="6" w:space="0" w:color="auto"/>
              <w:bottom w:val="outset" w:sz="6" w:space="0" w:color="auto"/>
              <w:right w:val="outset" w:sz="6" w:space="0" w:color="auto"/>
            </w:tcBorders>
            <w:hideMark/>
          </w:tcPr>
          <w:p w:rsidR="004C18F7" w:rsidRPr="004C18F7" w:rsidRDefault="004C18F7" w:rsidP="00AF69A5">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w:t>
            </w:r>
            <w:r w:rsidR="00AF69A5">
              <w:rPr>
                <w:rFonts w:eastAsia="Times New Roman" w:cs="Times New Roman"/>
                <w:sz w:val="24"/>
                <w:szCs w:val="24"/>
                <w:lang w:eastAsia="lv-LV"/>
              </w:rPr>
              <w:t>Nav</w:t>
            </w:r>
          </w:p>
        </w:tc>
      </w:tr>
    </w:tbl>
    <w:p w:rsidR="00BA666A" w:rsidRPr="00BA666A" w:rsidRDefault="00637A42" w:rsidP="004C18F7">
      <w:pPr>
        <w:spacing w:before="100" w:beforeAutospacing="1" w:after="100" w:afterAutospacing="1"/>
        <w:rPr>
          <w:rFonts w:eastAsia="Times New Roman" w:cs="Times New Roman"/>
          <w:szCs w:val="28"/>
          <w:lang w:eastAsia="lv-LV"/>
        </w:rPr>
      </w:pPr>
      <w:r w:rsidRPr="00417678">
        <w:rPr>
          <w:rFonts w:eastAsia="Times New Roman" w:cs="Times New Roman"/>
          <w:szCs w:val="28"/>
          <w:lang w:eastAsia="lv-LV"/>
        </w:rPr>
        <w:t xml:space="preserve">Finanšu ministrs                                                                              </w:t>
      </w:r>
      <w:r w:rsidR="00417678">
        <w:rPr>
          <w:rFonts w:eastAsia="Times New Roman" w:cs="Times New Roman"/>
          <w:szCs w:val="28"/>
          <w:lang w:eastAsia="lv-LV"/>
        </w:rPr>
        <w:t xml:space="preserve">          </w:t>
      </w:r>
      <w:r w:rsidR="00732347">
        <w:rPr>
          <w:rFonts w:eastAsia="Times New Roman" w:cs="Times New Roman"/>
          <w:szCs w:val="28"/>
          <w:lang w:eastAsia="lv-LV"/>
        </w:rPr>
        <w:t>A.Vilks</w:t>
      </w:r>
    </w:p>
    <w:p w:rsidR="00BA666A" w:rsidRDefault="00BA666A" w:rsidP="00AA321B">
      <w:pPr>
        <w:tabs>
          <w:tab w:val="left" w:pos="426"/>
        </w:tabs>
        <w:rPr>
          <w:sz w:val="20"/>
        </w:rPr>
      </w:pPr>
    </w:p>
    <w:p w:rsidR="00AA321B" w:rsidRPr="00343AD4" w:rsidRDefault="00AA321B" w:rsidP="00AA321B">
      <w:pPr>
        <w:tabs>
          <w:tab w:val="left" w:pos="426"/>
        </w:tabs>
        <w:rPr>
          <w:sz w:val="20"/>
        </w:rPr>
      </w:pPr>
      <w:r w:rsidRPr="00343AD4">
        <w:rPr>
          <w:sz w:val="20"/>
        </w:rPr>
        <w:fldChar w:fldCharType="begin"/>
      </w:r>
      <w:r w:rsidRPr="00343AD4">
        <w:rPr>
          <w:sz w:val="20"/>
        </w:rPr>
        <w:instrText xml:space="preserve"> TIME  \@ "dd.MM.yyyy. H:mm" </w:instrText>
      </w:r>
      <w:r w:rsidRPr="00343AD4">
        <w:rPr>
          <w:sz w:val="20"/>
        </w:rPr>
        <w:fldChar w:fldCharType="separate"/>
      </w:r>
      <w:r w:rsidR="008354D9">
        <w:rPr>
          <w:noProof/>
          <w:sz w:val="20"/>
        </w:rPr>
        <w:t xml:space="preserve">21.01.2011. </w:t>
      </w:r>
      <w:r w:rsidRPr="00343AD4">
        <w:rPr>
          <w:sz w:val="20"/>
        </w:rPr>
        <w:fldChar w:fldCharType="end"/>
      </w:r>
      <w:r w:rsidR="008354D9">
        <w:rPr>
          <w:sz w:val="20"/>
        </w:rPr>
        <w:t>11:42</w:t>
      </w:r>
      <w:bookmarkStart w:id="3" w:name="_GoBack"/>
      <w:bookmarkEnd w:id="3"/>
    </w:p>
    <w:p w:rsidR="00AA321B" w:rsidRDefault="00AA321B" w:rsidP="00AA321B">
      <w:pPr>
        <w:pStyle w:val="BodyTextIndent"/>
        <w:tabs>
          <w:tab w:val="num" w:pos="426"/>
        </w:tabs>
        <w:spacing w:before="0" w:after="0" w:line="240" w:lineRule="auto"/>
        <w:ind w:left="0" w:firstLine="0"/>
      </w:pPr>
      <w:r w:rsidRPr="00343AD4">
        <w:fldChar w:fldCharType="begin"/>
      </w:r>
      <w:r w:rsidRPr="00343AD4">
        <w:rPr>
          <w:lang w:val="lv-LV"/>
        </w:rPr>
        <w:instrText xml:space="preserve"> NUMWORDS   \* MERGEFORMAT </w:instrText>
      </w:r>
      <w:r w:rsidRPr="00343AD4">
        <w:fldChar w:fldCharType="separate"/>
      </w:r>
      <w:r w:rsidR="00BD036E" w:rsidRPr="00BD036E">
        <w:rPr>
          <w:noProof/>
          <w:sz w:val="20"/>
          <w:lang w:val="lv-LV"/>
        </w:rPr>
        <w:t>2321</w:t>
      </w:r>
      <w:r w:rsidRPr="00343AD4">
        <w:fldChar w:fldCharType="end"/>
      </w:r>
    </w:p>
    <w:p w:rsidR="00AA321B" w:rsidRDefault="00AA321B" w:rsidP="00AA321B">
      <w:pPr>
        <w:pStyle w:val="BodyTextIndent"/>
        <w:tabs>
          <w:tab w:val="num" w:pos="426"/>
        </w:tabs>
        <w:spacing w:before="0" w:after="0" w:line="240" w:lineRule="auto"/>
        <w:ind w:left="0" w:firstLine="0"/>
        <w:rPr>
          <w:sz w:val="20"/>
        </w:rPr>
      </w:pPr>
      <w:r w:rsidRPr="00343AD4">
        <w:rPr>
          <w:sz w:val="20"/>
        </w:rPr>
        <w:t>Kaspars Cirsis</w:t>
      </w:r>
    </w:p>
    <w:p w:rsidR="00AA321B" w:rsidRPr="00651C40" w:rsidRDefault="00AA321B" w:rsidP="00AA321B">
      <w:pPr>
        <w:pStyle w:val="BodyTextIndent"/>
        <w:tabs>
          <w:tab w:val="num" w:pos="426"/>
        </w:tabs>
        <w:spacing w:before="0" w:after="0" w:line="240" w:lineRule="auto"/>
        <w:ind w:left="0" w:firstLine="0"/>
        <w:rPr>
          <w:sz w:val="20"/>
          <w:lang w:val="lv-LV"/>
        </w:rPr>
      </w:pPr>
      <w:r w:rsidRPr="00343AD4">
        <w:rPr>
          <w:sz w:val="20"/>
        </w:rPr>
        <w:t>67095457; Kaspars.Cirsis@fm.gov.lv</w:t>
      </w:r>
    </w:p>
    <w:p w:rsidR="00B86832" w:rsidRDefault="00B86832"/>
    <w:sectPr w:rsidR="00B86832" w:rsidSect="00BA666A">
      <w:headerReference w:type="default" r:id="rId9"/>
      <w:footerReference w:type="default" r:id="rId10"/>
      <w:footerReference w:type="first" r:id="rId11"/>
      <w:pgSz w:w="11906" w:h="16838"/>
      <w:pgMar w:top="1418" w:right="1134"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53" w:rsidRDefault="00AF2F53" w:rsidP="00F711C0">
      <w:r>
        <w:separator/>
      </w:r>
    </w:p>
  </w:endnote>
  <w:endnote w:type="continuationSeparator" w:id="0">
    <w:p w:rsidR="00AF2F53" w:rsidRDefault="00AF2F53" w:rsidP="00F7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41" w:rsidRPr="009D62D6" w:rsidRDefault="006D7741" w:rsidP="006D7741">
    <w:pPr>
      <w:pStyle w:val="naisf"/>
      <w:spacing w:before="120" w:beforeAutospacing="0" w:after="0" w:afterAutospacing="0"/>
      <w:jc w:val="both"/>
      <w:rPr>
        <w:sz w:val="20"/>
        <w:szCs w:val="20"/>
      </w:rPr>
    </w:pPr>
    <w:r w:rsidRPr="009D62D6">
      <w:rPr>
        <w:sz w:val="20"/>
        <w:szCs w:val="20"/>
      </w:rPr>
      <w:fldChar w:fldCharType="begin"/>
    </w:r>
    <w:r w:rsidRPr="009D62D6">
      <w:rPr>
        <w:sz w:val="20"/>
        <w:szCs w:val="20"/>
      </w:rPr>
      <w:instrText xml:space="preserve"> FILENAME </w:instrText>
    </w:r>
    <w:r w:rsidRPr="009D62D6">
      <w:rPr>
        <w:sz w:val="20"/>
        <w:szCs w:val="20"/>
      </w:rPr>
      <w:fldChar w:fldCharType="separate"/>
    </w:r>
    <w:r w:rsidR="00BD036E">
      <w:rPr>
        <w:noProof/>
        <w:sz w:val="20"/>
        <w:szCs w:val="20"/>
      </w:rPr>
      <w:t>FMAnot_210111_Atsav</w:t>
    </w:r>
    <w:r w:rsidRPr="009D62D6">
      <w:rPr>
        <w:sz w:val="20"/>
        <w:szCs w:val="20"/>
      </w:rPr>
      <w:fldChar w:fldCharType="end"/>
    </w:r>
    <w:r w:rsidRPr="009D62D6">
      <w:rPr>
        <w:sz w:val="20"/>
        <w:szCs w:val="20"/>
      </w:rPr>
      <w:t>; Ministru kabineta noteikumu projekt</w:t>
    </w:r>
    <w:r>
      <w:rPr>
        <w:sz w:val="20"/>
        <w:szCs w:val="20"/>
      </w:rPr>
      <w:t>a</w:t>
    </w:r>
    <w:r w:rsidRPr="009D62D6">
      <w:rPr>
        <w:sz w:val="20"/>
        <w:szCs w:val="20"/>
      </w:rPr>
      <w:t xml:space="preserve"> „</w:t>
    </w:r>
    <w:r>
      <w:rPr>
        <w:sz w:val="20"/>
        <w:szCs w:val="20"/>
      </w:rPr>
      <w:t>Kārtība, kādā atsavināma publiskas personas manta</w:t>
    </w:r>
    <w:r w:rsidRPr="009D62D6">
      <w:rPr>
        <w:sz w:val="20"/>
        <w:szCs w:val="20"/>
      </w:rPr>
      <w:t>”</w:t>
    </w:r>
    <w:r>
      <w:rPr>
        <w:sz w:val="20"/>
        <w:szCs w:val="20"/>
      </w:rPr>
      <w:t xml:space="preserve"> sākotnējās ietekmes novērtējuma ziņojums (anotācija)</w:t>
    </w:r>
  </w:p>
  <w:p w:rsidR="001024B0" w:rsidRDefault="00102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0"/>
  <w:bookmarkStart w:id="5" w:name="OLE_LINK11"/>
  <w:bookmarkStart w:id="6" w:name="OLE_LINK13"/>
  <w:p w:rsidR="006D7741" w:rsidRPr="009D62D6" w:rsidRDefault="006D7741" w:rsidP="006D7741">
    <w:pPr>
      <w:pStyle w:val="naisf"/>
      <w:spacing w:before="120" w:beforeAutospacing="0" w:after="0" w:afterAutospacing="0"/>
      <w:jc w:val="both"/>
      <w:rPr>
        <w:sz w:val="20"/>
        <w:szCs w:val="20"/>
      </w:rPr>
    </w:pPr>
    <w:r w:rsidRPr="009D62D6">
      <w:rPr>
        <w:sz w:val="20"/>
        <w:szCs w:val="20"/>
      </w:rPr>
      <w:fldChar w:fldCharType="begin"/>
    </w:r>
    <w:r w:rsidRPr="009D62D6">
      <w:rPr>
        <w:sz w:val="20"/>
        <w:szCs w:val="20"/>
      </w:rPr>
      <w:instrText xml:space="preserve"> FILENAME </w:instrText>
    </w:r>
    <w:r w:rsidRPr="009D62D6">
      <w:rPr>
        <w:sz w:val="20"/>
        <w:szCs w:val="20"/>
      </w:rPr>
      <w:fldChar w:fldCharType="separate"/>
    </w:r>
    <w:r w:rsidR="00BD036E">
      <w:rPr>
        <w:noProof/>
        <w:sz w:val="20"/>
        <w:szCs w:val="20"/>
      </w:rPr>
      <w:t>FMAnot_210111_Atsav</w:t>
    </w:r>
    <w:r w:rsidRPr="009D62D6">
      <w:rPr>
        <w:sz w:val="20"/>
        <w:szCs w:val="20"/>
      </w:rPr>
      <w:fldChar w:fldCharType="end"/>
    </w:r>
    <w:bookmarkEnd w:id="4"/>
    <w:bookmarkEnd w:id="5"/>
    <w:bookmarkEnd w:id="6"/>
    <w:r w:rsidRPr="009D62D6">
      <w:rPr>
        <w:sz w:val="20"/>
        <w:szCs w:val="20"/>
      </w:rPr>
      <w:t>; Ministru kabineta noteikumu projekt</w:t>
    </w:r>
    <w:r>
      <w:rPr>
        <w:sz w:val="20"/>
        <w:szCs w:val="20"/>
      </w:rPr>
      <w:t>a</w:t>
    </w:r>
    <w:r w:rsidRPr="009D62D6">
      <w:rPr>
        <w:sz w:val="20"/>
        <w:szCs w:val="20"/>
      </w:rPr>
      <w:t xml:space="preserve"> „</w:t>
    </w:r>
    <w:r>
      <w:rPr>
        <w:sz w:val="20"/>
        <w:szCs w:val="20"/>
      </w:rPr>
      <w:t>Kārtība, kādā atsavināma publiskas personas manta</w:t>
    </w:r>
    <w:r w:rsidRPr="009D62D6">
      <w:rPr>
        <w:sz w:val="20"/>
        <w:szCs w:val="20"/>
      </w:rPr>
      <w:t>”</w:t>
    </w:r>
    <w:r>
      <w:rPr>
        <w:sz w:val="20"/>
        <w:szCs w:val="20"/>
      </w:rPr>
      <w:t xml:space="preserve"> sākotnējās ietekmes novērtējuma ziņojums (anotācija)</w:t>
    </w:r>
  </w:p>
  <w:p w:rsidR="001024B0" w:rsidRDefault="00102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53" w:rsidRDefault="00AF2F53" w:rsidP="00F711C0">
      <w:r>
        <w:separator/>
      </w:r>
    </w:p>
  </w:footnote>
  <w:footnote w:type="continuationSeparator" w:id="0">
    <w:p w:rsidR="00AF2F53" w:rsidRDefault="00AF2F53" w:rsidP="00F7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923"/>
      <w:docPartObj>
        <w:docPartGallery w:val="Page Numbers (Top of Page)"/>
        <w:docPartUnique/>
      </w:docPartObj>
    </w:sdtPr>
    <w:sdtEndPr/>
    <w:sdtContent>
      <w:p w:rsidR="001024B0" w:rsidRDefault="00016439">
        <w:pPr>
          <w:pStyle w:val="Header"/>
          <w:jc w:val="center"/>
        </w:pPr>
        <w:r>
          <w:fldChar w:fldCharType="begin"/>
        </w:r>
        <w:r>
          <w:instrText xml:space="preserve"> PAGE   \* MERGEFORMAT </w:instrText>
        </w:r>
        <w:r>
          <w:fldChar w:fldCharType="separate"/>
        </w:r>
        <w:r w:rsidR="008354D9">
          <w:rPr>
            <w:noProof/>
          </w:rPr>
          <w:t>7</w:t>
        </w:r>
        <w:r>
          <w:rPr>
            <w:noProof/>
          </w:rPr>
          <w:fldChar w:fldCharType="end"/>
        </w:r>
      </w:p>
    </w:sdtContent>
  </w:sdt>
  <w:p w:rsidR="001024B0" w:rsidRDefault="00102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A65"/>
    <w:multiLevelType w:val="hybridMultilevel"/>
    <w:tmpl w:val="A53805E6"/>
    <w:lvl w:ilvl="0" w:tplc="0426000B">
      <w:start w:val="1"/>
      <w:numFmt w:val="bullet"/>
      <w:lvlText w:val=""/>
      <w:lvlJc w:val="left"/>
      <w:pPr>
        <w:ind w:left="1069" w:hanging="360"/>
      </w:pPr>
      <w:rPr>
        <w:rFonts w:ascii="Wingdings" w:hAnsi="Wingding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23F1DAF"/>
    <w:multiLevelType w:val="hybridMultilevel"/>
    <w:tmpl w:val="E0327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98F16F6"/>
    <w:multiLevelType w:val="hybridMultilevel"/>
    <w:tmpl w:val="CE46F590"/>
    <w:lvl w:ilvl="0" w:tplc="0B4600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nsid w:val="5C090904"/>
    <w:multiLevelType w:val="hybridMultilevel"/>
    <w:tmpl w:val="E0327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F7"/>
    <w:rsid w:val="00016439"/>
    <w:rsid w:val="00096AC2"/>
    <w:rsid w:val="000D7ADB"/>
    <w:rsid w:val="00101BA6"/>
    <w:rsid w:val="001024B0"/>
    <w:rsid w:val="00107431"/>
    <w:rsid w:val="00176B29"/>
    <w:rsid w:val="001A62FF"/>
    <w:rsid w:val="001D268D"/>
    <w:rsid w:val="001D7692"/>
    <w:rsid w:val="001E6490"/>
    <w:rsid w:val="002072F4"/>
    <w:rsid w:val="002312E0"/>
    <w:rsid w:val="0029243A"/>
    <w:rsid w:val="002B080C"/>
    <w:rsid w:val="002C36FB"/>
    <w:rsid w:val="002D1DE6"/>
    <w:rsid w:val="002D29BE"/>
    <w:rsid w:val="002E3275"/>
    <w:rsid w:val="002E32E5"/>
    <w:rsid w:val="002F1B8E"/>
    <w:rsid w:val="00374074"/>
    <w:rsid w:val="003A4D22"/>
    <w:rsid w:val="003D709C"/>
    <w:rsid w:val="00417678"/>
    <w:rsid w:val="00424388"/>
    <w:rsid w:val="00425548"/>
    <w:rsid w:val="00431B31"/>
    <w:rsid w:val="0043529D"/>
    <w:rsid w:val="00483A5B"/>
    <w:rsid w:val="00497963"/>
    <w:rsid w:val="004C18F7"/>
    <w:rsid w:val="004E5F92"/>
    <w:rsid w:val="005240AE"/>
    <w:rsid w:val="005D2161"/>
    <w:rsid w:val="005D4452"/>
    <w:rsid w:val="005E3863"/>
    <w:rsid w:val="00626E26"/>
    <w:rsid w:val="00637A42"/>
    <w:rsid w:val="00660CB0"/>
    <w:rsid w:val="006D7741"/>
    <w:rsid w:val="00700E8B"/>
    <w:rsid w:val="00702D84"/>
    <w:rsid w:val="0071127E"/>
    <w:rsid w:val="00732347"/>
    <w:rsid w:val="007376A7"/>
    <w:rsid w:val="007657C4"/>
    <w:rsid w:val="0078305A"/>
    <w:rsid w:val="007D6737"/>
    <w:rsid w:val="007E7637"/>
    <w:rsid w:val="007F2573"/>
    <w:rsid w:val="008354D9"/>
    <w:rsid w:val="0084308C"/>
    <w:rsid w:val="00853BB5"/>
    <w:rsid w:val="0087201D"/>
    <w:rsid w:val="00873E5E"/>
    <w:rsid w:val="00874EC1"/>
    <w:rsid w:val="008B2942"/>
    <w:rsid w:val="008B5218"/>
    <w:rsid w:val="008D50F7"/>
    <w:rsid w:val="008E76A6"/>
    <w:rsid w:val="009023AD"/>
    <w:rsid w:val="00910DCA"/>
    <w:rsid w:val="00966BED"/>
    <w:rsid w:val="0098214C"/>
    <w:rsid w:val="009B465B"/>
    <w:rsid w:val="009D582E"/>
    <w:rsid w:val="00A036D6"/>
    <w:rsid w:val="00A2698A"/>
    <w:rsid w:val="00A311F9"/>
    <w:rsid w:val="00A47017"/>
    <w:rsid w:val="00AA321B"/>
    <w:rsid w:val="00AA3792"/>
    <w:rsid w:val="00AF2F53"/>
    <w:rsid w:val="00AF69A5"/>
    <w:rsid w:val="00B23D52"/>
    <w:rsid w:val="00B31403"/>
    <w:rsid w:val="00B86832"/>
    <w:rsid w:val="00B90E37"/>
    <w:rsid w:val="00BA63B9"/>
    <w:rsid w:val="00BA666A"/>
    <w:rsid w:val="00BB390A"/>
    <w:rsid w:val="00BC6990"/>
    <w:rsid w:val="00BD036E"/>
    <w:rsid w:val="00C4111D"/>
    <w:rsid w:val="00C500E4"/>
    <w:rsid w:val="00CC0566"/>
    <w:rsid w:val="00CC6019"/>
    <w:rsid w:val="00CC7869"/>
    <w:rsid w:val="00CD52B4"/>
    <w:rsid w:val="00CD54B1"/>
    <w:rsid w:val="00CD6BF9"/>
    <w:rsid w:val="00CF0601"/>
    <w:rsid w:val="00D0274D"/>
    <w:rsid w:val="00D248CC"/>
    <w:rsid w:val="00D46D16"/>
    <w:rsid w:val="00D6003A"/>
    <w:rsid w:val="00DB7664"/>
    <w:rsid w:val="00E2442B"/>
    <w:rsid w:val="00E328B4"/>
    <w:rsid w:val="00E54512"/>
    <w:rsid w:val="00EA297A"/>
    <w:rsid w:val="00EC7CAD"/>
    <w:rsid w:val="00EF22E9"/>
    <w:rsid w:val="00F471BB"/>
    <w:rsid w:val="00F53C75"/>
    <w:rsid w:val="00F67702"/>
    <w:rsid w:val="00F711C0"/>
    <w:rsid w:val="00F73881"/>
    <w:rsid w:val="00F93890"/>
    <w:rsid w:val="00FA1B93"/>
    <w:rsid w:val="00FD27ED"/>
    <w:rsid w:val="00FD2995"/>
    <w:rsid w:val="00FE7439"/>
    <w:rsid w:val="00FF4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style>
  <w:style w:type="paragraph" w:styleId="Heading1">
    <w:name w:val="heading 1"/>
    <w:basedOn w:val="Normal"/>
    <w:link w:val="Heading1Char"/>
    <w:uiPriority w:val="9"/>
    <w:qFormat/>
    <w:rsid w:val="001A62FF"/>
    <w:pPr>
      <w:outlineLvl w:val="0"/>
    </w:pPr>
    <w:rPr>
      <w:rFonts w:ascii="Tahoma" w:eastAsia="Times New Roman" w:hAnsi="Tahoma" w:cs="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4C18F7"/>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1A62FF"/>
    <w:rPr>
      <w:rFonts w:ascii="Tahoma" w:eastAsia="Times New Roman" w:hAnsi="Tahoma" w:cs="Tahoma"/>
      <w:b/>
      <w:bCs/>
      <w:kern w:val="36"/>
      <w:sz w:val="38"/>
      <w:szCs w:val="38"/>
      <w:lang w:eastAsia="lv-LV"/>
    </w:rPr>
  </w:style>
  <w:style w:type="character" w:styleId="Hyperlink">
    <w:name w:val="Hyperlink"/>
    <w:basedOn w:val="DefaultParagraphFont"/>
    <w:uiPriority w:val="99"/>
    <w:unhideWhenUsed/>
    <w:rsid w:val="00637A42"/>
    <w:rPr>
      <w:color w:val="0000FF" w:themeColor="hyperlink"/>
      <w:u w:val="single"/>
    </w:rPr>
  </w:style>
  <w:style w:type="paragraph" w:styleId="Header">
    <w:name w:val="header"/>
    <w:basedOn w:val="Normal"/>
    <w:link w:val="HeaderChar"/>
    <w:uiPriority w:val="99"/>
    <w:unhideWhenUsed/>
    <w:rsid w:val="00F711C0"/>
    <w:pPr>
      <w:tabs>
        <w:tab w:val="center" w:pos="4153"/>
        <w:tab w:val="right" w:pos="8306"/>
      </w:tabs>
    </w:pPr>
  </w:style>
  <w:style w:type="character" w:customStyle="1" w:styleId="HeaderChar">
    <w:name w:val="Header Char"/>
    <w:basedOn w:val="DefaultParagraphFont"/>
    <w:link w:val="Header"/>
    <w:uiPriority w:val="99"/>
    <w:rsid w:val="00F711C0"/>
  </w:style>
  <w:style w:type="paragraph" w:styleId="Footer">
    <w:name w:val="footer"/>
    <w:basedOn w:val="Normal"/>
    <w:link w:val="FooterChar"/>
    <w:unhideWhenUsed/>
    <w:rsid w:val="00F711C0"/>
    <w:pPr>
      <w:tabs>
        <w:tab w:val="center" w:pos="4153"/>
        <w:tab w:val="right" w:pos="8306"/>
      </w:tabs>
    </w:pPr>
  </w:style>
  <w:style w:type="character" w:customStyle="1" w:styleId="FooterChar">
    <w:name w:val="Footer Char"/>
    <w:basedOn w:val="DefaultParagraphFont"/>
    <w:link w:val="Footer"/>
    <w:rsid w:val="00F711C0"/>
  </w:style>
  <w:style w:type="paragraph" w:styleId="ListParagraph">
    <w:name w:val="List Paragraph"/>
    <w:basedOn w:val="Normal"/>
    <w:uiPriority w:val="34"/>
    <w:qFormat/>
    <w:rsid w:val="00C500E4"/>
    <w:pPr>
      <w:ind w:left="720"/>
      <w:contextualSpacing/>
    </w:pPr>
  </w:style>
  <w:style w:type="paragraph" w:styleId="BalloonText">
    <w:name w:val="Balloon Text"/>
    <w:basedOn w:val="Normal"/>
    <w:link w:val="BalloonTextChar"/>
    <w:uiPriority w:val="99"/>
    <w:semiHidden/>
    <w:unhideWhenUsed/>
    <w:rsid w:val="009023AD"/>
    <w:rPr>
      <w:rFonts w:ascii="Tahoma" w:hAnsi="Tahoma" w:cs="Tahoma"/>
      <w:sz w:val="16"/>
      <w:szCs w:val="16"/>
    </w:rPr>
  </w:style>
  <w:style w:type="character" w:customStyle="1" w:styleId="BalloonTextChar">
    <w:name w:val="Balloon Text Char"/>
    <w:basedOn w:val="DefaultParagraphFont"/>
    <w:link w:val="BalloonText"/>
    <w:uiPriority w:val="99"/>
    <w:semiHidden/>
    <w:rsid w:val="009023AD"/>
    <w:rPr>
      <w:rFonts w:ascii="Tahoma" w:hAnsi="Tahoma" w:cs="Tahoma"/>
      <w:sz w:val="16"/>
      <w:szCs w:val="16"/>
    </w:rPr>
  </w:style>
  <w:style w:type="paragraph" w:styleId="BodyTextIndent">
    <w:name w:val="Body Text Indent"/>
    <w:basedOn w:val="Normal"/>
    <w:link w:val="BodyTextIndentChar"/>
    <w:rsid w:val="00AA321B"/>
    <w:pPr>
      <w:widowControl w:val="0"/>
      <w:spacing w:before="60" w:after="120" w:line="360" w:lineRule="auto"/>
      <w:ind w:left="283" w:firstLine="720"/>
      <w:jc w:val="both"/>
    </w:pPr>
    <w:rPr>
      <w:rFonts w:eastAsia="Times New Roman" w:cs="Times New Roman"/>
      <w:sz w:val="26"/>
      <w:szCs w:val="20"/>
      <w:lang w:val="en-AU"/>
    </w:rPr>
  </w:style>
  <w:style w:type="character" w:customStyle="1" w:styleId="BodyTextIndentChar">
    <w:name w:val="Body Text Indent Char"/>
    <w:basedOn w:val="DefaultParagraphFont"/>
    <w:link w:val="BodyTextIndent"/>
    <w:rsid w:val="00AA321B"/>
    <w:rPr>
      <w:rFonts w:eastAsia="Times New Roman" w:cs="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style>
  <w:style w:type="paragraph" w:styleId="Heading1">
    <w:name w:val="heading 1"/>
    <w:basedOn w:val="Normal"/>
    <w:link w:val="Heading1Char"/>
    <w:uiPriority w:val="9"/>
    <w:qFormat/>
    <w:rsid w:val="001A62FF"/>
    <w:pPr>
      <w:outlineLvl w:val="0"/>
    </w:pPr>
    <w:rPr>
      <w:rFonts w:ascii="Tahoma" w:eastAsia="Times New Roman" w:hAnsi="Tahoma" w:cs="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4C18F7"/>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1A62FF"/>
    <w:rPr>
      <w:rFonts w:ascii="Tahoma" w:eastAsia="Times New Roman" w:hAnsi="Tahoma" w:cs="Tahoma"/>
      <w:b/>
      <w:bCs/>
      <w:kern w:val="36"/>
      <w:sz w:val="38"/>
      <w:szCs w:val="38"/>
      <w:lang w:eastAsia="lv-LV"/>
    </w:rPr>
  </w:style>
  <w:style w:type="character" w:styleId="Hyperlink">
    <w:name w:val="Hyperlink"/>
    <w:basedOn w:val="DefaultParagraphFont"/>
    <w:uiPriority w:val="99"/>
    <w:unhideWhenUsed/>
    <w:rsid w:val="00637A42"/>
    <w:rPr>
      <w:color w:val="0000FF" w:themeColor="hyperlink"/>
      <w:u w:val="single"/>
    </w:rPr>
  </w:style>
  <w:style w:type="paragraph" w:styleId="Header">
    <w:name w:val="header"/>
    <w:basedOn w:val="Normal"/>
    <w:link w:val="HeaderChar"/>
    <w:uiPriority w:val="99"/>
    <w:unhideWhenUsed/>
    <w:rsid w:val="00F711C0"/>
    <w:pPr>
      <w:tabs>
        <w:tab w:val="center" w:pos="4153"/>
        <w:tab w:val="right" w:pos="8306"/>
      </w:tabs>
    </w:pPr>
  </w:style>
  <w:style w:type="character" w:customStyle="1" w:styleId="HeaderChar">
    <w:name w:val="Header Char"/>
    <w:basedOn w:val="DefaultParagraphFont"/>
    <w:link w:val="Header"/>
    <w:uiPriority w:val="99"/>
    <w:rsid w:val="00F711C0"/>
  </w:style>
  <w:style w:type="paragraph" w:styleId="Footer">
    <w:name w:val="footer"/>
    <w:basedOn w:val="Normal"/>
    <w:link w:val="FooterChar"/>
    <w:unhideWhenUsed/>
    <w:rsid w:val="00F711C0"/>
    <w:pPr>
      <w:tabs>
        <w:tab w:val="center" w:pos="4153"/>
        <w:tab w:val="right" w:pos="8306"/>
      </w:tabs>
    </w:pPr>
  </w:style>
  <w:style w:type="character" w:customStyle="1" w:styleId="FooterChar">
    <w:name w:val="Footer Char"/>
    <w:basedOn w:val="DefaultParagraphFont"/>
    <w:link w:val="Footer"/>
    <w:rsid w:val="00F711C0"/>
  </w:style>
  <w:style w:type="paragraph" w:styleId="ListParagraph">
    <w:name w:val="List Paragraph"/>
    <w:basedOn w:val="Normal"/>
    <w:uiPriority w:val="34"/>
    <w:qFormat/>
    <w:rsid w:val="00C500E4"/>
    <w:pPr>
      <w:ind w:left="720"/>
      <w:contextualSpacing/>
    </w:pPr>
  </w:style>
  <w:style w:type="paragraph" w:styleId="BalloonText">
    <w:name w:val="Balloon Text"/>
    <w:basedOn w:val="Normal"/>
    <w:link w:val="BalloonTextChar"/>
    <w:uiPriority w:val="99"/>
    <w:semiHidden/>
    <w:unhideWhenUsed/>
    <w:rsid w:val="009023AD"/>
    <w:rPr>
      <w:rFonts w:ascii="Tahoma" w:hAnsi="Tahoma" w:cs="Tahoma"/>
      <w:sz w:val="16"/>
      <w:szCs w:val="16"/>
    </w:rPr>
  </w:style>
  <w:style w:type="character" w:customStyle="1" w:styleId="BalloonTextChar">
    <w:name w:val="Balloon Text Char"/>
    <w:basedOn w:val="DefaultParagraphFont"/>
    <w:link w:val="BalloonText"/>
    <w:uiPriority w:val="99"/>
    <w:semiHidden/>
    <w:rsid w:val="009023AD"/>
    <w:rPr>
      <w:rFonts w:ascii="Tahoma" w:hAnsi="Tahoma" w:cs="Tahoma"/>
      <w:sz w:val="16"/>
      <w:szCs w:val="16"/>
    </w:rPr>
  </w:style>
  <w:style w:type="paragraph" w:styleId="BodyTextIndent">
    <w:name w:val="Body Text Indent"/>
    <w:basedOn w:val="Normal"/>
    <w:link w:val="BodyTextIndentChar"/>
    <w:rsid w:val="00AA321B"/>
    <w:pPr>
      <w:widowControl w:val="0"/>
      <w:spacing w:before="60" w:after="120" w:line="360" w:lineRule="auto"/>
      <w:ind w:left="283" w:firstLine="720"/>
      <w:jc w:val="both"/>
    </w:pPr>
    <w:rPr>
      <w:rFonts w:eastAsia="Times New Roman" w:cs="Times New Roman"/>
      <w:sz w:val="26"/>
      <w:szCs w:val="20"/>
      <w:lang w:val="en-AU"/>
    </w:rPr>
  </w:style>
  <w:style w:type="character" w:customStyle="1" w:styleId="BodyTextIndentChar">
    <w:name w:val="Body Text Indent Char"/>
    <w:basedOn w:val="DefaultParagraphFont"/>
    <w:link w:val="BodyTextIndent"/>
    <w:rsid w:val="00AA321B"/>
    <w:rPr>
      <w:rFonts w:eastAsia="Times New Roman" w:cs="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6055">
      <w:bodyDiv w:val="1"/>
      <w:marLeft w:val="0"/>
      <w:marRight w:val="0"/>
      <w:marTop w:val="0"/>
      <w:marBottom w:val="0"/>
      <w:divBdr>
        <w:top w:val="none" w:sz="0" w:space="0" w:color="auto"/>
        <w:left w:val="none" w:sz="0" w:space="0" w:color="auto"/>
        <w:bottom w:val="none" w:sz="0" w:space="0" w:color="auto"/>
        <w:right w:val="none" w:sz="0" w:space="0" w:color="auto"/>
      </w:divBdr>
    </w:div>
    <w:div w:id="687218495">
      <w:bodyDiv w:val="1"/>
      <w:marLeft w:val="45"/>
      <w:marRight w:val="45"/>
      <w:marTop w:val="90"/>
      <w:marBottom w:val="90"/>
      <w:divBdr>
        <w:top w:val="none" w:sz="0" w:space="0" w:color="auto"/>
        <w:left w:val="none" w:sz="0" w:space="0" w:color="auto"/>
        <w:bottom w:val="none" w:sz="0" w:space="0" w:color="auto"/>
        <w:right w:val="none" w:sz="0" w:space="0" w:color="auto"/>
      </w:divBdr>
      <w:divsChild>
        <w:div w:id="1992363844">
          <w:marLeft w:val="0"/>
          <w:marRight w:val="0"/>
          <w:marTop w:val="480"/>
          <w:marBottom w:val="240"/>
          <w:divBdr>
            <w:top w:val="none" w:sz="0" w:space="0" w:color="auto"/>
            <w:left w:val="none" w:sz="0" w:space="0" w:color="auto"/>
            <w:bottom w:val="none" w:sz="0" w:space="0" w:color="auto"/>
            <w:right w:val="none" w:sz="0" w:space="0" w:color="auto"/>
          </w:divBdr>
        </w:div>
        <w:div w:id="637613010">
          <w:marLeft w:val="0"/>
          <w:marRight w:val="0"/>
          <w:marTop w:val="0"/>
          <w:marBottom w:val="567"/>
          <w:divBdr>
            <w:top w:val="none" w:sz="0" w:space="0" w:color="auto"/>
            <w:left w:val="none" w:sz="0" w:space="0" w:color="auto"/>
            <w:bottom w:val="none" w:sz="0" w:space="0" w:color="auto"/>
            <w:right w:val="none" w:sz="0" w:space="0" w:color="auto"/>
          </w:divBdr>
        </w:div>
      </w:divsChild>
    </w:div>
    <w:div w:id="819691026">
      <w:bodyDiv w:val="1"/>
      <w:marLeft w:val="0"/>
      <w:marRight w:val="0"/>
      <w:marTop w:val="0"/>
      <w:marBottom w:val="0"/>
      <w:divBdr>
        <w:top w:val="none" w:sz="0" w:space="0" w:color="auto"/>
        <w:left w:val="none" w:sz="0" w:space="0" w:color="auto"/>
        <w:bottom w:val="none" w:sz="0" w:space="0" w:color="auto"/>
        <w:right w:val="none" w:sz="0" w:space="0" w:color="auto"/>
      </w:divBdr>
    </w:div>
    <w:div w:id="12349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1C57AD-D3D3-401B-8535-0B413036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12029</Words>
  <Characters>6857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projekta "Kārtība, kādā atsavināma publiskas personas manta" anotācija</vt:lpstr>
    </vt:vector>
  </TitlesOfParts>
  <Company>NONE</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atsavināma publiskas personas manta" anotācija</dc:title>
  <dc:subject>Anotācija</dc:subject>
  <dc:creator>Jana Upeniece</dc:creator>
  <cp:keywords/>
  <dc:description>jana.upeniece@fm.gov.lv
67095587</dc:description>
  <cp:lastModifiedBy>changeme</cp:lastModifiedBy>
  <cp:revision>4</cp:revision>
  <cp:lastPrinted>2011-01-21T09:42:00Z</cp:lastPrinted>
  <dcterms:created xsi:type="dcterms:W3CDTF">2011-01-21T07:14:00Z</dcterms:created>
  <dcterms:modified xsi:type="dcterms:W3CDTF">2011-01-21T14:39:00Z</dcterms:modified>
</cp:coreProperties>
</file>