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A2" w:rsidRPr="00132EE7" w:rsidRDefault="006614A2" w:rsidP="00670CE7">
      <w:pPr>
        <w:ind w:firstLine="720"/>
        <w:jc w:val="center"/>
        <w:rPr>
          <w:b/>
          <w:bCs/>
          <w:sz w:val="28"/>
          <w:szCs w:val="28"/>
        </w:rPr>
      </w:pPr>
      <w:r>
        <w:rPr>
          <w:b/>
          <w:bCs/>
          <w:sz w:val="28"/>
          <w:szCs w:val="28"/>
        </w:rPr>
        <w:t>Ministru kabineta noteikumu projekta „Noteikumi par Padziļinātās sadarbības programmas darbību”</w:t>
      </w:r>
      <w:r w:rsidRPr="00E94CED">
        <w:rPr>
          <w:b/>
          <w:bCs/>
          <w:sz w:val="28"/>
          <w:szCs w:val="28"/>
        </w:rPr>
        <w:t xml:space="preserve"> </w:t>
      </w:r>
      <w:r>
        <w:rPr>
          <w:b/>
          <w:bCs/>
          <w:sz w:val="28"/>
          <w:szCs w:val="28"/>
        </w:rPr>
        <w:t xml:space="preserve">sākotnējās ietekmes novērtējuma ziņojums </w:t>
      </w:r>
      <w:r w:rsidRPr="00E94CED">
        <w:rPr>
          <w:b/>
          <w:bCs/>
          <w:sz w:val="28"/>
          <w:szCs w:val="28"/>
        </w:rPr>
        <w:t>(anotācija)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6614A2" w:rsidRPr="007C0F2C">
        <w:tc>
          <w:tcPr>
            <w:tcW w:w="9725" w:type="dxa"/>
            <w:gridSpan w:val="3"/>
            <w:vAlign w:val="center"/>
          </w:tcPr>
          <w:p w:rsidR="006614A2" w:rsidRPr="007C0F2C" w:rsidRDefault="006614A2" w:rsidP="006C4607">
            <w:pPr>
              <w:pStyle w:val="naisnod"/>
              <w:spacing w:before="0" w:after="0"/>
            </w:pPr>
            <w:r w:rsidRPr="007C0F2C">
              <w:t>I. Tiesību akta projekta izstrādes nepieciešamība</w:t>
            </w:r>
          </w:p>
        </w:tc>
      </w:tr>
      <w:tr w:rsidR="006614A2" w:rsidRPr="007C0F2C">
        <w:trPr>
          <w:trHeight w:val="630"/>
        </w:trPr>
        <w:tc>
          <w:tcPr>
            <w:tcW w:w="550" w:type="dxa"/>
          </w:tcPr>
          <w:p w:rsidR="006614A2" w:rsidRPr="007C0F2C" w:rsidRDefault="006614A2" w:rsidP="006C4607">
            <w:pPr>
              <w:pStyle w:val="naiskr"/>
              <w:spacing w:before="0" w:after="0"/>
              <w:rPr>
                <w:sz w:val="22"/>
                <w:szCs w:val="22"/>
              </w:rPr>
            </w:pPr>
            <w:r w:rsidRPr="007C0F2C">
              <w:rPr>
                <w:sz w:val="22"/>
                <w:szCs w:val="22"/>
              </w:rPr>
              <w:t>1.</w:t>
            </w:r>
          </w:p>
        </w:tc>
        <w:tc>
          <w:tcPr>
            <w:tcW w:w="4315" w:type="dxa"/>
          </w:tcPr>
          <w:p w:rsidR="006614A2" w:rsidRDefault="006614A2" w:rsidP="006C4607">
            <w:pPr>
              <w:pStyle w:val="naiskr"/>
              <w:spacing w:before="0" w:after="0"/>
              <w:ind w:hanging="10"/>
              <w:rPr>
                <w:sz w:val="22"/>
                <w:szCs w:val="22"/>
              </w:rPr>
            </w:pPr>
            <w:r w:rsidRPr="007C0F2C">
              <w:rPr>
                <w:sz w:val="22"/>
                <w:szCs w:val="22"/>
              </w:rPr>
              <w:t>Pamatojums</w:t>
            </w:r>
          </w:p>
          <w:p w:rsidR="006614A2" w:rsidRPr="0097629E" w:rsidRDefault="006614A2" w:rsidP="0097629E"/>
          <w:p w:rsidR="006614A2" w:rsidRDefault="006614A2" w:rsidP="0097629E"/>
          <w:p w:rsidR="006614A2" w:rsidRPr="0097629E" w:rsidRDefault="006614A2" w:rsidP="0097629E">
            <w:pPr>
              <w:jc w:val="center"/>
            </w:pPr>
          </w:p>
        </w:tc>
        <w:tc>
          <w:tcPr>
            <w:tcW w:w="4860" w:type="dxa"/>
          </w:tcPr>
          <w:p w:rsidR="006614A2" w:rsidRPr="00451C80" w:rsidRDefault="006614A2" w:rsidP="009671BB">
            <w:pPr>
              <w:jc w:val="both"/>
            </w:pPr>
            <w:r w:rsidRPr="006B5C65">
              <w:t>Mini</w:t>
            </w:r>
            <w:r>
              <w:t>stru kabineta noteikumu projekts</w:t>
            </w:r>
            <w:r w:rsidRPr="006B5C65">
              <w:t xml:space="preserve"> „Noteikumi par Padziļinātās sadarbības programmas darbību” </w:t>
            </w:r>
            <w:r w:rsidRPr="00526FC5">
              <w:t xml:space="preserve"> </w:t>
            </w:r>
            <w:r>
              <w:t xml:space="preserve">(turpmāk – noteikumu projekts) </w:t>
            </w:r>
            <w:r w:rsidRPr="00526FC5">
              <w:t>izstrādāts</w:t>
            </w:r>
            <w:r>
              <w:t xml:space="preserve">, pamatojoties uz likuma „Par nodokļiem un nodevām” </w:t>
            </w:r>
            <w:r w:rsidR="00E235AE">
              <w:t>7</w:t>
            </w:r>
            <w:r w:rsidR="009671BB">
              <w:t>.</w:t>
            </w:r>
            <w:r w:rsidR="00E235AE" w:rsidRPr="00E235AE">
              <w:rPr>
                <w:vertAlign w:val="superscript"/>
              </w:rPr>
              <w:t>1</w:t>
            </w:r>
            <w:r w:rsidR="00E235AE">
              <w:t>panta ceturto un sesto daļu.</w:t>
            </w:r>
          </w:p>
        </w:tc>
      </w:tr>
      <w:tr w:rsidR="006614A2" w:rsidRPr="007C0F2C">
        <w:trPr>
          <w:trHeight w:val="472"/>
        </w:trPr>
        <w:tc>
          <w:tcPr>
            <w:tcW w:w="550" w:type="dxa"/>
          </w:tcPr>
          <w:p w:rsidR="006614A2" w:rsidRPr="007C0F2C" w:rsidRDefault="006614A2" w:rsidP="006C4607">
            <w:pPr>
              <w:pStyle w:val="naiskr"/>
              <w:spacing w:before="0" w:after="0"/>
              <w:rPr>
                <w:sz w:val="22"/>
                <w:szCs w:val="22"/>
              </w:rPr>
            </w:pPr>
            <w:r w:rsidRPr="007C0F2C">
              <w:rPr>
                <w:sz w:val="22"/>
                <w:szCs w:val="22"/>
              </w:rPr>
              <w:t>2.</w:t>
            </w:r>
          </w:p>
        </w:tc>
        <w:tc>
          <w:tcPr>
            <w:tcW w:w="4315" w:type="dxa"/>
          </w:tcPr>
          <w:p w:rsidR="006614A2" w:rsidRPr="007C0F2C" w:rsidRDefault="006614A2" w:rsidP="006C4607">
            <w:pPr>
              <w:pStyle w:val="naiskr"/>
              <w:tabs>
                <w:tab w:val="left" w:pos="170"/>
              </w:tabs>
              <w:spacing w:before="0" w:after="0"/>
              <w:rPr>
                <w:sz w:val="22"/>
                <w:szCs w:val="22"/>
              </w:rPr>
            </w:pPr>
            <w:r w:rsidRPr="007C0F2C">
              <w:rPr>
                <w:sz w:val="22"/>
                <w:szCs w:val="22"/>
              </w:rPr>
              <w:t>Pašreizējā situācija un problēmas</w:t>
            </w:r>
          </w:p>
        </w:tc>
        <w:tc>
          <w:tcPr>
            <w:tcW w:w="4860" w:type="dxa"/>
          </w:tcPr>
          <w:p w:rsidR="006614A2" w:rsidRPr="00BC0656" w:rsidRDefault="006614A2" w:rsidP="009671BB">
            <w:pPr>
              <w:pStyle w:val="NoSpacing"/>
              <w:jc w:val="both"/>
              <w:rPr>
                <w:rFonts w:ascii="Times New Roman" w:hAnsi="Times New Roman"/>
              </w:rPr>
            </w:pPr>
            <w:r>
              <w:rPr>
                <w:rFonts w:ascii="Times New Roman" w:hAnsi="Times New Roman"/>
              </w:rPr>
              <w:t>L</w:t>
            </w:r>
            <w:r w:rsidRPr="00340172">
              <w:rPr>
                <w:rFonts w:ascii="Times New Roman" w:hAnsi="Times New Roman"/>
              </w:rPr>
              <w:t>ikuma „Par nodokļiem un nodevām” 7.</w:t>
            </w:r>
            <w:r w:rsidRPr="00340172">
              <w:rPr>
                <w:rFonts w:ascii="Times New Roman" w:hAnsi="Times New Roman"/>
                <w:vertAlign w:val="superscript"/>
              </w:rPr>
              <w:t>1</w:t>
            </w:r>
            <w:r w:rsidR="009671BB">
              <w:rPr>
                <w:rFonts w:ascii="Times New Roman" w:hAnsi="Times New Roman"/>
              </w:rPr>
              <w:t xml:space="preserve"> panta ceturtā un sestā daļa</w:t>
            </w:r>
            <w:r>
              <w:rPr>
                <w:rFonts w:ascii="Times New Roman" w:hAnsi="Times New Roman"/>
              </w:rPr>
              <w:t xml:space="preserve">, kas stājas spēkā 2012.gada 1.jūlijā, </w:t>
            </w:r>
            <w:r w:rsidRPr="00340172">
              <w:rPr>
                <w:rFonts w:ascii="Times New Roman" w:hAnsi="Times New Roman"/>
              </w:rPr>
              <w:t>paredz deleģējumu Ministru kabinetam noteikt kārtību, kādā nodokļu maksātāju iekļauj Padziļinātās sadarbības programmā, kuras mērķis ir veicināt ciešāku un efektīvāku sadarbību starp nodokļu maksātāju un nodokļu administrāciju</w:t>
            </w:r>
            <w:r>
              <w:rPr>
                <w:rFonts w:ascii="Times New Roman" w:hAnsi="Times New Roman"/>
              </w:rPr>
              <w:t>, mazino</w:t>
            </w:r>
            <w:r w:rsidRPr="00340172">
              <w:rPr>
                <w:rFonts w:ascii="Times New Roman" w:hAnsi="Times New Roman"/>
              </w:rPr>
              <w:t xml:space="preserve">t administratīvo slogu. Turklāt no likuma „Par nodokļiem un nodevām” pārejas noteikumu 141.punkta izriet, ka minētā kārtība jāizstrādā līdz 2012.gada 30.jūnijam.    </w:t>
            </w:r>
          </w:p>
        </w:tc>
      </w:tr>
      <w:tr w:rsidR="006614A2" w:rsidRPr="007C0F2C" w:rsidTr="007E26F1">
        <w:trPr>
          <w:trHeight w:val="589"/>
        </w:trPr>
        <w:tc>
          <w:tcPr>
            <w:tcW w:w="550" w:type="dxa"/>
          </w:tcPr>
          <w:p w:rsidR="006614A2" w:rsidRPr="007C0F2C" w:rsidRDefault="006614A2" w:rsidP="006C4607">
            <w:pPr>
              <w:pStyle w:val="naiskr"/>
              <w:spacing w:before="0" w:after="0"/>
              <w:rPr>
                <w:sz w:val="22"/>
                <w:szCs w:val="22"/>
              </w:rPr>
            </w:pPr>
            <w:r w:rsidRPr="007C0F2C">
              <w:rPr>
                <w:sz w:val="22"/>
                <w:szCs w:val="22"/>
              </w:rPr>
              <w:t>3.</w:t>
            </w:r>
          </w:p>
        </w:tc>
        <w:tc>
          <w:tcPr>
            <w:tcW w:w="4315" w:type="dxa"/>
          </w:tcPr>
          <w:p w:rsidR="006614A2" w:rsidRPr="007C0F2C" w:rsidRDefault="006614A2" w:rsidP="006C4607">
            <w:pPr>
              <w:pStyle w:val="naiskr"/>
              <w:spacing w:before="0" w:after="0"/>
              <w:rPr>
                <w:sz w:val="22"/>
                <w:szCs w:val="22"/>
              </w:rPr>
            </w:pPr>
            <w:r w:rsidRPr="007C0F2C">
              <w:rPr>
                <w:sz w:val="22"/>
                <w:szCs w:val="22"/>
              </w:rPr>
              <w:t>Saistītie politikas ietekmes novērtējumi un pētījumi</w:t>
            </w:r>
          </w:p>
        </w:tc>
        <w:tc>
          <w:tcPr>
            <w:tcW w:w="4860" w:type="dxa"/>
          </w:tcPr>
          <w:p w:rsidR="006614A2" w:rsidRPr="00E94CED" w:rsidRDefault="006614A2" w:rsidP="00703911">
            <w:pPr>
              <w:jc w:val="both"/>
            </w:pPr>
            <w:r>
              <w:t xml:space="preserve">Ministru kabineta 2011.gada 19.decembra           rīkojums </w:t>
            </w:r>
            <w:proofErr w:type="spellStart"/>
            <w:r>
              <w:t>Nr</w:t>
            </w:r>
            <w:proofErr w:type="spellEnd"/>
            <w:r>
              <w:t>. 673 (</w:t>
            </w:r>
            <w:proofErr w:type="spellStart"/>
            <w:r>
              <w:t>prot</w:t>
            </w:r>
            <w:proofErr w:type="spellEnd"/>
            <w:r>
              <w:t xml:space="preserve">. </w:t>
            </w:r>
            <w:proofErr w:type="spellStart"/>
            <w:r>
              <w:t>Nr</w:t>
            </w:r>
            <w:proofErr w:type="spellEnd"/>
            <w:r>
              <w:t xml:space="preserve">. 74 25.§) </w:t>
            </w:r>
            <w:r w:rsidR="00561BAF">
              <w:t>„</w:t>
            </w:r>
            <w:r>
              <w:t>Par koncepciju „Par Padziļinātās sadarbības programmu”</w:t>
            </w:r>
            <w:r w:rsidR="00561BAF">
              <w:t>”</w:t>
            </w:r>
            <w:r>
              <w:t>.</w:t>
            </w:r>
          </w:p>
        </w:tc>
      </w:tr>
      <w:tr w:rsidR="006614A2" w:rsidRPr="007C0F2C">
        <w:trPr>
          <w:trHeight w:val="384"/>
        </w:trPr>
        <w:tc>
          <w:tcPr>
            <w:tcW w:w="550" w:type="dxa"/>
          </w:tcPr>
          <w:p w:rsidR="006614A2" w:rsidRPr="007C0F2C" w:rsidRDefault="006614A2" w:rsidP="006C4607">
            <w:pPr>
              <w:pStyle w:val="naiskr"/>
              <w:spacing w:before="0" w:after="0"/>
              <w:rPr>
                <w:sz w:val="22"/>
                <w:szCs w:val="22"/>
              </w:rPr>
            </w:pPr>
            <w:r w:rsidRPr="007C0F2C">
              <w:rPr>
                <w:sz w:val="22"/>
                <w:szCs w:val="22"/>
              </w:rPr>
              <w:t>4.</w:t>
            </w:r>
          </w:p>
        </w:tc>
        <w:tc>
          <w:tcPr>
            <w:tcW w:w="4315" w:type="dxa"/>
          </w:tcPr>
          <w:p w:rsidR="006614A2" w:rsidRPr="007C0F2C" w:rsidRDefault="006614A2" w:rsidP="006C4607">
            <w:pPr>
              <w:pStyle w:val="naiskr"/>
              <w:spacing w:before="0" w:after="0"/>
              <w:rPr>
                <w:sz w:val="22"/>
                <w:szCs w:val="22"/>
              </w:rPr>
            </w:pPr>
            <w:r w:rsidRPr="007C0F2C">
              <w:rPr>
                <w:sz w:val="22"/>
                <w:szCs w:val="22"/>
              </w:rPr>
              <w:t>Tiesiskā regulējuma mērķis un būtība</w:t>
            </w:r>
          </w:p>
        </w:tc>
        <w:tc>
          <w:tcPr>
            <w:tcW w:w="4860" w:type="dxa"/>
          </w:tcPr>
          <w:p w:rsidR="006614A2" w:rsidRDefault="006614A2" w:rsidP="00340172">
            <w:pPr>
              <w:tabs>
                <w:tab w:val="left" w:pos="284"/>
              </w:tabs>
              <w:ind w:firstLine="243"/>
              <w:jc w:val="both"/>
            </w:pPr>
            <w:r>
              <w:t>Lai nodrošinātu nodokļu maksātāju ciešāku sadarbību ar nodokļu administrāciju nodokļu saistību izpildei un samazinātu administratīvos šķēršļus, ir nepieciešams izstrādāt tiesisko regulējumu minētajam sadarbības mehānismam, radot iespēju nodokļu maksātājiem, kas ir pierādījuši savu izcilību attieksmē (nodokļu saistību izpildē) pret valsti, saņemt īpašu attieksmi un pretimnākošu sadarbību no valsts puses. Tādējādi paredzot, ka Padziļinātās sadarbības programmā (turpmāk – programma) iekļauta</w:t>
            </w:r>
            <w:r w:rsidR="00BA1678">
              <w:t>m</w:t>
            </w:r>
            <w:r>
              <w:t xml:space="preserve"> </w:t>
            </w:r>
            <w:r w:rsidR="00BA1678">
              <w:t>nodokļu maksātājam</w:t>
            </w:r>
            <w:r>
              <w:t xml:space="preserve"> būs iespēja atviegloti un ātri komunicēt ar Valsts ieņēmumu dienestu, un izmantot attiecīgas priekšrocības, </w:t>
            </w:r>
            <w:r w:rsidR="00273181">
              <w:t>piemēram</w:t>
            </w:r>
            <w:r>
              <w:t>:</w:t>
            </w:r>
          </w:p>
          <w:p w:rsidR="006614A2" w:rsidRDefault="006614A2" w:rsidP="00340172">
            <w:pPr>
              <w:tabs>
                <w:tab w:val="left" w:pos="284"/>
              </w:tabs>
              <w:jc w:val="both"/>
            </w:pPr>
            <w:r>
              <w:t>-</w:t>
            </w:r>
            <w:r>
              <w:tab/>
              <w:t>pievienotās vērtības nodokļa atmaksu īsākā laikā;</w:t>
            </w:r>
          </w:p>
          <w:p w:rsidR="006614A2" w:rsidRDefault="006614A2" w:rsidP="00340172">
            <w:pPr>
              <w:tabs>
                <w:tab w:val="left" w:pos="284"/>
              </w:tabs>
              <w:jc w:val="both"/>
            </w:pPr>
            <w:r>
              <w:t>-</w:t>
            </w:r>
            <w:r>
              <w:tab/>
              <w:t xml:space="preserve">individuālu </w:t>
            </w:r>
            <w:r w:rsidRPr="00730C5C">
              <w:t>Valsts ieņēmumu dienest</w:t>
            </w:r>
            <w:r>
              <w:t>a konsultantu;</w:t>
            </w:r>
          </w:p>
          <w:p w:rsidR="006614A2" w:rsidRDefault="006614A2" w:rsidP="00340172">
            <w:pPr>
              <w:tabs>
                <w:tab w:val="left" w:pos="284"/>
              </w:tabs>
              <w:jc w:val="both"/>
            </w:pPr>
            <w:r>
              <w:t>-</w:t>
            </w:r>
            <w:r>
              <w:tab/>
              <w:t xml:space="preserve">savlaicīgu informācijas saņemšanu par </w:t>
            </w:r>
            <w:r w:rsidR="00BA1678">
              <w:t xml:space="preserve">Valsts ieņēmumu dienesta </w:t>
            </w:r>
            <w:r>
              <w:t>konstatētajiem iespējamiem nodokļu nemaksāšanas riskiem;</w:t>
            </w:r>
          </w:p>
          <w:p w:rsidR="006614A2" w:rsidRDefault="006614A2" w:rsidP="00340172">
            <w:pPr>
              <w:tabs>
                <w:tab w:val="left" w:pos="284"/>
              </w:tabs>
              <w:jc w:val="both"/>
            </w:pPr>
            <w:r>
              <w:t>-</w:t>
            </w:r>
            <w:r>
              <w:tab/>
              <w:t>Valsts ieņēmumu dienesta rakstiskas atbildes sagatavošanu ātrāk kā noteiktā kārtībā -  līdz 2 nedēļām.</w:t>
            </w:r>
          </w:p>
          <w:p w:rsidR="00670CE7" w:rsidRDefault="006614A2" w:rsidP="006B5C65">
            <w:pPr>
              <w:tabs>
                <w:tab w:val="left" w:pos="284"/>
              </w:tabs>
              <w:ind w:firstLine="243"/>
              <w:jc w:val="both"/>
            </w:pPr>
            <w:r>
              <w:t>Ar noteikumu projektu paredzēts</w:t>
            </w:r>
            <w:r w:rsidRPr="002E6D9C">
              <w:t xml:space="preserve"> </w:t>
            </w:r>
            <w:r>
              <w:t xml:space="preserve">noteikt pieteikuma dalībai programmā iesniegšanas un izskatīšanas kārtību. Noteikumu projekts nosaka kritērijus nodokļu maksātāja uzņemšanai un </w:t>
            </w:r>
            <w:r>
              <w:lastRenderedPageBreak/>
              <w:t>izslēgšanai no programmas, kā arī kārtību, kādā publicē programmas dalībnieku reģistrā, kurā tiek iekļauti nodokļu maksātāji, kas atbilst</w:t>
            </w:r>
            <w:r w:rsidRPr="00B65130">
              <w:t xml:space="preserve"> </w:t>
            </w:r>
            <w:r w:rsidRPr="00D20A14">
              <w:t>noteikumu projekt</w:t>
            </w:r>
            <w:r>
              <w:t>ā</w:t>
            </w:r>
            <w:r w:rsidRPr="00D20A14">
              <w:t xml:space="preserve"> paredzēt</w:t>
            </w:r>
            <w:r w:rsidR="00723CD1">
              <w:t xml:space="preserve">ajiem kritērijiem. </w:t>
            </w:r>
            <w:r>
              <w:t>Tāpat noteikumu projekts paredz kārtību, kādā nodokļu maksātāju izslēdz no reģistra.</w:t>
            </w:r>
          </w:p>
          <w:p w:rsidR="00670CE7" w:rsidRPr="00670CE7" w:rsidRDefault="006614A2" w:rsidP="00670CE7">
            <w:pPr>
              <w:tabs>
                <w:tab w:val="left" w:pos="284"/>
              </w:tabs>
              <w:ind w:firstLine="243"/>
              <w:jc w:val="both"/>
              <w:rPr>
                <w:b/>
                <w:sz w:val="28"/>
                <w:szCs w:val="28"/>
              </w:rPr>
            </w:pPr>
            <w:r>
              <w:t>Programmas darbību nodrošinās Finanšu ministrija sadarbībā ar Valsts ieņēmumu dienestu</w:t>
            </w:r>
            <w:r w:rsidR="00670CE7">
              <w:t>, k</w:t>
            </w:r>
            <w:r w:rsidR="00037CAE">
              <w:t xml:space="preserve">ā arī programmas darbības nodrošināšanā </w:t>
            </w:r>
            <w:r w:rsidR="00670CE7">
              <w:t>iesaistītie</w:t>
            </w:r>
            <w:r w:rsidR="00561BAF">
              <w:t xml:space="preserve"> - </w:t>
            </w:r>
            <w:r w:rsidR="00670CE7">
              <w:t xml:space="preserve"> Centrālās statistikas pārvalde, Valsts darba inspekcija un Iekšlietu ministrijas Informācijas centrs</w:t>
            </w:r>
            <w:r w:rsidR="00743946" w:rsidRPr="00743946">
              <w:rPr>
                <w:sz w:val="28"/>
                <w:szCs w:val="28"/>
              </w:rPr>
              <w:t>.</w:t>
            </w:r>
          </w:p>
          <w:p w:rsidR="006614A2" w:rsidRDefault="0050163F" w:rsidP="00D20A14">
            <w:pPr>
              <w:tabs>
                <w:tab w:val="left" w:pos="284"/>
              </w:tabs>
              <w:jc w:val="both"/>
            </w:pPr>
            <w:r>
              <w:t>Izvērtējot nodokļu maksātāja atbilstību programmas kritērijiem, par nozari, kurā darbojas nodokļu maksātājs, paredzams uzskatīt to nozari, kurā nodokļu maksātājam ir pamatdarbības veids.</w:t>
            </w:r>
          </w:p>
          <w:p w:rsidR="0050163F" w:rsidRDefault="0050163F" w:rsidP="00D20A14">
            <w:pPr>
              <w:tabs>
                <w:tab w:val="left" w:pos="284"/>
              </w:tabs>
              <w:jc w:val="both"/>
            </w:pPr>
          </w:p>
          <w:p w:rsidR="006614A2" w:rsidRPr="00E94CED" w:rsidRDefault="006614A2" w:rsidP="008E0532">
            <w:pPr>
              <w:tabs>
                <w:tab w:val="left" w:pos="284"/>
              </w:tabs>
              <w:jc w:val="both"/>
            </w:pPr>
            <w:r>
              <w:t>Noteikumu p</w:t>
            </w:r>
            <w:r w:rsidRPr="008E0532">
              <w:t xml:space="preserve">rojekts atrisina anotācijas </w:t>
            </w:r>
            <w:r w:rsidR="00561BAF">
              <w:t xml:space="preserve">I sadaļas </w:t>
            </w:r>
            <w:r w:rsidRPr="008E0532">
              <w:t>2.punktā minētās problēmas.</w:t>
            </w:r>
          </w:p>
        </w:tc>
      </w:tr>
      <w:tr w:rsidR="006614A2" w:rsidRPr="007C0F2C">
        <w:trPr>
          <w:trHeight w:val="476"/>
        </w:trPr>
        <w:tc>
          <w:tcPr>
            <w:tcW w:w="550" w:type="dxa"/>
          </w:tcPr>
          <w:p w:rsidR="006614A2" w:rsidRPr="007C0F2C" w:rsidRDefault="006614A2" w:rsidP="006C4607">
            <w:pPr>
              <w:pStyle w:val="naiskr"/>
              <w:spacing w:before="0" w:after="0"/>
              <w:rPr>
                <w:sz w:val="22"/>
                <w:szCs w:val="22"/>
              </w:rPr>
            </w:pPr>
            <w:r w:rsidRPr="007C0F2C">
              <w:rPr>
                <w:sz w:val="22"/>
                <w:szCs w:val="22"/>
              </w:rPr>
              <w:lastRenderedPageBreak/>
              <w:t>5.</w:t>
            </w:r>
          </w:p>
        </w:tc>
        <w:tc>
          <w:tcPr>
            <w:tcW w:w="4315" w:type="dxa"/>
          </w:tcPr>
          <w:p w:rsidR="006614A2" w:rsidRPr="007C0F2C" w:rsidRDefault="006614A2" w:rsidP="006C4607">
            <w:pPr>
              <w:pStyle w:val="naiskr"/>
              <w:spacing w:before="0" w:after="0"/>
              <w:rPr>
                <w:sz w:val="22"/>
                <w:szCs w:val="22"/>
              </w:rPr>
            </w:pPr>
            <w:r w:rsidRPr="007C0F2C">
              <w:rPr>
                <w:sz w:val="22"/>
                <w:szCs w:val="22"/>
              </w:rPr>
              <w:t>Projekta izstrādē iesaistītās institūcijas</w:t>
            </w:r>
          </w:p>
        </w:tc>
        <w:tc>
          <w:tcPr>
            <w:tcW w:w="4860" w:type="dxa"/>
          </w:tcPr>
          <w:p w:rsidR="006614A2" w:rsidRPr="00E94CED" w:rsidRDefault="006614A2" w:rsidP="0032490F">
            <w:pPr>
              <w:jc w:val="both"/>
              <w:rPr>
                <w:color w:val="000000"/>
              </w:rPr>
            </w:pPr>
            <w:r>
              <w:t>Finanšu ministrija un Valsts ieņēmumu dienests.</w:t>
            </w:r>
          </w:p>
        </w:tc>
      </w:tr>
      <w:tr w:rsidR="006614A2" w:rsidRPr="007C0F2C">
        <w:trPr>
          <w:trHeight w:val="1340"/>
        </w:trPr>
        <w:tc>
          <w:tcPr>
            <w:tcW w:w="550" w:type="dxa"/>
          </w:tcPr>
          <w:p w:rsidR="006614A2" w:rsidRPr="007C0F2C" w:rsidRDefault="006614A2" w:rsidP="006C4607">
            <w:pPr>
              <w:pStyle w:val="naiskr"/>
              <w:spacing w:before="0" w:after="0"/>
              <w:rPr>
                <w:sz w:val="22"/>
                <w:szCs w:val="22"/>
              </w:rPr>
            </w:pPr>
            <w:r w:rsidRPr="007C0F2C">
              <w:rPr>
                <w:sz w:val="22"/>
                <w:szCs w:val="22"/>
              </w:rPr>
              <w:t>6.</w:t>
            </w:r>
          </w:p>
        </w:tc>
        <w:tc>
          <w:tcPr>
            <w:tcW w:w="4315" w:type="dxa"/>
          </w:tcPr>
          <w:p w:rsidR="006614A2" w:rsidRPr="007C0F2C" w:rsidRDefault="006614A2" w:rsidP="006C4607">
            <w:pPr>
              <w:pStyle w:val="naiskr"/>
              <w:spacing w:before="0" w:after="0"/>
              <w:rPr>
                <w:i/>
                <w:sz w:val="22"/>
                <w:szCs w:val="22"/>
                <w:highlight w:val="yellow"/>
              </w:rPr>
            </w:pPr>
            <w:r w:rsidRPr="007C0F2C">
              <w:rPr>
                <w:sz w:val="22"/>
                <w:szCs w:val="22"/>
              </w:rPr>
              <w:t>Iemesli, kādēļ netika nodrošināta sabiedrības līdzdalība</w:t>
            </w:r>
          </w:p>
        </w:tc>
        <w:tc>
          <w:tcPr>
            <w:tcW w:w="4860" w:type="dxa"/>
          </w:tcPr>
          <w:p w:rsidR="006614A2" w:rsidRPr="00F126F9" w:rsidRDefault="006614A2" w:rsidP="003F3B98">
            <w:pPr>
              <w:jc w:val="both"/>
            </w:pPr>
            <w:r>
              <w:t>Noteikumu projekts šo jomu neskar.</w:t>
            </w:r>
          </w:p>
        </w:tc>
      </w:tr>
      <w:tr w:rsidR="006614A2" w:rsidRPr="007C0F2C">
        <w:tc>
          <w:tcPr>
            <w:tcW w:w="550" w:type="dxa"/>
          </w:tcPr>
          <w:p w:rsidR="006614A2" w:rsidRPr="007C0F2C" w:rsidRDefault="006614A2" w:rsidP="006C4607">
            <w:pPr>
              <w:pStyle w:val="naiskr"/>
              <w:spacing w:before="0" w:after="0"/>
              <w:rPr>
                <w:sz w:val="22"/>
                <w:szCs w:val="22"/>
              </w:rPr>
            </w:pPr>
            <w:r w:rsidRPr="007C0F2C">
              <w:rPr>
                <w:sz w:val="22"/>
                <w:szCs w:val="22"/>
              </w:rPr>
              <w:t>7.</w:t>
            </w:r>
          </w:p>
        </w:tc>
        <w:tc>
          <w:tcPr>
            <w:tcW w:w="4315" w:type="dxa"/>
          </w:tcPr>
          <w:p w:rsidR="006614A2" w:rsidRPr="007C0F2C" w:rsidRDefault="006614A2" w:rsidP="006C4607">
            <w:pPr>
              <w:pStyle w:val="naiskr"/>
              <w:spacing w:before="0" w:after="0"/>
              <w:rPr>
                <w:sz w:val="22"/>
                <w:szCs w:val="22"/>
              </w:rPr>
            </w:pPr>
            <w:r w:rsidRPr="007C0F2C">
              <w:rPr>
                <w:sz w:val="22"/>
                <w:szCs w:val="22"/>
              </w:rPr>
              <w:t>Cita informācija</w:t>
            </w:r>
          </w:p>
        </w:tc>
        <w:tc>
          <w:tcPr>
            <w:tcW w:w="4860" w:type="dxa"/>
          </w:tcPr>
          <w:p w:rsidR="006614A2" w:rsidRPr="00E94CED" w:rsidRDefault="00561BAF" w:rsidP="0032490F">
            <w:pPr>
              <w:jc w:val="both"/>
            </w:pPr>
            <w:r>
              <w:t>Nav</w:t>
            </w:r>
          </w:p>
        </w:tc>
      </w:tr>
    </w:tbl>
    <w:p w:rsidR="006614A2" w:rsidRPr="007C0F2C" w:rsidRDefault="006614A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395"/>
        <w:gridCol w:w="4791"/>
      </w:tblGrid>
      <w:tr w:rsidR="006614A2" w:rsidRPr="007C0F2C" w:rsidTr="00FD2A8A">
        <w:tc>
          <w:tcPr>
            <w:tcW w:w="9758" w:type="dxa"/>
            <w:gridSpan w:val="3"/>
            <w:vAlign w:val="center"/>
          </w:tcPr>
          <w:p w:rsidR="006614A2" w:rsidRPr="007C0F2C" w:rsidRDefault="006614A2" w:rsidP="006C4607">
            <w:pPr>
              <w:pStyle w:val="naisnod"/>
              <w:spacing w:before="0" w:after="0"/>
            </w:pPr>
            <w:r w:rsidRPr="007C0F2C">
              <w:t>II. Tiesību akta projekta ietekme uz sabiedrību</w:t>
            </w:r>
          </w:p>
        </w:tc>
      </w:tr>
      <w:tr w:rsidR="006614A2" w:rsidRPr="007C0F2C" w:rsidTr="00FD2A8A">
        <w:trPr>
          <w:trHeight w:val="467"/>
        </w:trPr>
        <w:tc>
          <w:tcPr>
            <w:tcW w:w="572" w:type="dxa"/>
          </w:tcPr>
          <w:p w:rsidR="006614A2" w:rsidRPr="007C0F2C" w:rsidRDefault="006614A2" w:rsidP="006C4607">
            <w:pPr>
              <w:pStyle w:val="naiskr"/>
              <w:spacing w:before="0" w:after="0"/>
              <w:rPr>
                <w:sz w:val="22"/>
                <w:szCs w:val="22"/>
              </w:rPr>
            </w:pPr>
            <w:r w:rsidRPr="007C0F2C">
              <w:rPr>
                <w:sz w:val="22"/>
                <w:szCs w:val="22"/>
              </w:rPr>
              <w:t>1.</w:t>
            </w:r>
          </w:p>
        </w:tc>
        <w:tc>
          <w:tcPr>
            <w:tcW w:w="4395" w:type="dxa"/>
          </w:tcPr>
          <w:p w:rsidR="006614A2" w:rsidRPr="007C0F2C" w:rsidRDefault="006614A2" w:rsidP="006C4607">
            <w:pPr>
              <w:pStyle w:val="naiskr"/>
              <w:spacing w:before="0" w:after="0"/>
              <w:rPr>
                <w:sz w:val="22"/>
                <w:szCs w:val="22"/>
              </w:rPr>
            </w:pPr>
            <w:r w:rsidRPr="007C0F2C">
              <w:rPr>
                <w:sz w:val="22"/>
                <w:szCs w:val="22"/>
              </w:rPr>
              <w:t xml:space="preserve">Sabiedrības </w:t>
            </w:r>
            <w:proofErr w:type="spellStart"/>
            <w:r w:rsidRPr="007C0F2C">
              <w:rPr>
                <w:sz w:val="22"/>
                <w:szCs w:val="22"/>
              </w:rPr>
              <w:t>mērķgrupa</w:t>
            </w:r>
            <w:proofErr w:type="spellEnd"/>
          </w:p>
        </w:tc>
        <w:tc>
          <w:tcPr>
            <w:tcW w:w="4791" w:type="dxa"/>
          </w:tcPr>
          <w:p w:rsidR="006614A2" w:rsidRPr="00E94CED" w:rsidRDefault="006614A2" w:rsidP="00AF5FB1">
            <w:pPr>
              <w:jc w:val="both"/>
            </w:pPr>
            <w:r>
              <w:t>Nodokļu maksātāji, kas atbilst noteikumu projektā noteiktajiem kritērijiem</w:t>
            </w:r>
            <w:r w:rsidR="00561BAF">
              <w:t>.</w:t>
            </w:r>
          </w:p>
        </w:tc>
      </w:tr>
      <w:tr w:rsidR="006614A2" w:rsidRPr="007C0F2C" w:rsidTr="00FD2A8A">
        <w:trPr>
          <w:trHeight w:val="523"/>
        </w:trPr>
        <w:tc>
          <w:tcPr>
            <w:tcW w:w="572" w:type="dxa"/>
          </w:tcPr>
          <w:p w:rsidR="006614A2" w:rsidRPr="007C0F2C" w:rsidRDefault="006614A2" w:rsidP="006C4607">
            <w:pPr>
              <w:pStyle w:val="naiskr"/>
              <w:spacing w:before="0" w:after="0"/>
              <w:rPr>
                <w:sz w:val="22"/>
                <w:szCs w:val="22"/>
              </w:rPr>
            </w:pPr>
            <w:r w:rsidRPr="007C0F2C">
              <w:rPr>
                <w:sz w:val="22"/>
                <w:szCs w:val="22"/>
              </w:rPr>
              <w:t>2.</w:t>
            </w:r>
          </w:p>
        </w:tc>
        <w:tc>
          <w:tcPr>
            <w:tcW w:w="4395" w:type="dxa"/>
          </w:tcPr>
          <w:p w:rsidR="006614A2" w:rsidRPr="007C0F2C" w:rsidRDefault="006614A2" w:rsidP="006C4607">
            <w:pPr>
              <w:pStyle w:val="naiskr"/>
              <w:spacing w:before="0" w:after="0"/>
              <w:rPr>
                <w:sz w:val="22"/>
                <w:szCs w:val="22"/>
              </w:rPr>
            </w:pPr>
            <w:r w:rsidRPr="007C0F2C">
              <w:rPr>
                <w:sz w:val="22"/>
                <w:szCs w:val="22"/>
              </w:rPr>
              <w:t xml:space="preserve">Citas sabiedrības grupas (bez </w:t>
            </w:r>
            <w:proofErr w:type="spellStart"/>
            <w:r w:rsidRPr="007C0F2C">
              <w:rPr>
                <w:sz w:val="22"/>
                <w:szCs w:val="22"/>
              </w:rPr>
              <w:t>mērķgrupas</w:t>
            </w:r>
            <w:proofErr w:type="spellEnd"/>
            <w:r w:rsidRPr="007C0F2C">
              <w:rPr>
                <w:sz w:val="22"/>
                <w:szCs w:val="22"/>
              </w:rPr>
              <w:t>), kuras tiesiskais regulējums arī ietekmē vai varētu ietekmēt</w:t>
            </w:r>
          </w:p>
        </w:tc>
        <w:tc>
          <w:tcPr>
            <w:tcW w:w="4791" w:type="dxa"/>
          </w:tcPr>
          <w:p w:rsidR="006614A2" w:rsidRPr="00E94CED" w:rsidRDefault="006614A2" w:rsidP="0032490F">
            <w:pPr>
              <w:jc w:val="both"/>
            </w:pPr>
            <w:r>
              <w:t>Noteikumu projekts šo jomu neskar.</w:t>
            </w:r>
          </w:p>
        </w:tc>
      </w:tr>
      <w:tr w:rsidR="006614A2" w:rsidRPr="007C0F2C" w:rsidTr="00FD2A8A">
        <w:trPr>
          <w:trHeight w:val="517"/>
        </w:trPr>
        <w:tc>
          <w:tcPr>
            <w:tcW w:w="572" w:type="dxa"/>
          </w:tcPr>
          <w:p w:rsidR="006614A2" w:rsidRPr="007C0F2C" w:rsidRDefault="006614A2" w:rsidP="006C4607">
            <w:pPr>
              <w:pStyle w:val="naiskr"/>
              <w:spacing w:before="0" w:after="0"/>
              <w:rPr>
                <w:sz w:val="22"/>
                <w:szCs w:val="22"/>
              </w:rPr>
            </w:pPr>
            <w:r w:rsidRPr="007C0F2C">
              <w:rPr>
                <w:sz w:val="22"/>
                <w:szCs w:val="22"/>
              </w:rPr>
              <w:t>3.</w:t>
            </w:r>
          </w:p>
        </w:tc>
        <w:tc>
          <w:tcPr>
            <w:tcW w:w="4395" w:type="dxa"/>
          </w:tcPr>
          <w:p w:rsidR="006614A2" w:rsidRPr="007C0F2C" w:rsidRDefault="006614A2" w:rsidP="006C4607">
            <w:pPr>
              <w:pStyle w:val="naiskr"/>
              <w:spacing w:before="0" w:after="0"/>
              <w:rPr>
                <w:sz w:val="22"/>
                <w:szCs w:val="22"/>
              </w:rPr>
            </w:pPr>
            <w:r w:rsidRPr="007C0F2C">
              <w:rPr>
                <w:sz w:val="22"/>
                <w:szCs w:val="22"/>
              </w:rPr>
              <w:t>Tiesiskā regulējuma finansiālā ietekme</w:t>
            </w:r>
          </w:p>
        </w:tc>
        <w:tc>
          <w:tcPr>
            <w:tcW w:w="4791" w:type="dxa"/>
          </w:tcPr>
          <w:p w:rsidR="006614A2" w:rsidRPr="00E94CED" w:rsidRDefault="006614A2" w:rsidP="00A70FE0">
            <w:pPr>
              <w:jc w:val="both"/>
              <w:rPr>
                <w:highlight w:val="yellow"/>
              </w:rPr>
            </w:pPr>
            <w:r>
              <w:t>Ir</w:t>
            </w:r>
            <w:r w:rsidRPr="00730C5C">
              <w:t xml:space="preserve"> iespējama pozitīva ietekme ilgtermiņā</w:t>
            </w:r>
            <w:r>
              <w:t xml:space="preserve">, ņemot vērā programmas dalībniekam izvirzītās prasības, </w:t>
            </w:r>
            <w:proofErr w:type="spellStart"/>
            <w:r>
              <w:t>t.sk</w:t>
            </w:r>
            <w:proofErr w:type="spellEnd"/>
            <w:r>
              <w:t>. savlaicīga</w:t>
            </w:r>
            <w:r w:rsidRPr="000D46D2">
              <w:t xml:space="preserve"> nodokļu nomaksu </w:t>
            </w:r>
            <w:r>
              <w:t>budžetā veikšana</w:t>
            </w:r>
            <w:r w:rsidR="00651807">
              <w:t>.</w:t>
            </w:r>
          </w:p>
        </w:tc>
      </w:tr>
      <w:tr w:rsidR="006614A2" w:rsidRPr="007C0F2C" w:rsidTr="00FD2A8A">
        <w:trPr>
          <w:trHeight w:val="517"/>
        </w:trPr>
        <w:tc>
          <w:tcPr>
            <w:tcW w:w="572" w:type="dxa"/>
          </w:tcPr>
          <w:p w:rsidR="006614A2" w:rsidRPr="007C0F2C" w:rsidRDefault="006614A2" w:rsidP="006C4607">
            <w:pPr>
              <w:pStyle w:val="naiskr"/>
              <w:spacing w:before="0" w:after="0"/>
              <w:rPr>
                <w:sz w:val="22"/>
                <w:szCs w:val="22"/>
              </w:rPr>
            </w:pPr>
            <w:r w:rsidRPr="007C0F2C">
              <w:rPr>
                <w:sz w:val="22"/>
                <w:szCs w:val="22"/>
              </w:rPr>
              <w:t>4.</w:t>
            </w:r>
          </w:p>
        </w:tc>
        <w:tc>
          <w:tcPr>
            <w:tcW w:w="4395" w:type="dxa"/>
          </w:tcPr>
          <w:p w:rsidR="006614A2" w:rsidRPr="007C0F2C" w:rsidRDefault="006614A2" w:rsidP="006C4607">
            <w:pPr>
              <w:pStyle w:val="naiskr"/>
              <w:spacing w:before="0" w:after="0"/>
              <w:rPr>
                <w:sz w:val="22"/>
                <w:szCs w:val="22"/>
              </w:rPr>
            </w:pPr>
            <w:r w:rsidRPr="007C0F2C">
              <w:rPr>
                <w:sz w:val="22"/>
                <w:szCs w:val="22"/>
              </w:rPr>
              <w:t>Tiesiskā regulējuma nefinansiālā ietekme</w:t>
            </w:r>
          </w:p>
        </w:tc>
        <w:tc>
          <w:tcPr>
            <w:tcW w:w="4791" w:type="dxa"/>
          </w:tcPr>
          <w:p w:rsidR="006614A2" w:rsidRPr="00E94CED" w:rsidRDefault="006614A2" w:rsidP="00771574">
            <w:pPr>
              <w:jc w:val="both"/>
            </w:pPr>
            <w:r>
              <w:t>Veicino</w:t>
            </w:r>
            <w:r w:rsidRPr="00771574">
              <w:t>t efektīvāku sadarbību starp nodokļu maksātāju un nodokļu administrāciju</w:t>
            </w:r>
            <w:r>
              <w:t>,</w:t>
            </w:r>
            <w:r w:rsidRPr="00771574">
              <w:t xml:space="preserve"> </w:t>
            </w:r>
            <w:r>
              <w:t>ir paredzama uzņēmējdarbības vides uzlabošanās.</w:t>
            </w:r>
          </w:p>
        </w:tc>
      </w:tr>
      <w:tr w:rsidR="006614A2" w:rsidRPr="007C0F2C" w:rsidTr="00FD2A8A">
        <w:trPr>
          <w:trHeight w:val="531"/>
        </w:trPr>
        <w:tc>
          <w:tcPr>
            <w:tcW w:w="572" w:type="dxa"/>
          </w:tcPr>
          <w:p w:rsidR="006614A2" w:rsidRPr="007C0F2C" w:rsidRDefault="006614A2" w:rsidP="006C4607">
            <w:pPr>
              <w:pStyle w:val="naiskr"/>
              <w:spacing w:before="0" w:after="0"/>
              <w:rPr>
                <w:sz w:val="22"/>
                <w:szCs w:val="22"/>
              </w:rPr>
            </w:pPr>
            <w:r w:rsidRPr="007C0F2C">
              <w:rPr>
                <w:sz w:val="22"/>
                <w:szCs w:val="22"/>
              </w:rPr>
              <w:t>5.</w:t>
            </w:r>
          </w:p>
        </w:tc>
        <w:tc>
          <w:tcPr>
            <w:tcW w:w="4395" w:type="dxa"/>
          </w:tcPr>
          <w:p w:rsidR="006614A2" w:rsidRPr="007C0F2C" w:rsidRDefault="006614A2" w:rsidP="006C4607">
            <w:pPr>
              <w:pStyle w:val="naiskr"/>
              <w:spacing w:before="0" w:after="0"/>
              <w:rPr>
                <w:sz w:val="22"/>
                <w:szCs w:val="22"/>
              </w:rPr>
            </w:pPr>
            <w:r w:rsidRPr="007C0F2C">
              <w:rPr>
                <w:sz w:val="22"/>
                <w:szCs w:val="22"/>
              </w:rPr>
              <w:t>Administratīvās procedūras raksturojums</w:t>
            </w:r>
          </w:p>
        </w:tc>
        <w:tc>
          <w:tcPr>
            <w:tcW w:w="4791" w:type="dxa"/>
          </w:tcPr>
          <w:p w:rsidR="00B34399" w:rsidRDefault="006614A2" w:rsidP="0032490F">
            <w:pPr>
              <w:jc w:val="both"/>
            </w:pPr>
            <w:r w:rsidRPr="00385F2F">
              <w:t>Dalība programmā ir brīvprātīga un noris administratīvā procesa ietvaros atbilstoši Administratīvā procesa likumam.</w:t>
            </w:r>
            <w:r w:rsidR="00B34399">
              <w:t xml:space="preserve"> Lai </w:t>
            </w:r>
            <w:r w:rsidR="00930B6C">
              <w:t xml:space="preserve">nodrošinātu efektīvāku programmas īstenošanu un informācijas patiesuma pārbaudi, nodokļu maksātāja iekļaušanas programmas procesā ir iesaistītas trīs iestādes: Valsts ieņēmumu dienests, Finanšu ministrija un Padziļinātās sadarbības programmas komisija. </w:t>
            </w:r>
            <w:r>
              <w:t xml:space="preserve">Lai pieteiktos dalībai programmā, kandidāts iesniedz pieteikumu elektroniski, izmantojot Valsts </w:t>
            </w:r>
            <w:r>
              <w:lastRenderedPageBreak/>
              <w:t xml:space="preserve">ieņēmumu dienesta Elektroniskās deklarēšanās sistēmu. </w:t>
            </w:r>
            <w:r w:rsidR="000D0019">
              <w:t>Pieteikuma</w:t>
            </w:r>
            <w:r w:rsidR="00D80DDD">
              <w:t xml:space="preserve">  </w:t>
            </w:r>
            <w:r w:rsidR="009E04E4">
              <w:t xml:space="preserve">  </w:t>
            </w:r>
            <w:r w:rsidRPr="00C47362">
              <w:t xml:space="preserve"> iesniegšana elektroniskā veidā paātrinās dokumentu apriti</w:t>
            </w:r>
            <w:r w:rsidR="00B5610C">
              <w:t xml:space="preserve"> un informācijas apmaiņu starp Valsts ieņēmumu dienestu un Finanšu ministriju (Finanšu ministrijai nebūs atsevišķi jāpieprasa  rakstiskā veidā papildu informācija, lai izvērtētu nodokļu atbilstību programmai)</w:t>
            </w:r>
            <w:r w:rsidRPr="00C47362">
              <w:t xml:space="preserve">, kā arī vienlaicīgi mazinās administratīvos šķēršļus nodokļu maksātājam, </w:t>
            </w:r>
            <w:r w:rsidR="00B5610C">
              <w:t>aizpildot pieteikumu elektroniskajā vidē,</w:t>
            </w:r>
            <w:r w:rsidRPr="00C47362">
              <w:t xml:space="preserve"> izmanto</w:t>
            </w:r>
            <w:r w:rsidR="00B5610C">
              <w:t xml:space="preserve">jot </w:t>
            </w:r>
            <w:r w:rsidRPr="007847E0">
              <w:t>Elektroniskās deklarēšanās sistēmu</w:t>
            </w:r>
            <w:r w:rsidR="00320E05">
              <w:t xml:space="preserve"> (līdzīgi kā likuma "Par nodokļiem un nodevām" 15.panta pirmās daļas 3.punktā ir noteikts pienākums iesniegt nodokļu deklarācijas</w:t>
            </w:r>
            <w:r w:rsidR="00651807">
              <w:t>,</w:t>
            </w:r>
            <w:r w:rsidR="00320E05">
              <w:t xml:space="preserve"> izmantojot Elektroniskās deklarēšanas sistēmu).</w:t>
            </w:r>
          </w:p>
          <w:p w:rsidR="008103A8" w:rsidRDefault="006614A2" w:rsidP="008103A8">
            <w:pPr>
              <w:jc w:val="both"/>
            </w:pPr>
            <w:r>
              <w:t>Finanšu ministrija pieņem lēmumu par nodokļu maksātāja</w:t>
            </w:r>
            <w:r w:rsidRPr="00D53CE1">
              <w:t xml:space="preserve"> iekļaušanu programmā, par atteikumu iekļaut </w:t>
            </w:r>
            <w:r w:rsidR="008E4DA2">
              <w:t>nodokļu maksātāju</w:t>
            </w:r>
            <w:r w:rsidRPr="00D53CE1">
              <w:t xml:space="preserve"> programmā, </w:t>
            </w:r>
            <w:r>
              <w:t>kā arī par nodokļu maksātāja kā programmas dalībnieka izslēgšanu no programmas.</w:t>
            </w:r>
            <w:r w:rsidR="0030148A">
              <w:t xml:space="preserve"> </w:t>
            </w:r>
            <w:r w:rsidR="0030148A" w:rsidRPr="0030148A">
              <w:t xml:space="preserve"> </w:t>
            </w:r>
            <w:r w:rsidR="009968C6" w:rsidRPr="00146FCE">
              <w:t xml:space="preserve">Savukārt noteikumu projekta 10.3.apakšpunktā un 19.punktā minētajos gadījumos, Finanšu ministrija pieņem lēmumu, pamatojoties uz komisijas sniegto </w:t>
            </w:r>
            <w:r w:rsidR="00146FCE">
              <w:t xml:space="preserve">atzinumu. </w:t>
            </w:r>
            <w:r w:rsidR="0077693A" w:rsidRPr="00146FCE">
              <w:t>A</w:t>
            </w:r>
            <w:r w:rsidR="005A220C" w:rsidRPr="00146FCE">
              <w:t>ttiecīgais</w:t>
            </w:r>
            <w:r w:rsidR="00764BC3" w:rsidRPr="00146FCE">
              <w:t xml:space="preserve"> lēmum</w:t>
            </w:r>
            <w:r w:rsidR="005A220C" w:rsidRPr="00146FCE">
              <w:t>s</w:t>
            </w:r>
            <w:r w:rsidR="00764BC3" w:rsidRPr="00146FCE">
              <w:t xml:space="preserve"> </w:t>
            </w:r>
            <w:r w:rsidR="0077693A" w:rsidRPr="00146FCE">
              <w:t>nodokļu maksātajam tiks</w:t>
            </w:r>
            <w:r w:rsidR="00764BC3" w:rsidRPr="00146FCE">
              <w:t xml:space="preserve"> paziņots </w:t>
            </w:r>
            <w:r w:rsidR="0077693A" w:rsidRPr="00146FCE">
              <w:t>Paziņošanas likumā</w:t>
            </w:r>
            <w:r w:rsidR="00764BC3" w:rsidRPr="00146FCE">
              <w:t xml:space="preserve"> noteiktajā kārtībā. </w:t>
            </w:r>
            <w:r w:rsidR="008103A8" w:rsidRPr="00146FCE">
              <w:t xml:space="preserve"> </w:t>
            </w:r>
          </w:p>
          <w:p w:rsidR="00C6785E" w:rsidRDefault="006614A2" w:rsidP="0032490F">
            <w:pPr>
              <w:jc w:val="both"/>
            </w:pPr>
            <w:r>
              <w:t xml:space="preserve">Informāciju Finanšu ministrijai un komisijai par kandidāta atbilstību dalībai programmā sniegs Valsts ieņēmumu dienests, sadarbojoties ar citām valsts pārvaldes iestādēm informācijas apmaiņā. </w:t>
            </w:r>
          </w:p>
          <w:p w:rsidR="0030148A" w:rsidRDefault="006614A2" w:rsidP="0032490F">
            <w:pPr>
              <w:jc w:val="both"/>
            </w:pPr>
            <w:r w:rsidRPr="00F35863">
              <w:t xml:space="preserve">Paredzams, ka informāciju par finanšu koeficientu vidējiem radītājiem nozarē </w:t>
            </w:r>
            <w:r>
              <w:t>tiks publicēta</w:t>
            </w:r>
            <w:r w:rsidRPr="0040576A">
              <w:t xml:space="preserve"> </w:t>
            </w:r>
            <w:r w:rsidR="0030148A">
              <w:t>Centrālās statistikas pārvald</w:t>
            </w:r>
            <w:r>
              <w:t>e</w:t>
            </w:r>
            <w:r w:rsidRPr="0040576A">
              <w:t>s mājas lapā un būs pieejam</w:t>
            </w:r>
            <w:r>
              <w:t>a</w:t>
            </w:r>
            <w:r w:rsidRPr="0040576A">
              <w:t xml:space="preserve"> visiem nodokļu maksātājiem. Turklāt mājas</w:t>
            </w:r>
            <w:r>
              <w:t xml:space="preserve"> lapā būs pieejama metodoloģija</w:t>
            </w:r>
            <w:r w:rsidRPr="0040576A">
              <w:t>, kā tiek aprēķināts konkrēts rādītājs.</w:t>
            </w:r>
          </w:p>
          <w:p w:rsidR="0040676E" w:rsidRDefault="0040676E" w:rsidP="0032490F">
            <w:pPr>
              <w:jc w:val="both"/>
            </w:pPr>
            <w:r>
              <w:t>Noteikumu projekt</w:t>
            </w:r>
            <w:r w:rsidR="002A4CC6">
              <w:t xml:space="preserve">s </w:t>
            </w:r>
            <w:r>
              <w:t>paredz arī kārt</w:t>
            </w:r>
            <w:r w:rsidR="002A4CC6">
              <w:t>ību</w:t>
            </w:r>
            <w:r>
              <w:t>, kādā</w:t>
            </w:r>
            <w:r w:rsidR="0092778F">
              <w:t xml:space="preserve"> programmas dalībnieks tiek izslēgts no programmas.</w:t>
            </w:r>
            <w:r>
              <w:t xml:space="preserve"> Ja programmas dalībnieks pēc uzņemšanas programmā neatbilst noteikumu </w:t>
            </w:r>
            <w:r w:rsidR="0092778F">
              <w:t>15.1., 15.2., 15.3., 15.4. un 15.5.apakš</w:t>
            </w:r>
            <w:r>
              <w:t>punktā minētajiem kritērijiem, tas tiek izslēgts no reģistra bez brīdinājuma. Savukārt, ja dalībnieks neatbilst noteikumu</w:t>
            </w:r>
            <w:r w:rsidR="0092778F">
              <w:t xml:space="preserve"> projekta 3.2, 3.3. un 3.8.apakšpunktā minētajiem kritērijiem, tam tiek izteikts brīdinājums un 30 dienu laikā dalībniekam ir iespējams novērst neatbilstības programmai.</w:t>
            </w:r>
          </w:p>
          <w:p w:rsidR="006614A2" w:rsidRPr="00E94CED" w:rsidRDefault="0040676E" w:rsidP="0032490F">
            <w:pPr>
              <w:jc w:val="both"/>
            </w:pPr>
            <w:r>
              <w:t xml:space="preserve">Nodokļu maksātāja </w:t>
            </w:r>
            <w:r w:rsidR="006614A2">
              <w:t>iesniegtā informācija</w:t>
            </w:r>
            <w:r>
              <w:t xml:space="preserve"> uzņemšanai programmā</w:t>
            </w:r>
            <w:r w:rsidR="006614A2">
              <w:t xml:space="preserve"> būs pieejama Finanšu ministrijai, Valsts ieņēmumu dienestam un </w:t>
            </w:r>
            <w:r w:rsidR="006614A2">
              <w:lastRenderedPageBreak/>
              <w:t>Padziļinātās sadarbības programmas komisijai.</w:t>
            </w:r>
          </w:p>
        </w:tc>
      </w:tr>
      <w:tr w:rsidR="006614A2" w:rsidRPr="007C0F2C" w:rsidTr="00FD2A8A">
        <w:trPr>
          <w:trHeight w:val="357"/>
        </w:trPr>
        <w:tc>
          <w:tcPr>
            <w:tcW w:w="572" w:type="dxa"/>
          </w:tcPr>
          <w:p w:rsidR="006614A2" w:rsidRPr="007C0F2C" w:rsidRDefault="006614A2" w:rsidP="006C4607">
            <w:pPr>
              <w:pStyle w:val="naiskr"/>
              <w:spacing w:before="0" w:after="0"/>
              <w:rPr>
                <w:sz w:val="22"/>
                <w:szCs w:val="22"/>
              </w:rPr>
            </w:pPr>
            <w:r w:rsidRPr="007C0F2C">
              <w:rPr>
                <w:sz w:val="22"/>
                <w:szCs w:val="22"/>
              </w:rPr>
              <w:lastRenderedPageBreak/>
              <w:t>6.</w:t>
            </w:r>
          </w:p>
        </w:tc>
        <w:tc>
          <w:tcPr>
            <w:tcW w:w="4395" w:type="dxa"/>
          </w:tcPr>
          <w:p w:rsidR="006614A2" w:rsidRPr="007C0F2C" w:rsidRDefault="006614A2" w:rsidP="006C4607">
            <w:pPr>
              <w:pStyle w:val="naiskr"/>
              <w:spacing w:before="0" w:after="0"/>
              <w:rPr>
                <w:sz w:val="22"/>
                <w:szCs w:val="22"/>
              </w:rPr>
            </w:pPr>
            <w:r w:rsidRPr="007C0F2C">
              <w:rPr>
                <w:sz w:val="22"/>
                <w:szCs w:val="22"/>
              </w:rPr>
              <w:t>Administratīvo izmaksu monetārs novērtējums</w:t>
            </w:r>
          </w:p>
        </w:tc>
        <w:tc>
          <w:tcPr>
            <w:tcW w:w="4791" w:type="dxa"/>
          </w:tcPr>
          <w:p w:rsidR="006614A2" w:rsidRPr="00E94CED" w:rsidRDefault="006614A2" w:rsidP="0032490F">
            <w:pPr>
              <w:jc w:val="both"/>
            </w:pPr>
            <w:r>
              <w:t>Noteikumu projekts šo jomu neskar.</w:t>
            </w:r>
          </w:p>
        </w:tc>
      </w:tr>
      <w:tr w:rsidR="006614A2" w:rsidRPr="007C0F2C" w:rsidTr="00FD2A8A">
        <w:tc>
          <w:tcPr>
            <w:tcW w:w="572" w:type="dxa"/>
          </w:tcPr>
          <w:p w:rsidR="006614A2" w:rsidRPr="007C0F2C" w:rsidRDefault="006614A2" w:rsidP="006C4607">
            <w:pPr>
              <w:pStyle w:val="naiskr"/>
              <w:spacing w:before="0" w:after="0"/>
              <w:rPr>
                <w:sz w:val="22"/>
                <w:szCs w:val="22"/>
              </w:rPr>
            </w:pPr>
            <w:r w:rsidRPr="007C0F2C">
              <w:rPr>
                <w:sz w:val="22"/>
                <w:szCs w:val="22"/>
              </w:rPr>
              <w:t>7.</w:t>
            </w:r>
          </w:p>
        </w:tc>
        <w:tc>
          <w:tcPr>
            <w:tcW w:w="4395" w:type="dxa"/>
          </w:tcPr>
          <w:p w:rsidR="006614A2" w:rsidRPr="007C0F2C" w:rsidRDefault="006614A2" w:rsidP="006C4607">
            <w:pPr>
              <w:pStyle w:val="naiskr"/>
              <w:spacing w:before="0" w:after="0"/>
              <w:rPr>
                <w:sz w:val="22"/>
                <w:szCs w:val="22"/>
              </w:rPr>
            </w:pPr>
            <w:r w:rsidRPr="007C0F2C">
              <w:rPr>
                <w:sz w:val="22"/>
                <w:szCs w:val="22"/>
              </w:rPr>
              <w:t>Cita informācija</w:t>
            </w:r>
          </w:p>
        </w:tc>
        <w:tc>
          <w:tcPr>
            <w:tcW w:w="4791" w:type="dxa"/>
          </w:tcPr>
          <w:p w:rsidR="006614A2" w:rsidRPr="00E94CED" w:rsidRDefault="00651807" w:rsidP="0032490F">
            <w:pPr>
              <w:jc w:val="both"/>
            </w:pPr>
            <w:r>
              <w:t>Nav</w:t>
            </w:r>
          </w:p>
        </w:tc>
      </w:tr>
    </w:tbl>
    <w:p w:rsidR="006614A2" w:rsidRDefault="006614A2" w:rsidP="0032490F">
      <w:pPr>
        <w:jc w:val="both"/>
      </w:pPr>
    </w:p>
    <w:tbl>
      <w:tblPr>
        <w:tblpPr w:leftFromText="180" w:rightFromText="180" w:vertAnchor="text" w:tblpX="-254" w:tblpY="348"/>
        <w:tblW w:w="528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3"/>
        <w:gridCol w:w="1329"/>
        <w:gridCol w:w="1458"/>
        <w:gridCol w:w="1240"/>
        <w:gridCol w:w="1240"/>
        <w:gridCol w:w="1525"/>
      </w:tblGrid>
      <w:tr w:rsidR="001372DA" w:rsidRPr="0071106B" w:rsidTr="00B03304">
        <w:trPr>
          <w:trHeight w:val="180"/>
        </w:trPr>
        <w:tc>
          <w:tcPr>
            <w:tcW w:w="4999" w:type="pct"/>
            <w:gridSpan w:val="6"/>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center"/>
              <w:rPr>
                <w:b/>
                <w:bCs/>
              </w:rPr>
            </w:pPr>
            <w:r w:rsidRPr="0071106B">
              <w:rPr>
                <w:b/>
                <w:bCs/>
              </w:rPr>
              <w:t>III. Tiesību akta projekta ietekme uz valsts budžetu un pašvaldību budžetiem</w:t>
            </w:r>
          </w:p>
        </w:tc>
      </w:tr>
      <w:tr w:rsidR="001372DA" w:rsidRPr="0071106B" w:rsidTr="00B03304">
        <w:trPr>
          <w:trHeight w:val="210"/>
        </w:trPr>
        <w:tc>
          <w:tcPr>
            <w:tcW w:w="1482" w:type="pct"/>
            <w:vMerge w:val="restart"/>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both"/>
              <w:rPr>
                <w:b/>
                <w:bCs/>
              </w:rPr>
            </w:pPr>
            <w:r w:rsidRPr="0071106B">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center"/>
              <w:rPr>
                <w:b/>
                <w:bCs/>
              </w:rPr>
            </w:pPr>
            <w:r>
              <w:rPr>
                <w:b/>
                <w:bCs/>
              </w:rPr>
              <w:t>2012</w:t>
            </w:r>
          </w:p>
        </w:tc>
        <w:tc>
          <w:tcPr>
            <w:tcW w:w="2074" w:type="pct"/>
            <w:gridSpan w:val="3"/>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both"/>
            </w:pPr>
            <w:r w:rsidRPr="0071106B">
              <w:t>Turpmākie trīs gadi (</w:t>
            </w:r>
            <w:proofErr w:type="spellStart"/>
            <w:r w:rsidRPr="0071106B">
              <w:t>tūkst</w:t>
            </w:r>
            <w:proofErr w:type="spellEnd"/>
            <w:r w:rsidRPr="0071106B">
              <w:t>. latu)</w:t>
            </w:r>
          </w:p>
        </w:tc>
      </w:tr>
      <w:tr w:rsidR="001372DA" w:rsidRPr="0071106B" w:rsidTr="00B03304">
        <w:trPr>
          <w:trHeight w:val="96"/>
        </w:trPr>
        <w:tc>
          <w:tcPr>
            <w:tcW w:w="1482" w:type="pct"/>
            <w:vMerge/>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jc w:val="both"/>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jc w:val="both"/>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center"/>
              <w:rPr>
                <w:b/>
                <w:bCs/>
              </w:rPr>
            </w:pPr>
            <w:r>
              <w:rPr>
                <w:b/>
                <w:bCs/>
              </w:rPr>
              <w:t>2013</w:t>
            </w:r>
          </w:p>
        </w:tc>
        <w:tc>
          <w:tcPr>
            <w:tcW w:w="0" w:type="auto"/>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center"/>
              <w:rPr>
                <w:b/>
                <w:bCs/>
              </w:rPr>
            </w:pPr>
            <w:r w:rsidRPr="0071106B">
              <w:rPr>
                <w:b/>
                <w:bCs/>
              </w:rPr>
              <w:t>201</w:t>
            </w:r>
            <w:r>
              <w:rPr>
                <w:b/>
                <w:bCs/>
              </w:rPr>
              <w:t>4</w:t>
            </w:r>
          </w:p>
        </w:tc>
        <w:tc>
          <w:tcPr>
            <w:tcW w:w="790" w:type="pct"/>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center"/>
              <w:rPr>
                <w:b/>
                <w:bCs/>
              </w:rPr>
            </w:pPr>
            <w:r w:rsidRPr="0071106B">
              <w:rPr>
                <w:b/>
                <w:bCs/>
              </w:rPr>
              <w:t>201</w:t>
            </w:r>
            <w:r>
              <w:rPr>
                <w:b/>
                <w:bCs/>
              </w:rPr>
              <w:t>5</w:t>
            </w:r>
          </w:p>
        </w:tc>
      </w:tr>
      <w:tr w:rsidR="001372DA" w:rsidRPr="0071106B" w:rsidTr="00B03304">
        <w:trPr>
          <w:trHeight w:val="96"/>
        </w:trPr>
        <w:tc>
          <w:tcPr>
            <w:tcW w:w="1482" w:type="pct"/>
            <w:vMerge/>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jc w:val="both"/>
              <w:rPr>
                <w:b/>
                <w:bCs/>
              </w:rPr>
            </w:pPr>
          </w:p>
        </w:tc>
        <w:tc>
          <w:tcPr>
            <w:tcW w:w="688" w:type="pct"/>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both"/>
            </w:pPr>
            <w:r w:rsidRPr="0071106B">
              <w:t>Saskaņā ar valsts budžetu kārtējam gadam</w:t>
            </w:r>
          </w:p>
        </w:tc>
        <w:tc>
          <w:tcPr>
            <w:tcW w:w="755" w:type="pct"/>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both"/>
            </w:pPr>
            <w:r w:rsidRPr="0071106B">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both"/>
            </w:pPr>
            <w:r w:rsidRPr="0071106B">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both"/>
            </w:pPr>
            <w:r w:rsidRPr="0071106B">
              <w:t>Izmaiņas, salīdzinot ar kārtējo (n) gadu</w:t>
            </w:r>
          </w:p>
        </w:tc>
        <w:tc>
          <w:tcPr>
            <w:tcW w:w="790" w:type="pct"/>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both"/>
            </w:pPr>
            <w:r w:rsidRPr="0071106B">
              <w:t>Izmaiņas, salīdzinot ar kārtējo (n) gadu</w:t>
            </w:r>
          </w:p>
        </w:tc>
      </w:tr>
      <w:tr w:rsidR="001372DA" w:rsidRPr="0071106B" w:rsidTr="00B03304">
        <w:trPr>
          <w:trHeight w:val="180"/>
        </w:trPr>
        <w:tc>
          <w:tcPr>
            <w:tcW w:w="1482" w:type="pct"/>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center"/>
            </w:pPr>
            <w:r w:rsidRPr="0071106B">
              <w:t>1</w:t>
            </w:r>
          </w:p>
        </w:tc>
        <w:tc>
          <w:tcPr>
            <w:tcW w:w="688" w:type="pct"/>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center"/>
            </w:pPr>
            <w:r w:rsidRPr="0071106B">
              <w:t>2</w:t>
            </w:r>
          </w:p>
        </w:tc>
        <w:tc>
          <w:tcPr>
            <w:tcW w:w="755" w:type="pct"/>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center"/>
            </w:pPr>
            <w:r w:rsidRPr="0071106B">
              <w:t>3</w:t>
            </w:r>
          </w:p>
        </w:tc>
        <w:tc>
          <w:tcPr>
            <w:tcW w:w="0" w:type="auto"/>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center"/>
            </w:pPr>
            <w:r w:rsidRPr="0071106B">
              <w:t>4</w:t>
            </w:r>
          </w:p>
        </w:tc>
        <w:tc>
          <w:tcPr>
            <w:tcW w:w="0" w:type="auto"/>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center"/>
            </w:pPr>
            <w:r w:rsidRPr="0071106B">
              <w:t>5</w:t>
            </w:r>
          </w:p>
        </w:tc>
        <w:tc>
          <w:tcPr>
            <w:tcW w:w="790" w:type="pct"/>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spacing w:before="100" w:beforeAutospacing="1" w:after="100" w:afterAutospacing="1"/>
              <w:jc w:val="center"/>
            </w:pPr>
            <w:r w:rsidRPr="0071106B">
              <w:t>6</w:t>
            </w:r>
          </w:p>
        </w:tc>
      </w:tr>
      <w:tr w:rsidR="001372DA" w:rsidRPr="0071106B" w:rsidTr="00B03304">
        <w:trPr>
          <w:trHeight w:val="28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1. Budžeta ieņēmumi:</w:t>
            </w:r>
          </w:p>
        </w:tc>
        <w:tc>
          <w:tcPr>
            <w:tcW w:w="3517" w:type="pct"/>
            <w:gridSpan w:val="5"/>
            <w:tcBorders>
              <w:top w:val="outset" w:sz="6" w:space="0" w:color="000000"/>
              <w:left w:val="outset" w:sz="6" w:space="0" w:color="000000"/>
              <w:bottom w:val="outset" w:sz="6" w:space="0" w:color="000000"/>
              <w:right w:val="outset" w:sz="6" w:space="0" w:color="000000"/>
            </w:tcBorders>
          </w:tcPr>
          <w:p w:rsidR="001372DA" w:rsidRPr="00D3117F" w:rsidRDefault="001372DA" w:rsidP="00651807">
            <w:pPr>
              <w:spacing w:line="360" w:lineRule="auto"/>
              <w:jc w:val="both"/>
            </w:pPr>
            <w:r w:rsidRPr="00CD0A77">
              <w:t>Noteikumu projekts šo jomu neskar.</w:t>
            </w:r>
          </w:p>
        </w:tc>
      </w:tr>
      <w:tr w:rsidR="001372DA" w:rsidRPr="0071106B" w:rsidTr="00B03304">
        <w:trPr>
          <w:trHeight w:val="731"/>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1.1. valsts pamatbudžets, tai skaitā ieņēmumi no maksas pakalpo-</w:t>
            </w:r>
            <w:proofErr w:type="spellStart"/>
            <w:r w:rsidRPr="0071106B">
              <w:t>jumiem</w:t>
            </w:r>
            <w:proofErr w:type="spellEnd"/>
            <w:r w:rsidRPr="0071106B">
              <w:t xml:space="preserve"> un citi pašu ieņēmumi</w:t>
            </w:r>
          </w:p>
        </w:tc>
        <w:tc>
          <w:tcPr>
            <w:tcW w:w="3517" w:type="pct"/>
            <w:gridSpan w:val="5"/>
            <w:tcBorders>
              <w:top w:val="outset" w:sz="6" w:space="0" w:color="000000"/>
              <w:left w:val="outset" w:sz="6" w:space="0" w:color="000000"/>
              <w:bottom w:val="outset" w:sz="6" w:space="0" w:color="000000"/>
              <w:right w:val="outset" w:sz="6" w:space="0" w:color="000000"/>
            </w:tcBorders>
          </w:tcPr>
          <w:p w:rsidR="001372DA" w:rsidRPr="00D3117F" w:rsidRDefault="001372DA" w:rsidP="00651807">
            <w:pPr>
              <w:spacing w:line="360" w:lineRule="auto"/>
              <w:jc w:val="both"/>
            </w:pPr>
            <w:r w:rsidRPr="00CD0A77">
              <w:t>Noteikumu projekts šo jomu neskar.</w:t>
            </w:r>
          </w:p>
        </w:tc>
      </w:tr>
      <w:tr w:rsidR="001372DA" w:rsidRPr="0071106B" w:rsidTr="00B03304">
        <w:trPr>
          <w:trHeight w:val="28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1.2. valsts speciālais budžets</w:t>
            </w:r>
          </w:p>
        </w:tc>
        <w:tc>
          <w:tcPr>
            <w:tcW w:w="3517" w:type="pct"/>
            <w:gridSpan w:val="5"/>
            <w:tcBorders>
              <w:top w:val="outset" w:sz="6" w:space="0" w:color="000000"/>
              <w:left w:val="outset" w:sz="6" w:space="0" w:color="000000"/>
              <w:bottom w:val="outset" w:sz="6" w:space="0" w:color="000000"/>
              <w:right w:val="outset" w:sz="6" w:space="0" w:color="000000"/>
            </w:tcBorders>
          </w:tcPr>
          <w:p w:rsidR="001372DA" w:rsidRPr="00CD0A77" w:rsidRDefault="001372DA" w:rsidP="00651807">
            <w:pPr>
              <w:spacing w:line="360" w:lineRule="auto"/>
              <w:jc w:val="both"/>
              <w:rPr>
                <w:b/>
              </w:rPr>
            </w:pPr>
            <w:r w:rsidRPr="00696423">
              <w:t>Noteikumu projekts šo jomu neskar.</w:t>
            </w:r>
          </w:p>
        </w:tc>
      </w:tr>
      <w:tr w:rsidR="001372DA" w:rsidRPr="0071106B" w:rsidTr="00B03304">
        <w:trPr>
          <w:trHeight w:val="27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1.3. pašvaldību budžets</w:t>
            </w:r>
          </w:p>
        </w:tc>
        <w:tc>
          <w:tcPr>
            <w:tcW w:w="3517" w:type="pct"/>
            <w:gridSpan w:val="5"/>
            <w:tcBorders>
              <w:top w:val="outset" w:sz="6" w:space="0" w:color="000000"/>
              <w:left w:val="outset" w:sz="6" w:space="0" w:color="000000"/>
              <w:bottom w:val="outset" w:sz="6" w:space="0" w:color="000000"/>
              <w:right w:val="outset" w:sz="6" w:space="0" w:color="000000"/>
            </w:tcBorders>
          </w:tcPr>
          <w:p w:rsidR="001372DA" w:rsidRPr="00CD0A77" w:rsidRDefault="001372DA" w:rsidP="00651807">
            <w:pPr>
              <w:spacing w:line="360" w:lineRule="auto"/>
              <w:jc w:val="both"/>
              <w:rPr>
                <w:b/>
              </w:rPr>
            </w:pPr>
            <w:r w:rsidRPr="00696423">
              <w:t>Noteikumu projekts šo jomu neskar.</w:t>
            </w:r>
          </w:p>
        </w:tc>
      </w:tr>
      <w:tr w:rsidR="001372DA" w:rsidRPr="0071106B" w:rsidTr="00B03304">
        <w:trPr>
          <w:trHeight w:val="28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2. Budžeta izdevumi:</w:t>
            </w:r>
          </w:p>
        </w:tc>
        <w:tc>
          <w:tcPr>
            <w:tcW w:w="3517" w:type="pct"/>
            <w:gridSpan w:val="5"/>
            <w:tcBorders>
              <w:top w:val="outset" w:sz="6" w:space="0" w:color="000000"/>
              <w:left w:val="outset" w:sz="6" w:space="0" w:color="000000"/>
              <w:bottom w:val="outset" w:sz="6" w:space="0" w:color="000000"/>
              <w:right w:val="outset" w:sz="6" w:space="0" w:color="000000"/>
            </w:tcBorders>
          </w:tcPr>
          <w:p w:rsidR="001372DA" w:rsidRPr="00CD0A77" w:rsidRDefault="001372DA" w:rsidP="00651807">
            <w:pPr>
              <w:spacing w:line="360" w:lineRule="auto"/>
              <w:jc w:val="both"/>
              <w:rPr>
                <w:b/>
              </w:rPr>
            </w:pPr>
            <w:r w:rsidRPr="00696423">
              <w:t>Noteikumu projekts šo jomu neskar.</w:t>
            </w:r>
          </w:p>
        </w:tc>
      </w:tr>
      <w:tr w:rsidR="001372DA" w:rsidRPr="0071106B" w:rsidTr="00B03304">
        <w:trPr>
          <w:trHeight w:val="28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2.1. valsts pamatbudžets</w:t>
            </w:r>
          </w:p>
        </w:tc>
        <w:tc>
          <w:tcPr>
            <w:tcW w:w="3517" w:type="pct"/>
            <w:gridSpan w:val="5"/>
            <w:tcBorders>
              <w:top w:val="outset" w:sz="6" w:space="0" w:color="000000"/>
              <w:left w:val="outset" w:sz="6" w:space="0" w:color="000000"/>
              <w:bottom w:val="outset" w:sz="6" w:space="0" w:color="000000"/>
              <w:right w:val="outset" w:sz="6" w:space="0" w:color="000000"/>
            </w:tcBorders>
          </w:tcPr>
          <w:p w:rsidR="001372DA" w:rsidRPr="00CD0A77" w:rsidRDefault="001372DA" w:rsidP="00651807">
            <w:pPr>
              <w:spacing w:line="360" w:lineRule="auto"/>
              <w:jc w:val="both"/>
              <w:rPr>
                <w:b/>
              </w:rPr>
            </w:pPr>
            <w:r w:rsidRPr="00696423">
              <w:t>Noteikumu projekts šo jomu neskar.</w:t>
            </w:r>
          </w:p>
        </w:tc>
      </w:tr>
      <w:tr w:rsidR="001372DA" w:rsidRPr="0071106B" w:rsidTr="00B03304">
        <w:trPr>
          <w:trHeight w:val="27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2.2. valsts speciālais budžets</w:t>
            </w:r>
          </w:p>
        </w:tc>
        <w:tc>
          <w:tcPr>
            <w:tcW w:w="3517" w:type="pct"/>
            <w:gridSpan w:val="5"/>
            <w:tcBorders>
              <w:top w:val="outset" w:sz="6" w:space="0" w:color="000000"/>
              <w:left w:val="outset" w:sz="6" w:space="0" w:color="000000"/>
              <w:bottom w:val="outset" w:sz="6" w:space="0" w:color="000000"/>
              <w:right w:val="outset" w:sz="6" w:space="0" w:color="000000"/>
            </w:tcBorders>
          </w:tcPr>
          <w:p w:rsidR="001372DA" w:rsidRPr="00CD0A77" w:rsidRDefault="001372DA" w:rsidP="00651807">
            <w:pPr>
              <w:spacing w:line="360" w:lineRule="auto"/>
              <w:jc w:val="both"/>
              <w:rPr>
                <w:b/>
              </w:rPr>
            </w:pPr>
            <w:r w:rsidRPr="00696423">
              <w:t>Noteikumu projekts šo jomu neskar.</w:t>
            </w:r>
          </w:p>
        </w:tc>
      </w:tr>
      <w:tr w:rsidR="001372DA" w:rsidRPr="0071106B" w:rsidTr="00B03304">
        <w:trPr>
          <w:trHeight w:val="28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2.3. pašvaldību budžets</w:t>
            </w:r>
          </w:p>
        </w:tc>
        <w:tc>
          <w:tcPr>
            <w:tcW w:w="3517" w:type="pct"/>
            <w:gridSpan w:val="5"/>
            <w:tcBorders>
              <w:top w:val="outset" w:sz="6" w:space="0" w:color="000000"/>
              <w:left w:val="outset" w:sz="6" w:space="0" w:color="000000"/>
              <w:bottom w:val="outset" w:sz="6" w:space="0" w:color="000000"/>
              <w:right w:val="outset" w:sz="6" w:space="0" w:color="000000"/>
            </w:tcBorders>
          </w:tcPr>
          <w:p w:rsidR="001372DA" w:rsidRPr="00CD0A77" w:rsidRDefault="001372DA" w:rsidP="00651807">
            <w:pPr>
              <w:spacing w:line="360" w:lineRule="auto"/>
              <w:jc w:val="both"/>
              <w:rPr>
                <w:b/>
              </w:rPr>
            </w:pPr>
            <w:r w:rsidRPr="00696423">
              <w:t>Noteikumu projekts šo jomu neskar.</w:t>
            </w:r>
          </w:p>
        </w:tc>
      </w:tr>
      <w:tr w:rsidR="001372DA" w:rsidRPr="0071106B" w:rsidTr="00B03304">
        <w:trPr>
          <w:trHeight w:val="27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3. Finansiālā ietekme:</w:t>
            </w:r>
          </w:p>
        </w:tc>
        <w:tc>
          <w:tcPr>
            <w:tcW w:w="3517" w:type="pct"/>
            <w:gridSpan w:val="5"/>
            <w:tcBorders>
              <w:top w:val="outset" w:sz="6" w:space="0" w:color="000000"/>
              <w:left w:val="outset" w:sz="6" w:space="0" w:color="000000"/>
              <w:bottom w:val="outset" w:sz="6" w:space="0" w:color="000000"/>
              <w:right w:val="outset" w:sz="6" w:space="0" w:color="000000"/>
            </w:tcBorders>
            <w:vAlign w:val="center"/>
          </w:tcPr>
          <w:p w:rsidR="001372DA" w:rsidRPr="00CD0A77" w:rsidRDefault="001372DA" w:rsidP="00651807">
            <w:pPr>
              <w:spacing w:line="360" w:lineRule="auto"/>
              <w:jc w:val="both"/>
              <w:rPr>
                <w:b/>
              </w:rPr>
            </w:pPr>
            <w:r w:rsidRPr="00696423">
              <w:t>Noteikumu projekts šo jomu neskar.</w:t>
            </w:r>
          </w:p>
        </w:tc>
      </w:tr>
      <w:tr w:rsidR="001372DA" w:rsidRPr="0071106B" w:rsidTr="00B03304">
        <w:trPr>
          <w:trHeight w:val="28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3.1. valsts pamatbudžets</w:t>
            </w:r>
          </w:p>
        </w:tc>
        <w:tc>
          <w:tcPr>
            <w:tcW w:w="3517" w:type="pct"/>
            <w:gridSpan w:val="5"/>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line="360" w:lineRule="auto"/>
              <w:jc w:val="both"/>
            </w:pPr>
            <w:r w:rsidRPr="00696423">
              <w:t>Noteikumu projekts šo jomu neskar.</w:t>
            </w:r>
          </w:p>
        </w:tc>
      </w:tr>
      <w:tr w:rsidR="001372DA" w:rsidRPr="0071106B" w:rsidTr="00B03304">
        <w:trPr>
          <w:trHeight w:val="28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3.2. speciālais budžets</w:t>
            </w:r>
          </w:p>
        </w:tc>
        <w:tc>
          <w:tcPr>
            <w:tcW w:w="3517" w:type="pct"/>
            <w:gridSpan w:val="5"/>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line="360" w:lineRule="auto"/>
              <w:jc w:val="both"/>
            </w:pPr>
            <w:r w:rsidRPr="00696423">
              <w:t>Noteikumu projekts šo jomu neskar.</w:t>
            </w:r>
          </w:p>
        </w:tc>
      </w:tr>
      <w:tr w:rsidR="001372DA" w:rsidRPr="0071106B" w:rsidTr="00B03304">
        <w:trPr>
          <w:trHeight w:val="27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3.3. pašvaldību budžets</w:t>
            </w:r>
          </w:p>
        </w:tc>
        <w:tc>
          <w:tcPr>
            <w:tcW w:w="3517" w:type="pct"/>
            <w:gridSpan w:val="5"/>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line="360" w:lineRule="auto"/>
              <w:jc w:val="both"/>
            </w:pPr>
            <w:r w:rsidRPr="00696423">
              <w:t>Noteikumu projekts šo jomu neskar.</w:t>
            </w:r>
          </w:p>
        </w:tc>
      </w:tr>
      <w:tr w:rsidR="001372DA" w:rsidRPr="0071106B" w:rsidTr="00B03304">
        <w:trPr>
          <w:trHeight w:val="1105"/>
        </w:trPr>
        <w:tc>
          <w:tcPr>
            <w:tcW w:w="1482" w:type="pct"/>
            <w:tcBorders>
              <w:top w:val="outset" w:sz="6" w:space="0" w:color="000000"/>
              <w:left w:val="outset" w:sz="6" w:space="0" w:color="000000"/>
              <w:bottom w:val="outset" w:sz="6" w:space="0" w:color="000000"/>
              <w:right w:val="outset" w:sz="6" w:space="0" w:color="000000"/>
            </w:tcBorders>
          </w:tcPr>
          <w:p w:rsidR="00B03304" w:rsidRDefault="001372DA" w:rsidP="00651807">
            <w:pPr>
              <w:spacing w:before="100" w:beforeAutospacing="1" w:after="100" w:afterAutospacing="1"/>
              <w:jc w:val="both"/>
            </w:pPr>
            <w:r w:rsidRPr="0071106B">
              <w:t>4. Finanšu līdzekļi papildu izde</w:t>
            </w:r>
            <w:r w:rsidRPr="0071106B">
              <w:softHyphen/>
              <w:t>vumu finansēšanai (kompensējošu izdevumu samazinājumu norāda ar "+" zīmi)</w:t>
            </w:r>
          </w:p>
          <w:p w:rsidR="00B03304" w:rsidRPr="0071106B" w:rsidRDefault="00B03304" w:rsidP="00651807">
            <w:pPr>
              <w:spacing w:before="100" w:beforeAutospacing="1" w:after="100" w:afterAutospacing="1"/>
              <w:jc w:val="both"/>
            </w:pPr>
          </w:p>
        </w:tc>
        <w:tc>
          <w:tcPr>
            <w:tcW w:w="3517" w:type="pct"/>
            <w:gridSpan w:val="5"/>
            <w:tcBorders>
              <w:top w:val="outset" w:sz="6" w:space="0" w:color="000000"/>
              <w:left w:val="outset" w:sz="6" w:space="0" w:color="000000"/>
              <w:right w:val="outset" w:sz="6" w:space="0" w:color="000000"/>
            </w:tcBorders>
          </w:tcPr>
          <w:p w:rsidR="001372DA" w:rsidRPr="0071106B" w:rsidRDefault="001372DA" w:rsidP="00651807">
            <w:pPr>
              <w:spacing w:line="360" w:lineRule="auto"/>
              <w:jc w:val="both"/>
            </w:pPr>
            <w:r w:rsidRPr="00696423">
              <w:t>Noteikumu projekts šo jomu neskar.</w:t>
            </w:r>
          </w:p>
        </w:tc>
      </w:tr>
      <w:tr w:rsidR="001372DA" w:rsidRPr="0071106B" w:rsidTr="00B03304">
        <w:trPr>
          <w:trHeight w:val="210"/>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5. Precizēta finansiālā ietekme:</w:t>
            </w:r>
          </w:p>
        </w:tc>
        <w:tc>
          <w:tcPr>
            <w:tcW w:w="3517" w:type="pct"/>
            <w:gridSpan w:val="5"/>
            <w:vMerge w:val="restart"/>
            <w:tcBorders>
              <w:top w:val="outset" w:sz="6" w:space="0" w:color="000000"/>
              <w:left w:val="outset" w:sz="6" w:space="0" w:color="000000"/>
              <w:right w:val="outset" w:sz="6" w:space="0" w:color="000000"/>
            </w:tcBorders>
          </w:tcPr>
          <w:p w:rsidR="001372DA" w:rsidRPr="0071106B" w:rsidRDefault="001372DA" w:rsidP="00651807">
            <w:pPr>
              <w:spacing w:line="360" w:lineRule="auto"/>
              <w:jc w:val="both"/>
            </w:pPr>
            <w:r w:rsidRPr="00696423">
              <w:t>Noteikumu projekts šo jomu neskar.</w:t>
            </w:r>
          </w:p>
        </w:tc>
      </w:tr>
      <w:tr w:rsidR="001372DA" w:rsidRPr="0071106B" w:rsidTr="00B03304">
        <w:trPr>
          <w:trHeight w:val="96"/>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5.1. valsts pamatbudžets</w:t>
            </w:r>
          </w:p>
        </w:tc>
        <w:tc>
          <w:tcPr>
            <w:tcW w:w="3517" w:type="pct"/>
            <w:gridSpan w:val="5"/>
            <w:vMerge/>
            <w:tcBorders>
              <w:left w:val="outset" w:sz="6" w:space="0" w:color="000000"/>
              <w:right w:val="outset" w:sz="6" w:space="0" w:color="000000"/>
            </w:tcBorders>
            <w:vAlign w:val="center"/>
          </w:tcPr>
          <w:p w:rsidR="001372DA" w:rsidRPr="0071106B" w:rsidRDefault="001372DA" w:rsidP="00651807">
            <w:pPr>
              <w:spacing w:line="360" w:lineRule="auto"/>
              <w:jc w:val="center"/>
            </w:pPr>
          </w:p>
        </w:tc>
      </w:tr>
      <w:tr w:rsidR="001372DA" w:rsidRPr="0071106B" w:rsidTr="00B03304">
        <w:trPr>
          <w:trHeight w:val="96"/>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lastRenderedPageBreak/>
              <w:t>5.2. speciālais budžets</w:t>
            </w:r>
          </w:p>
        </w:tc>
        <w:tc>
          <w:tcPr>
            <w:tcW w:w="3517" w:type="pct"/>
            <w:gridSpan w:val="5"/>
            <w:vMerge/>
            <w:tcBorders>
              <w:left w:val="outset" w:sz="6" w:space="0" w:color="000000"/>
              <w:right w:val="outset" w:sz="6" w:space="0" w:color="000000"/>
            </w:tcBorders>
            <w:vAlign w:val="center"/>
          </w:tcPr>
          <w:p w:rsidR="001372DA" w:rsidRPr="0071106B" w:rsidRDefault="001372DA" w:rsidP="00651807">
            <w:pPr>
              <w:spacing w:line="360" w:lineRule="auto"/>
              <w:jc w:val="center"/>
            </w:pPr>
          </w:p>
        </w:tc>
      </w:tr>
      <w:tr w:rsidR="001372DA" w:rsidRPr="0071106B" w:rsidTr="00B03304">
        <w:trPr>
          <w:trHeight w:val="96"/>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5.3. pašvaldību budžets</w:t>
            </w:r>
          </w:p>
        </w:tc>
        <w:tc>
          <w:tcPr>
            <w:tcW w:w="3517" w:type="pct"/>
            <w:gridSpan w:val="5"/>
            <w:vMerge/>
            <w:tcBorders>
              <w:left w:val="outset" w:sz="6" w:space="0" w:color="000000"/>
              <w:bottom w:val="outset" w:sz="6" w:space="0" w:color="000000"/>
              <w:right w:val="outset" w:sz="6" w:space="0" w:color="000000"/>
            </w:tcBorders>
            <w:vAlign w:val="center"/>
          </w:tcPr>
          <w:p w:rsidR="001372DA" w:rsidRPr="0071106B" w:rsidRDefault="001372DA" w:rsidP="00651807">
            <w:pPr>
              <w:spacing w:line="360" w:lineRule="auto"/>
              <w:jc w:val="center"/>
            </w:pPr>
          </w:p>
        </w:tc>
      </w:tr>
      <w:tr w:rsidR="001372DA" w:rsidRPr="0071106B" w:rsidTr="00B03304">
        <w:trPr>
          <w:trHeight w:val="96"/>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6. Detalizēts ieņēmumu un izdevu</w:t>
            </w:r>
            <w:r w:rsidRPr="0071106B">
              <w:softHyphen/>
              <w:t>mu aprēķins (ja nepieciešams, detalizētu ieņēmumu un izdevumu aprēķinu var pievienot anotācijas pielikumā):</w:t>
            </w:r>
          </w:p>
        </w:tc>
        <w:tc>
          <w:tcPr>
            <w:tcW w:w="3517" w:type="pct"/>
            <w:gridSpan w:val="5"/>
            <w:vMerge w:val="restart"/>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r w:rsidRPr="00696423">
              <w:t>Noteikumu projekts šo jomu neskar.</w:t>
            </w:r>
          </w:p>
        </w:tc>
      </w:tr>
      <w:tr w:rsidR="001372DA" w:rsidRPr="0071106B" w:rsidTr="00B03304">
        <w:trPr>
          <w:trHeight w:val="96"/>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6.1. detalizēts ieņēmumu aprēķins</w:t>
            </w:r>
          </w:p>
        </w:tc>
        <w:tc>
          <w:tcPr>
            <w:tcW w:w="3517" w:type="pct"/>
            <w:gridSpan w:val="5"/>
            <w:vMerge/>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jc w:val="both"/>
            </w:pPr>
          </w:p>
        </w:tc>
      </w:tr>
      <w:tr w:rsidR="001372DA" w:rsidRPr="0071106B" w:rsidTr="00B03304">
        <w:trPr>
          <w:trHeight w:val="96"/>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6.2. detalizēts izdevumu aprēķins</w:t>
            </w:r>
          </w:p>
        </w:tc>
        <w:tc>
          <w:tcPr>
            <w:tcW w:w="3517" w:type="pct"/>
            <w:gridSpan w:val="5"/>
            <w:vMerge/>
            <w:tcBorders>
              <w:top w:val="outset" w:sz="6" w:space="0" w:color="000000"/>
              <w:left w:val="outset" w:sz="6" w:space="0" w:color="000000"/>
              <w:bottom w:val="outset" w:sz="6" w:space="0" w:color="000000"/>
              <w:right w:val="outset" w:sz="6" w:space="0" w:color="000000"/>
            </w:tcBorders>
            <w:vAlign w:val="center"/>
          </w:tcPr>
          <w:p w:rsidR="001372DA" w:rsidRPr="0071106B" w:rsidRDefault="001372DA" w:rsidP="00651807">
            <w:pPr>
              <w:jc w:val="both"/>
            </w:pPr>
          </w:p>
        </w:tc>
      </w:tr>
      <w:tr w:rsidR="001372DA" w:rsidRPr="0071106B" w:rsidTr="00B03304">
        <w:trPr>
          <w:trHeight w:val="1111"/>
        </w:trPr>
        <w:tc>
          <w:tcPr>
            <w:tcW w:w="1482" w:type="pct"/>
            <w:tcBorders>
              <w:top w:val="outset" w:sz="6" w:space="0" w:color="000000"/>
              <w:left w:val="outset" w:sz="6" w:space="0" w:color="000000"/>
              <w:bottom w:val="outset" w:sz="6" w:space="0" w:color="000000"/>
              <w:right w:val="outset" w:sz="6" w:space="0" w:color="000000"/>
            </w:tcBorders>
          </w:tcPr>
          <w:p w:rsidR="001372DA" w:rsidRPr="0071106B" w:rsidRDefault="001372DA" w:rsidP="00651807">
            <w:pPr>
              <w:spacing w:before="100" w:beforeAutospacing="1" w:after="100" w:afterAutospacing="1"/>
              <w:jc w:val="both"/>
            </w:pPr>
            <w:r w:rsidRPr="0071106B">
              <w:t>7. Cita informācija</w:t>
            </w:r>
          </w:p>
        </w:tc>
        <w:tc>
          <w:tcPr>
            <w:tcW w:w="3517" w:type="pct"/>
            <w:gridSpan w:val="5"/>
            <w:tcBorders>
              <w:top w:val="outset" w:sz="6" w:space="0" w:color="000000"/>
              <w:left w:val="outset" w:sz="6" w:space="0" w:color="000000"/>
              <w:bottom w:val="outset" w:sz="6" w:space="0" w:color="000000"/>
              <w:right w:val="outset" w:sz="6" w:space="0" w:color="000000"/>
            </w:tcBorders>
          </w:tcPr>
          <w:p w:rsidR="003A715A" w:rsidRDefault="003A715A" w:rsidP="00651807">
            <w:pPr>
              <w:ind w:firstLine="117"/>
              <w:jc w:val="both"/>
              <w:rPr>
                <w:szCs w:val="28"/>
              </w:rPr>
            </w:pPr>
            <w:r>
              <w:rPr>
                <w:szCs w:val="28"/>
              </w:rPr>
              <w:t>Padziļinātās sadarbības programmas īstenošana tiks nodrošināta esošā budžeta ietvaros.</w:t>
            </w:r>
          </w:p>
          <w:p w:rsidR="003A715A" w:rsidRPr="003A715A" w:rsidRDefault="003A715A" w:rsidP="00651807">
            <w:pPr>
              <w:ind w:firstLine="117"/>
              <w:jc w:val="both"/>
              <w:rPr>
                <w:szCs w:val="28"/>
              </w:rPr>
            </w:pPr>
            <w:r>
              <w:rPr>
                <w:szCs w:val="28"/>
              </w:rPr>
              <w:t>Lai nodrošinātu Finanšu ministrijas informācijas sistēmas savietošanu ar Sodu reģistru nodokļu maksātāju atbilstības Padziļinātās sadarbības programmas kritēriju izvērtēšanai, 2013.gada tiks pieprasīts papildu finansējums.</w:t>
            </w:r>
          </w:p>
        </w:tc>
      </w:tr>
    </w:tbl>
    <w:p w:rsidR="001372DA" w:rsidRPr="00B03304" w:rsidRDefault="001372DA" w:rsidP="0032490F">
      <w:pPr>
        <w:jc w:val="both"/>
        <w:rPr>
          <w:sz w:val="16"/>
          <w:szCs w:val="16"/>
        </w:rPr>
      </w:pPr>
    </w:p>
    <w:p w:rsidR="001372DA" w:rsidRPr="00B03304" w:rsidRDefault="001372DA" w:rsidP="0032490F">
      <w:pPr>
        <w:jc w:val="both"/>
        <w:rPr>
          <w:sz w:val="16"/>
          <w:szCs w:val="16"/>
        </w:rPr>
      </w:pPr>
    </w:p>
    <w:p w:rsidR="006614A2" w:rsidRPr="00153E34" w:rsidRDefault="006614A2" w:rsidP="00153E34">
      <w:pPr>
        <w:rPr>
          <w:vanish/>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707"/>
        <w:gridCol w:w="6457"/>
      </w:tblGrid>
      <w:tr w:rsidR="006614A2" w:rsidRPr="00153E34" w:rsidTr="00BF280F">
        <w:tc>
          <w:tcPr>
            <w:tcW w:w="9640" w:type="dxa"/>
            <w:gridSpan w:val="3"/>
            <w:tcBorders>
              <w:left w:val="single" w:sz="2" w:space="0" w:color="auto"/>
            </w:tcBorders>
            <w:hideMark/>
          </w:tcPr>
          <w:p w:rsidR="006614A2" w:rsidRPr="00153E34" w:rsidRDefault="006614A2" w:rsidP="00153E34">
            <w:pPr>
              <w:spacing w:before="100" w:beforeAutospacing="1" w:after="100" w:afterAutospacing="1"/>
              <w:jc w:val="center"/>
              <w:rPr>
                <w:b/>
                <w:bCs/>
                <w:sz w:val="26"/>
                <w:szCs w:val="26"/>
                <w:lang w:eastAsia="en-US"/>
              </w:rPr>
            </w:pPr>
            <w:r w:rsidRPr="00153E34">
              <w:rPr>
                <w:i/>
                <w:iCs/>
                <w:sz w:val="26"/>
                <w:szCs w:val="26"/>
              </w:rPr>
              <w:t> </w:t>
            </w:r>
            <w:r w:rsidRPr="00153E34">
              <w:rPr>
                <w:b/>
                <w:bCs/>
                <w:sz w:val="26"/>
                <w:szCs w:val="26"/>
              </w:rPr>
              <w:t>IV. Tiesību akta projekta ietekme uz spēkā esošo tiesību normu sistēmu</w:t>
            </w:r>
          </w:p>
        </w:tc>
      </w:tr>
      <w:tr w:rsidR="006614A2" w:rsidRPr="00153E34" w:rsidTr="00BF280F">
        <w:tc>
          <w:tcPr>
            <w:tcW w:w="476" w:type="dxa"/>
            <w:hideMark/>
          </w:tcPr>
          <w:p w:rsidR="006614A2" w:rsidRPr="00153E34" w:rsidRDefault="006614A2" w:rsidP="00153E34">
            <w:pPr>
              <w:spacing w:before="100" w:beforeAutospacing="1" w:after="100" w:afterAutospacing="1"/>
              <w:rPr>
                <w:sz w:val="26"/>
                <w:szCs w:val="26"/>
                <w:lang w:eastAsia="en-US"/>
              </w:rPr>
            </w:pPr>
            <w:r w:rsidRPr="00153E34">
              <w:rPr>
                <w:sz w:val="26"/>
                <w:szCs w:val="26"/>
              </w:rPr>
              <w:t> 1.</w:t>
            </w:r>
          </w:p>
        </w:tc>
        <w:tc>
          <w:tcPr>
            <w:tcW w:w="2707" w:type="dxa"/>
            <w:hideMark/>
          </w:tcPr>
          <w:p w:rsidR="006614A2" w:rsidRPr="00B03304" w:rsidRDefault="006614A2" w:rsidP="00153E34">
            <w:pPr>
              <w:spacing w:before="100" w:beforeAutospacing="1" w:after="100" w:afterAutospacing="1"/>
              <w:rPr>
                <w:lang w:eastAsia="en-US"/>
              </w:rPr>
            </w:pPr>
            <w:r w:rsidRPr="00B03304">
              <w:t> Nepieciešamie saistītie tiesību aktu projekti</w:t>
            </w:r>
          </w:p>
        </w:tc>
        <w:tc>
          <w:tcPr>
            <w:tcW w:w="6457" w:type="dxa"/>
            <w:hideMark/>
          </w:tcPr>
          <w:p w:rsidR="006614A2" w:rsidRPr="00B03304" w:rsidRDefault="006614A2" w:rsidP="00153E34">
            <w:pPr>
              <w:jc w:val="both"/>
            </w:pPr>
            <w:r w:rsidRPr="00B03304">
              <w:t>Noteikumu projekts Ministru kabinetā ir izskatāms vienlaicīgi ar:</w:t>
            </w:r>
          </w:p>
          <w:p w:rsidR="00A6405E" w:rsidRPr="00B03304" w:rsidRDefault="00A6405E" w:rsidP="00A6405E">
            <w:pPr>
              <w:numPr>
                <w:ilvl w:val="0"/>
                <w:numId w:val="14"/>
              </w:numPr>
              <w:jc w:val="both"/>
            </w:pPr>
            <w:r w:rsidRPr="00B03304">
              <w:t>Ministru kabineta noteikumu projektu „Padziļinātās sadarbības programmas komisijas nolikums”;</w:t>
            </w:r>
          </w:p>
          <w:p w:rsidR="006614A2" w:rsidRPr="00B03304" w:rsidRDefault="006614A2" w:rsidP="00153E34">
            <w:pPr>
              <w:numPr>
                <w:ilvl w:val="0"/>
                <w:numId w:val="14"/>
              </w:numPr>
              <w:jc w:val="both"/>
            </w:pPr>
            <w:r w:rsidRPr="00B03304">
              <w:t xml:space="preserve">Ministru kabineta noteikumu projektu "Grozījums Ministru kabineta 2010.gada </w:t>
            </w:r>
            <w:r w:rsidR="006D646F" w:rsidRPr="00B03304">
              <w:t>21.decembra noteikumos Nr.1135 „</w:t>
            </w:r>
            <w:r w:rsidRPr="00B03304">
              <w:t>Muitas procedūras – tranzīts – piemērošanas kārtība</w:t>
            </w:r>
            <w:r w:rsidR="00651807" w:rsidRPr="00B03304">
              <w:t>””</w:t>
            </w:r>
            <w:r w:rsidRPr="00B03304">
              <w:t>, kas paredz nodokļu maksātājam, kurš iekļauts Padziļinātās sadarbības programmā, atvieglot kārtību, kādā iegūt tiesības izmantot TIR procedūras un saņemt TIR karnetes;</w:t>
            </w:r>
          </w:p>
          <w:p w:rsidR="006614A2" w:rsidRPr="00B03304" w:rsidRDefault="006614A2" w:rsidP="00153E34">
            <w:pPr>
              <w:numPr>
                <w:ilvl w:val="0"/>
                <w:numId w:val="14"/>
              </w:numPr>
              <w:jc w:val="both"/>
            </w:pPr>
            <w:r w:rsidRPr="00B03304">
              <w:t>Ministru kabineta noteikumu projektu "Grozījumi Ministru kabineta 2011.gada</w:t>
            </w:r>
            <w:r w:rsidR="006D646F" w:rsidRPr="00B03304">
              <w:t xml:space="preserve"> 6.septembra noteikumos Nr.691 „</w:t>
            </w:r>
            <w:r w:rsidRPr="00B03304">
              <w:t>Noteikumi par nodokļu parāda galvojumu preču muitošanai</w:t>
            </w:r>
            <w:r w:rsidR="00651807" w:rsidRPr="00B03304">
              <w:t>””</w:t>
            </w:r>
            <w:r w:rsidRPr="00B03304">
              <w:t>, kas paredz atvieglot nodokļu maksātājam, kurš iekļauts Padziļinātās sadarbības programmā, nosacījumus saistībā ar nodokļu parāda galvojumu preču muitošanai;</w:t>
            </w:r>
          </w:p>
          <w:p w:rsidR="00E15E84" w:rsidRPr="00B03304" w:rsidRDefault="006614A2" w:rsidP="006D7555">
            <w:pPr>
              <w:numPr>
                <w:ilvl w:val="0"/>
                <w:numId w:val="14"/>
              </w:numPr>
              <w:jc w:val="both"/>
            </w:pPr>
            <w:r w:rsidRPr="00B03304">
              <w:t>Ministru kabineta noteikumu projektu "Grozījumi Ministru kabineta 2010.gada 30.marta noteikumos Nr.302 "Noteikumi par akcīzes nodokļa nodrošinājumiem</w:t>
            </w:r>
            <w:r w:rsidR="00651807" w:rsidRPr="00B03304">
              <w:t>””</w:t>
            </w:r>
            <w:r w:rsidRPr="00B03304">
              <w:t>, kas paredz nodokļu maksātājam, kurš iekļauts Padziļinātās sadarbības programmā, samazināt vispārējā nodrošinājuma apjomu.</w:t>
            </w:r>
          </w:p>
        </w:tc>
      </w:tr>
      <w:tr w:rsidR="006614A2" w:rsidRPr="00153E34" w:rsidTr="00BF280F">
        <w:tc>
          <w:tcPr>
            <w:tcW w:w="476" w:type="dxa"/>
            <w:hideMark/>
          </w:tcPr>
          <w:p w:rsidR="006614A2" w:rsidRPr="00153E34" w:rsidRDefault="006614A2" w:rsidP="00153E34">
            <w:pPr>
              <w:spacing w:before="100" w:beforeAutospacing="1" w:after="100" w:afterAutospacing="1"/>
              <w:rPr>
                <w:sz w:val="22"/>
                <w:szCs w:val="22"/>
                <w:lang w:eastAsia="en-US"/>
              </w:rPr>
            </w:pPr>
            <w:r w:rsidRPr="00153E34">
              <w:rPr>
                <w:sz w:val="22"/>
                <w:szCs w:val="22"/>
              </w:rPr>
              <w:t> 2.</w:t>
            </w:r>
          </w:p>
        </w:tc>
        <w:tc>
          <w:tcPr>
            <w:tcW w:w="2707" w:type="dxa"/>
            <w:hideMark/>
          </w:tcPr>
          <w:p w:rsidR="006614A2" w:rsidRPr="00153E34" w:rsidRDefault="006614A2" w:rsidP="00153E34">
            <w:pPr>
              <w:spacing w:before="100" w:beforeAutospacing="1" w:after="100" w:afterAutospacing="1"/>
              <w:rPr>
                <w:sz w:val="22"/>
                <w:szCs w:val="22"/>
                <w:lang w:eastAsia="en-US"/>
              </w:rPr>
            </w:pPr>
            <w:r w:rsidRPr="00153E34">
              <w:rPr>
                <w:sz w:val="22"/>
                <w:szCs w:val="22"/>
              </w:rPr>
              <w:t> Cita informācija</w:t>
            </w:r>
          </w:p>
        </w:tc>
        <w:tc>
          <w:tcPr>
            <w:tcW w:w="6457" w:type="dxa"/>
            <w:hideMark/>
          </w:tcPr>
          <w:p w:rsidR="006614A2" w:rsidRPr="00153E34" w:rsidRDefault="003A715A" w:rsidP="00DC2235">
            <w:pPr>
              <w:spacing w:before="100" w:beforeAutospacing="1" w:after="100" w:afterAutospacing="1"/>
              <w:jc w:val="both"/>
              <w:rPr>
                <w:sz w:val="22"/>
                <w:szCs w:val="22"/>
                <w:lang w:eastAsia="en-US"/>
              </w:rPr>
            </w:pPr>
            <w:r>
              <w:t xml:space="preserve">Ievērojot Valsts sekretāru sanāksmes 2012.gada 5.aprīļa protokola Nr.14 24.§ "Par konsultatīvo padomju personālsastāva apstiprināšanu ar Ministru kabineta rīkojumu", veicot citus būtiskus grozījumus likumā "Par nodokļiem un nodevām", Finanšu ministrija sagatavos likumprojektu, ka Padziļinātās sadarbības programmas komisijas personālsastāvu apstiprina </w:t>
            </w:r>
            <w:r>
              <w:lastRenderedPageBreak/>
              <w:t>finanšu ministrs.</w:t>
            </w:r>
          </w:p>
        </w:tc>
      </w:tr>
    </w:tbl>
    <w:p w:rsidR="006614A2" w:rsidRDefault="006614A2" w:rsidP="00233367">
      <w:pPr>
        <w:jc w:val="both"/>
      </w:pPr>
    </w:p>
    <w:p w:rsidR="006614A2" w:rsidRPr="007C0F2C" w:rsidRDefault="006614A2" w:rsidP="00691966">
      <w:pPr>
        <w:pStyle w:val="naisf"/>
        <w:spacing w:before="0" w:after="0"/>
        <w:ind w:firstLine="0"/>
        <w:rPr>
          <w:b/>
        </w:rPr>
      </w:pPr>
    </w:p>
    <w:tbl>
      <w:tblPr>
        <w:tblW w:w="9697"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4212"/>
        <w:gridCol w:w="5059"/>
      </w:tblGrid>
      <w:tr w:rsidR="006614A2" w:rsidRPr="007C0F2C" w:rsidTr="00BF280F">
        <w:trPr>
          <w:jc w:val="center"/>
        </w:trPr>
        <w:tc>
          <w:tcPr>
            <w:tcW w:w="9697" w:type="dxa"/>
            <w:gridSpan w:val="3"/>
          </w:tcPr>
          <w:p w:rsidR="006614A2" w:rsidRPr="007C0F2C" w:rsidRDefault="006614A2" w:rsidP="007D099D">
            <w:pPr>
              <w:pStyle w:val="naisnod"/>
              <w:spacing w:before="0" w:after="0"/>
              <w:ind w:left="57" w:right="57"/>
            </w:pPr>
            <w:r w:rsidRPr="007C0F2C">
              <w:t>VI. Sabiedrības līdzdalība un šīs līdzdalības rezultāti</w:t>
            </w:r>
          </w:p>
        </w:tc>
      </w:tr>
      <w:tr w:rsidR="006614A2" w:rsidRPr="007C0F2C" w:rsidTr="00BF280F">
        <w:trPr>
          <w:trHeight w:val="553"/>
          <w:jc w:val="center"/>
        </w:trPr>
        <w:tc>
          <w:tcPr>
            <w:tcW w:w="426" w:type="dxa"/>
          </w:tcPr>
          <w:p w:rsidR="006614A2" w:rsidRPr="007C0F2C" w:rsidRDefault="006614A2" w:rsidP="007D099D">
            <w:pPr>
              <w:pStyle w:val="naiskr"/>
              <w:spacing w:before="0" w:after="0"/>
              <w:ind w:left="57" w:right="57"/>
              <w:rPr>
                <w:bCs/>
                <w:sz w:val="22"/>
                <w:szCs w:val="22"/>
              </w:rPr>
            </w:pPr>
            <w:r w:rsidRPr="007C0F2C">
              <w:rPr>
                <w:bCs/>
                <w:sz w:val="22"/>
                <w:szCs w:val="22"/>
              </w:rPr>
              <w:t>1.</w:t>
            </w:r>
          </w:p>
        </w:tc>
        <w:tc>
          <w:tcPr>
            <w:tcW w:w="4212" w:type="dxa"/>
          </w:tcPr>
          <w:p w:rsidR="006614A2" w:rsidRPr="007C0F2C" w:rsidRDefault="006614A2" w:rsidP="007D099D">
            <w:pPr>
              <w:pStyle w:val="naiskr"/>
              <w:tabs>
                <w:tab w:val="left" w:pos="170"/>
              </w:tabs>
              <w:spacing w:before="0" w:after="0"/>
              <w:ind w:left="57" w:right="57"/>
              <w:rPr>
                <w:sz w:val="22"/>
                <w:szCs w:val="22"/>
              </w:rPr>
            </w:pPr>
            <w:r w:rsidRPr="007C0F2C">
              <w:rPr>
                <w:sz w:val="22"/>
                <w:szCs w:val="22"/>
              </w:rPr>
              <w:t>Sabiedrības informēšana par projekta izstrādes uzsākšanu</w:t>
            </w:r>
          </w:p>
        </w:tc>
        <w:tc>
          <w:tcPr>
            <w:tcW w:w="5059" w:type="dxa"/>
          </w:tcPr>
          <w:p w:rsidR="006614A2" w:rsidRPr="0032490F" w:rsidRDefault="006614A2" w:rsidP="007D099D">
            <w:pPr>
              <w:pStyle w:val="naiskr"/>
              <w:spacing w:before="0" w:after="0"/>
              <w:ind w:left="57" w:right="57"/>
              <w:jc w:val="both"/>
              <w:rPr>
                <w:sz w:val="22"/>
                <w:szCs w:val="22"/>
              </w:rPr>
            </w:pPr>
            <w:r w:rsidRPr="0032490F">
              <w:t>Noteikumu projekts šo jomu neskar.</w:t>
            </w:r>
          </w:p>
        </w:tc>
      </w:tr>
      <w:tr w:rsidR="006614A2" w:rsidRPr="007C0F2C" w:rsidTr="00BF280F">
        <w:trPr>
          <w:trHeight w:val="339"/>
          <w:jc w:val="center"/>
        </w:trPr>
        <w:tc>
          <w:tcPr>
            <w:tcW w:w="426" w:type="dxa"/>
          </w:tcPr>
          <w:p w:rsidR="006614A2" w:rsidRPr="007C0F2C" w:rsidRDefault="006614A2" w:rsidP="007D099D">
            <w:pPr>
              <w:pStyle w:val="naiskr"/>
              <w:spacing w:before="0" w:after="0"/>
              <w:ind w:left="57" w:right="57"/>
              <w:rPr>
                <w:bCs/>
                <w:sz w:val="22"/>
                <w:szCs w:val="22"/>
              </w:rPr>
            </w:pPr>
            <w:r w:rsidRPr="007C0F2C">
              <w:rPr>
                <w:bCs/>
                <w:sz w:val="22"/>
                <w:szCs w:val="22"/>
              </w:rPr>
              <w:t>2.</w:t>
            </w:r>
          </w:p>
        </w:tc>
        <w:tc>
          <w:tcPr>
            <w:tcW w:w="4212" w:type="dxa"/>
          </w:tcPr>
          <w:p w:rsidR="006614A2" w:rsidRPr="007C0F2C" w:rsidRDefault="006614A2" w:rsidP="007D099D">
            <w:pPr>
              <w:pStyle w:val="naiskr"/>
              <w:spacing w:before="0" w:after="0"/>
              <w:ind w:left="57" w:right="57"/>
              <w:rPr>
                <w:sz w:val="22"/>
                <w:szCs w:val="22"/>
              </w:rPr>
            </w:pPr>
            <w:r w:rsidRPr="007C0F2C">
              <w:rPr>
                <w:sz w:val="22"/>
                <w:szCs w:val="22"/>
              </w:rPr>
              <w:t xml:space="preserve">Sabiedrības līdzdalība projekta izstrādē </w:t>
            </w:r>
          </w:p>
        </w:tc>
        <w:tc>
          <w:tcPr>
            <w:tcW w:w="5059" w:type="dxa"/>
          </w:tcPr>
          <w:p w:rsidR="006614A2" w:rsidRDefault="006614A2" w:rsidP="00C66F83">
            <w:pPr>
              <w:pStyle w:val="naiskr"/>
              <w:spacing w:before="0" w:after="0"/>
              <w:ind w:left="57" w:right="57"/>
              <w:jc w:val="both"/>
              <w:rPr>
                <w:iCs/>
                <w:sz w:val="22"/>
                <w:szCs w:val="22"/>
              </w:rPr>
            </w:pPr>
            <w:r>
              <w:rPr>
                <w:iCs/>
                <w:sz w:val="22"/>
                <w:szCs w:val="22"/>
              </w:rPr>
              <w:t>Realizēts Padziļinātās sadarbības programmas pilotprojekts, kurā piedalījās 17 dalībnieki.</w:t>
            </w:r>
          </w:p>
          <w:p w:rsidR="00E66D5C" w:rsidRPr="007C0F2C" w:rsidRDefault="00E66D5C" w:rsidP="00C66F83">
            <w:pPr>
              <w:pStyle w:val="naiskr"/>
              <w:spacing w:before="0" w:after="0"/>
              <w:ind w:left="57" w:right="57"/>
              <w:jc w:val="both"/>
              <w:rPr>
                <w:sz w:val="22"/>
                <w:szCs w:val="22"/>
              </w:rPr>
            </w:pPr>
            <w:r w:rsidRPr="00E66D5C">
              <w:rPr>
                <w:sz w:val="22"/>
                <w:szCs w:val="22"/>
              </w:rPr>
              <w:t>Noteikumu projekta saskaņošanā iesaistījās vairākas nevalstiskās institūcijas - biedrība „Būvniecības Attīstības Stratēģiskā Partnerība”, Latv</w:t>
            </w:r>
            <w:r>
              <w:rPr>
                <w:sz w:val="22"/>
                <w:szCs w:val="22"/>
              </w:rPr>
              <w:t xml:space="preserve">ijas Darba devēju konfederācija, </w:t>
            </w:r>
            <w:r w:rsidRPr="00E66D5C">
              <w:rPr>
                <w:sz w:val="22"/>
                <w:szCs w:val="22"/>
              </w:rPr>
              <w:t>biedrība „Latvijas Tirdzniecības un rūpniecības kamera” un Nodokļu konsultantu asociācija.</w:t>
            </w:r>
          </w:p>
        </w:tc>
      </w:tr>
      <w:tr w:rsidR="006614A2" w:rsidRPr="007C0F2C" w:rsidTr="00BF280F">
        <w:trPr>
          <w:trHeight w:val="375"/>
          <w:jc w:val="center"/>
        </w:trPr>
        <w:tc>
          <w:tcPr>
            <w:tcW w:w="426" w:type="dxa"/>
          </w:tcPr>
          <w:p w:rsidR="006614A2" w:rsidRPr="007C0F2C" w:rsidRDefault="006614A2" w:rsidP="007D099D">
            <w:pPr>
              <w:pStyle w:val="naiskr"/>
              <w:spacing w:before="0" w:after="0"/>
              <w:ind w:left="57" w:right="57"/>
              <w:rPr>
                <w:bCs/>
                <w:sz w:val="22"/>
                <w:szCs w:val="22"/>
              </w:rPr>
            </w:pPr>
            <w:r w:rsidRPr="007C0F2C">
              <w:rPr>
                <w:bCs/>
                <w:sz w:val="22"/>
                <w:szCs w:val="22"/>
              </w:rPr>
              <w:t>3.</w:t>
            </w:r>
          </w:p>
        </w:tc>
        <w:tc>
          <w:tcPr>
            <w:tcW w:w="4212" w:type="dxa"/>
          </w:tcPr>
          <w:p w:rsidR="006614A2" w:rsidRPr="007C0F2C" w:rsidRDefault="006614A2" w:rsidP="007D099D">
            <w:pPr>
              <w:pStyle w:val="naiskr"/>
              <w:spacing w:before="0" w:after="0"/>
              <w:ind w:left="57" w:right="57"/>
              <w:rPr>
                <w:sz w:val="22"/>
                <w:szCs w:val="22"/>
              </w:rPr>
            </w:pPr>
            <w:r w:rsidRPr="007C0F2C">
              <w:rPr>
                <w:sz w:val="22"/>
                <w:szCs w:val="22"/>
              </w:rPr>
              <w:t xml:space="preserve">Sabiedrības līdzdalības rezultāti </w:t>
            </w:r>
          </w:p>
        </w:tc>
        <w:tc>
          <w:tcPr>
            <w:tcW w:w="5059" w:type="dxa"/>
          </w:tcPr>
          <w:p w:rsidR="006614A2" w:rsidRDefault="006614A2" w:rsidP="003A24C5">
            <w:pPr>
              <w:pStyle w:val="naiskr"/>
              <w:spacing w:before="0" w:after="0"/>
              <w:ind w:left="57" w:right="57" w:firstLine="296"/>
              <w:jc w:val="both"/>
              <w:rPr>
                <w:iCs/>
                <w:sz w:val="22"/>
                <w:szCs w:val="22"/>
              </w:rPr>
            </w:pPr>
            <w:r>
              <w:rPr>
                <w:iCs/>
                <w:sz w:val="22"/>
                <w:szCs w:val="22"/>
              </w:rPr>
              <w:t>Padziļinātās sadarbības programmas pieteikuma anketas pilnveidošana un mērķauditorijai vēlamo valsts pārvaldes iestāžu piedāvāto labumu apzināšana.</w:t>
            </w:r>
          </w:p>
          <w:p w:rsidR="00E66D5C" w:rsidRDefault="00E66D5C" w:rsidP="003A24C5">
            <w:pPr>
              <w:pStyle w:val="naiskr"/>
              <w:spacing w:before="0" w:after="0"/>
              <w:ind w:left="57" w:right="57" w:firstLine="296"/>
              <w:jc w:val="both"/>
              <w:rPr>
                <w:iCs/>
                <w:sz w:val="22"/>
                <w:szCs w:val="22"/>
              </w:rPr>
            </w:pPr>
            <w:r>
              <w:rPr>
                <w:iCs/>
                <w:sz w:val="22"/>
                <w:szCs w:val="22"/>
              </w:rPr>
              <w:t>B</w:t>
            </w:r>
            <w:r w:rsidRPr="00E66D5C">
              <w:rPr>
                <w:iCs/>
                <w:sz w:val="22"/>
                <w:szCs w:val="22"/>
              </w:rPr>
              <w:t>iedrība „Būvniecības Attī</w:t>
            </w:r>
            <w:r>
              <w:rPr>
                <w:iCs/>
                <w:sz w:val="22"/>
                <w:szCs w:val="22"/>
              </w:rPr>
              <w:t xml:space="preserve">stības Stratēģiskā Partnerība” un </w:t>
            </w:r>
            <w:r w:rsidRPr="00E66D5C">
              <w:rPr>
                <w:iCs/>
                <w:sz w:val="22"/>
                <w:szCs w:val="22"/>
              </w:rPr>
              <w:t>biedrība „Latvijas Tirdzniecības un rūpniecības kamera”</w:t>
            </w:r>
            <w:r>
              <w:rPr>
                <w:iCs/>
                <w:sz w:val="22"/>
                <w:szCs w:val="22"/>
              </w:rPr>
              <w:t xml:space="preserve"> atbalsta noteikumu projekta virzību.</w:t>
            </w:r>
          </w:p>
          <w:p w:rsidR="003A24C5" w:rsidRDefault="003A24C5" w:rsidP="003A24C5">
            <w:pPr>
              <w:pStyle w:val="naiskr"/>
              <w:spacing w:before="0" w:after="0"/>
              <w:ind w:left="57" w:right="57" w:firstLine="296"/>
              <w:jc w:val="both"/>
              <w:rPr>
                <w:iCs/>
                <w:sz w:val="22"/>
                <w:szCs w:val="22"/>
              </w:rPr>
            </w:pPr>
            <w:r w:rsidRPr="003A24C5">
              <w:rPr>
                <w:iCs/>
                <w:sz w:val="22"/>
                <w:szCs w:val="22"/>
              </w:rPr>
              <w:t xml:space="preserve">Latvijas Darba devēju konfederācija </w:t>
            </w:r>
            <w:r w:rsidR="0022579E">
              <w:rPr>
                <w:iCs/>
                <w:sz w:val="22"/>
                <w:szCs w:val="22"/>
              </w:rPr>
              <w:t>k</w:t>
            </w:r>
            <w:r w:rsidR="00E66D5C">
              <w:rPr>
                <w:iCs/>
                <w:sz w:val="22"/>
                <w:szCs w:val="22"/>
              </w:rPr>
              <w:t xml:space="preserve">opumā </w:t>
            </w:r>
            <w:r w:rsidR="005C0DAB">
              <w:rPr>
                <w:iCs/>
                <w:sz w:val="22"/>
                <w:szCs w:val="22"/>
              </w:rPr>
              <w:t>atbalsta noteikumu projektu,</w:t>
            </w:r>
            <w:r>
              <w:rPr>
                <w:iCs/>
                <w:sz w:val="22"/>
                <w:szCs w:val="22"/>
              </w:rPr>
              <w:t xml:space="preserve"> taču ir atšķirīgs viedoklis par šādiem jautājumiem:</w:t>
            </w:r>
          </w:p>
          <w:p w:rsidR="003A24C5" w:rsidRDefault="00DC204D" w:rsidP="00263FE9">
            <w:pPr>
              <w:pStyle w:val="naiskr"/>
              <w:numPr>
                <w:ilvl w:val="0"/>
                <w:numId w:val="14"/>
              </w:numPr>
              <w:spacing w:before="0" w:after="0"/>
              <w:ind w:left="70" w:right="57" w:firstLine="290"/>
              <w:jc w:val="both"/>
              <w:rPr>
                <w:iCs/>
                <w:sz w:val="22"/>
                <w:szCs w:val="22"/>
              </w:rPr>
            </w:pPr>
            <w:r>
              <w:rPr>
                <w:iCs/>
                <w:sz w:val="22"/>
                <w:szCs w:val="22"/>
              </w:rPr>
              <w:t>noteikumu projekta</w:t>
            </w:r>
            <w:r w:rsidR="003A24C5">
              <w:rPr>
                <w:iCs/>
                <w:sz w:val="22"/>
                <w:szCs w:val="22"/>
              </w:rPr>
              <w:t xml:space="preserve"> </w:t>
            </w:r>
            <w:r w:rsidR="00263FE9">
              <w:rPr>
                <w:iCs/>
                <w:sz w:val="22"/>
                <w:szCs w:val="22"/>
              </w:rPr>
              <w:t>3.9.</w:t>
            </w:r>
            <w:r w:rsidRPr="00DC204D">
              <w:rPr>
                <w:iCs/>
                <w:sz w:val="22"/>
                <w:szCs w:val="22"/>
              </w:rPr>
              <w:t xml:space="preserve"> apakšpunkts</w:t>
            </w:r>
            <w:r>
              <w:rPr>
                <w:iCs/>
                <w:sz w:val="22"/>
                <w:szCs w:val="22"/>
              </w:rPr>
              <w:t xml:space="preserve"> (attiecībā uz saimnieciskās darbības aptur</w:t>
            </w:r>
            <w:r w:rsidR="00263FE9">
              <w:rPr>
                <w:iCs/>
                <w:sz w:val="22"/>
                <w:szCs w:val="22"/>
              </w:rPr>
              <w:t>ēšanu)</w:t>
            </w:r>
            <w:r w:rsidRPr="00DC204D">
              <w:rPr>
                <w:iCs/>
                <w:sz w:val="22"/>
                <w:szCs w:val="22"/>
              </w:rPr>
              <w:t xml:space="preserve"> uzli</w:t>
            </w:r>
            <w:r w:rsidR="00263FE9">
              <w:rPr>
                <w:iCs/>
                <w:sz w:val="22"/>
                <w:szCs w:val="22"/>
              </w:rPr>
              <w:t xml:space="preserve">ek nesamērīgu slogu uzņēmējiem, </w:t>
            </w:r>
            <w:r w:rsidRPr="00DC204D">
              <w:rPr>
                <w:iCs/>
                <w:sz w:val="22"/>
                <w:szCs w:val="22"/>
              </w:rPr>
              <w:t>piemēram</w:t>
            </w:r>
            <w:r w:rsidR="00263FE9">
              <w:rPr>
                <w:iCs/>
                <w:sz w:val="22"/>
                <w:szCs w:val="22"/>
              </w:rPr>
              <w:t>, s</w:t>
            </w:r>
            <w:r w:rsidRPr="00DC204D">
              <w:rPr>
                <w:iCs/>
                <w:sz w:val="22"/>
                <w:szCs w:val="22"/>
              </w:rPr>
              <w:t>abied</w:t>
            </w:r>
            <w:r w:rsidR="00263FE9">
              <w:rPr>
                <w:iCs/>
                <w:sz w:val="22"/>
                <w:szCs w:val="22"/>
              </w:rPr>
              <w:t xml:space="preserve">risko pakalpojumu sniedzējiem) un </w:t>
            </w:r>
            <w:r w:rsidRPr="00DC204D">
              <w:rPr>
                <w:iCs/>
                <w:sz w:val="22"/>
                <w:szCs w:val="22"/>
              </w:rPr>
              <w:t>darījuma veicējam (pakalpojuma sniedzējam) atbildī</w:t>
            </w:r>
            <w:r w:rsidR="00263FE9">
              <w:rPr>
                <w:iCs/>
                <w:sz w:val="22"/>
                <w:szCs w:val="22"/>
              </w:rPr>
              <w:t xml:space="preserve">bu par klienta statusa kontroli, </w:t>
            </w:r>
            <w:r w:rsidR="003A24C5" w:rsidRPr="003A24C5">
              <w:rPr>
                <w:iCs/>
                <w:sz w:val="22"/>
                <w:szCs w:val="22"/>
              </w:rPr>
              <w:t>ja sabiedrisko pakalpojumu sniedzējs konstatē, ka sniedz pakalpojumus uzņēmuma</w:t>
            </w:r>
            <w:r w:rsidR="00263FE9">
              <w:rPr>
                <w:iCs/>
                <w:sz w:val="22"/>
                <w:szCs w:val="22"/>
              </w:rPr>
              <w:t>m, kura darbība ir apturēta.</w:t>
            </w:r>
            <w:r w:rsidR="003A24C5" w:rsidRPr="003A24C5">
              <w:rPr>
                <w:iCs/>
                <w:sz w:val="22"/>
                <w:szCs w:val="22"/>
              </w:rPr>
              <w:t xml:space="preserve"> šādu pakalpojumu specifika ne vienmēr ļauj nekavējoties pārtraukt pakalpojuma sniegšanu (darījumu)</w:t>
            </w:r>
            <w:r w:rsidR="00D17033">
              <w:rPr>
                <w:iCs/>
                <w:sz w:val="22"/>
                <w:szCs w:val="22"/>
              </w:rPr>
              <w:t>.</w:t>
            </w:r>
          </w:p>
          <w:p w:rsidR="00DC204D" w:rsidRDefault="0022579E" w:rsidP="0022579E">
            <w:pPr>
              <w:pStyle w:val="naiskr"/>
              <w:spacing w:before="0" w:after="0"/>
              <w:ind w:left="70" w:right="57" w:firstLine="290"/>
              <w:jc w:val="both"/>
              <w:rPr>
                <w:iCs/>
                <w:sz w:val="22"/>
                <w:szCs w:val="22"/>
              </w:rPr>
            </w:pPr>
            <w:r w:rsidRPr="003A24C5">
              <w:rPr>
                <w:iCs/>
                <w:sz w:val="22"/>
                <w:szCs w:val="22"/>
              </w:rPr>
              <w:t>Latvijas Nodokļu konsultantu asociācija</w:t>
            </w:r>
            <w:r>
              <w:t xml:space="preserve"> </w:t>
            </w:r>
            <w:r w:rsidRPr="0022579E">
              <w:rPr>
                <w:iCs/>
                <w:sz w:val="22"/>
                <w:szCs w:val="22"/>
              </w:rPr>
              <w:t>kopumā</w:t>
            </w:r>
            <w:r>
              <w:rPr>
                <w:iCs/>
                <w:sz w:val="22"/>
                <w:szCs w:val="22"/>
              </w:rPr>
              <w:t xml:space="preserve"> </w:t>
            </w:r>
            <w:r w:rsidRPr="0022579E">
              <w:rPr>
                <w:iCs/>
                <w:sz w:val="22"/>
                <w:szCs w:val="22"/>
              </w:rPr>
              <w:t>atbalsta noteikumu projektu</w:t>
            </w:r>
            <w:r>
              <w:rPr>
                <w:iCs/>
                <w:sz w:val="22"/>
                <w:szCs w:val="22"/>
              </w:rPr>
              <w:t>,</w:t>
            </w:r>
            <w:r>
              <w:t xml:space="preserve"> </w:t>
            </w:r>
            <w:r w:rsidRPr="0022579E">
              <w:rPr>
                <w:iCs/>
                <w:sz w:val="22"/>
                <w:szCs w:val="22"/>
              </w:rPr>
              <w:t>taču ir atšķirīgs viedoklis par šādiem jautājumiem:</w:t>
            </w:r>
          </w:p>
          <w:p w:rsidR="003A24C5" w:rsidRDefault="003A24C5" w:rsidP="003A24C5">
            <w:pPr>
              <w:pStyle w:val="naiskr"/>
              <w:numPr>
                <w:ilvl w:val="0"/>
                <w:numId w:val="14"/>
              </w:numPr>
              <w:spacing w:before="0" w:after="0"/>
              <w:ind w:left="70" w:right="57" w:firstLine="141"/>
              <w:jc w:val="both"/>
              <w:rPr>
                <w:iCs/>
                <w:sz w:val="22"/>
                <w:szCs w:val="22"/>
              </w:rPr>
            </w:pPr>
            <w:r>
              <w:rPr>
                <w:iCs/>
                <w:sz w:val="22"/>
                <w:szCs w:val="22"/>
              </w:rPr>
              <w:t>neskatoties uz to</w:t>
            </w:r>
            <w:r w:rsidRPr="003A24C5">
              <w:rPr>
                <w:iCs/>
                <w:sz w:val="22"/>
                <w:szCs w:val="22"/>
              </w:rPr>
              <w:t xml:space="preserve">, ka </w:t>
            </w:r>
            <w:r>
              <w:rPr>
                <w:iCs/>
                <w:sz w:val="22"/>
                <w:szCs w:val="22"/>
              </w:rPr>
              <w:t xml:space="preserve">noteikumu projektam pievienotais Ministru kabineta </w:t>
            </w:r>
            <w:proofErr w:type="spellStart"/>
            <w:r>
              <w:rPr>
                <w:iCs/>
                <w:sz w:val="22"/>
                <w:szCs w:val="22"/>
              </w:rPr>
              <w:t>p</w:t>
            </w:r>
            <w:r w:rsidRPr="003A24C5">
              <w:rPr>
                <w:iCs/>
                <w:sz w:val="22"/>
                <w:szCs w:val="22"/>
              </w:rPr>
              <w:t>rotokollēmums</w:t>
            </w:r>
            <w:proofErr w:type="spellEnd"/>
            <w:r w:rsidRPr="003A24C5">
              <w:rPr>
                <w:iCs/>
                <w:sz w:val="22"/>
                <w:szCs w:val="22"/>
              </w:rPr>
              <w:t xml:space="preserve"> paredz Finanšu Ministrijas pienākumu līdz 2012.gada 31.decembrim izstrādāt kritērijus iekšējās nodokļu risku vadības un kontroles sistēmai</w:t>
            </w:r>
            <w:r>
              <w:rPr>
                <w:iCs/>
                <w:sz w:val="22"/>
                <w:szCs w:val="22"/>
              </w:rPr>
              <w:t xml:space="preserve">, </w:t>
            </w:r>
            <w:r w:rsidRPr="003A24C5">
              <w:rPr>
                <w:iCs/>
                <w:sz w:val="22"/>
                <w:szCs w:val="22"/>
              </w:rPr>
              <w:t>nodokļu maksātāji neizpr</w:t>
            </w:r>
            <w:r>
              <w:rPr>
                <w:iCs/>
                <w:sz w:val="22"/>
                <w:szCs w:val="22"/>
              </w:rPr>
              <w:t>ot nodokļu risku vadības būtību</w:t>
            </w:r>
            <w:r w:rsidR="00DC204D">
              <w:rPr>
                <w:iCs/>
                <w:sz w:val="22"/>
                <w:szCs w:val="22"/>
              </w:rPr>
              <w:t>;</w:t>
            </w:r>
          </w:p>
          <w:p w:rsidR="003A24C5" w:rsidRPr="003A24C5" w:rsidRDefault="003A24C5" w:rsidP="003A24C5">
            <w:pPr>
              <w:pStyle w:val="naiskr"/>
              <w:numPr>
                <w:ilvl w:val="0"/>
                <w:numId w:val="14"/>
              </w:numPr>
              <w:spacing w:before="0" w:after="0"/>
              <w:ind w:left="70" w:right="57" w:firstLine="141"/>
              <w:jc w:val="both"/>
              <w:rPr>
                <w:iCs/>
                <w:sz w:val="22"/>
                <w:szCs w:val="22"/>
              </w:rPr>
            </w:pPr>
            <w:r w:rsidRPr="003A24C5">
              <w:rPr>
                <w:iCs/>
                <w:sz w:val="22"/>
                <w:szCs w:val="22"/>
              </w:rPr>
              <w:t xml:space="preserve"> noteikumu projekts neparedz nodokļu maksātāja padziļinātas sadarbības programmu ar Valsts ieņēmumu dienestu, kā rezultātā varētu tikt samazināts nodokļu kontroles pasākumu apmērs. </w:t>
            </w:r>
          </w:p>
          <w:p w:rsidR="003A24C5" w:rsidRPr="007C0F2C" w:rsidRDefault="003A24C5" w:rsidP="00C66F83">
            <w:pPr>
              <w:pStyle w:val="naiskr"/>
              <w:spacing w:before="0" w:after="0"/>
              <w:ind w:left="57" w:right="57"/>
              <w:jc w:val="both"/>
              <w:rPr>
                <w:sz w:val="22"/>
                <w:szCs w:val="22"/>
              </w:rPr>
            </w:pPr>
          </w:p>
        </w:tc>
      </w:tr>
      <w:tr w:rsidR="006614A2" w:rsidRPr="007C0F2C" w:rsidTr="00BF280F">
        <w:trPr>
          <w:trHeight w:val="397"/>
          <w:jc w:val="center"/>
        </w:trPr>
        <w:tc>
          <w:tcPr>
            <w:tcW w:w="426" w:type="dxa"/>
          </w:tcPr>
          <w:p w:rsidR="006614A2" w:rsidRPr="007C0F2C" w:rsidRDefault="006614A2" w:rsidP="007D099D">
            <w:pPr>
              <w:pStyle w:val="naiskr"/>
              <w:spacing w:before="0" w:after="0"/>
              <w:ind w:left="57" w:right="57"/>
              <w:rPr>
                <w:bCs/>
                <w:sz w:val="22"/>
                <w:szCs w:val="22"/>
              </w:rPr>
            </w:pPr>
            <w:r w:rsidRPr="007C0F2C">
              <w:rPr>
                <w:bCs/>
                <w:sz w:val="22"/>
                <w:szCs w:val="22"/>
              </w:rPr>
              <w:t>4.</w:t>
            </w:r>
          </w:p>
        </w:tc>
        <w:tc>
          <w:tcPr>
            <w:tcW w:w="4212" w:type="dxa"/>
          </w:tcPr>
          <w:p w:rsidR="006614A2" w:rsidRPr="007C0F2C" w:rsidRDefault="006614A2" w:rsidP="007D099D">
            <w:pPr>
              <w:pStyle w:val="naiskr"/>
              <w:spacing w:before="0" w:after="0"/>
              <w:ind w:left="57" w:right="57"/>
              <w:rPr>
                <w:sz w:val="22"/>
                <w:szCs w:val="22"/>
              </w:rPr>
            </w:pPr>
            <w:r w:rsidRPr="007C0F2C">
              <w:rPr>
                <w:sz w:val="22"/>
                <w:szCs w:val="22"/>
              </w:rPr>
              <w:t>Saeimas un ekspertu līdzdalība</w:t>
            </w:r>
          </w:p>
        </w:tc>
        <w:tc>
          <w:tcPr>
            <w:tcW w:w="5059" w:type="dxa"/>
          </w:tcPr>
          <w:p w:rsidR="006614A2" w:rsidRPr="0032490F" w:rsidRDefault="006614A2" w:rsidP="007D099D">
            <w:pPr>
              <w:pStyle w:val="naiskr"/>
              <w:spacing w:before="0" w:after="0"/>
              <w:ind w:left="57" w:right="57"/>
              <w:jc w:val="both"/>
              <w:rPr>
                <w:sz w:val="22"/>
                <w:szCs w:val="22"/>
              </w:rPr>
            </w:pPr>
            <w:r w:rsidRPr="0032490F">
              <w:t>Noteikumu projekts šo jomu neskar.</w:t>
            </w:r>
          </w:p>
        </w:tc>
      </w:tr>
      <w:tr w:rsidR="006614A2" w:rsidRPr="007C0F2C" w:rsidTr="00BF280F">
        <w:trPr>
          <w:trHeight w:val="476"/>
          <w:jc w:val="center"/>
        </w:trPr>
        <w:tc>
          <w:tcPr>
            <w:tcW w:w="426" w:type="dxa"/>
          </w:tcPr>
          <w:p w:rsidR="006614A2" w:rsidRPr="007C0F2C" w:rsidRDefault="006614A2" w:rsidP="007D099D">
            <w:pPr>
              <w:pStyle w:val="naiskr"/>
              <w:spacing w:before="0" w:after="0"/>
              <w:ind w:left="57" w:right="57"/>
              <w:rPr>
                <w:bCs/>
                <w:sz w:val="22"/>
                <w:szCs w:val="22"/>
              </w:rPr>
            </w:pPr>
            <w:r w:rsidRPr="007C0F2C">
              <w:rPr>
                <w:bCs/>
                <w:sz w:val="22"/>
                <w:szCs w:val="22"/>
              </w:rPr>
              <w:t>5.</w:t>
            </w:r>
          </w:p>
        </w:tc>
        <w:tc>
          <w:tcPr>
            <w:tcW w:w="4212" w:type="dxa"/>
          </w:tcPr>
          <w:p w:rsidR="006614A2" w:rsidRPr="007C0F2C" w:rsidRDefault="006614A2" w:rsidP="007D099D">
            <w:pPr>
              <w:pStyle w:val="naiskr"/>
              <w:spacing w:before="0" w:after="0"/>
              <w:ind w:left="57" w:right="57"/>
              <w:rPr>
                <w:sz w:val="22"/>
                <w:szCs w:val="22"/>
              </w:rPr>
            </w:pPr>
            <w:r w:rsidRPr="007C0F2C">
              <w:rPr>
                <w:sz w:val="22"/>
                <w:szCs w:val="22"/>
              </w:rPr>
              <w:t>Cita informācija</w:t>
            </w:r>
          </w:p>
          <w:p w:rsidR="006614A2" w:rsidRPr="007C0F2C" w:rsidRDefault="006614A2" w:rsidP="007D099D">
            <w:pPr>
              <w:pStyle w:val="naiskr"/>
              <w:spacing w:before="0" w:after="0"/>
              <w:ind w:left="57" w:right="57"/>
              <w:rPr>
                <w:sz w:val="22"/>
                <w:szCs w:val="22"/>
              </w:rPr>
            </w:pPr>
          </w:p>
        </w:tc>
        <w:tc>
          <w:tcPr>
            <w:tcW w:w="5059" w:type="dxa"/>
          </w:tcPr>
          <w:p w:rsidR="006614A2" w:rsidRPr="007C0F2C" w:rsidRDefault="006614A2" w:rsidP="007D099D">
            <w:pPr>
              <w:pStyle w:val="naiskr"/>
              <w:spacing w:before="0" w:after="0"/>
              <w:ind w:left="57" w:right="57"/>
              <w:jc w:val="both"/>
              <w:rPr>
                <w:sz w:val="22"/>
                <w:szCs w:val="22"/>
              </w:rPr>
            </w:pPr>
            <w:r>
              <w:rPr>
                <w:iCs/>
                <w:sz w:val="22"/>
                <w:szCs w:val="22"/>
              </w:rPr>
              <w:t>Nav.</w:t>
            </w:r>
          </w:p>
        </w:tc>
      </w:tr>
    </w:tbl>
    <w:p w:rsidR="006614A2" w:rsidRPr="007C0F2C" w:rsidRDefault="006614A2" w:rsidP="006C4607">
      <w:pPr>
        <w:pStyle w:val="naisf"/>
        <w:spacing w:before="0" w:after="0"/>
        <w:rPr>
          <w:sz w:val="28"/>
          <w:szCs w:val="28"/>
        </w:rPr>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5"/>
        <w:gridCol w:w="4429"/>
        <w:gridCol w:w="4876"/>
      </w:tblGrid>
      <w:tr w:rsidR="006614A2" w:rsidRPr="007C0F2C" w:rsidTr="00BF280F">
        <w:tc>
          <w:tcPr>
            <w:tcW w:w="9640" w:type="dxa"/>
            <w:gridSpan w:val="3"/>
          </w:tcPr>
          <w:p w:rsidR="006614A2" w:rsidRPr="007C0F2C" w:rsidRDefault="006614A2" w:rsidP="007D099D">
            <w:pPr>
              <w:pStyle w:val="naisnod"/>
              <w:spacing w:before="0" w:after="0"/>
              <w:ind w:left="57" w:right="57"/>
            </w:pPr>
            <w:r w:rsidRPr="007C0F2C">
              <w:t>VII. Tiesību akta projekta izpildes nodrošināšana un tās ietekme uz institūcijām</w:t>
            </w:r>
          </w:p>
        </w:tc>
      </w:tr>
      <w:tr w:rsidR="006614A2" w:rsidRPr="007C0F2C" w:rsidTr="00BF280F">
        <w:trPr>
          <w:trHeight w:val="427"/>
        </w:trPr>
        <w:tc>
          <w:tcPr>
            <w:tcW w:w="284" w:type="dxa"/>
          </w:tcPr>
          <w:p w:rsidR="006614A2" w:rsidRPr="007C0F2C" w:rsidRDefault="006614A2" w:rsidP="007D099D">
            <w:pPr>
              <w:pStyle w:val="naisnod"/>
              <w:spacing w:before="0" w:after="0"/>
              <w:ind w:left="57" w:right="57"/>
              <w:jc w:val="left"/>
              <w:rPr>
                <w:b w:val="0"/>
                <w:sz w:val="22"/>
                <w:szCs w:val="22"/>
              </w:rPr>
            </w:pPr>
            <w:r w:rsidRPr="007C0F2C">
              <w:rPr>
                <w:b w:val="0"/>
                <w:sz w:val="22"/>
                <w:szCs w:val="22"/>
              </w:rPr>
              <w:t>1.</w:t>
            </w:r>
          </w:p>
        </w:tc>
        <w:tc>
          <w:tcPr>
            <w:tcW w:w="4452" w:type="dxa"/>
          </w:tcPr>
          <w:p w:rsidR="006614A2" w:rsidRPr="007C0F2C" w:rsidRDefault="006614A2" w:rsidP="007D099D">
            <w:pPr>
              <w:pStyle w:val="naisf"/>
              <w:spacing w:before="0" w:after="0"/>
              <w:ind w:left="57" w:right="57" w:firstLine="0"/>
              <w:jc w:val="left"/>
              <w:rPr>
                <w:sz w:val="22"/>
                <w:szCs w:val="22"/>
              </w:rPr>
            </w:pPr>
            <w:r w:rsidRPr="007C0F2C">
              <w:rPr>
                <w:sz w:val="22"/>
                <w:szCs w:val="22"/>
              </w:rPr>
              <w:t xml:space="preserve">Projekta izpildē iesaistītās institūcijas </w:t>
            </w:r>
          </w:p>
        </w:tc>
        <w:tc>
          <w:tcPr>
            <w:tcW w:w="4904" w:type="dxa"/>
          </w:tcPr>
          <w:p w:rsidR="006614A2" w:rsidRPr="007C0F2C" w:rsidRDefault="006614A2" w:rsidP="00651807">
            <w:pPr>
              <w:pStyle w:val="naisnod"/>
              <w:spacing w:before="0" w:after="0"/>
              <w:ind w:left="57" w:right="57"/>
              <w:jc w:val="left"/>
              <w:rPr>
                <w:b w:val="0"/>
                <w:sz w:val="22"/>
                <w:szCs w:val="22"/>
              </w:rPr>
            </w:pPr>
            <w:r>
              <w:rPr>
                <w:b w:val="0"/>
                <w:iCs/>
                <w:sz w:val="22"/>
                <w:szCs w:val="22"/>
              </w:rPr>
              <w:t>Finanšu ministrija</w:t>
            </w:r>
            <w:r w:rsidR="00651807">
              <w:rPr>
                <w:b w:val="0"/>
                <w:iCs/>
                <w:sz w:val="22"/>
                <w:szCs w:val="22"/>
              </w:rPr>
              <w:t xml:space="preserve"> un </w:t>
            </w:r>
            <w:r>
              <w:rPr>
                <w:b w:val="0"/>
                <w:iCs/>
                <w:sz w:val="22"/>
                <w:szCs w:val="22"/>
              </w:rPr>
              <w:t xml:space="preserve"> Valsts ieņēmumu dienests.</w:t>
            </w:r>
          </w:p>
        </w:tc>
      </w:tr>
      <w:tr w:rsidR="006614A2" w:rsidRPr="007C0F2C" w:rsidTr="00BF280F">
        <w:trPr>
          <w:trHeight w:val="463"/>
        </w:trPr>
        <w:tc>
          <w:tcPr>
            <w:tcW w:w="284" w:type="dxa"/>
          </w:tcPr>
          <w:p w:rsidR="006614A2" w:rsidRPr="007C0F2C" w:rsidRDefault="006614A2" w:rsidP="007D099D">
            <w:pPr>
              <w:pStyle w:val="naisnod"/>
              <w:spacing w:before="0" w:after="0"/>
              <w:ind w:left="57" w:right="57"/>
              <w:jc w:val="left"/>
              <w:rPr>
                <w:b w:val="0"/>
                <w:sz w:val="22"/>
                <w:szCs w:val="22"/>
              </w:rPr>
            </w:pPr>
            <w:r w:rsidRPr="007C0F2C">
              <w:rPr>
                <w:b w:val="0"/>
                <w:sz w:val="22"/>
                <w:szCs w:val="22"/>
              </w:rPr>
              <w:lastRenderedPageBreak/>
              <w:t>2.</w:t>
            </w:r>
          </w:p>
        </w:tc>
        <w:tc>
          <w:tcPr>
            <w:tcW w:w="4452" w:type="dxa"/>
          </w:tcPr>
          <w:p w:rsidR="006614A2" w:rsidRPr="007C0F2C" w:rsidRDefault="006614A2" w:rsidP="007D099D">
            <w:pPr>
              <w:pStyle w:val="naisf"/>
              <w:spacing w:before="0" w:after="0"/>
              <w:ind w:left="57" w:right="57" w:firstLine="0"/>
              <w:jc w:val="left"/>
              <w:rPr>
                <w:sz w:val="22"/>
                <w:szCs w:val="22"/>
              </w:rPr>
            </w:pPr>
            <w:r w:rsidRPr="007C0F2C">
              <w:rPr>
                <w:sz w:val="22"/>
                <w:szCs w:val="22"/>
              </w:rPr>
              <w:t xml:space="preserve">Projekta izpildes ietekme uz pārvaldes funkcijām </w:t>
            </w:r>
          </w:p>
        </w:tc>
        <w:tc>
          <w:tcPr>
            <w:tcW w:w="4904" w:type="dxa"/>
          </w:tcPr>
          <w:p w:rsidR="006614A2" w:rsidRPr="007C0F2C" w:rsidRDefault="006614A2" w:rsidP="00895754">
            <w:pPr>
              <w:pStyle w:val="naisnod"/>
              <w:spacing w:before="0" w:after="0"/>
              <w:ind w:left="57" w:right="57"/>
              <w:jc w:val="both"/>
              <w:rPr>
                <w:b w:val="0"/>
                <w:sz w:val="22"/>
                <w:szCs w:val="22"/>
              </w:rPr>
            </w:pPr>
            <w:r>
              <w:rPr>
                <w:b w:val="0"/>
                <w:iCs/>
                <w:sz w:val="22"/>
                <w:szCs w:val="22"/>
              </w:rPr>
              <w:t>Paplašinātas Finanšu ministrijas un Valsts ieņēmumu dienesta funkcijas, kas tiks īstenotas esošo resursu ietvaros</w:t>
            </w:r>
          </w:p>
        </w:tc>
      </w:tr>
      <w:tr w:rsidR="006614A2" w:rsidRPr="007C0F2C" w:rsidTr="00BF280F">
        <w:trPr>
          <w:trHeight w:val="725"/>
        </w:trPr>
        <w:tc>
          <w:tcPr>
            <w:tcW w:w="284" w:type="dxa"/>
          </w:tcPr>
          <w:p w:rsidR="006614A2" w:rsidRPr="007C0F2C" w:rsidRDefault="006614A2" w:rsidP="007D099D">
            <w:pPr>
              <w:pStyle w:val="naisnod"/>
              <w:spacing w:before="0" w:after="0"/>
              <w:ind w:left="57" w:right="57"/>
              <w:jc w:val="left"/>
              <w:rPr>
                <w:b w:val="0"/>
                <w:sz w:val="22"/>
                <w:szCs w:val="22"/>
              </w:rPr>
            </w:pPr>
            <w:r w:rsidRPr="007C0F2C">
              <w:rPr>
                <w:b w:val="0"/>
                <w:sz w:val="22"/>
                <w:szCs w:val="22"/>
              </w:rPr>
              <w:t>3.</w:t>
            </w:r>
          </w:p>
        </w:tc>
        <w:tc>
          <w:tcPr>
            <w:tcW w:w="4452" w:type="dxa"/>
          </w:tcPr>
          <w:p w:rsidR="006614A2" w:rsidRPr="007C0F2C" w:rsidRDefault="006614A2" w:rsidP="007D099D">
            <w:pPr>
              <w:pStyle w:val="naisf"/>
              <w:spacing w:before="0" w:after="0"/>
              <w:ind w:left="57" w:right="57" w:firstLine="0"/>
              <w:jc w:val="left"/>
              <w:rPr>
                <w:sz w:val="22"/>
                <w:szCs w:val="22"/>
              </w:rPr>
            </w:pPr>
            <w:r w:rsidRPr="007C0F2C">
              <w:rPr>
                <w:sz w:val="22"/>
                <w:szCs w:val="22"/>
              </w:rPr>
              <w:t>Projekta izpildes ietekme uz pārvaldes institucionālo struktūru.</w:t>
            </w:r>
          </w:p>
          <w:p w:rsidR="006614A2" w:rsidRPr="007C0F2C" w:rsidRDefault="006614A2" w:rsidP="007D099D">
            <w:pPr>
              <w:pStyle w:val="naisf"/>
              <w:spacing w:before="0" w:after="0"/>
              <w:ind w:left="57" w:right="57" w:firstLine="0"/>
              <w:jc w:val="left"/>
              <w:rPr>
                <w:sz w:val="22"/>
                <w:szCs w:val="22"/>
              </w:rPr>
            </w:pPr>
            <w:r w:rsidRPr="007C0F2C">
              <w:rPr>
                <w:sz w:val="22"/>
                <w:szCs w:val="22"/>
              </w:rPr>
              <w:t>Jaunu institūciju izveide</w:t>
            </w:r>
          </w:p>
        </w:tc>
        <w:tc>
          <w:tcPr>
            <w:tcW w:w="4904" w:type="dxa"/>
          </w:tcPr>
          <w:p w:rsidR="006614A2" w:rsidRPr="00E94CED" w:rsidRDefault="006614A2" w:rsidP="0032490F">
            <w:pPr>
              <w:pStyle w:val="naisnod"/>
              <w:spacing w:before="0" w:after="0"/>
              <w:ind w:left="57" w:right="57"/>
              <w:jc w:val="both"/>
              <w:rPr>
                <w:b w:val="0"/>
              </w:rPr>
            </w:pPr>
            <w:r>
              <w:rPr>
                <w:b w:val="0"/>
              </w:rPr>
              <w:t>Noteikumu projekts šo jomu neskar.</w:t>
            </w:r>
          </w:p>
        </w:tc>
      </w:tr>
      <w:tr w:rsidR="006614A2" w:rsidRPr="007C0F2C" w:rsidTr="00BF280F">
        <w:trPr>
          <w:trHeight w:val="780"/>
        </w:trPr>
        <w:tc>
          <w:tcPr>
            <w:tcW w:w="284" w:type="dxa"/>
          </w:tcPr>
          <w:p w:rsidR="006614A2" w:rsidRPr="007C0F2C" w:rsidRDefault="006614A2" w:rsidP="007D099D">
            <w:pPr>
              <w:pStyle w:val="naisnod"/>
              <w:spacing w:before="0" w:after="0"/>
              <w:ind w:left="57" w:right="57"/>
              <w:jc w:val="left"/>
              <w:rPr>
                <w:b w:val="0"/>
                <w:sz w:val="22"/>
                <w:szCs w:val="22"/>
              </w:rPr>
            </w:pPr>
            <w:r w:rsidRPr="007C0F2C">
              <w:rPr>
                <w:b w:val="0"/>
                <w:sz w:val="22"/>
                <w:szCs w:val="22"/>
              </w:rPr>
              <w:t>4.</w:t>
            </w:r>
          </w:p>
        </w:tc>
        <w:tc>
          <w:tcPr>
            <w:tcW w:w="4452" w:type="dxa"/>
          </w:tcPr>
          <w:p w:rsidR="006614A2" w:rsidRPr="007C0F2C" w:rsidRDefault="006614A2" w:rsidP="007D099D">
            <w:pPr>
              <w:pStyle w:val="naisf"/>
              <w:spacing w:before="0" w:after="0"/>
              <w:ind w:left="57" w:right="57" w:firstLine="0"/>
              <w:jc w:val="left"/>
              <w:rPr>
                <w:sz w:val="22"/>
                <w:szCs w:val="22"/>
              </w:rPr>
            </w:pPr>
            <w:r w:rsidRPr="007C0F2C">
              <w:rPr>
                <w:sz w:val="22"/>
                <w:szCs w:val="22"/>
              </w:rPr>
              <w:t>Projekta izpildes ietekme uz pārvaldes institucionālo struktūru.</w:t>
            </w:r>
          </w:p>
          <w:p w:rsidR="006614A2" w:rsidRPr="007C0F2C" w:rsidRDefault="006614A2" w:rsidP="007D099D">
            <w:pPr>
              <w:pStyle w:val="naisf"/>
              <w:spacing w:before="0" w:after="0"/>
              <w:ind w:left="57" w:right="57" w:firstLine="0"/>
              <w:jc w:val="left"/>
              <w:rPr>
                <w:sz w:val="22"/>
                <w:szCs w:val="22"/>
              </w:rPr>
            </w:pPr>
            <w:r w:rsidRPr="007C0F2C">
              <w:rPr>
                <w:sz w:val="22"/>
                <w:szCs w:val="22"/>
              </w:rPr>
              <w:t>Esošu institūciju likvidācija</w:t>
            </w:r>
          </w:p>
        </w:tc>
        <w:tc>
          <w:tcPr>
            <w:tcW w:w="4904" w:type="dxa"/>
          </w:tcPr>
          <w:p w:rsidR="006614A2" w:rsidRPr="00407670" w:rsidRDefault="006614A2" w:rsidP="0032490F">
            <w:pPr>
              <w:pStyle w:val="naisnod"/>
              <w:spacing w:before="0" w:after="0"/>
              <w:ind w:left="57" w:right="57"/>
              <w:jc w:val="left"/>
              <w:rPr>
                <w:b w:val="0"/>
              </w:rPr>
            </w:pPr>
            <w:r>
              <w:rPr>
                <w:b w:val="0"/>
              </w:rPr>
              <w:t xml:space="preserve">Noteikumu </w:t>
            </w:r>
            <w:r w:rsidRPr="00407670">
              <w:rPr>
                <w:b w:val="0"/>
              </w:rPr>
              <w:t>projekts šo jomu neskar.</w:t>
            </w:r>
          </w:p>
        </w:tc>
      </w:tr>
      <w:tr w:rsidR="006614A2" w:rsidRPr="007C0F2C" w:rsidTr="00BF280F">
        <w:trPr>
          <w:trHeight w:val="703"/>
        </w:trPr>
        <w:tc>
          <w:tcPr>
            <w:tcW w:w="284" w:type="dxa"/>
          </w:tcPr>
          <w:p w:rsidR="006614A2" w:rsidRPr="007C0F2C" w:rsidRDefault="006614A2" w:rsidP="007D099D">
            <w:pPr>
              <w:pStyle w:val="naisnod"/>
              <w:spacing w:before="0" w:after="0"/>
              <w:ind w:left="57" w:right="57"/>
              <w:jc w:val="left"/>
              <w:rPr>
                <w:b w:val="0"/>
                <w:sz w:val="22"/>
                <w:szCs w:val="22"/>
              </w:rPr>
            </w:pPr>
            <w:r w:rsidRPr="007C0F2C">
              <w:rPr>
                <w:b w:val="0"/>
                <w:sz w:val="22"/>
                <w:szCs w:val="22"/>
              </w:rPr>
              <w:t>5.</w:t>
            </w:r>
          </w:p>
        </w:tc>
        <w:tc>
          <w:tcPr>
            <w:tcW w:w="4452" w:type="dxa"/>
          </w:tcPr>
          <w:p w:rsidR="006614A2" w:rsidRPr="007C0F2C" w:rsidRDefault="006614A2" w:rsidP="007D099D">
            <w:pPr>
              <w:pStyle w:val="naisf"/>
              <w:spacing w:before="0" w:after="0"/>
              <w:ind w:left="57" w:right="57" w:firstLine="0"/>
              <w:jc w:val="left"/>
              <w:rPr>
                <w:sz w:val="22"/>
                <w:szCs w:val="22"/>
              </w:rPr>
            </w:pPr>
            <w:r w:rsidRPr="007C0F2C">
              <w:rPr>
                <w:sz w:val="22"/>
                <w:szCs w:val="22"/>
              </w:rPr>
              <w:t>Projekta izpildes ietekme uz pārvaldes institucionālo struktūru.</w:t>
            </w:r>
          </w:p>
          <w:p w:rsidR="006614A2" w:rsidRPr="007C0F2C" w:rsidRDefault="006614A2" w:rsidP="007D099D">
            <w:pPr>
              <w:pStyle w:val="naisf"/>
              <w:spacing w:before="0" w:after="0"/>
              <w:ind w:left="57" w:right="57" w:firstLine="0"/>
              <w:jc w:val="left"/>
              <w:rPr>
                <w:sz w:val="22"/>
                <w:szCs w:val="22"/>
              </w:rPr>
            </w:pPr>
            <w:r w:rsidRPr="007C0F2C">
              <w:rPr>
                <w:sz w:val="22"/>
                <w:szCs w:val="22"/>
              </w:rPr>
              <w:t>Esošu institūciju reorganizācija</w:t>
            </w:r>
          </w:p>
        </w:tc>
        <w:tc>
          <w:tcPr>
            <w:tcW w:w="4904" w:type="dxa"/>
          </w:tcPr>
          <w:p w:rsidR="006614A2" w:rsidRPr="00407670" w:rsidRDefault="006614A2" w:rsidP="0032490F">
            <w:pPr>
              <w:pStyle w:val="naisnod"/>
              <w:spacing w:before="0" w:after="0"/>
              <w:ind w:left="57" w:right="57"/>
              <w:jc w:val="left"/>
              <w:rPr>
                <w:b w:val="0"/>
              </w:rPr>
            </w:pPr>
            <w:r>
              <w:rPr>
                <w:b w:val="0"/>
              </w:rPr>
              <w:t xml:space="preserve">Noteikumu </w:t>
            </w:r>
            <w:r w:rsidRPr="00407670">
              <w:rPr>
                <w:b w:val="0"/>
              </w:rPr>
              <w:t>projekts šo jomu neskar.</w:t>
            </w:r>
          </w:p>
        </w:tc>
      </w:tr>
      <w:tr w:rsidR="006614A2" w:rsidRPr="007C0F2C" w:rsidTr="00BF280F">
        <w:trPr>
          <w:trHeight w:val="476"/>
        </w:trPr>
        <w:tc>
          <w:tcPr>
            <w:tcW w:w="284" w:type="dxa"/>
          </w:tcPr>
          <w:p w:rsidR="006614A2" w:rsidRPr="007C0F2C" w:rsidRDefault="006614A2" w:rsidP="007D099D">
            <w:pPr>
              <w:pStyle w:val="naiskr"/>
              <w:spacing w:before="0" w:after="0"/>
              <w:ind w:left="57" w:right="57"/>
              <w:rPr>
                <w:sz w:val="22"/>
                <w:szCs w:val="22"/>
              </w:rPr>
            </w:pPr>
            <w:r>
              <w:rPr>
                <w:sz w:val="22"/>
                <w:szCs w:val="22"/>
              </w:rPr>
              <w:t>6</w:t>
            </w:r>
            <w:r w:rsidRPr="007C0F2C">
              <w:rPr>
                <w:sz w:val="22"/>
                <w:szCs w:val="22"/>
              </w:rPr>
              <w:t>.</w:t>
            </w:r>
          </w:p>
        </w:tc>
        <w:tc>
          <w:tcPr>
            <w:tcW w:w="4452" w:type="dxa"/>
          </w:tcPr>
          <w:p w:rsidR="006614A2" w:rsidRPr="007C0F2C" w:rsidRDefault="006614A2" w:rsidP="007D099D">
            <w:pPr>
              <w:pStyle w:val="naiskr"/>
              <w:spacing w:before="0" w:after="0"/>
              <w:ind w:left="57" w:right="57"/>
              <w:rPr>
                <w:sz w:val="22"/>
                <w:szCs w:val="22"/>
              </w:rPr>
            </w:pPr>
            <w:r w:rsidRPr="007C0F2C">
              <w:rPr>
                <w:sz w:val="22"/>
                <w:szCs w:val="22"/>
              </w:rPr>
              <w:t>Cita informācija</w:t>
            </w:r>
          </w:p>
        </w:tc>
        <w:tc>
          <w:tcPr>
            <w:tcW w:w="4904" w:type="dxa"/>
          </w:tcPr>
          <w:p w:rsidR="006614A2" w:rsidRPr="007C0F2C" w:rsidRDefault="006614A2" w:rsidP="007D099D">
            <w:pPr>
              <w:pStyle w:val="naiskr"/>
              <w:spacing w:before="0" w:after="0"/>
              <w:ind w:left="57" w:right="57"/>
              <w:rPr>
                <w:sz w:val="22"/>
                <w:szCs w:val="22"/>
              </w:rPr>
            </w:pPr>
            <w:r>
              <w:rPr>
                <w:sz w:val="22"/>
                <w:szCs w:val="22"/>
              </w:rPr>
              <w:t>Nav.</w:t>
            </w:r>
          </w:p>
        </w:tc>
      </w:tr>
    </w:tbl>
    <w:p w:rsidR="006614A2" w:rsidRPr="007C0F2C" w:rsidRDefault="006614A2" w:rsidP="00685CC9">
      <w:pPr>
        <w:pStyle w:val="naisf"/>
        <w:tabs>
          <w:tab w:val="left" w:pos="6804"/>
        </w:tabs>
        <w:spacing w:before="0" w:after="0"/>
        <w:ind w:firstLine="0"/>
        <w:rPr>
          <w:sz w:val="28"/>
          <w:szCs w:val="28"/>
        </w:rPr>
      </w:pPr>
    </w:p>
    <w:p w:rsidR="006614A2" w:rsidRPr="00BF280F" w:rsidRDefault="00651807" w:rsidP="00480A22">
      <w:pPr>
        <w:tabs>
          <w:tab w:val="left" w:pos="6663"/>
        </w:tabs>
      </w:pPr>
      <w:r w:rsidRPr="00BF280F">
        <w:t>Anotācijas V sadaļa – projekts šīs jomas neskar.</w:t>
      </w:r>
    </w:p>
    <w:p w:rsidR="00651807" w:rsidRDefault="00651807" w:rsidP="004A786E">
      <w:pPr>
        <w:tabs>
          <w:tab w:val="left" w:pos="6663"/>
        </w:tabs>
        <w:rPr>
          <w:sz w:val="28"/>
          <w:szCs w:val="28"/>
        </w:rPr>
      </w:pPr>
    </w:p>
    <w:p w:rsidR="00B03304" w:rsidRDefault="00B03304" w:rsidP="004A786E">
      <w:pPr>
        <w:tabs>
          <w:tab w:val="left" w:pos="6663"/>
        </w:tabs>
        <w:rPr>
          <w:sz w:val="28"/>
          <w:szCs w:val="28"/>
        </w:rPr>
      </w:pPr>
    </w:p>
    <w:p w:rsidR="00B03304" w:rsidRDefault="00EF70C1" w:rsidP="00480A22">
      <w:pPr>
        <w:pStyle w:val="mans"/>
        <w:tabs>
          <w:tab w:val="left" w:pos="1418"/>
        </w:tabs>
        <w:spacing w:before="0" w:after="0"/>
        <w:ind w:firstLine="0"/>
        <w:rPr>
          <w:sz w:val="20"/>
          <w:szCs w:val="20"/>
          <w:lang w:val="lv-LV"/>
        </w:rPr>
      </w:pPr>
      <w:r w:rsidRPr="00EF70C1">
        <w:rPr>
          <w:szCs w:val="28"/>
          <w:lang w:val="lv-LV" w:eastAsia="lv-LV"/>
        </w:rPr>
        <w:t>Finanšu ministrs                                                                              A.Vilks</w:t>
      </w:r>
    </w:p>
    <w:p w:rsidR="00B03304" w:rsidRDefault="00B03304" w:rsidP="00480A22">
      <w:pPr>
        <w:pStyle w:val="mans"/>
        <w:tabs>
          <w:tab w:val="left" w:pos="1418"/>
        </w:tabs>
        <w:spacing w:before="0" w:after="0"/>
        <w:ind w:firstLine="0"/>
        <w:rPr>
          <w:sz w:val="20"/>
          <w:szCs w:val="20"/>
          <w:lang w:val="lv-LV"/>
        </w:rPr>
      </w:pPr>
    </w:p>
    <w:p w:rsidR="00830749" w:rsidRDefault="00830749" w:rsidP="00480A22">
      <w:pPr>
        <w:pStyle w:val="mans"/>
        <w:tabs>
          <w:tab w:val="left" w:pos="1418"/>
        </w:tabs>
        <w:spacing w:before="0" w:after="0"/>
        <w:ind w:firstLine="0"/>
        <w:rPr>
          <w:sz w:val="20"/>
          <w:szCs w:val="20"/>
          <w:lang w:val="lv-LV"/>
        </w:rPr>
      </w:pPr>
    </w:p>
    <w:p w:rsidR="00EF70C1" w:rsidRDefault="00EF70C1" w:rsidP="00480A22">
      <w:pPr>
        <w:pStyle w:val="mans"/>
        <w:tabs>
          <w:tab w:val="left" w:pos="1418"/>
        </w:tabs>
        <w:spacing w:before="0" w:after="0"/>
        <w:ind w:firstLine="0"/>
        <w:rPr>
          <w:sz w:val="20"/>
          <w:szCs w:val="20"/>
          <w:lang w:val="lv-LV"/>
        </w:rPr>
      </w:pPr>
    </w:p>
    <w:p w:rsidR="00EF70C1" w:rsidRDefault="00EF70C1" w:rsidP="00480A22">
      <w:pPr>
        <w:pStyle w:val="mans"/>
        <w:tabs>
          <w:tab w:val="left" w:pos="1418"/>
        </w:tabs>
        <w:spacing w:before="0" w:after="0"/>
        <w:ind w:firstLine="0"/>
        <w:rPr>
          <w:sz w:val="20"/>
          <w:szCs w:val="20"/>
          <w:lang w:val="lv-LV"/>
        </w:rPr>
      </w:pPr>
    </w:p>
    <w:p w:rsidR="00EF70C1" w:rsidRDefault="00EF70C1" w:rsidP="00480A22">
      <w:pPr>
        <w:pStyle w:val="mans"/>
        <w:tabs>
          <w:tab w:val="left" w:pos="1418"/>
        </w:tabs>
        <w:spacing w:before="0" w:after="0"/>
        <w:ind w:firstLine="0"/>
        <w:rPr>
          <w:sz w:val="20"/>
          <w:szCs w:val="20"/>
          <w:lang w:val="lv-LV"/>
        </w:rPr>
      </w:pPr>
    </w:p>
    <w:p w:rsidR="00EF70C1" w:rsidRDefault="00EF70C1" w:rsidP="00480A22">
      <w:pPr>
        <w:pStyle w:val="mans"/>
        <w:tabs>
          <w:tab w:val="left" w:pos="1418"/>
        </w:tabs>
        <w:spacing w:before="0" w:after="0"/>
        <w:ind w:firstLine="0"/>
        <w:rPr>
          <w:sz w:val="20"/>
          <w:szCs w:val="20"/>
          <w:lang w:val="lv-LV"/>
        </w:rPr>
      </w:pPr>
    </w:p>
    <w:p w:rsidR="00EF70C1" w:rsidRDefault="00EF70C1" w:rsidP="00480A22">
      <w:pPr>
        <w:pStyle w:val="mans"/>
        <w:tabs>
          <w:tab w:val="left" w:pos="1418"/>
        </w:tabs>
        <w:spacing w:before="0" w:after="0"/>
        <w:ind w:firstLine="0"/>
        <w:rPr>
          <w:sz w:val="20"/>
          <w:szCs w:val="20"/>
          <w:lang w:val="lv-LV"/>
        </w:rPr>
      </w:pPr>
    </w:p>
    <w:p w:rsidR="00EF70C1" w:rsidRDefault="00EF70C1" w:rsidP="00480A22">
      <w:pPr>
        <w:pStyle w:val="mans"/>
        <w:tabs>
          <w:tab w:val="left" w:pos="1418"/>
        </w:tabs>
        <w:spacing w:before="0" w:after="0"/>
        <w:ind w:firstLine="0"/>
        <w:rPr>
          <w:sz w:val="20"/>
          <w:szCs w:val="20"/>
          <w:lang w:val="lv-LV"/>
        </w:rPr>
      </w:pPr>
    </w:p>
    <w:p w:rsidR="00EF70C1" w:rsidRDefault="00EF70C1" w:rsidP="00480A22">
      <w:pPr>
        <w:pStyle w:val="mans"/>
        <w:tabs>
          <w:tab w:val="left" w:pos="1418"/>
        </w:tabs>
        <w:spacing w:before="0" w:after="0"/>
        <w:ind w:firstLine="0"/>
        <w:rPr>
          <w:sz w:val="20"/>
          <w:szCs w:val="20"/>
          <w:lang w:val="lv-LV"/>
        </w:rPr>
      </w:pPr>
    </w:p>
    <w:p w:rsidR="00EF70C1" w:rsidRDefault="00EF70C1" w:rsidP="00480A22">
      <w:pPr>
        <w:pStyle w:val="mans"/>
        <w:tabs>
          <w:tab w:val="left" w:pos="1418"/>
        </w:tabs>
        <w:spacing w:before="0" w:after="0"/>
        <w:ind w:firstLine="0"/>
        <w:rPr>
          <w:sz w:val="20"/>
          <w:szCs w:val="20"/>
          <w:lang w:val="lv-LV"/>
        </w:rPr>
      </w:pPr>
    </w:p>
    <w:p w:rsidR="00EF70C1" w:rsidRDefault="00EF70C1" w:rsidP="00480A22">
      <w:pPr>
        <w:pStyle w:val="mans"/>
        <w:tabs>
          <w:tab w:val="left" w:pos="1418"/>
        </w:tabs>
        <w:spacing w:before="0" w:after="0"/>
        <w:ind w:firstLine="0"/>
        <w:rPr>
          <w:sz w:val="20"/>
          <w:szCs w:val="20"/>
          <w:lang w:val="lv-LV"/>
        </w:rPr>
      </w:pPr>
    </w:p>
    <w:p w:rsidR="00EF70C1" w:rsidRDefault="00EF70C1" w:rsidP="00480A22">
      <w:pPr>
        <w:pStyle w:val="mans"/>
        <w:tabs>
          <w:tab w:val="left" w:pos="1418"/>
        </w:tabs>
        <w:spacing w:before="0" w:after="0"/>
        <w:ind w:firstLine="0"/>
        <w:rPr>
          <w:sz w:val="20"/>
          <w:szCs w:val="20"/>
          <w:lang w:val="lv-LV"/>
        </w:rPr>
      </w:pPr>
    </w:p>
    <w:p w:rsidR="00EF70C1" w:rsidRPr="00BF280F" w:rsidRDefault="00EF70C1" w:rsidP="00480A22">
      <w:pPr>
        <w:pStyle w:val="mans"/>
        <w:tabs>
          <w:tab w:val="left" w:pos="1418"/>
        </w:tabs>
        <w:spacing w:before="0" w:after="0"/>
        <w:ind w:firstLine="0"/>
        <w:rPr>
          <w:sz w:val="20"/>
          <w:szCs w:val="20"/>
          <w:lang w:val="lv-LV"/>
        </w:rPr>
      </w:pPr>
    </w:p>
    <w:p w:rsidR="00B03304" w:rsidRPr="00B03304" w:rsidRDefault="00520EF3" w:rsidP="005847E1">
      <w:pPr>
        <w:tabs>
          <w:tab w:val="center" w:pos="4535"/>
        </w:tabs>
        <w:ind w:hanging="142"/>
        <w:rPr>
          <w:sz w:val="16"/>
          <w:szCs w:val="16"/>
          <w:lang w:eastAsia="en-US"/>
        </w:rPr>
      </w:pPr>
      <w:r>
        <w:rPr>
          <w:sz w:val="16"/>
          <w:szCs w:val="16"/>
          <w:lang w:val="en-US" w:eastAsia="en-US"/>
        </w:rPr>
        <w:t>21</w:t>
      </w:r>
      <w:r w:rsidR="00B03304" w:rsidRPr="00E235AE">
        <w:rPr>
          <w:sz w:val="16"/>
          <w:szCs w:val="16"/>
          <w:lang w:val="en-US" w:eastAsia="en-US"/>
        </w:rPr>
        <w:t xml:space="preserve">.06.2012 </w:t>
      </w:r>
      <w:r>
        <w:rPr>
          <w:sz w:val="16"/>
          <w:szCs w:val="16"/>
          <w:lang w:val="en-US" w:eastAsia="en-US"/>
        </w:rPr>
        <w:t>15</w:t>
      </w:r>
      <w:r w:rsidR="00B03304" w:rsidRPr="00E235AE">
        <w:rPr>
          <w:sz w:val="16"/>
          <w:szCs w:val="16"/>
          <w:lang w:val="en-US" w:eastAsia="en-US"/>
        </w:rPr>
        <w:t>:</w:t>
      </w:r>
      <w:r>
        <w:rPr>
          <w:sz w:val="16"/>
          <w:szCs w:val="16"/>
          <w:lang w:val="en-US" w:eastAsia="en-US"/>
        </w:rPr>
        <w:t>00</w:t>
      </w:r>
    </w:p>
    <w:p w:rsidR="006614A2" w:rsidRPr="00B03304" w:rsidRDefault="006D7555" w:rsidP="005847E1">
      <w:pPr>
        <w:tabs>
          <w:tab w:val="center" w:pos="4535"/>
        </w:tabs>
        <w:ind w:hanging="142"/>
        <w:rPr>
          <w:sz w:val="16"/>
          <w:szCs w:val="16"/>
        </w:rPr>
      </w:pPr>
      <w:r>
        <w:rPr>
          <w:sz w:val="16"/>
          <w:szCs w:val="16"/>
        </w:rPr>
        <w:t>16</w:t>
      </w:r>
      <w:r w:rsidR="00186324">
        <w:rPr>
          <w:sz w:val="16"/>
          <w:szCs w:val="16"/>
        </w:rPr>
        <w:t>3</w:t>
      </w:r>
      <w:bookmarkStart w:id="0" w:name="_GoBack"/>
      <w:bookmarkEnd w:id="0"/>
      <w:r w:rsidR="00203805">
        <w:rPr>
          <w:sz w:val="16"/>
          <w:szCs w:val="16"/>
        </w:rPr>
        <w:t>3</w:t>
      </w:r>
    </w:p>
    <w:p w:rsidR="006614A2" w:rsidRPr="00B03304" w:rsidRDefault="006614A2" w:rsidP="005847E1">
      <w:pPr>
        <w:tabs>
          <w:tab w:val="center" w:pos="4535"/>
        </w:tabs>
        <w:ind w:hanging="142"/>
        <w:rPr>
          <w:sz w:val="16"/>
          <w:szCs w:val="16"/>
        </w:rPr>
      </w:pPr>
      <w:r w:rsidRPr="00B03304">
        <w:rPr>
          <w:sz w:val="16"/>
          <w:szCs w:val="16"/>
        </w:rPr>
        <w:t>Ilze Grīnberga</w:t>
      </w:r>
    </w:p>
    <w:p w:rsidR="006614A2" w:rsidRPr="00B03304" w:rsidRDefault="006614A2" w:rsidP="005847E1">
      <w:pPr>
        <w:tabs>
          <w:tab w:val="center" w:pos="4535"/>
        </w:tabs>
        <w:ind w:hanging="142"/>
        <w:rPr>
          <w:sz w:val="16"/>
          <w:szCs w:val="16"/>
        </w:rPr>
      </w:pPr>
      <w:r w:rsidRPr="00B03304">
        <w:rPr>
          <w:sz w:val="16"/>
          <w:szCs w:val="16"/>
        </w:rPr>
        <w:t>Finanšu ministrijas</w:t>
      </w:r>
      <w:r w:rsidRPr="00B03304">
        <w:rPr>
          <w:sz w:val="16"/>
          <w:szCs w:val="16"/>
        </w:rPr>
        <w:tab/>
      </w:r>
    </w:p>
    <w:p w:rsidR="006614A2" w:rsidRPr="00B03304" w:rsidRDefault="006614A2" w:rsidP="005847E1">
      <w:pPr>
        <w:tabs>
          <w:tab w:val="center" w:pos="4535"/>
        </w:tabs>
        <w:ind w:hanging="142"/>
        <w:rPr>
          <w:sz w:val="16"/>
          <w:szCs w:val="16"/>
        </w:rPr>
      </w:pPr>
      <w:r w:rsidRPr="00B03304">
        <w:rPr>
          <w:sz w:val="16"/>
          <w:szCs w:val="16"/>
        </w:rPr>
        <w:t>Nodokļu administrēšanas</w:t>
      </w:r>
    </w:p>
    <w:p w:rsidR="006614A2" w:rsidRPr="00B03304" w:rsidRDefault="006614A2" w:rsidP="005847E1">
      <w:pPr>
        <w:tabs>
          <w:tab w:val="center" w:pos="4535"/>
        </w:tabs>
        <w:ind w:hanging="142"/>
        <w:rPr>
          <w:sz w:val="16"/>
          <w:szCs w:val="16"/>
        </w:rPr>
      </w:pPr>
      <w:r w:rsidRPr="00B03304">
        <w:rPr>
          <w:sz w:val="16"/>
          <w:szCs w:val="16"/>
        </w:rPr>
        <w:t>un grāmatvedības politikas departamenta</w:t>
      </w:r>
    </w:p>
    <w:p w:rsidR="006614A2" w:rsidRPr="00B03304" w:rsidRDefault="006614A2" w:rsidP="005847E1">
      <w:pPr>
        <w:tabs>
          <w:tab w:val="center" w:pos="4535"/>
        </w:tabs>
        <w:ind w:hanging="142"/>
        <w:rPr>
          <w:sz w:val="16"/>
          <w:szCs w:val="16"/>
        </w:rPr>
      </w:pPr>
      <w:r w:rsidRPr="00B03304">
        <w:rPr>
          <w:sz w:val="16"/>
          <w:szCs w:val="16"/>
        </w:rPr>
        <w:t>Nodokļu administrēšanas politikas</w:t>
      </w:r>
    </w:p>
    <w:p w:rsidR="006614A2" w:rsidRPr="00B03304" w:rsidRDefault="006614A2" w:rsidP="005847E1">
      <w:pPr>
        <w:tabs>
          <w:tab w:val="center" w:pos="4535"/>
        </w:tabs>
        <w:ind w:hanging="142"/>
        <w:rPr>
          <w:sz w:val="16"/>
          <w:szCs w:val="16"/>
        </w:rPr>
      </w:pPr>
      <w:r w:rsidRPr="00B03304">
        <w:rPr>
          <w:sz w:val="16"/>
          <w:szCs w:val="16"/>
        </w:rPr>
        <w:t xml:space="preserve">nodaļas vecākā referente </w:t>
      </w:r>
    </w:p>
    <w:p w:rsidR="006614A2" w:rsidRPr="001D7548" w:rsidRDefault="006614A2" w:rsidP="005847E1">
      <w:pPr>
        <w:tabs>
          <w:tab w:val="center" w:pos="4535"/>
        </w:tabs>
        <w:ind w:hanging="142"/>
        <w:jc w:val="both"/>
        <w:rPr>
          <w:sz w:val="20"/>
          <w:szCs w:val="20"/>
        </w:rPr>
      </w:pPr>
      <w:r w:rsidRPr="00B03304">
        <w:rPr>
          <w:sz w:val="16"/>
          <w:szCs w:val="16"/>
        </w:rPr>
        <w:t xml:space="preserve">67095682 </w:t>
      </w:r>
      <w:hyperlink r:id="rId8" w:history="1">
        <w:r w:rsidRPr="00B03304">
          <w:rPr>
            <w:rStyle w:val="Hyperlink"/>
            <w:sz w:val="16"/>
            <w:szCs w:val="16"/>
          </w:rPr>
          <w:t>Ilze.Grinberga@fm.gov.lv</w:t>
        </w:r>
      </w:hyperlink>
      <w:r w:rsidRPr="001D7548">
        <w:rPr>
          <w:sz w:val="20"/>
          <w:szCs w:val="20"/>
        </w:rPr>
        <w:tab/>
      </w:r>
    </w:p>
    <w:sectPr w:rsidR="006614A2" w:rsidRPr="001D7548" w:rsidSect="00B03304">
      <w:headerReference w:type="even" r:id="rId9"/>
      <w:headerReference w:type="default" r:id="rId10"/>
      <w:footerReference w:type="default" r:id="rId11"/>
      <w:footerReference w:type="first" r:id="rId12"/>
      <w:pgSz w:w="11906" w:h="16838" w:code="9"/>
      <w:pgMar w:top="1134" w:right="1134" w:bottom="993" w:left="1701"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2A" w:rsidRDefault="000D232A">
      <w:r>
        <w:separator/>
      </w:r>
    </w:p>
  </w:endnote>
  <w:endnote w:type="continuationSeparator" w:id="0">
    <w:p w:rsidR="000D232A" w:rsidRDefault="000D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A2" w:rsidRPr="00480A22" w:rsidRDefault="006614A2" w:rsidP="005847E1">
    <w:pPr>
      <w:jc w:val="both"/>
      <w:rPr>
        <w:bCs/>
        <w:sz w:val="20"/>
        <w:szCs w:val="20"/>
      </w:rPr>
    </w:pPr>
    <w:r w:rsidRPr="00281B01">
      <w:rPr>
        <w:sz w:val="20"/>
        <w:szCs w:val="20"/>
      </w:rPr>
      <w:t>FM</w:t>
    </w:r>
    <w:r>
      <w:rPr>
        <w:sz w:val="20"/>
        <w:szCs w:val="20"/>
      </w:rPr>
      <w:t>Anot</w:t>
    </w:r>
    <w:r w:rsidRPr="00281B01">
      <w:rPr>
        <w:sz w:val="20"/>
        <w:szCs w:val="20"/>
      </w:rPr>
      <w:t>_</w:t>
    </w:r>
    <w:r w:rsidR="00273E9A">
      <w:rPr>
        <w:sz w:val="20"/>
        <w:szCs w:val="20"/>
      </w:rPr>
      <w:t>2</w:t>
    </w:r>
    <w:r w:rsidR="00520EF3">
      <w:rPr>
        <w:sz w:val="20"/>
        <w:szCs w:val="20"/>
      </w:rPr>
      <w:t>1</w:t>
    </w:r>
    <w:r w:rsidR="00273E9A">
      <w:rPr>
        <w:sz w:val="20"/>
        <w:szCs w:val="20"/>
      </w:rPr>
      <w:t>06</w:t>
    </w:r>
    <w:r>
      <w:rPr>
        <w:sz w:val="20"/>
        <w:szCs w:val="20"/>
      </w:rPr>
      <w:t>12</w:t>
    </w:r>
    <w:r w:rsidRPr="00281B01">
      <w:rPr>
        <w:sz w:val="20"/>
        <w:szCs w:val="20"/>
      </w:rPr>
      <w:t>_</w:t>
    </w:r>
    <w:r>
      <w:rPr>
        <w:sz w:val="20"/>
        <w:szCs w:val="20"/>
      </w:rPr>
      <w:t>PSP</w:t>
    </w:r>
    <w:r w:rsidRPr="00281B01">
      <w:rPr>
        <w:sz w:val="20"/>
        <w:szCs w:val="20"/>
      </w:rPr>
      <w:t xml:space="preserve">; </w:t>
    </w:r>
    <w:r>
      <w:rPr>
        <w:bCs/>
        <w:sz w:val="20"/>
        <w:szCs w:val="20"/>
      </w:rPr>
      <w:t>Ministru kabineta noteikumu projekta</w:t>
    </w:r>
    <w:r w:rsidRPr="00281B01">
      <w:rPr>
        <w:bCs/>
        <w:sz w:val="20"/>
        <w:szCs w:val="20"/>
      </w:rPr>
      <w:t xml:space="preserve"> "</w:t>
    </w:r>
    <w:r>
      <w:rPr>
        <w:bCs/>
        <w:sz w:val="20"/>
        <w:szCs w:val="20"/>
      </w:rPr>
      <w:t>Noteikumi par padziļinātās sadarbības programmas darbību</w:t>
    </w:r>
    <w:r w:rsidRPr="00281B01">
      <w:rPr>
        <w:bCs/>
        <w:sz w:val="20"/>
        <w:szCs w:val="20"/>
      </w:rPr>
      <w:t>" sākotnējās ietekmes novērtējuma ziņojums (anotācija)</w:t>
    </w:r>
  </w:p>
  <w:p w:rsidR="006614A2" w:rsidRPr="00480A22" w:rsidRDefault="006614A2" w:rsidP="00480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A2" w:rsidRPr="00480A22" w:rsidRDefault="006614A2" w:rsidP="00480A22">
    <w:pPr>
      <w:rPr>
        <w:bCs/>
        <w:sz w:val="20"/>
        <w:szCs w:val="20"/>
      </w:rPr>
    </w:pPr>
    <w:r w:rsidRPr="00281B01">
      <w:rPr>
        <w:sz w:val="20"/>
        <w:szCs w:val="20"/>
      </w:rPr>
      <w:t>FM</w:t>
    </w:r>
    <w:r>
      <w:rPr>
        <w:sz w:val="20"/>
        <w:szCs w:val="20"/>
      </w:rPr>
      <w:t>Anot</w:t>
    </w:r>
    <w:r w:rsidRPr="00281B01">
      <w:rPr>
        <w:sz w:val="20"/>
        <w:szCs w:val="20"/>
      </w:rPr>
      <w:t>_</w:t>
    </w:r>
    <w:r w:rsidR="00520EF3">
      <w:rPr>
        <w:sz w:val="20"/>
        <w:szCs w:val="20"/>
      </w:rPr>
      <w:t>2106</w:t>
    </w:r>
    <w:r>
      <w:rPr>
        <w:sz w:val="20"/>
        <w:szCs w:val="20"/>
      </w:rPr>
      <w:t>12</w:t>
    </w:r>
    <w:r w:rsidRPr="00281B01">
      <w:rPr>
        <w:sz w:val="20"/>
        <w:szCs w:val="20"/>
      </w:rPr>
      <w:t>_</w:t>
    </w:r>
    <w:r>
      <w:rPr>
        <w:sz w:val="20"/>
        <w:szCs w:val="20"/>
      </w:rPr>
      <w:t>PSP</w:t>
    </w:r>
    <w:r w:rsidRPr="00281B01">
      <w:rPr>
        <w:sz w:val="20"/>
        <w:szCs w:val="20"/>
      </w:rPr>
      <w:t xml:space="preserve">; </w:t>
    </w:r>
    <w:r>
      <w:rPr>
        <w:bCs/>
        <w:sz w:val="20"/>
        <w:szCs w:val="20"/>
      </w:rPr>
      <w:t>Ministru kabineta noteikumu projekta</w:t>
    </w:r>
    <w:r w:rsidRPr="00281B01">
      <w:rPr>
        <w:bCs/>
        <w:sz w:val="20"/>
        <w:szCs w:val="20"/>
      </w:rPr>
      <w:t xml:space="preserve"> "</w:t>
    </w:r>
    <w:r>
      <w:rPr>
        <w:bCs/>
        <w:sz w:val="20"/>
        <w:szCs w:val="20"/>
      </w:rPr>
      <w:t>Noteikumi par padziļinātās sadarbības programmas darbību</w:t>
    </w:r>
    <w:r w:rsidRPr="00281B01">
      <w:rPr>
        <w:bCs/>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2A" w:rsidRDefault="000D232A">
      <w:r>
        <w:separator/>
      </w:r>
    </w:p>
  </w:footnote>
  <w:footnote w:type="continuationSeparator" w:id="0">
    <w:p w:rsidR="000D232A" w:rsidRDefault="000D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A2" w:rsidRDefault="00041CB4" w:rsidP="003C449B">
    <w:pPr>
      <w:pStyle w:val="Header"/>
      <w:framePr w:wrap="around" w:vAnchor="text" w:hAnchor="margin" w:xAlign="center" w:y="1"/>
      <w:rPr>
        <w:rStyle w:val="PageNumber"/>
      </w:rPr>
    </w:pPr>
    <w:r>
      <w:rPr>
        <w:rStyle w:val="PageNumber"/>
      </w:rPr>
      <w:fldChar w:fldCharType="begin"/>
    </w:r>
    <w:r w:rsidR="006614A2">
      <w:rPr>
        <w:rStyle w:val="PageNumber"/>
      </w:rPr>
      <w:instrText xml:space="preserve">PAGE  </w:instrText>
    </w:r>
    <w:r>
      <w:rPr>
        <w:rStyle w:val="PageNumber"/>
      </w:rPr>
      <w:fldChar w:fldCharType="end"/>
    </w:r>
  </w:p>
  <w:p w:rsidR="006614A2" w:rsidRDefault="00661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A2" w:rsidRDefault="00041CB4" w:rsidP="003C449B">
    <w:pPr>
      <w:pStyle w:val="Header"/>
      <w:framePr w:wrap="around" w:vAnchor="text" w:hAnchor="margin" w:xAlign="center" w:y="1"/>
      <w:rPr>
        <w:rStyle w:val="PageNumber"/>
      </w:rPr>
    </w:pPr>
    <w:r>
      <w:rPr>
        <w:rStyle w:val="PageNumber"/>
      </w:rPr>
      <w:fldChar w:fldCharType="begin"/>
    </w:r>
    <w:r w:rsidR="006614A2">
      <w:rPr>
        <w:rStyle w:val="PageNumber"/>
      </w:rPr>
      <w:instrText xml:space="preserve">PAGE  </w:instrText>
    </w:r>
    <w:r>
      <w:rPr>
        <w:rStyle w:val="PageNumber"/>
      </w:rPr>
      <w:fldChar w:fldCharType="separate"/>
    </w:r>
    <w:r w:rsidR="00186324">
      <w:rPr>
        <w:rStyle w:val="PageNumber"/>
        <w:noProof/>
      </w:rPr>
      <w:t>7</w:t>
    </w:r>
    <w:r>
      <w:rPr>
        <w:rStyle w:val="PageNumber"/>
      </w:rPr>
      <w:fldChar w:fldCharType="end"/>
    </w:r>
  </w:p>
  <w:p w:rsidR="006614A2" w:rsidRDefault="00661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5F87098"/>
    <w:multiLevelType w:val="hybridMultilevel"/>
    <w:tmpl w:val="EB8E601E"/>
    <w:lvl w:ilvl="0" w:tplc="8FD2F7E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FE1"/>
    <w:rsid w:val="00022E13"/>
    <w:rsid w:val="00032388"/>
    <w:rsid w:val="00035CE2"/>
    <w:rsid w:val="00037CAE"/>
    <w:rsid w:val="00041CB4"/>
    <w:rsid w:val="00043669"/>
    <w:rsid w:val="0005553B"/>
    <w:rsid w:val="000604D2"/>
    <w:rsid w:val="0007204C"/>
    <w:rsid w:val="000738E6"/>
    <w:rsid w:val="000821C1"/>
    <w:rsid w:val="0009005E"/>
    <w:rsid w:val="000941C5"/>
    <w:rsid w:val="000A6451"/>
    <w:rsid w:val="000A6B9F"/>
    <w:rsid w:val="000A7EF2"/>
    <w:rsid w:val="000B064E"/>
    <w:rsid w:val="000B69CF"/>
    <w:rsid w:val="000C790C"/>
    <w:rsid w:val="000D0019"/>
    <w:rsid w:val="000D232A"/>
    <w:rsid w:val="000D46D2"/>
    <w:rsid w:val="000D7078"/>
    <w:rsid w:val="000F061D"/>
    <w:rsid w:val="000F4794"/>
    <w:rsid w:val="00124F12"/>
    <w:rsid w:val="00132EE7"/>
    <w:rsid w:val="001372DA"/>
    <w:rsid w:val="00144E3A"/>
    <w:rsid w:val="00146FCE"/>
    <w:rsid w:val="0015060C"/>
    <w:rsid w:val="00153E34"/>
    <w:rsid w:val="0016018A"/>
    <w:rsid w:val="00161F0E"/>
    <w:rsid w:val="00170E2A"/>
    <w:rsid w:val="00177394"/>
    <w:rsid w:val="00182C18"/>
    <w:rsid w:val="00183CC2"/>
    <w:rsid w:val="00186324"/>
    <w:rsid w:val="001900E4"/>
    <w:rsid w:val="00190F88"/>
    <w:rsid w:val="001942EA"/>
    <w:rsid w:val="00195D54"/>
    <w:rsid w:val="00196119"/>
    <w:rsid w:val="001A3F70"/>
    <w:rsid w:val="001A4066"/>
    <w:rsid w:val="001A6AE4"/>
    <w:rsid w:val="001B01FD"/>
    <w:rsid w:val="001B4A71"/>
    <w:rsid w:val="001C1A54"/>
    <w:rsid w:val="001D3B78"/>
    <w:rsid w:val="001D5B54"/>
    <w:rsid w:val="001D7548"/>
    <w:rsid w:val="001E1DBF"/>
    <w:rsid w:val="001E4639"/>
    <w:rsid w:val="001E4A7D"/>
    <w:rsid w:val="001E77C7"/>
    <w:rsid w:val="001F4209"/>
    <w:rsid w:val="001F43A8"/>
    <w:rsid w:val="001F5CD6"/>
    <w:rsid w:val="00203805"/>
    <w:rsid w:val="0021263D"/>
    <w:rsid w:val="00213F0C"/>
    <w:rsid w:val="00214094"/>
    <w:rsid w:val="0021592D"/>
    <w:rsid w:val="00222720"/>
    <w:rsid w:val="00222D76"/>
    <w:rsid w:val="00223EB1"/>
    <w:rsid w:val="0022579E"/>
    <w:rsid w:val="00231344"/>
    <w:rsid w:val="00233367"/>
    <w:rsid w:val="0023436E"/>
    <w:rsid w:val="002347C0"/>
    <w:rsid w:val="00241A6C"/>
    <w:rsid w:val="00242D2B"/>
    <w:rsid w:val="00261F84"/>
    <w:rsid w:val="00262E2B"/>
    <w:rsid w:val="00263FE9"/>
    <w:rsid w:val="002645E8"/>
    <w:rsid w:val="00270429"/>
    <w:rsid w:val="002723E9"/>
    <w:rsid w:val="00273181"/>
    <w:rsid w:val="00273E9A"/>
    <w:rsid w:val="00277929"/>
    <w:rsid w:val="00281B01"/>
    <w:rsid w:val="00283B82"/>
    <w:rsid w:val="002846E9"/>
    <w:rsid w:val="00284C34"/>
    <w:rsid w:val="0029066C"/>
    <w:rsid w:val="002A4CC6"/>
    <w:rsid w:val="002B29DB"/>
    <w:rsid w:val="002B50DB"/>
    <w:rsid w:val="002C12AB"/>
    <w:rsid w:val="002C3B04"/>
    <w:rsid w:val="002C4179"/>
    <w:rsid w:val="002C66F4"/>
    <w:rsid w:val="002C7CAC"/>
    <w:rsid w:val="002D06D7"/>
    <w:rsid w:val="002D3306"/>
    <w:rsid w:val="002D48AA"/>
    <w:rsid w:val="002D7BAA"/>
    <w:rsid w:val="002D7F54"/>
    <w:rsid w:val="002E3FF4"/>
    <w:rsid w:val="002E5B05"/>
    <w:rsid w:val="002E6D9C"/>
    <w:rsid w:val="002F78C8"/>
    <w:rsid w:val="003005C7"/>
    <w:rsid w:val="0030148A"/>
    <w:rsid w:val="00301CF3"/>
    <w:rsid w:val="00303632"/>
    <w:rsid w:val="00313DED"/>
    <w:rsid w:val="00320E05"/>
    <w:rsid w:val="0032490F"/>
    <w:rsid w:val="0032715C"/>
    <w:rsid w:val="00334E83"/>
    <w:rsid w:val="00337CA5"/>
    <w:rsid w:val="00340172"/>
    <w:rsid w:val="00342E28"/>
    <w:rsid w:val="00362478"/>
    <w:rsid w:val="00366065"/>
    <w:rsid w:val="00375B25"/>
    <w:rsid w:val="0038006C"/>
    <w:rsid w:val="0038132C"/>
    <w:rsid w:val="00383097"/>
    <w:rsid w:val="00385F2F"/>
    <w:rsid w:val="00396542"/>
    <w:rsid w:val="0039685B"/>
    <w:rsid w:val="003A24C5"/>
    <w:rsid w:val="003A31A6"/>
    <w:rsid w:val="003A4E18"/>
    <w:rsid w:val="003A715A"/>
    <w:rsid w:val="003A7F0C"/>
    <w:rsid w:val="003A7F79"/>
    <w:rsid w:val="003B6404"/>
    <w:rsid w:val="003C38CE"/>
    <w:rsid w:val="003C449B"/>
    <w:rsid w:val="003C54A7"/>
    <w:rsid w:val="003D21FF"/>
    <w:rsid w:val="003E2329"/>
    <w:rsid w:val="003F0112"/>
    <w:rsid w:val="003F071A"/>
    <w:rsid w:val="003F160B"/>
    <w:rsid w:val="003F3B98"/>
    <w:rsid w:val="00400032"/>
    <w:rsid w:val="00400B5B"/>
    <w:rsid w:val="0040576A"/>
    <w:rsid w:val="00405A00"/>
    <w:rsid w:val="0040676E"/>
    <w:rsid w:val="00407670"/>
    <w:rsid w:val="00414157"/>
    <w:rsid w:val="00420870"/>
    <w:rsid w:val="00432D0C"/>
    <w:rsid w:val="0043407B"/>
    <w:rsid w:val="004353A1"/>
    <w:rsid w:val="0043791B"/>
    <w:rsid w:val="00441483"/>
    <w:rsid w:val="00441BCB"/>
    <w:rsid w:val="0045176A"/>
    <w:rsid w:val="00451C80"/>
    <w:rsid w:val="00456332"/>
    <w:rsid w:val="00461826"/>
    <w:rsid w:val="00462D68"/>
    <w:rsid w:val="00467938"/>
    <w:rsid w:val="00467DAD"/>
    <w:rsid w:val="00475C22"/>
    <w:rsid w:val="00477178"/>
    <w:rsid w:val="004800F9"/>
    <w:rsid w:val="00480A22"/>
    <w:rsid w:val="0049134A"/>
    <w:rsid w:val="004A55A7"/>
    <w:rsid w:val="004A58CB"/>
    <w:rsid w:val="004A6EE0"/>
    <w:rsid w:val="004A77AC"/>
    <w:rsid w:val="004A786E"/>
    <w:rsid w:val="004B1795"/>
    <w:rsid w:val="004B56DD"/>
    <w:rsid w:val="004B7BD7"/>
    <w:rsid w:val="004C020F"/>
    <w:rsid w:val="004C1AFD"/>
    <w:rsid w:val="004C558B"/>
    <w:rsid w:val="004D28FA"/>
    <w:rsid w:val="004F171E"/>
    <w:rsid w:val="004F1F88"/>
    <w:rsid w:val="004F5F1B"/>
    <w:rsid w:val="0050163F"/>
    <w:rsid w:val="00502374"/>
    <w:rsid w:val="005060A1"/>
    <w:rsid w:val="005135FB"/>
    <w:rsid w:val="00514254"/>
    <w:rsid w:val="00516072"/>
    <w:rsid w:val="00520EF3"/>
    <w:rsid w:val="00526FC5"/>
    <w:rsid w:val="005332EC"/>
    <w:rsid w:val="00534418"/>
    <w:rsid w:val="005353AB"/>
    <w:rsid w:val="005413F4"/>
    <w:rsid w:val="005560BC"/>
    <w:rsid w:val="005573BE"/>
    <w:rsid w:val="00561BAF"/>
    <w:rsid w:val="00563737"/>
    <w:rsid w:val="00567F8B"/>
    <w:rsid w:val="00572700"/>
    <w:rsid w:val="00580468"/>
    <w:rsid w:val="005810A2"/>
    <w:rsid w:val="00582231"/>
    <w:rsid w:val="00584368"/>
    <w:rsid w:val="005847E1"/>
    <w:rsid w:val="0058603B"/>
    <w:rsid w:val="0059431B"/>
    <w:rsid w:val="005955C9"/>
    <w:rsid w:val="005A220C"/>
    <w:rsid w:val="005A2436"/>
    <w:rsid w:val="005A39CC"/>
    <w:rsid w:val="005B3704"/>
    <w:rsid w:val="005B4730"/>
    <w:rsid w:val="005C0DAB"/>
    <w:rsid w:val="005E05D7"/>
    <w:rsid w:val="005E41E7"/>
    <w:rsid w:val="005E450F"/>
    <w:rsid w:val="0060162B"/>
    <w:rsid w:val="0062298A"/>
    <w:rsid w:val="00624CA3"/>
    <w:rsid w:val="00626514"/>
    <w:rsid w:val="00626589"/>
    <w:rsid w:val="006271BA"/>
    <w:rsid w:val="006339A0"/>
    <w:rsid w:val="00633E17"/>
    <w:rsid w:val="006413A8"/>
    <w:rsid w:val="00642E56"/>
    <w:rsid w:val="006461F0"/>
    <w:rsid w:val="00651807"/>
    <w:rsid w:val="00651E00"/>
    <w:rsid w:val="006614A2"/>
    <w:rsid w:val="00670CE7"/>
    <w:rsid w:val="00674572"/>
    <w:rsid w:val="00685CC9"/>
    <w:rsid w:val="00687763"/>
    <w:rsid w:val="00691966"/>
    <w:rsid w:val="00692A58"/>
    <w:rsid w:val="00692B0D"/>
    <w:rsid w:val="00693E0E"/>
    <w:rsid w:val="006A123B"/>
    <w:rsid w:val="006A1AE3"/>
    <w:rsid w:val="006A49B4"/>
    <w:rsid w:val="006B5C65"/>
    <w:rsid w:val="006C30E1"/>
    <w:rsid w:val="006C4607"/>
    <w:rsid w:val="006D48F1"/>
    <w:rsid w:val="006D646F"/>
    <w:rsid w:val="006D7555"/>
    <w:rsid w:val="006F45BE"/>
    <w:rsid w:val="007004FC"/>
    <w:rsid w:val="00703911"/>
    <w:rsid w:val="00706670"/>
    <w:rsid w:val="00711F59"/>
    <w:rsid w:val="00714456"/>
    <w:rsid w:val="00723CD1"/>
    <w:rsid w:val="0072417C"/>
    <w:rsid w:val="00730C5C"/>
    <w:rsid w:val="00734450"/>
    <w:rsid w:val="007362E0"/>
    <w:rsid w:val="00741ED0"/>
    <w:rsid w:val="00743946"/>
    <w:rsid w:val="00745F67"/>
    <w:rsid w:val="0075039E"/>
    <w:rsid w:val="00752D9D"/>
    <w:rsid w:val="00754784"/>
    <w:rsid w:val="00757867"/>
    <w:rsid w:val="00757C6E"/>
    <w:rsid w:val="00760EDB"/>
    <w:rsid w:val="00762BDA"/>
    <w:rsid w:val="00764BC3"/>
    <w:rsid w:val="00767B01"/>
    <w:rsid w:val="00767B1C"/>
    <w:rsid w:val="00771574"/>
    <w:rsid w:val="0077693A"/>
    <w:rsid w:val="007805FD"/>
    <w:rsid w:val="00784422"/>
    <w:rsid w:val="007847E0"/>
    <w:rsid w:val="007B3B54"/>
    <w:rsid w:val="007B3F34"/>
    <w:rsid w:val="007B3FA0"/>
    <w:rsid w:val="007C0F2C"/>
    <w:rsid w:val="007C2BCC"/>
    <w:rsid w:val="007C4EF0"/>
    <w:rsid w:val="007D099D"/>
    <w:rsid w:val="007D6C8A"/>
    <w:rsid w:val="007D7F7C"/>
    <w:rsid w:val="007E2664"/>
    <w:rsid w:val="007E26F1"/>
    <w:rsid w:val="007E3ABF"/>
    <w:rsid w:val="007E5BFA"/>
    <w:rsid w:val="007E6689"/>
    <w:rsid w:val="007E731C"/>
    <w:rsid w:val="007F0A03"/>
    <w:rsid w:val="00810040"/>
    <w:rsid w:val="008103A8"/>
    <w:rsid w:val="0082023A"/>
    <w:rsid w:val="00821A7A"/>
    <w:rsid w:val="008253F8"/>
    <w:rsid w:val="00830749"/>
    <w:rsid w:val="008325E4"/>
    <w:rsid w:val="00832A2B"/>
    <w:rsid w:val="00835717"/>
    <w:rsid w:val="00840D7F"/>
    <w:rsid w:val="00845811"/>
    <w:rsid w:val="00846994"/>
    <w:rsid w:val="00850451"/>
    <w:rsid w:val="00850F6F"/>
    <w:rsid w:val="00851F5A"/>
    <w:rsid w:val="00852042"/>
    <w:rsid w:val="008534C9"/>
    <w:rsid w:val="0085599D"/>
    <w:rsid w:val="00856D71"/>
    <w:rsid w:val="0087510C"/>
    <w:rsid w:val="008765E3"/>
    <w:rsid w:val="0088786F"/>
    <w:rsid w:val="00895754"/>
    <w:rsid w:val="008968D2"/>
    <w:rsid w:val="0089738E"/>
    <w:rsid w:val="008B5FDB"/>
    <w:rsid w:val="008C084B"/>
    <w:rsid w:val="008C50F4"/>
    <w:rsid w:val="008C5649"/>
    <w:rsid w:val="008D594D"/>
    <w:rsid w:val="008E0532"/>
    <w:rsid w:val="008E44A2"/>
    <w:rsid w:val="008E4DA2"/>
    <w:rsid w:val="008E697D"/>
    <w:rsid w:val="00903263"/>
    <w:rsid w:val="00906A21"/>
    <w:rsid w:val="009079C3"/>
    <w:rsid w:val="00910462"/>
    <w:rsid w:val="00915AB1"/>
    <w:rsid w:val="00917532"/>
    <w:rsid w:val="0092227F"/>
    <w:rsid w:val="009235BA"/>
    <w:rsid w:val="00924023"/>
    <w:rsid w:val="00924CE2"/>
    <w:rsid w:val="00925B9F"/>
    <w:rsid w:val="0092778F"/>
    <w:rsid w:val="00930B6C"/>
    <w:rsid w:val="00931AED"/>
    <w:rsid w:val="009476A3"/>
    <w:rsid w:val="0095334F"/>
    <w:rsid w:val="00965897"/>
    <w:rsid w:val="009671BB"/>
    <w:rsid w:val="0096765C"/>
    <w:rsid w:val="00967677"/>
    <w:rsid w:val="009727E4"/>
    <w:rsid w:val="0097629E"/>
    <w:rsid w:val="0098563C"/>
    <w:rsid w:val="00986150"/>
    <w:rsid w:val="00991819"/>
    <w:rsid w:val="009934C5"/>
    <w:rsid w:val="00994C0F"/>
    <w:rsid w:val="009968C6"/>
    <w:rsid w:val="009B0429"/>
    <w:rsid w:val="009B22D7"/>
    <w:rsid w:val="009B72ED"/>
    <w:rsid w:val="009C6DEB"/>
    <w:rsid w:val="009D2D85"/>
    <w:rsid w:val="009D6504"/>
    <w:rsid w:val="009E04E4"/>
    <w:rsid w:val="009E0D42"/>
    <w:rsid w:val="009E12D7"/>
    <w:rsid w:val="009E661A"/>
    <w:rsid w:val="009E75AC"/>
    <w:rsid w:val="00A06781"/>
    <w:rsid w:val="00A074C3"/>
    <w:rsid w:val="00A1509C"/>
    <w:rsid w:val="00A249B9"/>
    <w:rsid w:val="00A34260"/>
    <w:rsid w:val="00A373F9"/>
    <w:rsid w:val="00A434A0"/>
    <w:rsid w:val="00A43EDB"/>
    <w:rsid w:val="00A536E4"/>
    <w:rsid w:val="00A6405E"/>
    <w:rsid w:val="00A70CFD"/>
    <w:rsid w:val="00A70FE0"/>
    <w:rsid w:val="00A72A0B"/>
    <w:rsid w:val="00A81E42"/>
    <w:rsid w:val="00A864FE"/>
    <w:rsid w:val="00A86F41"/>
    <w:rsid w:val="00A87D04"/>
    <w:rsid w:val="00A950C5"/>
    <w:rsid w:val="00AA1D25"/>
    <w:rsid w:val="00AB2B1A"/>
    <w:rsid w:val="00AB397F"/>
    <w:rsid w:val="00AB5832"/>
    <w:rsid w:val="00AC2E33"/>
    <w:rsid w:val="00AC51F2"/>
    <w:rsid w:val="00AD3269"/>
    <w:rsid w:val="00AE5066"/>
    <w:rsid w:val="00AE5E24"/>
    <w:rsid w:val="00AE61B7"/>
    <w:rsid w:val="00AE6CBA"/>
    <w:rsid w:val="00AE79AD"/>
    <w:rsid w:val="00AF35E4"/>
    <w:rsid w:val="00AF5CDE"/>
    <w:rsid w:val="00AF5FB1"/>
    <w:rsid w:val="00B03304"/>
    <w:rsid w:val="00B11A57"/>
    <w:rsid w:val="00B211C3"/>
    <w:rsid w:val="00B25597"/>
    <w:rsid w:val="00B267B9"/>
    <w:rsid w:val="00B268C6"/>
    <w:rsid w:val="00B33E09"/>
    <w:rsid w:val="00B34399"/>
    <w:rsid w:val="00B50708"/>
    <w:rsid w:val="00B50C68"/>
    <w:rsid w:val="00B51293"/>
    <w:rsid w:val="00B52B1E"/>
    <w:rsid w:val="00B55481"/>
    <w:rsid w:val="00B5610C"/>
    <w:rsid w:val="00B56C32"/>
    <w:rsid w:val="00B57ACF"/>
    <w:rsid w:val="00B64796"/>
    <w:rsid w:val="00B64BB1"/>
    <w:rsid w:val="00B65130"/>
    <w:rsid w:val="00B670DD"/>
    <w:rsid w:val="00B73166"/>
    <w:rsid w:val="00B8426C"/>
    <w:rsid w:val="00B918E4"/>
    <w:rsid w:val="00B91B8D"/>
    <w:rsid w:val="00B94E90"/>
    <w:rsid w:val="00BA1678"/>
    <w:rsid w:val="00BB0A82"/>
    <w:rsid w:val="00BB7C94"/>
    <w:rsid w:val="00BC0656"/>
    <w:rsid w:val="00BC0A9D"/>
    <w:rsid w:val="00BC7EA9"/>
    <w:rsid w:val="00BD49A8"/>
    <w:rsid w:val="00BF280F"/>
    <w:rsid w:val="00BF329E"/>
    <w:rsid w:val="00BF40ED"/>
    <w:rsid w:val="00BF5BC2"/>
    <w:rsid w:val="00C048C6"/>
    <w:rsid w:val="00C1133D"/>
    <w:rsid w:val="00C13B10"/>
    <w:rsid w:val="00C24790"/>
    <w:rsid w:val="00C27A08"/>
    <w:rsid w:val="00C27A94"/>
    <w:rsid w:val="00C31312"/>
    <w:rsid w:val="00C31E29"/>
    <w:rsid w:val="00C31E36"/>
    <w:rsid w:val="00C326C6"/>
    <w:rsid w:val="00C35295"/>
    <w:rsid w:val="00C36ADD"/>
    <w:rsid w:val="00C36E74"/>
    <w:rsid w:val="00C37CDB"/>
    <w:rsid w:val="00C40595"/>
    <w:rsid w:val="00C41621"/>
    <w:rsid w:val="00C449FA"/>
    <w:rsid w:val="00C47362"/>
    <w:rsid w:val="00C5384F"/>
    <w:rsid w:val="00C56964"/>
    <w:rsid w:val="00C627F3"/>
    <w:rsid w:val="00C656D5"/>
    <w:rsid w:val="00C66F83"/>
    <w:rsid w:val="00C67103"/>
    <w:rsid w:val="00C6785E"/>
    <w:rsid w:val="00C71BB9"/>
    <w:rsid w:val="00C84FE6"/>
    <w:rsid w:val="00C94C28"/>
    <w:rsid w:val="00CB0247"/>
    <w:rsid w:val="00CB3440"/>
    <w:rsid w:val="00CC1692"/>
    <w:rsid w:val="00CD138B"/>
    <w:rsid w:val="00CD3E31"/>
    <w:rsid w:val="00CD74A3"/>
    <w:rsid w:val="00CE0527"/>
    <w:rsid w:val="00CE5B23"/>
    <w:rsid w:val="00CF70AD"/>
    <w:rsid w:val="00CF7729"/>
    <w:rsid w:val="00D00059"/>
    <w:rsid w:val="00D107FA"/>
    <w:rsid w:val="00D12275"/>
    <w:rsid w:val="00D12766"/>
    <w:rsid w:val="00D17033"/>
    <w:rsid w:val="00D20A14"/>
    <w:rsid w:val="00D20FF4"/>
    <w:rsid w:val="00D24D2C"/>
    <w:rsid w:val="00D35204"/>
    <w:rsid w:val="00D35881"/>
    <w:rsid w:val="00D53CE1"/>
    <w:rsid w:val="00D56365"/>
    <w:rsid w:val="00D75328"/>
    <w:rsid w:val="00D80DDD"/>
    <w:rsid w:val="00DA3030"/>
    <w:rsid w:val="00DA7DA5"/>
    <w:rsid w:val="00DB073B"/>
    <w:rsid w:val="00DB78F0"/>
    <w:rsid w:val="00DC0CEA"/>
    <w:rsid w:val="00DC204D"/>
    <w:rsid w:val="00DC2235"/>
    <w:rsid w:val="00DC2E43"/>
    <w:rsid w:val="00DD095C"/>
    <w:rsid w:val="00DD1020"/>
    <w:rsid w:val="00DD1330"/>
    <w:rsid w:val="00DE0B83"/>
    <w:rsid w:val="00DE1A81"/>
    <w:rsid w:val="00DE1C13"/>
    <w:rsid w:val="00DE4E10"/>
    <w:rsid w:val="00DE5BCA"/>
    <w:rsid w:val="00DF3031"/>
    <w:rsid w:val="00E02ABF"/>
    <w:rsid w:val="00E10F81"/>
    <w:rsid w:val="00E14995"/>
    <w:rsid w:val="00E15E84"/>
    <w:rsid w:val="00E179CD"/>
    <w:rsid w:val="00E235AE"/>
    <w:rsid w:val="00E23E8D"/>
    <w:rsid w:val="00E24FE6"/>
    <w:rsid w:val="00E25695"/>
    <w:rsid w:val="00E32918"/>
    <w:rsid w:val="00E37F98"/>
    <w:rsid w:val="00E44FBF"/>
    <w:rsid w:val="00E46559"/>
    <w:rsid w:val="00E6670C"/>
    <w:rsid w:val="00E66D5C"/>
    <w:rsid w:val="00E776E8"/>
    <w:rsid w:val="00E8771F"/>
    <w:rsid w:val="00E92C1F"/>
    <w:rsid w:val="00E94CED"/>
    <w:rsid w:val="00E95D4B"/>
    <w:rsid w:val="00EA2653"/>
    <w:rsid w:val="00EA3B77"/>
    <w:rsid w:val="00EB199F"/>
    <w:rsid w:val="00EB5711"/>
    <w:rsid w:val="00EC23F7"/>
    <w:rsid w:val="00EC3079"/>
    <w:rsid w:val="00EC4BD8"/>
    <w:rsid w:val="00EC63EB"/>
    <w:rsid w:val="00EC7943"/>
    <w:rsid w:val="00ED412F"/>
    <w:rsid w:val="00EF12E3"/>
    <w:rsid w:val="00EF3259"/>
    <w:rsid w:val="00EF36B2"/>
    <w:rsid w:val="00EF70C1"/>
    <w:rsid w:val="00F1246B"/>
    <w:rsid w:val="00F126F9"/>
    <w:rsid w:val="00F201EC"/>
    <w:rsid w:val="00F208A9"/>
    <w:rsid w:val="00F35863"/>
    <w:rsid w:val="00F41D75"/>
    <w:rsid w:val="00F4292F"/>
    <w:rsid w:val="00F5139D"/>
    <w:rsid w:val="00F63DAC"/>
    <w:rsid w:val="00F72526"/>
    <w:rsid w:val="00F7454F"/>
    <w:rsid w:val="00F77988"/>
    <w:rsid w:val="00F77F48"/>
    <w:rsid w:val="00FB270A"/>
    <w:rsid w:val="00FB30F1"/>
    <w:rsid w:val="00FB4A6B"/>
    <w:rsid w:val="00FB53E7"/>
    <w:rsid w:val="00FD2A8A"/>
    <w:rsid w:val="00FD2BD5"/>
    <w:rsid w:val="00FE655B"/>
    <w:rsid w:val="00FF1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link w:val="Header"/>
    <w:uiPriority w:val="99"/>
    <w:semiHidden/>
    <w:rsid w:val="00206A56"/>
    <w:rPr>
      <w:sz w:val="24"/>
      <w:szCs w:val="24"/>
    </w:rPr>
  </w:style>
  <w:style w:type="character" w:styleId="PageNumber">
    <w:name w:val="page number"/>
    <w:uiPriority w:val="99"/>
    <w:rsid w:val="008C5649"/>
    <w:rPr>
      <w:rFonts w:cs="Times New Roman"/>
    </w:rPr>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color w:val="333333"/>
    </w:rPr>
  </w:style>
  <w:style w:type="character" w:styleId="CommentReference">
    <w:name w:val="annotation reference"/>
    <w:uiPriority w:val="99"/>
    <w:semiHidden/>
    <w:rsid w:val="008C5649"/>
    <w:rPr>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locked/>
    <w:rsid w:val="008C5649"/>
    <w:rPr>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link w:val="BalloonText"/>
    <w:uiPriority w:val="99"/>
    <w:semiHidden/>
    <w:rsid w:val="00206A56"/>
    <w:rPr>
      <w:sz w:val="0"/>
      <w:szCs w:val="0"/>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206A56"/>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link w:val="CommentSubject"/>
    <w:uiPriority w:val="99"/>
    <w:semiHidden/>
    <w:rsid w:val="00206A56"/>
    <w:rPr>
      <w:b/>
      <w:bCs/>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semiHidden/>
    <w:locked/>
    <w:rsid w:val="00231344"/>
    <w:rPr>
      <w:sz w:val="24"/>
      <w:lang w:val="lv-LV" w:eastAsia="lv-LV"/>
    </w:rPr>
  </w:style>
  <w:style w:type="character" w:styleId="Hyperlink">
    <w:name w:val="Hyperlink"/>
    <w:uiPriority w:val="99"/>
    <w:rsid w:val="007004FC"/>
    <w:rPr>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206A56"/>
    <w:rPr>
      <w:sz w:val="0"/>
      <w:szCs w:val="0"/>
    </w:rPr>
  </w:style>
  <w:style w:type="paragraph" w:styleId="NoSpacing">
    <w:name w:val="No Spacing"/>
    <w:uiPriority w:val="1"/>
    <w:qFormat/>
    <w:rsid w:val="0032490F"/>
    <w:rPr>
      <w:rFonts w:ascii="Calibri" w:hAnsi="Calibri"/>
      <w:sz w:val="22"/>
      <w:szCs w:val="22"/>
      <w:lang w:eastAsia="en-US"/>
    </w:rPr>
  </w:style>
  <w:style w:type="paragraph" w:customStyle="1" w:styleId="mans">
    <w:name w:val="mans"/>
    <w:basedOn w:val="Normal"/>
    <w:qFormat/>
    <w:rsid w:val="00480A22"/>
    <w:pPr>
      <w:spacing w:before="240" w:after="240"/>
      <w:ind w:firstLine="567"/>
      <w:jc w:val="both"/>
    </w:pPr>
    <w:rPr>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link w:val="Header"/>
    <w:uiPriority w:val="99"/>
    <w:semiHidden/>
    <w:rsid w:val="00206A56"/>
    <w:rPr>
      <w:sz w:val="24"/>
      <w:szCs w:val="24"/>
    </w:rPr>
  </w:style>
  <w:style w:type="character" w:styleId="PageNumber">
    <w:name w:val="page number"/>
    <w:uiPriority w:val="99"/>
    <w:rsid w:val="008C5649"/>
    <w:rPr>
      <w:rFonts w:cs="Times New Roman"/>
    </w:rPr>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color w:val="333333"/>
    </w:rPr>
  </w:style>
  <w:style w:type="character" w:styleId="CommentReference">
    <w:name w:val="annotation reference"/>
    <w:uiPriority w:val="99"/>
    <w:semiHidden/>
    <w:rsid w:val="008C5649"/>
    <w:rPr>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locked/>
    <w:rsid w:val="008C5649"/>
    <w:rPr>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link w:val="BalloonText"/>
    <w:uiPriority w:val="99"/>
    <w:semiHidden/>
    <w:rsid w:val="00206A56"/>
    <w:rPr>
      <w:sz w:val="0"/>
      <w:szCs w:val="0"/>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206A56"/>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link w:val="CommentSubject"/>
    <w:uiPriority w:val="99"/>
    <w:semiHidden/>
    <w:rsid w:val="00206A56"/>
    <w:rPr>
      <w:b/>
      <w:bCs/>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semiHidden/>
    <w:locked/>
    <w:rsid w:val="00231344"/>
    <w:rPr>
      <w:sz w:val="24"/>
      <w:lang w:val="lv-LV" w:eastAsia="lv-LV"/>
    </w:rPr>
  </w:style>
  <w:style w:type="character" w:styleId="Hyperlink">
    <w:name w:val="Hyperlink"/>
    <w:uiPriority w:val="99"/>
    <w:rsid w:val="007004FC"/>
    <w:rPr>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206A56"/>
    <w:rPr>
      <w:sz w:val="0"/>
      <w:szCs w:val="0"/>
    </w:rPr>
  </w:style>
  <w:style w:type="paragraph" w:styleId="NoSpacing">
    <w:name w:val="No Spacing"/>
    <w:uiPriority w:val="1"/>
    <w:qFormat/>
    <w:rsid w:val="0032490F"/>
    <w:rPr>
      <w:rFonts w:ascii="Calibri" w:hAnsi="Calibri"/>
      <w:sz w:val="22"/>
      <w:szCs w:val="22"/>
      <w:lang w:eastAsia="en-US"/>
    </w:rPr>
  </w:style>
  <w:style w:type="paragraph" w:customStyle="1" w:styleId="mans">
    <w:name w:val="mans"/>
    <w:basedOn w:val="Normal"/>
    <w:qFormat/>
    <w:rsid w:val="00480A22"/>
    <w:pPr>
      <w:spacing w:before="240" w:after="240"/>
      <w:ind w:firstLine="567"/>
      <w:jc w:val="both"/>
    </w:pPr>
    <w:rPr>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25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Grinberga@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8880</Words>
  <Characters>5062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„Noteikumi par Padziļinātās sadarbības programmas darbību” anotācija</vt:lpstr>
    </vt:vector>
  </TitlesOfParts>
  <Company>Valsts kanceleja, Politikas koordinācijas departaments</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Padziļinātās sadarbības programmas darbību” anotācija</dc:title>
  <dc:subject>Anotācija</dc:subject>
  <dc:creator>Ilze Grīnberga</dc:creator>
  <cp:keywords/>
  <dc:description>67095682Ilze.Grinberga@fm.gov.lv</dc:description>
  <cp:lastModifiedBy>nd-oseil</cp:lastModifiedBy>
  <cp:revision>42</cp:revision>
  <cp:lastPrinted>2012-04-10T09:04:00Z</cp:lastPrinted>
  <dcterms:created xsi:type="dcterms:W3CDTF">2012-06-18T07:03:00Z</dcterms:created>
  <dcterms:modified xsi:type="dcterms:W3CDTF">2012-06-21T12:56:00Z</dcterms:modified>
</cp:coreProperties>
</file>