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01" w:rsidRPr="006E7F01" w:rsidRDefault="006E7F01" w:rsidP="008141DD">
      <w:pPr>
        <w:spacing w:after="0" w:line="240" w:lineRule="auto"/>
        <w:jc w:val="center"/>
        <w:rPr>
          <w:rFonts w:ascii="Times New Roman" w:eastAsia="Times New Roman" w:hAnsi="Times New Roman" w:cs="Times New Roman"/>
          <w:b/>
          <w:sz w:val="24"/>
          <w:szCs w:val="24"/>
          <w:lang w:val="x-none" w:eastAsia="x-none"/>
        </w:rPr>
      </w:pPr>
      <w:r w:rsidRPr="006E7F01">
        <w:rPr>
          <w:rFonts w:ascii="Times New Roman" w:eastAsia="Times New Roman" w:hAnsi="Times New Roman" w:cs="Times New Roman"/>
          <w:b/>
          <w:sz w:val="24"/>
          <w:szCs w:val="24"/>
          <w:lang w:val="x-none" w:eastAsia="x-none"/>
        </w:rPr>
        <w:t>Ministru kabineta noteikumu projekta „</w:t>
      </w:r>
      <w:r w:rsidR="008141DD" w:rsidRPr="008141DD">
        <w:rPr>
          <w:rFonts w:ascii="Times New Roman" w:eastAsia="Times New Roman" w:hAnsi="Times New Roman" w:cs="Times New Roman"/>
          <w:b/>
          <w:bCs/>
          <w:sz w:val="24"/>
          <w:szCs w:val="24"/>
          <w:lang w:eastAsia="lv-LV"/>
        </w:rPr>
        <w:t>Kārtība, kādā nosakāms maksimāli pieļaujamais</w:t>
      </w:r>
      <w:r w:rsidR="008141DD">
        <w:rPr>
          <w:rFonts w:ascii="Times New Roman" w:eastAsia="Times New Roman" w:hAnsi="Times New Roman" w:cs="Times New Roman"/>
          <w:b/>
          <w:bCs/>
          <w:sz w:val="24"/>
          <w:szCs w:val="24"/>
          <w:lang w:eastAsia="lv-LV"/>
        </w:rPr>
        <w:t xml:space="preserve"> </w:t>
      </w:r>
      <w:r w:rsidR="008141DD" w:rsidRPr="008141DD">
        <w:rPr>
          <w:rFonts w:ascii="Times New Roman" w:eastAsia="Times New Roman" w:hAnsi="Times New Roman" w:cs="Times New Roman"/>
          <w:b/>
          <w:bCs/>
          <w:sz w:val="24"/>
          <w:szCs w:val="24"/>
          <w:lang w:eastAsia="lv-LV"/>
        </w:rPr>
        <w:t>valsts budžeta izdevumu kopapjoms un maksimāli pieļaujamais valsts budžeta izdevumu kopējais apjoms katrai ministrijai un cit</w:t>
      </w:r>
      <w:r w:rsidR="00803E08">
        <w:rPr>
          <w:rFonts w:ascii="Times New Roman" w:eastAsia="Times New Roman" w:hAnsi="Times New Roman" w:cs="Times New Roman"/>
          <w:b/>
          <w:bCs/>
          <w:sz w:val="24"/>
          <w:szCs w:val="24"/>
          <w:lang w:eastAsia="lv-LV"/>
        </w:rPr>
        <w:t>ām</w:t>
      </w:r>
      <w:r w:rsidR="008141DD" w:rsidRPr="008141DD">
        <w:rPr>
          <w:rFonts w:ascii="Times New Roman" w:eastAsia="Times New Roman" w:hAnsi="Times New Roman" w:cs="Times New Roman"/>
          <w:b/>
          <w:bCs/>
          <w:sz w:val="24"/>
          <w:szCs w:val="24"/>
          <w:lang w:eastAsia="lv-LV"/>
        </w:rPr>
        <w:t xml:space="preserve"> centrālaj</w:t>
      </w:r>
      <w:r w:rsidR="00803E08">
        <w:rPr>
          <w:rFonts w:ascii="Times New Roman" w:eastAsia="Times New Roman" w:hAnsi="Times New Roman" w:cs="Times New Roman"/>
          <w:b/>
          <w:bCs/>
          <w:sz w:val="24"/>
          <w:szCs w:val="24"/>
          <w:lang w:eastAsia="lv-LV"/>
        </w:rPr>
        <w:t>ām</w:t>
      </w:r>
      <w:r w:rsidR="008141DD" w:rsidRPr="008141DD">
        <w:rPr>
          <w:rFonts w:ascii="Times New Roman" w:eastAsia="Times New Roman" w:hAnsi="Times New Roman" w:cs="Times New Roman"/>
          <w:b/>
          <w:bCs/>
          <w:sz w:val="24"/>
          <w:szCs w:val="24"/>
          <w:lang w:eastAsia="lv-LV"/>
        </w:rPr>
        <w:t xml:space="preserve"> valsts iestād</w:t>
      </w:r>
      <w:r w:rsidR="00803E08">
        <w:rPr>
          <w:rFonts w:ascii="Times New Roman" w:eastAsia="Times New Roman" w:hAnsi="Times New Roman" w:cs="Times New Roman"/>
          <w:b/>
          <w:bCs/>
          <w:sz w:val="24"/>
          <w:szCs w:val="24"/>
          <w:lang w:eastAsia="lv-LV"/>
        </w:rPr>
        <w:t>ēm</w:t>
      </w:r>
      <w:r w:rsidR="008141DD" w:rsidRPr="008141DD">
        <w:rPr>
          <w:rFonts w:ascii="Times New Roman" w:eastAsia="Times New Roman" w:hAnsi="Times New Roman" w:cs="Times New Roman"/>
          <w:b/>
          <w:bCs/>
          <w:sz w:val="24"/>
          <w:szCs w:val="24"/>
          <w:lang w:eastAsia="lv-LV"/>
        </w:rPr>
        <w:t xml:space="preserve"> vidējam termiņam</w:t>
      </w:r>
      <w:r w:rsidRPr="006D6481">
        <w:rPr>
          <w:rFonts w:ascii="Times New Roman" w:eastAsia="Times New Roman" w:hAnsi="Times New Roman" w:cs="Times New Roman"/>
          <w:b/>
          <w:sz w:val="24"/>
          <w:szCs w:val="24"/>
          <w:lang w:val="x-none" w:eastAsia="x-none"/>
        </w:rPr>
        <w:t>”</w:t>
      </w:r>
      <w:r w:rsidRPr="006E7F01">
        <w:rPr>
          <w:rFonts w:ascii="Times New Roman" w:eastAsia="Times New Roman" w:hAnsi="Times New Roman" w:cs="Times New Roman"/>
          <w:b/>
          <w:sz w:val="24"/>
          <w:szCs w:val="24"/>
          <w:lang w:val="x-none" w:eastAsia="x-none"/>
        </w:rPr>
        <w:t xml:space="preserve"> sākotnējās ietekmes novērtējuma ziņojums (anotācija)</w:t>
      </w:r>
    </w:p>
    <w:p w:rsidR="006E7F01" w:rsidRPr="006E7F01" w:rsidRDefault="006E7F01" w:rsidP="006E7F01">
      <w:pPr>
        <w:spacing w:after="0" w:line="240" w:lineRule="auto"/>
        <w:jc w:val="center"/>
        <w:rPr>
          <w:rFonts w:ascii="Times New Roman" w:eastAsia="Times New Roman" w:hAnsi="Times New Roman" w:cs="Times New Roman"/>
          <w:b/>
          <w:sz w:val="24"/>
          <w:szCs w:val="24"/>
          <w:lang w:eastAsia="lv-LV"/>
        </w:rPr>
      </w:pPr>
    </w:p>
    <w:tbl>
      <w:tblPr>
        <w:tblpPr w:leftFromText="180" w:rightFromText="180" w:vertAnchor="text" w:horzAnchor="margin" w:tblpXSpec="center" w:tblpY="149"/>
        <w:tblW w:w="9649" w:type="dxa"/>
        <w:tblCellSpacing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0" w:type="dxa"/>
        </w:tblCellMar>
        <w:tblLook w:val="0000" w:firstRow="0" w:lastRow="0" w:firstColumn="0" w:lastColumn="0" w:noHBand="0" w:noVBand="0"/>
      </w:tblPr>
      <w:tblGrid>
        <w:gridCol w:w="294"/>
        <w:gridCol w:w="2126"/>
        <w:gridCol w:w="7229"/>
      </w:tblGrid>
      <w:tr w:rsidR="006E7F01" w:rsidRPr="006E7F01" w:rsidTr="004D6B77">
        <w:trPr>
          <w:tblCellSpacing w:w="0" w:type="dxa"/>
        </w:trPr>
        <w:tc>
          <w:tcPr>
            <w:tcW w:w="9649" w:type="dxa"/>
            <w:gridSpan w:val="3"/>
            <w:vAlign w:val="center"/>
          </w:tcPr>
          <w:p w:rsidR="006E7F01" w:rsidRPr="006E7F01" w:rsidRDefault="006E7F01" w:rsidP="006E7F01">
            <w:pPr>
              <w:spacing w:before="120" w:after="120" w:line="240" w:lineRule="auto"/>
              <w:jc w:val="center"/>
              <w:rPr>
                <w:rFonts w:ascii="Times New Roman" w:eastAsia="Times New Roman" w:hAnsi="Times New Roman" w:cs="Times New Roman"/>
                <w:b/>
                <w:bCs/>
                <w:sz w:val="24"/>
                <w:szCs w:val="24"/>
                <w:lang w:eastAsia="lv-LV"/>
              </w:rPr>
            </w:pPr>
            <w:r w:rsidRPr="006E7F01">
              <w:rPr>
                <w:rFonts w:ascii="Times New Roman" w:eastAsia="Times New Roman" w:hAnsi="Times New Roman" w:cs="Times New Roman"/>
                <w:b/>
                <w:bCs/>
                <w:sz w:val="24"/>
                <w:szCs w:val="24"/>
                <w:lang w:eastAsia="lv-LV"/>
              </w:rPr>
              <w:t> I Tiesību akta projekta izstrādes nepieciešamība</w:t>
            </w:r>
          </w:p>
        </w:tc>
      </w:tr>
      <w:tr w:rsidR="006E7F01" w:rsidRPr="006E7F01" w:rsidTr="000B641A">
        <w:trPr>
          <w:trHeight w:val="630"/>
          <w:tblCellSpacing w:w="0" w:type="dxa"/>
        </w:trPr>
        <w:tc>
          <w:tcPr>
            <w:tcW w:w="294" w:type="dxa"/>
            <w:vAlign w:val="center"/>
          </w:tcPr>
          <w:p w:rsidR="006E7F01" w:rsidRPr="006E7F01" w:rsidRDefault="006E7F01" w:rsidP="006E7F01">
            <w:pPr>
              <w:spacing w:before="75" w:after="75" w:line="240" w:lineRule="auto"/>
              <w:ind w:left="180" w:hanging="180"/>
              <w:jc w:val="center"/>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1.</w:t>
            </w:r>
          </w:p>
        </w:tc>
        <w:tc>
          <w:tcPr>
            <w:tcW w:w="2126" w:type="dxa"/>
            <w:vAlign w:val="center"/>
          </w:tcPr>
          <w:p w:rsidR="006E7F01" w:rsidRPr="006E7F01" w:rsidRDefault="006E7F01" w:rsidP="006E7F01">
            <w:pPr>
              <w:spacing w:before="75" w:after="75" w:line="240" w:lineRule="auto"/>
              <w:ind w:left="180" w:hanging="10"/>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Pamatojums</w:t>
            </w:r>
          </w:p>
        </w:tc>
        <w:tc>
          <w:tcPr>
            <w:tcW w:w="7229" w:type="dxa"/>
            <w:vAlign w:val="center"/>
          </w:tcPr>
          <w:p w:rsidR="006E7F01" w:rsidRPr="006E7F01" w:rsidRDefault="008141DD" w:rsidP="00732468">
            <w:pPr>
              <w:pStyle w:val="Header"/>
              <w:ind w:left="132" w:firstLine="567"/>
              <w:jc w:val="both"/>
              <w:rPr>
                <w:lang w:eastAsia="lv-LV"/>
              </w:rPr>
            </w:pPr>
            <w:r w:rsidRPr="008141DD">
              <w:rPr>
                <w:lang w:eastAsia="lv-LV"/>
              </w:rPr>
              <w:t>Ministru kabineta noteikumu projekts izstrādājams atbilstoši Likuma par budžeta un finanšu vadību 16.</w:t>
            </w:r>
            <w:r w:rsidRPr="008A436F">
              <w:rPr>
                <w:vertAlign w:val="superscript"/>
                <w:lang w:eastAsia="lv-LV"/>
              </w:rPr>
              <w:t>2</w:t>
            </w:r>
            <w:r w:rsidRPr="008141DD">
              <w:rPr>
                <w:lang w:eastAsia="lv-LV"/>
              </w:rPr>
              <w:t>. panta ceturtās daļas deleģējumam.</w:t>
            </w:r>
          </w:p>
        </w:tc>
      </w:tr>
      <w:tr w:rsidR="006E7F01" w:rsidRPr="006E7F01" w:rsidTr="000B641A">
        <w:trPr>
          <w:trHeight w:val="706"/>
          <w:tblCellSpacing w:w="0" w:type="dxa"/>
        </w:trPr>
        <w:tc>
          <w:tcPr>
            <w:tcW w:w="294" w:type="dxa"/>
            <w:vAlign w:val="center"/>
          </w:tcPr>
          <w:p w:rsidR="006E7F01" w:rsidRPr="006E7F01" w:rsidRDefault="006E7F01" w:rsidP="006E7F01">
            <w:pPr>
              <w:spacing w:before="75" w:after="75" w:line="240" w:lineRule="auto"/>
              <w:jc w:val="center"/>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2.</w:t>
            </w:r>
          </w:p>
        </w:tc>
        <w:tc>
          <w:tcPr>
            <w:tcW w:w="2126" w:type="dxa"/>
            <w:vAlign w:val="center"/>
          </w:tcPr>
          <w:p w:rsidR="006E7F01" w:rsidRPr="006E7F01" w:rsidRDefault="006E7F01" w:rsidP="006E7F01">
            <w:pPr>
              <w:spacing w:before="75" w:after="75" w:line="240" w:lineRule="auto"/>
              <w:ind w:left="132" w:firstLine="10"/>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Pašreizējā situācija un problēmas</w:t>
            </w:r>
          </w:p>
        </w:tc>
        <w:tc>
          <w:tcPr>
            <w:tcW w:w="7229" w:type="dxa"/>
          </w:tcPr>
          <w:p w:rsidR="00935D97" w:rsidRDefault="008141DD" w:rsidP="000B641A">
            <w:pPr>
              <w:spacing w:after="0" w:line="240" w:lineRule="auto"/>
              <w:ind w:left="130" w:right="130"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Saeimā 201</w:t>
            </w:r>
            <w:r w:rsidR="00DF539B">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.gada </w:t>
            </w:r>
            <w:r w:rsidR="00DF539B">
              <w:rPr>
                <w:rFonts w:ascii="Times New Roman" w:eastAsia="Times New Roman" w:hAnsi="Times New Roman" w:cs="Times New Roman"/>
                <w:sz w:val="24"/>
                <w:szCs w:val="24"/>
                <w:lang w:eastAsia="lv-LV"/>
              </w:rPr>
              <w:t>15.</w:t>
            </w:r>
            <w:r w:rsidR="00252C37">
              <w:rPr>
                <w:rFonts w:ascii="Times New Roman" w:eastAsia="Times New Roman" w:hAnsi="Times New Roman" w:cs="Times New Roman"/>
                <w:sz w:val="24"/>
                <w:szCs w:val="24"/>
                <w:lang w:eastAsia="lv-LV"/>
              </w:rPr>
              <w:t>decembrī</w:t>
            </w:r>
            <w:r>
              <w:rPr>
                <w:rFonts w:ascii="Times New Roman" w:eastAsia="Times New Roman" w:hAnsi="Times New Roman" w:cs="Times New Roman"/>
                <w:sz w:val="24"/>
                <w:szCs w:val="24"/>
                <w:lang w:eastAsia="lv-LV"/>
              </w:rPr>
              <w:t xml:space="preserve"> </w:t>
            </w:r>
            <w:r w:rsidR="004F01B7">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r pieņemts </w:t>
            </w:r>
            <w:r w:rsidR="002263BF">
              <w:rPr>
                <w:rFonts w:ascii="Times New Roman" w:eastAsia="Times New Roman" w:hAnsi="Times New Roman" w:cs="Times New Roman"/>
                <w:sz w:val="24"/>
                <w:szCs w:val="24"/>
                <w:lang w:eastAsia="lv-LV"/>
              </w:rPr>
              <w:t>Likum</w:t>
            </w:r>
            <w:r w:rsidR="008A436F">
              <w:rPr>
                <w:rFonts w:ascii="Times New Roman" w:eastAsia="Times New Roman" w:hAnsi="Times New Roman" w:cs="Times New Roman"/>
                <w:sz w:val="24"/>
                <w:szCs w:val="24"/>
                <w:lang w:eastAsia="lv-LV"/>
              </w:rPr>
              <w:t>s</w:t>
            </w:r>
            <w:r w:rsidR="00F709C9">
              <w:rPr>
                <w:rFonts w:ascii="Times New Roman" w:eastAsia="Times New Roman" w:hAnsi="Times New Roman" w:cs="Times New Roman"/>
                <w:sz w:val="24"/>
                <w:szCs w:val="24"/>
                <w:lang w:eastAsia="lv-LV"/>
              </w:rPr>
              <w:t xml:space="preserve"> </w:t>
            </w:r>
            <w:r w:rsidR="00856837">
              <w:rPr>
                <w:rFonts w:ascii="Times New Roman" w:eastAsia="Times New Roman" w:hAnsi="Times New Roman" w:cs="Times New Roman"/>
                <w:sz w:val="24"/>
                <w:szCs w:val="24"/>
                <w:lang w:eastAsia="lv-LV"/>
              </w:rPr>
              <w:t xml:space="preserve">„Grozījumi Likumā </w:t>
            </w:r>
            <w:r w:rsidR="002263BF">
              <w:rPr>
                <w:rFonts w:ascii="Times New Roman" w:eastAsia="Times New Roman" w:hAnsi="Times New Roman" w:cs="Times New Roman"/>
                <w:sz w:val="24"/>
                <w:szCs w:val="24"/>
                <w:lang w:eastAsia="lv-LV"/>
              </w:rPr>
              <w:t>par budžetu un finanšu vadību</w:t>
            </w:r>
            <w:r w:rsidR="00856837">
              <w:rPr>
                <w:rFonts w:ascii="Times New Roman" w:eastAsia="Times New Roman" w:hAnsi="Times New Roman" w:cs="Times New Roman"/>
                <w:sz w:val="24"/>
                <w:szCs w:val="24"/>
                <w:lang w:eastAsia="lv-LV"/>
              </w:rPr>
              <w:t>”</w:t>
            </w:r>
            <w:r w:rsidR="00D66243">
              <w:rPr>
                <w:rFonts w:ascii="Times New Roman" w:eastAsia="Times New Roman" w:hAnsi="Times New Roman" w:cs="Times New Roman"/>
                <w:sz w:val="24"/>
                <w:szCs w:val="24"/>
                <w:lang w:eastAsia="lv-LV"/>
              </w:rPr>
              <w:t>, kas stājās spēkā 2012.gada 1.janvārī</w:t>
            </w:r>
            <w:r>
              <w:rPr>
                <w:rFonts w:ascii="Times New Roman" w:eastAsia="Times New Roman" w:hAnsi="Times New Roman" w:cs="Times New Roman"/>
                <w:sz w:val="24"/>
                <w:szCs w:val="24"/>
                <w:lang w:eastAsia="lv-LV"/>
              </w:rPr>
              <w:t xml:space="preserve">. </w:t>
            </w:r>
            <w:r w:rsidR="002263BF">
              <w:rPr>
                <w:rFonts w:ascii="Times New Roman" w:eastAsia="Times New Roman" w:hAnsi="Times New Roman" w:cs="Times New Roman"/>
                <w:sz w:val="24"/>
                <w:szCs w:val="24"/>
                <w:lang w:eastAsia="lv-LV"/>
              </w:rPr>
              <w:t>Likumā par budžetu un finanšu vadību tiek paredzēts</w:t>
            </w:r>
            <w:r>
              <w:rPr>
                <w:rFonts w:ascii="Times New Roman" w:eastAsia="Times New Roman" w:hAnsi="Times New Roman" w:cs="Times New Roman"/>
                <w:sz w:val="24"/>
                <w:szCs w:val="24"/>
                <w:lang w:eastAsia="lv-LV"/>
              </w:rPr>
              <w:t xml:space="preserve"> vidēja termiņa budžeta ietvara likums</w:t>
            </w:r>
            <w:r w:rsidR="00D66243">
              <w:rPr>
                <w:rFonts w:ascii="Times New Roman" w:eastAsia="Times New Roman" w:hAnsi="Times New Roman" w:cs="Times New Roman"/>
                <w:sz w:val="24"/>
                <w:szCs w:val="24"/>
                <w:lang w:eastAsia="lv-LV"/>
              </w:rPr>
              <w:t>, ko apstiprina katru gadu nākamo triju gadu periodam</w:t>
            </w:r>
            <w:r>
              <w:rPr>
                <w:rFonts w:ascii="Times New Roman" w:eastAsia="Times New Roman" w:hAnsi="Times New Roman" w:cs="Times New Roman"/>
                <w:sz w:val="24"/>
                <w:szCs w:val="24"/>
                <w:lang w:eastAsia="lv-LV"/>
              </w:rPr>
              <w:t xml:space="preserve">. Līdz šim kā vidēja termiņa budžeta plānošanas dokuments </w:t>
            </w:r>
            <w:r w:rsidR="00B251BD">
              <w:rPr>
                <w:rFonts w:ascii="Times New Roman" w:eastAsia="Times New Roman" w:hAnsi="Times New Roman" w:cs="Times New Roman"/>
                <w:sz w:val="24"/>
                <w:szCs w:val="24"/>
                <w:lang w:eastAsia="lv-LV"/>
              </w:rPr>
              <w:t xml:space="preserve">Likumā par budžetu un finanšu vadību </w:t>
            </w:r>
            <w:r>
              <w:rPr>
                <w:rFonts w:ascii="Times New Roman" w:eastAsia="Times New Roman" w:hAnsi="Times New Roman" w:cs="Times New Roman"/>
                <w:sz w:val="24"/>
                <w:szCs w:val="24"/>
                <w:lang w:eastAsia="lv-LV"/>
              </w:rPr>
              <w:t xml:space="preserve">bija noteikts Vidēja termiņa makroekonomiskās attīstības un fiskālās politikas ietvars, kas tika apstiprināts Ministru kabinetā. </w:t>
            </w:r>
          </w:p>
          <w:p w:rsidR="008A67C1" w:rsidRDefault="00F709C9" w:rsidP="000B641A">
            <w:pPr>
              <w:spacing w:after="0" w:line="240" w:lineRule="auto"/>
              <w:ind w:left="130" w:right="130"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Likums par budžetu un finanšu vadību </w:t>
            </w:r>
            <w:r w:rsidR="00B251BD">
              <w:rPr>
                <w:rFonts w:ascii="Times New Roman" w:eastAsia="Times New Roman" w:hAnsi="Times New Roman" w:cs="Times New Roman"/>
                <w:sz w:val="24"/>
                <w:szCs w:val="24"/>
                <w:lang w:eastAsia="lv-LV"/>
              </w:rPr>
              <w:t xml:space="preserve">paredz, ka </w:t>
            </w:r>
            <w:r w:rsidR="00D66243">
              <w:rPr>
                <w:rFonts w:ascii="Times New Roman" w:eastAsia="Times New Roman" w:hAnsi="Times New Roman" w:cs="Times New Roman"/>
                <w:sz w:val="24"/>
                <w:szCs w:val="24"/>
                <w:lang w:eastAsia="lv-LV"/>
              </w:rPr>
              <w:t xml:space="preserve"> vidēja termiņa budžeta ietvara likumā tiks noteikta virkne budžeta finanšu rādītāju, tostarp maksimālais pieļaujamais valsts budžeta izdevumu kopapjoms un maksimālais pieļaujamais valsts budžeta izdevumu kopējais  apjoms katrai ministrijai un citai centrālai valsts iestādei</w:t>
            </w:r>
            <w:r w:rsidR="00701F8E">
              <w:rPr>
                <w:rFonts w:ascii="Times New Roman" w:eastAsia="Times New Roman" w:hAnsi="Times New Roman" w:cs="Times New Roman"/>
                <w:sz w:val="24"/>
                <w:szCs w:val="24"/>
                <w:lang w:eastAsia="lv-LV"/>
              </w:rPr>
              <w:t xml:space="preserve"> (turpmāk – ministrijai)</w:t>
            </w:r>
            <w:r w:rsidR="00D66243">
              <w:rPr>
                <w:rFonts w:ascii="Times New Roman" w:eastAsia="Times New Roman" w:hAnsi="Times New Roman" w:cs="Times New Roman"/>
                <w:sz w:val="24"/>
                <w:szCs w:val="24"/>
                <w:lang w:eastAsia="lv-LV"/>
              </w:rPr>
              <w:t xml:space="preserve">. </w:t>
            </w:r>
            <w:r w:rsidR="00B251BD">
              <w:rPr>
                <w:rFonts w:ascii="Times New Roman" w:eastAsia="Times New Roman" w:hAnsi="Times New Roman" w:cs="Times New Roman"/>
                <w:sz w:val="24"/>
                <w:szCs w:val="24"/>
                <w:lang w:eastAsia="lv-LV"/>
              </w:rPr>
              <w:t xml:space="preserve"> </w:t>
            </w:r>
            <w:r w:rsidR="006D22FE">
              <w:rPr>
                <w:rFonts w:ascii="Times New Roman" w:eastAsia="Times New Roman" w:hAnsi="Times New Roman" w:cs="Times New Roman"/>
                <w:sz w:val="24"/>
                <w:szCs w:val="24"/>
                <w:lang w:eastAsia="lv-LV"/>
              </w:rPr>
              <w:t>Turklāt būtiski tiek mainīt</w:t>
            </w:r>
            <w:r w:rsidR="00FA4A09">
              <w:rPr>
                <w:rFonts w:ascii="Times New Roman" w:eastAsia="Times New Roman" w:hAnsi="Times New Roman" w:cs="Times New Roman"/>
                <w:sz w:val="24"/>
                <w:szCs w:val="24"/>
                <w:lang w:eastAsia="lv-LV"/>
              </w:rPr>
              <w:t>a</w:t>
            </w:r>
            <w:r w:rsidR="006D22FE">
              <w:rPr>
                <w:rFonts w:ascii="Times New Roman" w:eastAsia="Times New Roman" w:hAnsi="Times New Roman" w:cs="Times New Roman"/>
                <w:sz w:val="24"/>
                <w:szCs w:val="24"/>
                <w:lang w:eastAsia="lv-LV"/>
              </w:rPr>
              <w:t xml:space="preserve"> </w:t>
            </w:r>
            <w:r w:rsidR="00FA4A09">
              <w:rPr>
                <w:rFonts w:ascii="Times New Roman" w:eastAsia="Times New Roman" w:hAnsi="Times New Roman" w:cs="Times New Roman"/>
                <w:sz w:val="24"/>
                <w:szCs w:val="24"/>
                <w:lang w:eastAsia="lv-LV"/>
              </w:rPr>
              <w:t xml:space="preserve">kārtība </w:t>
            </w:r>
            <w:r w:rsidR="006D22FE">
              <w:rPr>
                <w:rFonts w:ascii="Times New Roman" w:eastAsia="Times New Roman" w:hAnsi="Times New Roman" w:cs="Times New Roman"/>
                <w:sz w:val="24"/>
                <w:szCs w:val="24"/>
                <w:lang w:eastAsia="lv-LV"/>
              </w:rPr>
              <w:t>vidēja termiņa budžeta plānošanā: k</w:t>
            </w:r>
            <w:r w:rsidR="00B251BD">
              <w:rPr>
                <w:rFonts w:ascii="Times New Roman" w:eastAsia="Times New Roman" w:hAnsi="Times New Roman" w:cs="Times New Roman"/>
                <w:sz w:val="24"/>
                <w:szCs w:val="24"/>
                <w:lang w:eastAsia="lv-LV"/>
              </w:rPr>
              <w:t xml:space="preserve">opējais izdevumu apjoms </w:t>
            </w:r>
            <w:r w:rsidR="008A67C1">
              <w:rPr>
                <w:rFonts w:ascii="Times New Roman" w:eastAsia="Times New Roman" w:hAnsi="Times New Roman" w:cs="Times New Roman"/>
                <w:sz w:val="24"/>
                <w:szCs w:val="24"/>
                <w:lang w:eastAsia="lv-LV"/>
              </w:rPr>
              <w:t xml:space="preserve">ministrijām </w:t>
            </w:r>
            <w:r w:rsidR="00B251BD">
              <w:rPr>
                <w:rFonts w:ascii="Times New Roman" w:eastAsia="Times New Roman" w:hAnsi="Times New Roman" w:cs="Times New Roman"/>
                <w:sz w:val="24"/>
                <w:szCs w:val="24"/>
                <w:lang w:eastAsia="lv-LV"/>
              </w:rPr>
              <w:t>pirmajam un otrajam vidēja termiņa budžeta ietvara likuma perioda gadam tik</w:t>
            </w:r>
            <w:r w:rsidR="00D66243">
              <w:rPr>
                <w:rFonts w:ascii="Times New Roman" w:eastAsia="Times New Roman" w:hAnsi="Times New Roman" w:cs="Times New Roman"/>
                <w:sz w:val="24"/>
                <w:szCs w:val="24"/>
                <w:lang w:eastAsia="lv-LV"/>
              </w:rPr>
              <w:t>s</w:t>
            </w:r>
            <w:r w:rsidR="00B251BD">
              <w:rPr>
                <w:rFonts w:ascii="Times New Roman" w:eastAsia="Times New Roman" w:hAnsi="Times New Roman" w:cs="Times New Roman"/>
                <w:sz w:val="24"/>
                <w:szCs w:val="24"/>
                <w:lang w:eastAsia="lv-LV"/>
              </w:rPr>
              <w:t xml:space="preserve"> </w:t>
            </w:r>
            <w:r w:rsidR="008A67C1">
              <w:rPr>
                <w:rFonts w:ascii="Times New Roman" w:eastAsia="Times New Roman" w:hAnsi="Times New Roman" w:cs="Times New Roman"/>
                <w:sz w:val="24"/>
                <w:szCs w:val="24"/>
                <w:lang w:eastAsia="lv-LV"/>
              </w:rPr>
              <w:t>noteikts par pamatu izmantojot</w:t>
            </w:r>
            <w:r w:rsidR="00B251BD">
              <w:rPr>
                <w:rFonts w:ascii="Times New Roman" w:eastAsia="Times New Roman" w:hAnsi="Times New Roman" w:cs="Times New Roman"/>
                <w:sz w:val="24"/>
                <w:szCs w:val="24"/>
                <w:lang w:eastAsia="lv-LV"/>
              </w:rPr>
              <w:t xml:space="preserve"> iepriekšējā vidēja termiņa budžeta ietvara likuma perioda otr</w:t>
            </w:r>
            <w:r w:rsidR="00BF75C8">
              <w:rPr>
                <w:rFonts w:ascii="Times New Roman" w:eastAsia="Times New Roman" w:hAnsi="Times New Roman" w:cs="Times New Roman"/>
                <w:sz w:val="24"/>
                <w:szCs w:val="24"/>
                <w:lang w:eastAsia="lv-LV"/>
              </w:rPr>
              <w:t>ā</w:t>
            </w:r>
            <w:r w:rsidR="00B251BD">
              <w:rPr>
                <w:rFonts w:ascii="Times New Roman" w:eastAsia="Times New Roman" w:hAnsi="Times New Roman" w:cs="Times New Roman"/>
                <w:sz w:val="24"/>
                <w:szCs w:val="24"/>
                <w:lang w:eastAsia="lv-LV"/>
              </w:rPr>
              <w:t xml:space="preserve"> un trešā gada</w:t>
            </w:r>
            <w:r w:rsidR="008A67C1">
              <w:rPr>
                <w:rFonts w:ascii="Times New Roman" w:eastAsia="Times New Roman" w:hAnsi="Times New Roman" w:cs="Times New Roman"/>
                <w:sz w:val="24"/>
                <w:szCs w:val="24"/>
                <w:lang w:eastAsia="lv-LV"/>
              </w:rPr>
              <w:t xml:space="preserve"> apstiprinātos budžeta rādītājus.</w:t>
            </w:r>
            <w:r w:rsidR="00B251BD">
              <w:rPr>
                <w:rFonts w:ascii="Times New Roman" w:eastAsia="Times New Roman" w:hAnsi="Times New Roman" w:cs="Times New Roman"/>
                <w:sz w:val="24"/>
                <w:szCs w:val="24"/>
                <w:lang w:eastAsia="lv-LV"/>
              </w:rPr>
              <w:t xml:space="preserve"> </w:t>
            </w:r>
            <w:r w:rsidR="008A67C1">
              <w:rPr>
                <w:rFonts w:ascii="Times New Roman" w:eastAsia="Times New Roman" w:hAnsi="Times New Roman" w:cs="Times New Roman"/>
                <w:sz w:val="24"/>
                <w:szCs w:val="24"/>
                <w:lang w:eastAsia="lv-LV"/>
              </w:rPr>
              <w:t>I</w:t>
            </w:r>
            <w:r w:rsidR="002263BF">
              <w:rPr>
                <w:rFonts w:ascii="Times New Roman" w:eastAsia="Times New Roman" w:hAnsi="Times New Roman" w:cs="Times New Roman"/>
                <w:sz w:val="24"/>
                <w:szCs w:val="24"/>
                <w:lang w:eastAsia="lv-LV"/>
              </w:rPr>
              <w:t xml:space="preserve">epriekš </w:t>
            </w:r>
            <w:r w:rsidR="008A67C1">
              <w:rPr>
                <w:rFonts w:ascii="Times New Roman" w:eastAsia="Times New Roman" w:hAnsi="Times New Roman" w:cs="Times New Roman"/>
                <w:sz w:val="24"/>
                <w:szCs w:val="24"/>
                <w:lang w:eastAsia="lv-LV"/>
              </w:rPr>
              <w:t xml:space="preserve">ministrijām </w:t>
            </w:r>
            <w:r w:rsidR="002263BF">
              <w:rPr>
                <w:rFonts w:ascii="Times New Roman" w:eastAsia="Times New Roman" w:hAnsi="Times New Roman" w:cs="Times New Roman"/>
                <w:sz w:val="24"/>
                <w:szCs w:val="24"/>
                <w:lang w:eastAsia="lv-LV"/>
              </w:rPr>
              <w:t>pieļaujamais kopējais izdevumu apjoms bija mainīgs katru gadu</w:t>
            </w:r>
            <w:r w:rsidR="00D10C18">
              <w:rPr>
                <w:rFonts w:ascii="Times New Roman" w:eastAsia="Times New Roman" w:hAnsi="Times New Roman" w:cs="Times New Roman"/>
                <w:sz w:val="24"/>
                <w:szCs w:val="24"/>
                <w:lang w:eastAsia="lv-LV"/>
              </w:rPr>
              <w:t xml:space="preserve"> (aktualizējot makroekonomiskās attīstības un fiskālās politikas ietvaru vidējam termiņam)</w:t>
            </w:r>
            <w:r w:rsidR="002263BF">
              <w:rPr>
                <w:rFonts w:ascii="Times New Roman" w:eastAsia="Times New Roman" w:hAnsi="Times New Roman" w:cs="Times New Roman"/>
                <w:sz w:val="24"/>
                <w:szCs w:val="24"/>
                <w:lang w:eastAsia="lv-LV"/>
              </w:rPr>
              <w:t xml:space="preserve"> un </w:t>
            </w:r>
            <w:r w:rsidR="00D10C18">
              <w:rPr>
                <w:rFonts w:ascii="Times New Roman" w:eastAsia="Times New Roman" w:hAnsi="Times New Roman" w:cs="Times New Roman"/>
                <w:sz w:val="24"/>
                <w:szCs w:val="24"/>
                <w:lang w:eastAsia="lv-LV"/>
              </w:rPr>
              <w:t xml:space="preserve">budžeta bāzes </w:t>
            </w:r>
            <w:r w:rsidR="002263BF">
              <w:rPr>
                <w:rFonts w:ascii="Times New Roman" w:eastAsia="Times New Roman" w:hAnsi="Times New Roman" w:cs="Times New Roman"/>
                <w:sz w:val="24"/>
                <w:szCs w:val="24"/>
                <w:lang w:eastAsia="lv-LV"/>
              </w:rPr>
              <w:t xml:space="preserve">izdevumu </w:t>
            </w:r>
            <w:r w:rsidR="00D10C18">
              <w:rPr>
                <w:rFonts w:ascii="Times New Roman" w:eastAsia="Times New Roman" w:hAnsi="Times New Roman" w:cs="Times New Roman"/>
                <w:sz w:val="24"/>
                <w:szCs w:val="24"/>
                <w:lang w:eastAsia="lv-LV"/>
              </w:rPr>
              <w:t>daļa</w:t>
            </w:r>
            <w:r w:rsidR="002263BF">
              <w:rPr>
                <w:rFonts w:ascii="Times New Roman" w:eastAsia="Times New Roman" w:hAnsi="Times New Roman" w:cs="Times New Roman"/>
                <w:sz w:val="24"/>
                <w:szCs w:val="24"/>
                <w:lang w:eastAsia="lv-LV"/>
              </w:rPr>
              <w:t xml:space="preserve"> tika </w:t>
            </w:r>
            <w:r w:rsidR="00D10C18">
              <w:rPr>
                <w:rFonts w:ascii="Times New Roman" w:eastAsia="Times New Roman" w:hAnsi="Times New Roman" w:cs="Times New Roman"/>
                <w:sz w:val="24"/>
                <w:szCs w:val="24"/>
                <w:lang w:eastAsia="lv-LV"/>
              </w:rPr>
              <w:t>aprēķināta par sākotnējo pamatu izmantojot iepriekšējā</w:t>
            </w:r>
            <w:r w:rsidR="002263BF">
              <w:rPr>
                <w:rFonts w:ascii="Times New Roman" w:eastAsia="Times New Roman" w:hAnsi="Times New Roman" w:cs="Times New Roman"/>
                <w:sz w:val="24"/>
                <w:szCs w:val="24"/>
                <w:lang w:eastAsia="lv-LV"/>
              </w:rPr>
              <w:t xml:space="preserve"> gad</w:t>
            </w:r>
            <w:r w:rsidR="00D10C18">
              <w:rPr>
                <w:rFonts w:ascii="Times New Roman" w:eastAsia="Times New Roman" w:hAnsi="Times New Roman" w:cs="Times New Roman"/>
                <w:sz w:val="24"/>
                <w:szCs w:val="24"/>
                <w:lang w:eastAsia="lv-LV"/>
              </w:rPr>
              <w:t xml:space="preserve">ā Saeimā </w:t>
            </w:r>
            <w:r w:rsidR="002263BF">
              <w:rPr>
                <w:rFonts w:ascii="Times New Roman" w:eastAsia="Times New Roman" w:hAnsi="Times New Roman" w:cs="Times New Roman"/>
                <w:sz w:val="24"/>
                <w:szCs w:val="24"/>
                <w:lang w:eastAsia="lv-LV"/>
              </w:rPr>
              <w:t xml:space="preserve"> </w:t>
            </w:r>
            <w:r w:rsidR="00D10C18">
              <w:rPr>
                <w:rFonts w:ascii="Times New Roman" w:eastAsia="Times New Roman" w:hAnsi="Times New Roman" w:cs="Times New Roman"/>
                <w:sz w:val="24"/>
                <w:szCs w:val="24"/>
                <w:lang w:eastAsia="lv-LV"/>
              </w:rPr>
              <w:t>apstiprināto gadskārtējā valsts budžeta likumu</w:t>
            </w:r>
            <w:r w:rsidR="002263BF">
              <w:rPr>
                <w:rFonts w:ascii="Times New Roman" w:eastAsia="Times New Roman" w:hAnsi="Times New Roman" w:cs="Times New Roman"/>
                <w:sz w:val="24"/>
                <w:szCs w:val="24"/>
                <w:lang w:eastAsia="lv-LV"/>
              </w:rPr>
              <w:t>.</w:t>
            </w:r>
            <w:r w:rsidR="006D22FE">
              <w:rPr>
                <w:rFonts w:ascii="Times New Roman" w:eastAsia="Times New Roman" w:hAnsi="Times New Roman" w:cs="Times New Roman"/>
                <w:sz w:val="24"/>
                <w:szCs w:val="24"/>
                <w:lang w:eastAsia="lv-LV"/>
              </w:rPr>
              <w:t xml:space="preserve"> </w:t>
            </w:r>
          </w:p>
          <w:p w:rsidR="00EE266B" w:rsidRPr="00701F8E" w:rsidRDefault="006D22FE" w:rsidP="000B641A">
            <w:pPr>
              <w:spacing w:after="0" w:line="240" w:lineRule="auto"/>
              <w:ind w:left="130" w:right="130" w:firstLine="569"/>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 Līdz ar to</w:t>
            </w:r>
            <w:r w:rsidR="004E376E">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šobrīd ir problēma, ka nav normatīvo aktu regulējuma, kas noteiktu </w:t>
            </w:r>
            <w:r w:rsidRPr="00701F8E">
              <w:rPr>
                <w:rFonts w:ascii="Times New Roman" w:eastAsia="Times New Roman" w:hAnsi="Times New Roman" w:cs="Times New Roman"/>
                <w:bCs/>
                <w:sz w:val="24"/>
                <w:szCs w:val="24"/>
                <w:lang w:eastAsia="lv-LV"/>
              </w:rPr>
              <w:t>kārtību, kādā nosakāms maksimāli pieļaujamais valsts budžeta izdevumu kopapjoms un maksimāli pieļaujamais valsts budžeta izdevumu kopējais apjoms katrai ministrijai vidējam termiņam</w:t>
            </w:r>
            <w:r w:rsidR="00D832A6" w:rsidRPr="00701F8E">
              <w:rPr>
                <w:rFonts w:ascii="Times New Roman" w:eastAsia="Times New Roman" w:hAnsi="Times New Roman" w:cs="Times New Roman"/>
                <w:bCs/>
                <w:sz w:val="24"/>
                <w:szCs w:val="24"/>
                <w:lang w:eastAsia="lv-LV"/>
              </w:rPr>
              <w:t>,</w:t>
            </w:r>
            <w:r w:rsidRPr="00701F8E">
              <w:rPr>
                <w:rFonts w:ascii="Times New Roman" w:eastAsia="Times New Roman" w:hAnsi="Times New Roman" w:cs="Times New Roman"/>
                <w:bCs/>
                <w:sz w:val="24"/>
                <w:szCs w:val="24"/>
                <w:lang w:eastAsia="lv-LV"/>
              </w:rPr>
              <w:t xml:space="preserve"> atbilstoši iepriekš minētaja</w:t>
            </w:r>
            <w:r w:rsidR="00FA4A09" w:rsidRPr="00701F8E">
              <w:rPr>
                <w:rFonts w:ascii="Times New Roman" w:eastAsia="Times New Roman" w:hAnsi="Times New Roman" w:cs="Times New Roman"/>
                <w:bCs/>
                <w:sz w:val="24"/>
                <w:szCs w:val="24"/>
                <w:lang w:eastAsia="lv-LV"/>
              </w:rPr>
              <w:t>i</w:t>
            </w:r>
            <w:r w:rsidRPr="00701F8E">
              <w:rPr>
                <w:rFonts w:ascii="Times New Roman" w:eastAsia="Times New Roman" w:hAnsi="Times New Roman" w:cs="Times New Roman"/>
                <w:bCs/>
                <w:sz w:val="24"/>
                <w:szCs w:val="24"/>
                <w:lang w:eastAsia="lv-LV"/>
              </w:rPr>
              <w:t xml:space="preserve"> jaunaja</w:t>
            </w:r>
            <w:r w:rsidR="00FA4A09" w:rsidRPr="00701F8E">
              <w:rPr>
                <w:rFonts w:ascii="Times New Roman" w:eastAsia="Times New Roman" w:hAnsi="Times New Roman" w:cs="Times New Roman"/>
                <w:bCs/>
                <w:sz w:val="24"/>
                <w:szCs w:val="24"/>
                <w:lang w:eastAsia="lv-LV"/>
              </w:rPr>
              <w:t xml:space="preserve">i kārtībai </w:t>
            </w:r>
            <w:r w:rsidR="00FA4A09" w:rsidRPr="00701F8E">
              <w:t xml:space="preserve"> </w:t>
            </w:r>
            <w:r w:rsidR="00FA4A09" w:rsidRPr="00701F8E">
              <w:rPr>
                <w:rFonts w:ascii="Times New Roman" w:eastAsia="Times New Roman" w:hAnsi="Times New Roman" w:cs="Times New Roman"/>
                <w:bCs/>
                <w:sz w:val="24"/>
                <w:szCs w:val="24"/>
                <w:lang w:eastAsia="lv-LV"/>
              </w:rPr>
              <w:t>vidēja termiņa budžeta plānošanā</w:t>
            </w:r>
            <w:r w:rsidRPr="00701F8E">
              <w:rPr>
                <w:rFonts w:ascii="Times New Roman" w:eastAsia="Times New Roman" w:hAnsi="Times New Roman" w:cs="Times New Roman"/>
                <w:bCs/>
                <w:sz w:val="24"/>
                <w:szCs w:val="24"/>
                <w:lang w:eastAsia="lv-LV"/>
              </w:rPr>
              <w:t xml:space="preserve">.  </w:t>
            </w:r>
          </w:p>
          <w:p w:rsidR="00EE266B" w:rsidRPr="00EE266B" w:rsidRDefault="00EE266B" w:rsidP="000B641A">
            <w:pPr>
              <w:spacing w:after="0" w:line="240" w:lineRule="auto"/>
              <w:ind w:left="132" w:right="13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  par budžetu un finanšu vadību grozījumu rezultātā tika mainīta 16.</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trešā daļa, uz kuras pamata bija izdoti šī brīža procesus regulējošie </w:t>
            </w:r>
            <w:r w:rsidRPr="00974A94">
              <w:rPr>
                <w:rFonts w:ascii="Times New Roman" w:eastAsia="Times New Roman" w:hAnsi="Times New Roman" w:cs="Times New Roman"/>
                <w:bCs/>
                <w:sz w:val="24"/>
                <w:szCs w:val="24"/>
                <w:lang w:eastAsia="lv-LV"/>
              </w:rPr>
              <w:t xml:space="preserve"> Ministru kabineta 2007.gada 20.marta noteikum</w:t>
            </w:r>
            <w:r>
              <w:rPr>
                <w:rFonts w:ascii="Times New Roman" w:eastAsia="Times New Roman" w:hAnsi="Times New Roman" w:cs="Times New Roman"/>
                <w:bCs/>
                <w:sz w:val="24"/>
                <w:szCs w:val="24"/>
                <w:lang w:eastAsia="lv-LV"/>
              </w:rPr>
              <w:t>i</w:t>
            </w:r>
            <w:r w:rsidRPr="00974A94">
              <w:rPr>
                <w:rFonts w:ascii="Times New Roman" w:eastAsia="Times New Roman" w:hAnsi="Times New Roman" w:cs="Times New Roman"/>
                <w:bCs/>
                <w:sz w:val="24"/>
                <w:szCs w:val="24"/>
                <w:lang w:eastAsia="lv-LV"/>
              </w:rPr>
              <w:t xml:space="preserve"> Nr.198 „Noteikumi par maksimāli pieļaujamā valsts budžeta izdevumu kopapjoma un maksimāli pieļaujamā valsts budžeta izdevumu kopējā apjoma katrai ministrijai un citām centrālajām valsts iestādēm noteikšanas metodiku vidējam termiņam”</w:t>
            </w:r>
            <w:r w:rsidR="00271FD2">
              <w:rPr>
                <w:rFonts w:ascii="Times New Roman" w:eastAsia="Times New Roman" w:hAnsi="Times New Roman" w:cs="Times New Roman"/>
                <w:bCs/>
                <w:sz w:val="24"/>
                <w:szCs w:val="24"/>
                <w:lang w:eastAsia="lv-LV"/>
              </w:rPr>
              <w:t xml:space="preserve"> (turpmāk – MK noteikumi Nr.198)</w:t>
            </w:r>
            <w:r>
              <w:rPr>
                <w:rFonts w:ascii="Times New Roman" w:eastAsia="Times New Roman" w:hAnsi="Times New Roman" w:cs="Times New Roman"/>
                <w:bCs/>
                <w:sz w:val="24"/>
                <w:szCs w:val="24"/>
                <w:lang w:eastAsia="lv-LV"/>
              </w:rPr>
              <w:t xml:space="preserve">. </w:t>
            </w:r>
          </w:p>
        </w:tc>
      </w:tr>
      <w:tr w:rsidR="006E7F01" w:rsidRPr="006E7F01" w:rsidTr="000B641A">
        <w:trPr>
          <w:trHeight w:val="519"/>
          <w:tblCellSpacing w:w="0" w:type="dxa"/>
        </w:trPr>
        <w:tc>
          <w:tcPr>
            <w:tcW w:w="294" w:type="dxa"/>
            <w:vAlign w:val="center"/>
          </w:tcPr>
          <w:p w:rsidR="006E7F01" w:rsidRPr="006E7F01" w:rsidRDefault="006E7F01" w:rsidP="006E7F01">
            <w:pPr>
              <w:spacing w:before="75" w:after="75" w:line="240" w:lineRule="auto"/>
              <w:jc w:val="center"/>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3.</w:t>
            </w:r>
          </w:p>
        </w:tc>
        <w:tc>
          <w:tcPr>
            <w:tcW w:w="2126" w:type="dxa"/>
            <w:vAlign w:val="center"/>
          </w:tcPr>
          <w:p w:rsidR="006E7F01" w:rsidRPr="006E7F01" w:rsidRDefault="006E7F01" w:rsidP="006E7F01">
            <w:pPr>
              <w:spacing w:after="0" w:line="240" w:lineRule="auto"/>
              <w:ind w:left="132" w:right="113" w:firstLine="10"/>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Saistītie politikas ietekmes novērtējumi un pētījumi</w:t>
            </w:r>
          </w:p>
        </w:tc>
        <w:tc>
          <w:tcPr>
            <w:tcW w:w="7229" w:type="dxa"/>
            <w:vAlign w:val="center"/>
          </w:tcPr>
          <w:p w:rsidR="006E7F01" w:rsidRPr="006E7F01" w:rsidRDefault="006E7F01" w:rsidP="00EE266B">
            <w:pPr>
              <w:spacing w:after="0" w:line="240" w:lineRule="auto"/>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 xml:space="preserve"> </w:t>
            </w:r>
            <w:r w:rsidRPr="006E7F01">
              <w:rPr>
                <w:rFonts w:ascii="Times New Roman" w:hAnsi="Times New Roman" w:cs="Times New Roman"/>
                <w:bCs/>
                <w:sz w:val="24"/>
                <w:szCs w:val="24"/>
              </w:rPr>
              <w:t>Pro</w:t>
            </w:r>
            <w:r w:rsidR="00EE266B">
              <w:rPr>
                <w:rFonts w:ascii="Times New Roman" w:hAnsi="Times New Roman" w:cs="Times New Roman"/>
                <w:bCs/>
                <w:sz w:val="24"/>
                <w:szCs w:val="24"/>
              </w:rPr>
              <w:t>j</w:t>
            </w:r>
            <w:r w:rsidRPr="006E7F01">
              <w:rPr>
                <w:rFonts w:ascii="Times New Roman" w:hAnsi="Times New Roman" w:cs="Times New Roman"/>
                <w:bCs/>
                <w:sz w:val="24"/>
                <w:szCs w:val="24"/>
              </w:rPr>
              <w:t>ekts šo jomu neskar</w:t>
            </w:r>
            <w:r w:rsidR="00FD70CB" w:rsidRPr="006D6481">
              <w:rPr>
                <w:rFonts w:ascii="Times New Roman" w:hAnsi="Times New Roman" w:cs="Times New Roman"/>
                <w:bCs/>
                <w:sz w:val="24"/>
                <w:szCs w:val="24"/>
              </w:rPr>
              <w:t>.</w:t>
            </w:r>
          </w:p>
        </w:tc>
      </w:tr>
      <w:tr w:rsidR="006E7F01" w:rsidRPr="006E7F01" w:rsidTr="000B641A">
        <w:trPr>
          <w:trHeight w:val="421"/>
          <w:tblCellSpacing w:w="0" w:type="dxa"/>
        </w:trPr>
        <w:tc>
          <w:tcPr>
            <w:tcW w:w="294" w:type="dxa"/>
            <w:vAlign w:val="center"/>
          </w:tcPr>
          <w:p w:rsidR="006E7F01" w:rsidRPr="006E7F01" w:rsidRDefault="006E7F01" w:rsidP="006E7F01">
            <w:pPr>
              <w:spacing w:before="75" w:after="75" w:line="240" w:lineRule="auto"/>
              <w:jc w:val="center"/>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lastRenderedPageBreak/>
              <w:t>4.</w:t>
            </w:r>
          </w:p>
        </w:tc>
        <w:tc>
          <w:tcPr>
            <w:tcW w:w="2126" w:type="dxa"/>
            <w:vAlign w:val="center"/>
          </w:tcPr>
          <w:p w:rsidR="006E7F01" w:rsidRPr="006E7F01" w:rsidRDefault="006E7F01" w:rsidP="006E7F01">
            <w:pPr>
              <w:spacing w:after="0" w:line="240" w:lineRule="auto"/>
              <w:ind w:left="132" w:right="113" w:firstLine="10"/>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Tiesiskā regulējuma mērķis un būtība</w:t>
            </w:r>
          </w:p>
        </w:tc>
        <w:tc>
          <w:tcPr>
            <w:tcW w:w="7229" w:type="dxa"/>
            <w:vAlign w:val="center"/>
          </w:tcPr>
          <w:p w:rsidR="006E7F01" w:rsidRDefault="00FD70CB" w:rsidP="000B641A">
            <w:pPr>
              <w:spacing w:after="0" w:line="240" w:lineRule="auto"/>
              <w:ind w:left="130" w:right="130" w:firstLine="556"/>
              <w:jc w:val="both"/>
              <w:rPr>
                <w:rFonts w:ascii="Times New Roman" w:hAnsi="Times New Roman" w:cs="Times New Roman"/>
                <w:bCs/>
                <w:sz w:val="24"/>
                <w:szCs w:val="24"/>
              </w:rPr>
            </w:pPr>
            <w:r w:rsidRPr="006E7F01">
              <w:rPr>
                <w:rFonts w:ascii="Times New Roman" w:eastAsia="Times New Roman" w:hAnsi="Times New Roman" w:cs="Times New Roman"/>
                <w:sz w:val="24"/>
                <w:szCs w:val="24"/>
                <w:lang w:val="x-none" w:eastAsia="lv-LV"/>
              </w:rPr>
              <w:t>Ministru kabineta noteikumu projekt</w:t>
            </w:r>
            <w:r w:rsidR="00B251BD">
              <w:rPr>
                <w:rFonts w:ascii="Times New Roman" w:eastAsia="Times New Roman" w:hAnsi="Times New Roman" w:cs="Times New Roman"/>
                <w:sz w:val="24"/>
                <w:szCs w:val="24"/>
                <w:lang w:eastAsia="lv-LV"/>
              </w:rPr>
              <w:t>s</w:t>
            </w:r>
            <w:r w:rsidRPr="006E7F01">
              <w:rPr>
                <w:rFonts w:ascii="Times New Roman" w:eastAsia="Times New Roman" w:hAnsi="Times New Roman" w:cs="Times New Roman"/>
                <w:sz w:val="24"/>
                <w:szCs w:val="24"/>
                <w:lang w:val="x-none" w:eastAsia="lv-LV"/>
              </w:rPr>
              <w:t xml:space="preserve"> „</w:t>
            </w:r>
            <w:r w:rsidR="00B251BD" w:rsidRPr="00B251BD">
              <w:rPr>
                <w:rFonts w:ascii="Times New Roman" w:eastAsia="Times New Roman" w:hAnsi="Times New Roman" w:cs="Times New Roman"/>
                <w:sz w:val="24"/>
                <w:szCs w:val="24"/>
                <w:lang w:val="x-none" w:eastAsia="lv-LV"/>
              </w:rPr>
              <w:t>Kārtība, kādā nosakāms  maksimāli pieļaujamais valsts budžeta izdevumu kopapjoms un maksimāli pieļaujamais valsts budžeta izdevumu kopējais apjoms katrai ministrijai un cit</w:t>
            </w:r>
            <w:r w:rsidR="00B177F3">
              <w:rPr>
                <w:rFonts w:ascii="Times New Roman" w:eastAsia="Times New Roman" w:hAnsi="Times New Roman" w:cs="Times New Roman"/>
                <w:sz w:val="24"/>
                <w:szCs w:val="24"/>
                <w:lang w:eastAsia="lv-LV"/>
              </w:rPr>
              <w:t>ām</w:t>
            </w:r>
            <w:r w:rsidR="00B251BD" w:rsidRPr="00B251BD">
              <w:rPr>
                <w:rFonts w:ascii="Times New Roman" w:eastAsia="Times New Roman" w:hAnsi="Times New Roman" w:cs="Times New Roman"/>
                <w:sz w:val="24"/>
                <w:szCs w:val="24"/>
                <w:lang w:val="x-none" w:eastAsia="lv-LV"/>
              </w:rPr>
              <w:t xml:space="preserve"> centrālaj</w:t>
            </w:r>
            <w:r w:rsidR="00B177F3">
              <w:rPr>
                <w:rFonts w:ascii="Times New Roman" w:eastAsia="Times New Roman" w:hAnsi="Times New Roman" w:cs="Times New Roman"/>
                <w:sz w:val="24"/>
                <w:szCs w:val="24"/>
                <w:lang w:eastAsia="lv-LV"/>
              </w:rPr>
              <w:t>ām</w:t>
            </w:r>
            <w:r w:rsidR="00B251BD" w:rsidRPr="00B251BD">
              <w:rPr>
                <w:rFonts w:ascii="Times New Roman" w:eastAsia="Times New Roman" w:hAnsi="Times New Roman" w:cs="Times New Roman"/>
                <w:sz w:val="24"/>
                <w:szCs w:val="24"/>
                <w:lang w:val="x-none" w:eastAsia="lv-LV"/>
              </w:rPr>
              <w:t xml:space="preserve"> valsts iestād</w:t>
            </w:r>
            <w:r w:rsidR="00B177F3">
              <w:rPr>
                <w:rFonts w:ascii="Times New Roman" w:eastAsia="Times New Roman" w:hAnsi="Times New Roman" w:cs="Times New Roman"/>
                <w:sz w:val="24"/>
                <w:szCs w:val="24"/>
                <w:lang w:eastAsia="lv-LV"/>
              </w:rPr>
              <w:t>ēm</w:t>
            </w:r>
            <w:r w:rsidR="00B251BD" w:rsidRPr="00B251BD">
              <w:rPr>
                <w:rFonts w:ascii="Times New Roman" w:eastAsia="Times New Roman" w:hAnsi="Times New Roman" w:cs="Times New Roman"/>
                <w:sz w:val="24"/>
                <w:szCs w:val="24"/>
                <w:lang w:val="x-none" w:eastAsia="lv-LV"/>
              </w:rPr>
              <w:t xml:space="preserve"> vidējam termiņam” </w:t>
            </w:r>
            <w:r w:rsidRPr="006D6481">
              <w:rPr>
                <w:rFonts w:ascii="Times New Roman" w:eastAsia="Times New Roman" w:hAnsi="Times New Roman" w:cs="Times New Roman"/>
                <w:sz w:val="24"/>
                <w:szCs w:val="24"/>
                <w:lang w:val="x-none" w:eastAsia="lv-LV"/>
              </w:rPr>
              <w:t xml:space="preserve"> </w:t>
            </w:r>
            <w:r w:rsidR="0016249B">
              <w:rPr>
                <w:rFonts w:ascii="Times New Roman" w:eastAsia="Times New Roman" w:hAnsi="Times New Roman" w:cs="Times New Roman"/>
                <w:sz w:val="24"/>
                <w:szCs w:val="24"/>
                <w:lang w:eastAsia="lv-LV"/>
              </w:rPr>
              <w:t xml:space="preserve">(turpmāk – noteikumu projekts) </w:t>
            </w:r>
            <w:r w:rsidRPr="006D6481">
              <w:rPr>
                <w:rFonts w:ascii="Times New Roman" w:eastAsia="Times New Roman" w:hAnsi="Times New Roman" w:cs="Times New Roman"/>
                <w:sz w:val="24"/>
                <w:szCs w:val="24"/>
                <w:lang w:val="x-none" w:eastAsia="lv-LV"/>
              </w:rPr>
              <w:t xml:space="preserve">izstrādāts, </w:t>
            </w:r>
            <w:r w:rsidRPr="006D6481">
              <w:rPr>
                <w:rFonts w:ascii="Times New Roman" w:eastAsia="Times New Roman" w:hAnsi="Times New Roman" w:cs="Times New Roman"/>
                <w:sz w:val="24"/>
                <w:szCs w:val="24"/>
                <w:lang w:eastAsia="lv-LV"/>
              </w:rPr>
              <w:t xml:space="preserve">lai </w:t>
            </w:r>
            <w:r w:rsidR="00B251BD" w:rsidRPr="00B251BD">
              <w:rPr>
                <w:rFonts w:ascii="Times New Roman" w:hAnsi="Times New Roman" w:cs="Times New Roman"/>
                <w:bCs/>
                <w:sz w:val="24"/>
                <w:szCs w:val="24"/>
              </w:rPr>
              <w:t>noteikt</w:t>
            </w:r>
            <w:r w:rsidR="00B251BD">
              <w:rPr>
                <w:rFonts w:ascii="Times New Roman" w:hAnsi="Times New Roman" w:cs="Times New Roman"/>
                <w:bCs/>
                <w:sz w:val="24"/>
                <w:szCs w:val="24"/>
              </w:rPr>
              <w:t>u</w:t>
            </w:r>
            <w:r w:rsidR="00B251BD" w:rsidRPr="00B251BD">
              <w:rPr>
                <w:rFonts w:ascii="Times New Roman" w:hAnsi="Times New Roman" w:cs="Times New Roman"/>
                <w:bCs/>
                <w:sz w:val="24"/>
                <w:szCs w:val="24"/>
              </w:rPr>
              <w:t xml:space="preserve"> kārtību, kādā nosaka pamatbudžeta un speciālā budžeta bāzi un attīstības daļu vidējam termiņam ministrijām</w:t>
            </w:r>
            <w:r w:rsidR="00732468">
              <w:rPr>
                <w:rFonts w:ascii="Times New Roman" w:hAnsi="Times New Roman" w:cs="Times New Roman"/>
                <w:bCs/>
                <w:sz w:val="24"/>
                <w:szCs w:val="24"/>
              </w:rPr>
              <w:t>, kas kopā veido maksimāli pieļaujamo izdevumu kopapjomu</w:t>
            </w:r>
            <w:r w:rsidR="00B251BD" w:rsidRPr="00B251BD">
              <w:rPr>
                <w:rFonts w:ascii="Times New Roman" w:hAnsi="Times New Roman" w:cs="Times New Roman"/>
                <w:bCs/>
                <w:sz w:val="24"/>
                <w:szCs w:val="24"/>
              </w:rPr>
              <w:t>.</w:t>
            </w:r>
            <w:r w:rsidR="0016249B">
              <w:rPr>
                <w:rFonts w:ascii="Times New Roman" w:hAnsi="Times New Roman" w:cs="Times New Roman"/>
                <w:bCs/>
                <w:sz w:val="24"/>
                <w:szCs w:val="24"/>
              </w:rPr>
              <w:t xml:space="preserve"> Noteikumu projektā ir ietverti aprēķinu algoritmi, informācijas apmaiņas procesi un termiņi, ministriju pienākumi un veicamās darbības.</w:t>
            </w:r>
            <w:r w:rsidR="00271FD2">
              <w:rPr>
                <w:rFonts w:ascii="Times New Roman" w:hAnsi="Times New Roman" w:cs="Times New Roman"/>
                <w:bCs/>
                <w:sz w:val="24"/>
                <w:szCs w:val="24"/>
              </w:rPr>
              <w:t xml:space="preserve"> Noteikumu projektā ir daļēji pārņemtas normas no MK noteikumiem Nr.198, kā arī tiek iekļautas jaunas normas, atbilstoši jaunākam regulējumam attiecībā uz vidējā termiņa budžeta plānošanu.</w:t>
            </w:r>
          </w:p>
          <w:p w:rsidR="00D832A6" w:rsidRDefault="00D832A6" w:rsidP="000B641A">
            <w:pPr>
              <w:spacing w:after="0" w:line="240" w:lineRule="auto"/>
              <w:ind w:left="130" w:right="130" w:firstLine="5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w:t>
            </w:r>
            <w:r w:rsidR="00B177F3">
              <w:rPr>
                <w:rFonts w:ascii="Times New Roman" w:eastAsia="Times New Roman" w:hAnsi="Times New Roman" w:cs="Times New Roman"/>
                <w:sz w:val="24"/>
                <w:szCs w:val="24"/>
                <w:lang w:eastAsia="lv-LV"/>
              </w:rPr>
              <w:t xml:space="preserve">u projekts </w:t>
            </w:r>
            <w:r>
              <w:rPr>
                <w:rFonts w:ascii="Times New Roman" w:eastAsia="Times New Roman" w:hAnsi="Times New Roman" w:cs="Times New Roman"/>
                <w:sz w:val="24"/>
                <w:szCs w:val="24"/>
                <w:lang w:eastAsia="lv-LV"/>
              </w:rPr>
              <w:t xml:space="preserve"> paredz, ka </w:t>
            </w:r>
            <w:r w:rsidRPr="00D832A6">
              <w:rPr>
                <w:rFonts w:ascii="Times New Roman" w:eastAsia="Times New Roman" w:hAnsi="Times New Roman" w:cs="Times New Roman"/>
                <w:color w:val="000000"/>
                <w:sz w:val="24"/>
                <w:szCs w:val="24"/>
                <w:lang w:eastAsia="lv-LV"/>
              </w:rPr>
              <w:t xml:space="preserve"> m</w:t>
            </w:r>
            <w:r w:rsidRPr="00D832A6">
              <w:rPr>
                <w:rFonts w:ascii="Times New Roman" w:eastAsia="Times New Roman" w:hAnsi="Times New Roman" w:cs="Times New Roman"/>
                <w:sz w:val="24"/>
                <w:szCs w:val="24"/>
                <w:lang w:eastAsia="lv-LV"/>
              </w:rPr>
              <w:t>aksimāli pieļaujamo izdevumu kopapjomu Finanšu ministrija aprēķina, pamatojoties uz vidēja termiņa budžeta ietvara likumu, makroekonomisk</w:t>
            </w:r>
            <w:r w:rsidR="00BF75C8">
              <w:rPr>
                <w:rFonts w:ascii="Times New Roman" w:eastAsia="Times New Roman" w:hAnsi="Times New Roman" w:cs="Times New Roman"/>
                <w:sz w:val="24"/>
                <w:szCs w:val="24"/>
                <w:lang w:eastAsia="lv-LV"/>
              </w:rPr>
              <w:t>ās</w:t>
            </w:r>
            <w:r w:rsidRPr="00D832A6">
              <w:rPr>
                <w:rFonts w:ascii="Times New Roman" w:eastAsia="Times New Roman" w:hAnsi="Times New Roman" w:cs="Times New Roman"/>
                <w:sz w:val="24"/>
                <w:szCs w:val="24"/>
                <w:lang w:eastAsia="lv-LV"/>
              </w:rPr>
              <w:t xml:space="preserve"> attīstīb</w:t>
            </w:r>
            <w:r w:rsidR="00BF75C8">
              <w:rPr>
                <w:rFonts w:ascii="Times New Roman" w:eastAsia="Times New Roman" w:hAnsi="Times New Roman" w:cs="Times New Roman"/>
                <w:sz w:val="24"/>
                <w:szCs w:val="24"/>
                <w:lang w:eastAsia="lv-LV"/>
              </w:rPr>
              <w:t>as prognozēm</w:t>
            </w:r>
            <w:r w:rsidRPr="00D832A6">
              <w:rPr>
                <w:rFonts w:ascii="Times New Roman" w:eastAsia="Times New Roman" w:hAnsi="Times New Roman" w:cs="Times New Roman"/>
                <w:sz w:val="24"/>
                <w:szCs w:val="24"/>
                <w:lang w:eastAsia="lv-LV"/>
              </w:rPr>
              <w:t>,  kā arī</w:t>
            </w:r>
            <w:r w:rsidR="00BF75C8">
              <w:rPr>
                <w:rFonts w:ascii="Times New Roman" w:eastAsia="Times New Roman" w:hAnsi="Times New Roman" w:cs="Times New Roman"/>
                <w:sz w:val="24"/>
                <w:szCs w:val="24"/>
                <w:lang w:eastAsia="lv-LV"/>
              </w:rPr>
              <w:t xml:space="preserve"> </w:t>
            </w:r>
            <w:r w:rsidRPr="00D832A6">
              <w:rPr>
                <w:rFonts w:ascii="Times New Roman" w:eastAsia="Times New Roman" w:hAnsi="Times New Roman" w:cs="Times New Roman"/>
                <w:sz w:val="24"/>
                <w:szCs w:val="24"/>
                <w:lang w:eastAsia="lv-LV"/>
              </w:rPr>
              <w:t>ievērojot valstī noteiktos fiskālos nosacījumus, ja tādi tiek pieņemti normatīvajos aktos vidēja termiņa budžeta plānošanas vai fiskālās disciplīnas jomā.</w:t>
            </w:r>
          </w:p>
          <w:p w:rsidR="00AD06F2" w:rsidRDefault="00DE0359" w:rsidP="000B641A">
            <w:pPr>
              <w:spacing w:after="0" w:line="240" w:lineRule="auto"/>
              <w:ind w:left="130" w:right="130" w:firstLine="5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w:t>
            </w:r>
            <w:r w:rsidR="00B177F3">
              <w:rPr>
                <w:rFonts w:ascii="Times New Roman" w:eastAsia="Times New Roman" w:hAnsi="Times New Roman" w:cs="Times New Roman"/>
                <w:sz w:val="24"/>
                <w:szCs w:val="24"/>
                <w:lang w:eastAsia="lv-LV"/>
              </w:rPr>
              <w:t>u projekts</w:t>
            </w:r>
            <w:r>
              <w:rPr>
                <w:rFonts w:ascii="Times New Roman" w:eastAsia="Times New Roman" w:hAnsi="Times New Roman" w:cs="Times New Roman"/>
                <w:sz w:val="24"/>
                <w:szCs w:val="24"/>
                <w:lang w:eastAsia="lv-LV"/>
              </w:rPr>
              <w:t xml:space="preserve"> paredz, ka ministriju</w:t>
            </w:r>
            <w:r w:rsidR="00D832A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maksimāli pieļaujamo izdevumu aprēķinos gads n+3 tiek rēķināts no jauna</w:t>
            </w:r>
            <w:r w:rsidR="0073246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pamatojoties uz aktuālajiem n+2 gada datiem</w:t>
            </w:r>
            <w:r w:rsidR="0073246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732468">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avukārt </w:t>
            </w:r>
            <w:r w:rsidRPr="00DE0359">
              <w:rPr>
                <w:rFonts w:ascii="Times New Roman" w:eastAsia="Times New Roman" w:hAnsi="Times New Roman" w:cs="Times New Roman"/>
                <w:sz w:val="24"/>
                <w:szCs w:val="24"/>
                <w:lang w:eastAsia="lv-LV"/>
              </w:rPr>
              <w:t xml:space="preserve"> gadiem n+1 un n+2 </w:t>
            </w:r>
            <w:r w:rsidR="00701F8E">
              <w:rPr>
                <w:rFonts w:ascii="Times New Roman" w:eastAsia="Times New Roman" w:hAnsi="Times New Roman" w:cs="Times New Roman"/>
                <w:sz w:val="24"/>
                <w:szCs w:val="24"/>
                <w:lang w:eastAsia="lv-LV"/>
              </w:rPr>
              <w:t xml:space="preserve">aprēķinos </w:t>
            </w:r>
            <w:r w:rsidR="00D832A6">
              <w:rPr>
                <w:rFonts w:ascii="Times New Roman" w:eastAsia="Times New Roman" w:hAnsi="Times New Roman" w:cs="Times New Roman"/>
                <w:sz w:val="24"/>
                <w:szCs w:val="24"/>
                <w:lang w:eastAsia="lv-LV"/>
              </w:rPr>
              <w:t xml:space="preserve">par pamatu izmanto </w:t>
            </w:r>
            <w:r w:rsidR="00701F8E">
              <w:rPr>
                <w:rFonts w:ascii="Times New Roman" w:eastAsia="Times New Roman" w:hAnsi="Times New Roman" w:cs="Times New Roman"/>
                <w:sz w:val="24"/>
                <w:szCs w:val="24"/>
                <w:lang w:eastAsia="lv-LV"/>
              </w:rPr>
              <w:t xml:space="preserve"> vidēja </w:t>
            </w:r>
            <w:r w:rsidRPr="00DE0359">
              <w:rPr>
                <w:rFonts w:ascii="Times New Roman" w:eastAsia="Times New Roman" w:hAnsi="Times New Roman" w:cs="Times New Roman"/>
                <w:sz w:val="24"/>
                <w:szCs w:val="24"/>
                <w:lang w:eastAsia="lv-LV"/>
              </w:rPr>
              <w:t xml:space="preserve">termiņa budžeta ietvara likumā otrajam un trešajam tā darbības gadam apstiprināto maksimāli pieļaujamo izdevumu apjomu ministrijai, ko precizē </w:t>
            </w:r>
            <w:r>
              <w:rPr>
                <w:rFonts w:ascii="Times New Roman" w:eastAsia="Times New Roman" w:hAnsi="Times New Roman" w:cs="Times New Roman"/>
                <w:sz w:val="24"/>
                <w:szCs w:val="24"/>
                <w:lang w:eastAsia="lv-LV"/>
              </w:rPr>
              <w:t xml:space="preserve">tikai </w:t>
            </w:r>
            <w:r w:rsidRPr="00DE0359">
              <w:rPr>
                <w:rFonts w:ascii="Times New Roman" w:eastAsia="Times New Roman" w:hAnsi="Times New Roman" w:cs="Times New Roman"/>
                <w:sz w:val="24"/>
                <w:szCs w:val="24"/>
                <w:lang w:eastAsia="lv-LV"/>
              </w:rPr>
              <w:t>noteiktos gadījumos, kas pamat</w:t>
            </w:r>
            <w:r>
              <w:rPr>
                <w:rFonts w:ascii="Times New Roman" w:eastAsia="Times New Roman" w:hAnsi="Times New Roman" w:cs="Times New Roman"/>
                <w:sz w:val="24"/>
                <w:szCs w:val="24"/>
                <w:lang w:eastAsia="lv-LV"/>
              </w:rPr>
              <w:t>ā</w:t>
            </w:r>
            <w:r w:rsidRPr="00DE0359">
              <w:rPr>
                <w:rFonts w:ascii="Times New Roman" w:eastAsia="Times New Roman" w:hAnsi="Times New Roman" w:cs="Times New Roman"/>
                <w:sz w:val="24"/>
                <w:szCs w:val="24"/>
                <w:lang w:eastAsia="lv-LV"/>
              </w:rPr>
              <w:t xml:space="preserve"> ir saistīti ar</w:t>
            </w:r>
            <w:r>
              <w:rPr>
                <w:rFonts w:ascii="Times New Roman" w:eastAsia="Times New Roman" w:hAnsi="Times New Roman" w:cs="Times New Roman"/>
                <w:sz w:val="24"/>
                <w:szCs w:val="24"/>
                <w:lang w:eastAsia="lv-LV"/>
              </w:rPr>
              <w:t xml:space="preserve"> </w:t>
            </w:r>
            <w:r w:rsidRPr="00DE0359">
              <w:rPr>
                <w:rFonts w:ascii="Times New Roman" w:eastAsia="Times New Roman" w:hAnsi="Times New Roman" w:cs="Times New Roman"/>
                <w:sz w:val="24"/>
                <w:szCs w:val="24"/>
                <w:lang w:eastAsia="lv-LV"/>
              </w:rPr>
              <w:t>papildu izdevumiem, kas tiek segti ar plānotiem papildu ieņēmumiem</w:t>
            </w:r>
            <w:r>
              <w:rPr>
                <w:rFonts w:ascii="Times New Roman" w:eastAsia="Times New Roman" w:hAnsi="Times New Roman" w:cs="Times New Roman"/>
                <w:sz w:val="24"/>
                <w:szCs w:val="24"/>
                <w:lang w:eastAsia="lv-LV"/>
              </w:rPr>
              <w:t xml:space="preserve">, kā arī </w:t>
            </w:r>
            <w:r w:rsidRPr="00DE0359">
              <w:rPr>
                <w:rFonts w:ascii="Times New Roman" w:eastAsia="Times New Roman" w:hAnsi="Times New Roman" w:cs="Times New Roman"/>
                <w:sz w:val="24"/>
                <w:szCs w:val="24"/>
                <w:lang w:eastAsia="lv-LV"/>
              </w:rPr>
              <w:t>papildu izdevumiem, kuru apjomu izmaiņas Latvija  nevar ietekmēt (</w:t>
            </w:r>
            <w:r>
              <w:rPr>
                <w:rFonts w:ascii="Times New Roman" w:eastAsia="Times New Roman" w:hAnsi="Times New Roman" w:cs="Times New Roman"/>
                <w:sz w:val="24"/>
                <w:szCs w:val="24"/>
                <w:lang w:eastAsia="lv-LV"/>
              </w:rPr>
              <w:t xml:space="preserve">piemēram, </w:t>
            </w:r>
            <w:r w:rsidRPr="00DE0359">
              <w:rPr>
                <w:rFonts w:ascii="Times New Roman" w:eastAsia="Times New Roman" w:hAnsi="Times New Roman" w:cs="Times New Roman"/>
                <w:sz w:val="24"/>
                <w:szCs w:val="24"/>
                <w:lang w:eastAsia="lv-LV"/>
              </w:rPr>
              <w:t>E</w:t>
            </w:r>
            <w:r w:rsidR="00B177F3">
              <w:rPr>
                <w:rFonts w:ascii="Times New Roman" w:eastAsia="Times New Roman" w:hAnsi="Times New Roman" w:cs="Times New Roman"/>
                <w:sz w:val="24"/>
                <w:szCs w:val="24"/>
                <w:lang w:eastAsia="lv-LV"/>
              </w:rPr>
              <w:t>iropas Savienības</w:t>
            </w:r>
            <w:r w:rsidRPr="00DE0359">
              <w:rPr>
                <w:rFonts w:ascii="Times New Roman" w:eastAsia="Times New Roman" w:hAnsi="Times New Roman" w:cs="Times New Roman"/>
                <w:sz w:val="24"/>
                <w:szCs w:val="24"/>
                <w:lang w:eastAsia="lv-LV"/>
              </w:rPr>
              <w:t xml:space="preserve"> pašu resursi, procentu izdevumi)</w:t>
            </w:r>
            <w:r>
              <w:rPr>
                <w:rFonts w:ascii="Times New Roman" w:eastAsia="Times New Roman" w:hAnsi="Times New Roman" w:cs="Times New Roman"/>
                <w:sz w:val="24"/>
                <w:szCs w:val="24"/>
                <w:lang w:eastAsia="lv-LV"/>
              </w:rPr>
              <w:t xml:space="preserve">. </w:t>
            </w:r>
          </w:p>
          <w:p w:rsidR="009E3715" w:rsidRPr="009E3715" w:rsidRDefault="009E3715" w:rsidP="00DA2CF2">
            <w:pPr>
              <w:spacing w:after="0" w:line="240" w:lineRule="auto"/>
              <w:ind w:left="127" w:right="127" w:firstLine="57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Ievērojot </w:t>
            </w:r>
            <w:r w:rsidRPr="009E3715">
              <w:rPr>
                <w:rFonts w:ascii="Times New Roman" w:eastAsia="Times New Roman" w:hAnsi="Times New Roman" w:cs="Times New Roman"/>
                <w:color w:val="000000"/>
                <w:sz w:val="24"/>
                <w:szCs w:val="24"/>
                <w:lang w:eastAsia="lv-LV"/>
              </w:rPr>
              <w:t>Likumā par budžetu un finanšu vadību 19.pantā un Saeimas kārtības ruļļa 183</w:t>
            </w:r>
            <w:r w:rsidR="00527500">
              <w:rPr>
                <w:rFonts w:ascii="Times New Roman" w:eastAsia="Times New Roman" w:hAnsi="Times New Roman" w:cs="Times New Roman"/>
                <w:color w:val="000000"/>
                <w:sz w:val="24"/>
                <w:szCs w:val="24"/>
                <w:vertAlign w:val="superscript"/>
                <w:lang w:eastAsia="lv-LV"/>
              </w:rPr>
              <w:t>1</w:t>
            </w:r>
            <w:r w:rsidRPr="009E3715">
              <w:rPr>
                <w:rFonts w:ascii="Times New Roman" w:eastAsia="Times New Roman" w:hAnsi="Times New Roman" w:cs="Times New Roman"/>
                <w:color w:val="000000"/>
                <w:sz w:val="24"/>
                <w:szCs w:val="24"/>
                <w:lang w:eastAsia="lv-LV"/>
              </w:rPr>
              <w:t>.pantā noteikto Saeimas finansiālo patstāvību un</w:t>
            </w:r>
            <w:r>
              <w:rPr>
                <w:rFonts w:ascii="Times New Roman" w:eastAsia="Times New Roman" w:hAnsi="Times New Roman" w:cs="Times New Roman"/>
                <w:color w:val="000000"/>
                <w:sz w:val="24"/>
                <w:szCs w:val="24"/>
                <w:lang w:eastAsia="lv-LV"/>
              </w:rPr>
              <w:t xml:space="preserve"> </w:t>
            </w:r>
            <w:r w:rsidRPr="009E3715">
              <w:rPr>
                <w:rFonts w:ascii="Times New Roman" w:eastAsia="Times New Roman" w:hAnsi="Times New Roman" w:cs="Times New Roman"/>
                <w:color w:val="000000"/>
                <w:sz w:val="24"/>
                <w:szCs w:val="24"/>
                <w:lang w:eastAsia="lv-LV"/>
              </w:rPr>
              <w:t>budžeta pieprasījumu negrozīšanu līdz valsts budžeta likuma projekta iesniegšanai Saeimā</w:t>
            </w:r>
            <w:r>
              <w:rPr>
                <w:rFonts w:ascii="Times New Roman" w:eastAsia="Times New Roman" w:hAnsi="Times New Roman" w:cs="Times New Roman"/>
                <w:color w:val="000000"/>
                <w:sz w:val="24"/>
                <w:szCs w:val="24"/>
                <w:lang w:eastAsia="lv-LV"/>
              </w:rPr>
              <w:t>, noteikum</w:t>
            </w:r>
            <w:r w:rsidR="00B177F3">
              <w:rPr>
                <w:rFonts w:ascii="Times New Roman" w:eastAsia="Times New Roman" w:hAnsi="Times New Roman" w:cs="Times New Roman"/>
                <w:color w:val="000000"/>
                <w:sz w:val="24"/>
                <w:szCs w:val="24"/>
                <w:lang w:eastAsia="lv-LV"/>
              </w:rPr>
              <w:t>u projekts</w:t>
            </w:r>
            <w:r>
              <w:rPr>
                <w:rFonts w:ascii="Times New Roman" w:eastAsia="Times New Roman" w:hAnsi="Times New Roman" w:cs="Times New Roman"/>
                <w:color w:val="000000"/>
                <w:sz w:val="24"/>
                <w:szCs w:val="24"/>
                <w:lang w:eastAsia="lv-LV"/>
              </w:rPr>
              <w:t xml:space="preserve"> paredz, ka</w:t>
            </w:r>
            <w:r>
              <w:t xml:space="preserve"> </w:t>
            </w:r>
            <w:r w:rsidR="008A4916" w:rsidRPr="008A4916">
              <w:rPr>
                <w:rFonts w:ascii="Times New Roman" w:eastAsia="Times New Roman" w:hAnsi="Times New Roman" w:cs="Times New Roman"/>
                <w:color w:val="000000"/>
                <w:sz w:val="24"/>
                <w:szCs w:val="24"/>
                <w:lang w:eastAsia="lv-LV"/>
              </w:rPr>
              <w:t>maksimāli pieļaujamo izdevumu apjomu Saeimai sadalījumā pa n+1, n+2, n+3 gadiem norāda Saeimas noteiktajā apjomā.</w:t>
            </w:r>
            <w:r w:rsidR="008A4916">
              <w:rPr>
                <w:rFonts w:ascii="Times New Roman" w:eastAsia="Times New Roman" w:hAnsi="Times New Roman" w:cs="Times New Roman"/>
                <w:color w:val="000000"/>
                <w:sz w:val="24"/>
                <w:szCs w:val="24"/>
                <w:lang w:eastAsia="lv-LV"/>
              </w:rPr>
              <w:t xml:space="preserve"> </w:t>
            </w:r>
          </w:p>
          <w:p w:rsidR="00FC3AD2" w:rsidRDefault="00DC60A2" w:rsidP="00FC3AD2">
            <w:pPr>
              <w:spacing w:after="0" w:line="240" w:lineRule="auto"/>
              <w:ind w:left="106" w:right="136" w:firstLine="593"/>
              <w:jc w:val="both"/>
              <w:rPr>
                <w:rFonts w:ascii="Times New Roman" w:eastAsia="Times New Roman" w:hAnsi="Times New Roman" w:cs="Times New Roman"/>
                <w:color w:val="000000"/>
                <w:sz w:val="24"/>
                <w:szCs w:val="24"/>
                <w:lang w:eastAsia="lv-LV"/>
              </w:rPr>
            </w:pPr>
            <w:r w:rsidRPr="00DC60A2">
              <w:rPr>
                <w:rFonts w:ascii="Times New Roman" w:eastAsia="Times New Roman" w:hAnsi="Times New Roman" w:cs="Times New Roman"/>
                <w:color w:val="000000"/>
                <w:sz w:val="24"/>
                <w:szCs w:val="24"/>
                <w:lang w:eastAsia="lv-LV"/>
              </w:rPr>
              <w:t>Noteikum</w:t>
            </w:r>
            <w:r w:rsidR="00B177F3">
              <w:rPr>
                <w:rFonts w:ascii="Times New Roman" w:eastAsia="Times New Roman" w:hAnsi="Times New Roman" w:cs="Times New Roman"/>
                <w:color w:val="000000"/>
                <w:sz w:val="24"/>
                <w:szCs w:val="24"/>
                <w:lang w:eastAsia="lv-LV"/>
              </w:rPr>
              <w:t>u projekts</w:t>
            </w:r>
            <w:r w:rsidRPr="00DC60A2">
              <w:rPr>
                <w:rFonts w:ascii="Times New Roman" w:eastAsia="Times New Roman" w:hAnsi="Times New Roman" w:cs="Times New Roman"/>
                <w:color w:val="000000"/>
                <w:sz w:val="24"/>
                <w:szCs w:val="24"/>
                <w:lang w:eastAsia="lv-LV"/>
              </w:rPr>
              <w:t xml:space="preserve"> paredz, ka pēc ministriju bāzes izdevumu aprēķināšanas atbilstoši pieļaujamām izmaiņām, tiks vērtēts</w:t>
            </w:r>
            <w:r w:rsidR="00732468">
              <w:rPr>
                <w:rFonts w:ascii="Times New Roman" w:eastAsia="Times New Roman" w:hAnsi="Times New Roman" w:cs="Times New Roman"/>
                <w:color w:val="000000"/>
                <w:sz w:val="24"/>
                <w:szCs w:val="24"/>
                <w:lang w:eastAsia="lv-LV"/>
              </w:rPr>
              <w:t>,</w:t>
            </w:r>
            <w:r w:rsidRPr="00DC60A2">
              <w:rPr>
                <w:rFonts w:ascii="Times New Roman" w:eastAsia="Times New Roman" w:hAnsi="Times New Roman" w:cs="Times New Roman"/>
                <w:color w:val="000000"/>
                <w:sz w:val="24"/>
                <w:szCs w:val="24"/>
                <w:lang w:eastAsia="lv-LV"/>
              </w:rPr>
              <w:t xml:space="preserve"> vai visu ministriju kopējie </w:t>
            </w:r>
            <w:r w:rsidR="005F63A1">
              <w:rPr>
                <w:rFonts w:ascii="Times New Roman" w:eastAsia="Times New Roman" w:hAnsi="Times New Roman" w:cs="Times New Roman"/>
                <w:color w:val="000000"/>
                <w:sz w:val="24"/>
                <w:szCs w:val="24"/>
                <w:lang w:eastAsia="lv-LV"/>
              </w:rPr>
              <w:t xml:space="preserve">bāzes </w:t>
            </w:r>
            <w:r w:rsidRPr="00DC60A2">
              <w:rPr>
                <w:rFonts w:ascii="Times New Roman" w:eastAsia="Times New Roman" w:hAnsi="Times New Roman" w:cs="Times New Roman"/>
                <w:color w:val="000000"/>
                <w:sz w:val="24"/>
                <w:szCs w:val="24"/>
                <w:lang w:eastAsia="lv-LV"/>
              </w:rPr>
              <w:t>izdevumi nodrošinās valstī noteikto fiskālo nosacījumu sasniegšanu. Atbilstoši rezultātam tiks veikti vai nu optimizācijas pasākumi</w:t>
            </w:r>
            <w:r w:rsidR="005F63A1">
              <w:rPr>
                <w:rFonts w:ascii="Times New Roman" w:eastAsia="Times New Roman" w:hAnsi="Times New Roman" w:cs="Times New Roman"/>
                <w:color w:val="000000"/>
                <w:sz w:val="24"/>
                <w:szCs w:val="24"/>
                <w:lang w:eastAsia="lv-LV"/>
              </w:rPr>
              <w:t xml:space="preserve"> (atsevišķs Ministru kabineta lēmums)</w:t>
            </w:r>
            <w:r w:rsidRPr="00DC60A2">
              <w:rPr>
                <w:rFonts w:ascii="Times New Roman" w:eastAsia="Times New Roman" w:hAnsi="Times New Roman" w:cs="Times New Roman"/>
                <w:color w:val="000000"/>
                <w:sz w:val="24"/>
                <w:szCs w:val="24"/>
                <w:lang w:eastAsia="lv-LV"/>
              </w:rPr>
              <w:t>, vai arī, ja optimizācijas pasākumi nebūs nepieciešami, varēs izskatīt jautājumu par jaun</w:t>
            </w:r>
            <w:r w:rsidR="00106827">
              <w:rPr>
                <w:rFonts w:ascii="Times New Roman" w:eastAsia="Times New Roman" w:hAnsi="Times New Roman" w:cs="Times New Roman"/>
                <w:color w:val="000000"/>
                <w:sz w:val="24"/>
                <w:szCs w:val="24"/>
                <w:lang w:eastAsia="lv-LV"/>
              </w:rPr>
              <w:t>aj</w:t>
            </w:r>
            <w:r w:rsidRPr="00DC60A2">
              <w:rPr>
                <w:rFonts w:ascii="Times New Roman" w:eastAsia="Times New Roman" w:hAnsi="Times New Roman" w:cs="Times New Roman"/>
                <w:color w:val="000000"/>
                <w:sz w:val="24"/>
                <w:szCs w:val="24"/>
                <w:lang w:eastAsia="lv-LV"/>
              </w:rPr>
              <w:t>ām politikas iniciatīvām</w:t>
            </w:r>
            <w:r w:rsidR="006A01E4">
              <w:rPr>
                <w:rFonts w:ascii="Times New Roman" w:eastAsia="Times New Roman" w:hAnsi="Times New Roman" w:cs="Times New Roman"/>
                <w:color w:val="000000"/>
                <w:sz w:val="24"/>
                <w:szCs w:val="24"/>
                <w:lang w:eastAsia="lv-LV"/>
              </w:rPr>
              <w:t>, tai skaitā</w:t>
            </w:r>
            <w:r w:rsidR="003E4BA3">
              <w:t xml:space="preserve"> </w:t>
            </w:r>
            <w:r w:rsidR="003E4BA3" w:rsidRPr="003E4BA3">
              <w:rPr>
                <w:rFonts w:ascii="Times New Roman" w:eastAsia="Times New Roman" w:hAnsi="Times New Roman" w:cs="Times New Roman"/>
                <w:color w:val="000000"/>
                <w:sz w:val="24"/>
                <w:szCs w:val="24"/>
                <w:lang w:eastAsia="lv-LV"/>
              </w:rPr>
              <w:t xml:space="preserve">papildu līdzekļu novirzīšanu </w:t>
            </w:r>
            <w:r w:rsidR="006A01E4">
              <w:rPr>
                <w:rFonts w:ascii="Times New Roman" w:eastAsia="Times New Roman" w:hAnsi="Times New Roman" w:cs="Times New Roman"/>
                <w:color w:val="000000"/>
                <w:sz w:val="24"/>
                <w:szCs w:val="24"/>
                <w:lang w:eastAsia="lv-LV"/>
              </w:rPr>
              <w:t xml:space="preserve">tādām jaunās politikas iniciatīvām kā </w:t>
            </w:r>
            <w:r w:rsidR="003E4BA3" w:rsidRPr="003E4BA3">
              <w:rPr>
                <w:rFonts w:ascii="Times New Roman" w:eastAsia="Times New Roman" w:hAnsi="Times New Roman" w:cs="Times New Roman"/>
                <w:color w:val="000000"/>
                <w:sz w:val="24"/>
                <w:szCs w:val="24"/>
                <w:lang w:eastAsia="lv-LV"/>
              </w:rPr>
              <w:t>administratīvās kapacitātes stiprināšanas pasākumi</w:t>
            </w:r>
            <w:r w:rsidRPr="00DC60A2">
              <w:rPr>
                <w:rFonts w:ascii="Times New Roman" w:eastAsia="Times New Roman" w:hAnsi="Times New Roman" w:cs="Times New Roman"/>
                <w:color w:val="000000"/>
                <w:sz w:val="24"/>
                <w:szCs w:val="24"/>
                <w:lang w:eastAsia="lv-LV"/>
              </w:rPr>
              <w:t>.</w:t>
            </w:r>
            <w:r w:rsidR="003E4BA3">
              <w:rPr>
                <w:rFonts w:ascii="Times New Roman" w:eastAsia="Times New Roman" w:hAnsi="Times New Roman" w:cs="Times New Roman"/>
                <w:color w:val="000000"/>
                <w:sz w:val="24"/>
                <w:szCs w:val="24"/>
                <w:lang w:eastAsia="lv-LV"/>
              </w:rPr>
              <w:t xml:space="preserve"> </w:t>
            </w:r>
          </w:p>
          <w:p w:rsidR="00BB50A9" w:rsidRDefault="003E58A8" w:rsidP="00BB50A9">
            <w:pPr>
              <w:spacing w:after="0" w:line="240" w:lineRule="auto"/>
              <w:ind w:left="106" w:right="136" w:firstLine="593"/>
              <w:jc w:val="both"/>
              <w:rPr>
                <w:rFonts w:ascii="Times New Roman" w:eastAsia="Times New Roman" w:hAnsi="Times New Roman" w:cs="Times New Roman"/>
                <w:color w:val="000000"/>
                <w:sz w:val="24"/>
                <w:szCs w:val="24"/>
                <w:lang w:eastAsia="lv-LV"/>
              </w:rPr>
            </w:pPr>
            <w:r w:rsidRPr="009D25E1">
              <w:rPr>
                <w:rFonts w:ascii="Times New Roman" w:eastAsia="Times New Roman" w:hAnsi="Times New Roman" w:cs="Times New Roman"/>
                <w:color w:val="000000"/>
                <w:sz w:val="24"/>
                <w:szCs w:val="24"/>
                <w:lang w:eastAsia="lv-LV"/>
              </w:rPr>
              <w:t>Likuma par budžetu un finanšu vadību 16.</w:t>
            </w:r>
            <w:r w:rsidRPr="009D25E1">
              <w:rPr>
                <w:rFonts w:ascii="Times New Roman" w:eastAsia="Times New Roman" w:hAnsi="Times New Roman" w:cs="Times New Roman"/>
                <w:color w:val="000000"/>
                <w:sz w:val="24"/>
                <w:szCs w:val="24"/>
                <w:vertAlign w:val="superscript"/>
                <w:lang w:eastAsia="lv-LV"/>
              </w:rPr>
              <w:t>1</w:t>
            </w:r>
            <w:r w:rsidR="00576571" w:rsidRPr="009D25E1">
              <w:rPr>
                <w:rFonts w:ascii="Times New Roman" w:eastAsia="Times New Roman" w:hAnsi="Times New Roman" w:cs="Times New Roman"/>
                <w:color w:val="000000"/>
                <w:sz w:val="24"/>
                <w:szCs w:val="24"/>
                <w:vertAlign w:val="superscript"/>
                <w:lang w:eastAsia="lv-LV"/>
              </w:rPr>
              <w:t xml:space="preserve"> </w:t>
            </w:r>
            <w:r w:rsidRPr="009D25E1">
              <w:rPr>
                <w:rFonts w:ascii="Times New Roman" w:eastAsia="Times New Roman" w:hAnsi="Times New Roman" w:cs="Times New Roman"/>
                <w:color w:val="000000"/>
                <w:sz w:val="24"/>
                <w:szCs w:val="24"/>
                <w:lang w:eastAsia="lv-LV"/>
              </w:rPr>
              <w:t>panta treš</w:t>
            </w:r>
            <w:r w:rsidR="00CD5FA6" w:rsidRPr="009D25E1">
              <w:rPr>
                <w:rFonts w:ascii="Times New Roman" w:eastAsia="Times New Roman" w:hAnsi="Times New Roman" w:cs="Times New Roman"/>
                <w:color w:val="000000"/>
                <w:sz w:val="24"/>
                <w:szCs w:val="24"/>
                <w:lang w:eastAsia="lv-LV"/>
              </w:rPr>
              <w:t>ā</w:t>
            </w:r>
            <w:r w:rsidRPr="009D25E1">
              <w:rPr>
                <w:rFonts w:ascii="Times New Roman" w:eastAsia="Times New Roman" w:hAnsi="Times New Roman" w:cs="Times New Roman"/>
                <w:color w:val="000000"/>
                <w:sz w:val="24"/>
                <w:szCs w:val="24"/>
                <w:lang w:eastAsia="lv-LV"/>
              </w:rPr>
              <w:t xml:space="preserve"> daļ</w:t>
            </w:r>
            <w:r w:rsidR="00CD5FA6" w:rsidRPr="009D25E1">
              <w:rPr>
                <w:rFonts w:ascii="Times New Roman" w:eastAsia="Times New Roman" w:hAnsi="Times New Roman" w:cs="Times New Roman"/>
                <w:color w:val="000000"/>
                <w:sz w:val="24"/>
                <w:szCs w:val="24"/>
                <w:lang w:eastAsia="lv-LV"/>
              </w:rPr>
              <w:t>a</w:t>
            </w:r>
            <w:r w:rsidRPr="009D25E1">
              <w:rPr>
                <w:rFonts w:ascii="Times New Roman" w:eastAsia="Times New Roman" w:hAnsi="Times New Roman" w:cs="Times New Roman"/>
                <w:color w:val="000000"/>
                <w:sz w:val="24"/>
                <w:szCs w:val="24"/>
                <w:lang w:eastAsia="lv-LV"/>
              </w:rPr>
              <w:t xml:space="preserve"> nosaka, ka ministrijas un citas centrālās valsts iestādes </w:t>
            </w:r>
            <w:r w:rsidR="00FC3AD2" w:rsidRPr="009D25E1">
              <w:rPr>
                <w:rFonts w:ascii="Times New Roman" w:eastAsia="Times New Roman" w:hAnsi="Times New Roman" w:cs="Times New Roman"/>
                <w:color w:val="000000"/>
                <w:sz w:val="24"/>
                <w:szCs w:val="24"/>
                <w:lang w:eastAsia="lv-LV"/>
              </w:rPr>
              <w:t xml:space="preserve">sagatavo jaunās politikas iniciatīvas, pamatojoties uz nacionālajā attīstības plānā un valsts aizsardzības koncepcijā noteiktajām prioritātēm un mērķiem. </w:t>
            </w:r>
            <w:r w:rsidR="00891F09" w:rsidRPr="009D25E1">
              <w:rPr>
                <w:rFonts w:ascii="Times New Roman" w:eastAsia="Times New Roman" w:hAnsi="Times New Roman" w:cs="Times New Roman"/>
                <w:color w:val="000000"/>
                <w:sz w:val="24"/>
                <w:szCs w:val="24"/>
                <w:lang w:eastAsia="lv-LV"/>
              </w:rPr>
              <w:t>Ievērot minēto</w:t>
            </w:r>
            <w:r w:rsidR="00CD5FA6" w:rsidRPr="009D25E1">
              <w:rPr>
                <w:rFonts w:ascii="Times New Roman" w:eastAsia="Times New Roman" w:hAnsi="Times New Roman" w:cs="Times New Roman"/>
                <w:color w:val="000000"/>
                <w:sz w:val="24"/>
                <w:szCs w:val="24"/>
                <w:lang w:eastAsia="lv-LV"/>
              </w:rPr>
              <w:t>,</w:t>
            </w:r>
            <w:r w:rsidR="00891F09" w:rsidRPr="009D25E1">
              <w:rPr>
                <w:rFonts w:ascii="Times New Roman" w:eastAsia="Times New Roman" w:hAnsi="Times New Roman" w:cs="Times New Roman"/>
                <w:color w:val="000000"/>
                <w:sz w:val="24"/>
                <w:szCs w:val="24"/>
                <w:lang w:eastAsia="lv-LV"/>
              </w:rPr>
              <w:t xml:space="preserve"> noteikumu projekt</w:t>
            </w:r>
            <w:r w:rsidR="00CD5FA6" w:rsidRPr="009D25E1">
              <w:rPr>
                <w:rFonts w:ascii="Times New Roman" w:eastAsia="Times New Roman" w:hAnsi="Times New Roman" w:cs="Times New Roman"/>
                <w:color w:val="000000"/>
                <w:sz w:val="24"/>
                <w:szCs w:val="24"/>
                <w:lang w:eastAsia="lv-LV"/>
              </w:rPr>
              <w:t>a V nodaļā „Valsts pamatbudžeta un valsts speciālā budžeta attīstības daļas noteikšana”</w:t>
            </w:r>
            <w:r w:rsidR="00891F09" w:rsidRPr="009D25E1">
              <w:rPr>
                <w:rFonts w:ascii="Times New Roman" w:eastAsia="Times New Roman" w:hAnsi="Times New Roman" w:cs="Times New Roman"/>
                <w:color w:val="000000"/>
                <w:sz w:val="24"/>
                <w:szCs w:val="24"/>
                <w:lang w:eastAsia="lv-LV"/>
              </w:rPr>
              <w:t xml:space="preserve"> ietverta</w:t>
            </w:r>
            <w:r w:rsidR="00FC3AD2" w:rsidRPr="009D25E1">
              <w:rPr>
                <w:rFonts w:ascii="Times New Roman" w:eastAsia="Times New Roman" w:hAnsi="Times New Roman" w:cs="Times New Roman"/>
                <w:color w:val="000000"/>
                <w:sz w:val="24"/>
                <w:szCs w:val="24"/>
                <w:lang w:eastAsia="lv-LV"/>
              </w:rPr>
              <w:t xml:space="preserve"> pras</w:t>
            </w:r>
            <w:r w:rsidR="00891F09" w:rsidRPr="009D25E1">
              <w:rPr>
                <w:rFonts w:ascii="Times New Roman" w:eastAsia="Times New Roman" w:hAnsi="Times New Roman" w:cs="Times New Roman"/>
                <w:color w:val="000000"/>
                <w:sz w:val="24"/>
                <w:szCs w:val="24"/>
                <w:lang w:eastAsia="lv-LV"/>
              </w:rPr>
              <w:t>ība</w:t>
            </w:r>
            <w:r w:rsidR="00FC3AD2" w:rsidRPr="009D25E1">
              <w:rPr>
                <w:rFonts w:ascii="Times New Roman" w:eastAsia="Times New Roman" w:hAnsi="Times New Roman" w:cs="Times New Roman"/>
                <w:color w:val="000000"/>
                <w:sz w:val="24"/>
                <w:szCs w:val="24"/>
                <w:lang w:eastAsia="lv-LV"/>
              </w:rPr>
              <w:t xml:space="preserve"> vērtēt jauno politikas iniciatīvu atbilstību</w:t>
            </w:r>
            <w:r w:rsidR="00891F09" w:rsidRPr="009D25E1">
              <w:rPr>
                <w:rFonts w:ascii="Times New Roman" w:eastAsia="Times New Roman" w:hAnsi="Times New Roman" w:cs="Times New Roman"/>
                <w:color w:val="000000"/>
                <w:sz w:val="24"/>
                <w:szCs w:val="24"/>
                <w:lang w:eastAsia="lv-LV"/>
              </w:rPr>
              <w:t xml:space="preserve"> </w:t>
            </w:r>
            <w:r w:rsidR="00891F09" w:rsidRPr="009D25E1">
              <w:t xml:space="preserve"> </w:t>
            </w:r>
            <w:r w:rsidR="00891F09" w:rsidRPr="009D25E1">
              <w:rPr>
                <w:rFonts w:ascii="Times New Roman" w:eastAsia="Times New Roman" w:hAnsi="Times New Roman" w:cs="Times New Roman"/>
                <w:color w:val="000000"/>
                <w:sz w:val="24"/>
                <w:szCs w:val="24"/>
                <w:lang w:eastAsia="lv-LV"/>
              </w:rPr>
              <w:t xml:space="preserve">nacionālajam attīstības plānam </w:t>
            </w:r>
            <w:r w:rsidR="00BB50A9" w:rsidRPr="009D25E1">
              <w:rPr>
                <w:rFonts w:ascii="Times New Roman" w:eastAsia="Times New Roman" w:hAnsi="Times New Roman" w:cs="Times New Roman"/>
                <w:color w:val="000000"/>
                <w:sz w:val="24"/>
                <w:szCs w:val="24"/>
                <w:lang w:eastAsia="lv-LV"/>
              </w:rPr>
              <w:t>vai</w:t>
            </w:r>
            <w:r w:rsidR="00891F09" w:rsidRPr="009D25E1">
              <w:rPr>
                <w:rFonts w:ascii="Times New Roman" w:eastAsia="Times New Roman" w:hAnsi="Times New Roman" w:cs="Times New Roman"/>
                <w:color w:val="000000"/>
                <w:sz w:val="24"/>
                <w:szCs w:val="24"/>
                <w:lang w:eastAsia="lv-LV"/>
              </w:rPr>
              <w:t xml:space="preserve"> valsts aizsardzības koncepcijai</w:t>
            </w:r>
            <w:r w:rsidR="00FC3AD2" w:rsidRPr="009D25E1">
              <w:rPr>
                <w:rFonts w:ascii="Times New Roman" w:eastAsia="Times New Roman" w:hAnsi="Times New Roman" w:cs="Times New Roman"/>
                <w:color w:val="000000"/>
                <w:sz w:val="24"/>
                <w:szCs w:val="24"/>
                <w:lang w:eastAsia="lv-LV"/>
              </w:rPr>
              <w:t>,</w:t>
            </w:r>
            <w:r w:rsidR="00891F09" w:rsidRPr="009D25E1">
              <w:rPr>
                <w:rFonts w:ascii="Times New Roman" w:eastAsia="Times New Roman" w:hAnsi="Times New Roman" w:cs="Times New Roman"/>
                <w:color w:val="000000"/>
                <w:sz w:val="24"/>
                <w:szCs w:val="24"/>
                <w:lang w:eastAsia="lv-LV"/>
              </w:rPr>
              <w:t xml:space="preserve"> kā arī citiem </w:t>
            </w:r>
            <w:r w:rsidR="00BB50A9" w:rsidRPr="009D25E1">
              <w:rPr>
                <w:rFonts w:ascii="Times New Roman" w:eastAsia="Times New Roman" w:hAnsi="Times New Roman" w:cs="Times New Roman"/>
                <w:color w:val="000000"/>
                <w:sz w:val="24"/>
                <w:szCs w:val="24"/>
                <w:lang w:eastAsia="lv-LV"/>
              </w:rPr>
              <w:t xml:space="preserve">būtiskiem </w:t>
            </w:r>
            <w:r w:rsidR="00891F09" w:rsidRPr="009D25E1">
              <w:rPr>
                <w:rFonts w:ascii="Times New Roman" w:eastAsia="Times New Roman" w:hAnsi="Times New Roman" w:cs="Times New Roman"/>
                <w:color w:val="000000"/>
                <w:sz w:val="24"/>
                <w:szCs w:val="24"/>
                <w:lang w:eastAsia="lv-LV"/>
              </w:rPr>
              <w:lastRenderedPageBreak/>
              <w:t xml:space="preserve">kritērijiem, taču </w:t>
            </w:r>
            <w:r w:rsidR="00FC3AD2" w:rsidRPr="009D25E1">
              <w:rPr>
                <w:rFonts w:ascii="Times New Roman" w:eastAsia="Times New Roman" w:hAnsi="Times New Roman" w:cs="Times New Roman"/>
                <w:color w:val="000000"/>
                <w:sz w:val="24"/>
                <w:szCs w:val="24"/>
                <w:lang w:eastAsia="lv-LV"/>
              </w:rPr>
              <w:t>kā prioritār</w:t>
            </w:r>
            <w:r w:rsidR="00891F09" w:rsidRPr="009D25E1">
              <w:rPr>
                <w:rFonts w:ascii="Times New Roman" w:eastAsia="Times New Roman" w:hAnsi="Times New Roman" w:cs="Times New Roman"/>
                <w:color w:val="000000"/>
                <w:sz w:val="24"/>
                <w:szCs w:val="24"/>
                <w:lang w:eastAsia="lv-LV"/>
              </w:rPr>
              <w:t>ais</w:t>
            </w:r>
            <w:r w:rsidR="00FC3AD2" w:rsidRPr="009D25E1">
              <w:rPr>
                <w:rFonts w:ascii="Times New Roman" w:eastAsia="Times New Roman" w:hAnsi="Times New Roman" w:cs="Times New Roman"/>
                <w:color w:val="000000"/>
                <w:sz w:val="24"/>
                <w:szCs w:val="24"/>
                <w:lang w:eastAsia="lv-LV"/>
              </w:rPr>
              <w:t xml:space="preserve"> kritērij</w:t>
            </w:r>
            <w:r w:rsidR="00891F09" w:rsidRPr="009D25E1">
              <w:rPr>
                <w:rFonts w:ascii="Times New Roman" w:eastAsia="Times New Roman" w:hAnsi="Times New Roman" w:cs="Times New Roman"/>
                <w:color w:val="000000"/>
                <w:sz w:val="24"/>
                <w:szCs w:val="24"/>
                <w:lang w:eastAsia="lv-LV"/>
              </w:rPr>
              <w:t>s</w:t>
            </w:r>
            <w:r w:rsidR="00FC3AD2" w:rsidRPr="009D25E1">
              <w:rPr>
                <w:rFonts w:ascii="Times New Roman" w:eastAsia="Times New Roman" w:hAnsi="Times New Roman" w:cs="Times New Roman"/>
                <w:color w:val="000000"/>
                <w:sz w:val="24"/>
                <w:szCs w:val="24"/>
                <w:lang w:eastAsia="lv-LV"/>
              </w:rPr>
              <w:t xml:space="preserve"> </w:t>
            </w:r>
            <w:r w:rsidR="00891F09" w:rsidRPr="009D25E1">
              <w:rPr>
                <w:rFonts w:ascii="Times New Roman" w:eastAsia="Times New Roman" w:hAnsi="Times New Roman" w:cs="Times New Roman"/>
                <w:color w:val="000000"/>
                <w:sz w:val="24"/>
                <w:szCs w:val="24"/>
                <w:lang w:eastAsia="lv-LV"/>
              </w:rPr>
              <w:t>ar vislielāko punktu skaitu (6.punkti) noteikts kritērijs „</w:t>
            </w:r>
            <w:r w:rsidR="00FC3AD2" w:rsidRPr="009D25E1">
              <w:rPr>
                <w:rFonts w:ascii="Times New Roman" w:eastAsia="Times New Roman" w:hAnsi="Times New Roman" w:cs="Times New Roman"/>
                <w:i/>
                <w:color w:val="000000"/>
                <w:sz w:val="24"/>
                <w:szCs w:val="24"/>
                <w:lang w:eastAsia="lv-LV"/>
              </w:rPr>
              <w:t>atbilst</w:t>
            </w:r>
            <w:r w:rsidR="00891F09" w:rsidRPr="009D25E1">
              <w:rPr>
                <w:rFonts w:ascii="Times New Roman" w:eastAsia="Times New Roman" w:hAnsi="Times New Roman" w:cs="Times New Roman"/>
                <w:i/>
                <w:color w:val="000000"/>
                <w:sz w:val="24"/>
                <w:szCs w:val="24"/>
                <w:lang w:eastAsia="lv-LV"/>
              </w:rPr>
              <w:t>ība</w:t>
            </w:r>
            <w:r w:rsidR="00FC3AD2" w:rsidRPr="009D25E1">
              <w:rPr>
                <w:rFonts w:ascii="Times New Roman" w:eastAsia="Times New Roman" w:hAnsi="Times New Roman" w:cs="Times New Roman"/>
                <w:i/>
                <w:color w:val="000000"/>
                <w:sz w:val="24"/>
                <w:szCs w:val="24"/>
                <w:lang w:eastAsia="lv-LV"/>
              </w:rPr>
              <w:t xml:space="preserve"> nacionālajam attīstības plānam vai valsts aizsardzības koncepcijai</w:t>
            </w:r>
            <w:r w:rsidR="00891F09" w:rsidRPr="009D25E1">
              <w:rPr>
                <w:rFonts w:ascii="Times New Roman" w:eastAsia="Times New Roman" w:hAnsi="Times New Roman" w:cs="Times New Roman"/>
                <w:color w:val="000000"/>
                <w:sz w:val="24"/>
                <w:szCs w:val="24"/>
                <w:lang w:eastAsia="lv-LV"/>
              </w:rPr>
              <w:t xml:space="preserve">”. </w:t>
            </w:r>
            <w:r w:rsidR="00891F09" w:rsidRPr="009D25E1">
              <w:t xml:space="preserve"> </w:t>
            </w:r>
            <w:r w:rsidR="00014D2C" w:rsidRPr="009D25E1">
              <w:rPr>
                <w:rFonts w:ascii="Times New Roman" w:eastAsia="Times New Roman" w:hAnsi="Times New Roman" w:cs="Times New Roman"/>
                <w:color w:val="000000"/>
                <w:sz w:val="24"/>
                <w:szCs w:val="24"/>
                <w:lang w:eastAsia="lv-LV"/>
              </w:rPr>
              <w:t xml:space="preserve">Noteikumu projekts paredz, ka </w:t>
            </w:r>
            <w:proofErr w:type="spellStart"/>
            <w:r w:rsidR="00093904" w:rsidRPr="009D25E1">
              <w:rPr>
                <w:rFonts w:ascii="Times New Roman" w:eastAsia="Times New Roman" w:hAnsi="Times New Roman" w:cs="Times New Roman"/>
                <w:color w:val="000000"/>
                <w:sz w:val="24"/>
                <w:szCs w:val="24"/>
                <w:lang w:eastAsia="lv-LV"/>
              </w:rPr>
              <w:t>Pārresoru</w:t>
            </w:r>
            <w:proofErr w:type="spellEnd"/>
            <w:r w:rsidR="00093904" w:rsidRPr="009D25E1">
              <w:rPr>
                <w:rFonts w:ascii="Times New Roman" w:eastAsia="Times New Roman" w:hAnsi="Times New Roman" w:cs="Times New Roman"/>
                <w:color w:val="000000"/>
                <w:sz w:val="24"/>
                <w:szCs w:val="24"/>
                <w:lang w:eastAsia="lv-LV"/>
              </w:rPr>
              <w:t xml:space="preserve"> koordinācijas centrs un Finanšu ministrija veic </w:t>
            </w:r>
            <w:r w:rsidR="000720B3" w:rsidRPr="009D25E1">
              <w:rPr>
                <w:rFonts w:ascii="Times New Roman" w:eastAsia="Times New Roman" w:hAnsi="Times New Roman" w:cs="Times New Roman"/>
                <w:color w:val="000000"/>
                <w:sz w:val="24"/>
                <w:szCs w:val="24"/>
                <w:lang w:eastAsia="lv-LV"/>
              </w:rPr>
              <w:t xml:space="preserve">izvērtējumu </w:t>
            </w:r>
            <w:r w:rsidR="00014D2C" w:rsidRPr="009D25E1">
              <w:rPr>
                <w:rFonts w:ascii="Times New Roman" w:eastAsia="Times New Roman" w:hAnsi="Times New Roman" w:cs="Times New Roman"/>
                <w:color w:val="000000"/>
                <w:sz w:val="24"/>
                <w:szCs w:val="24"/>
                <w:lang w:eastAsia="lv-LV"/>
              </w:rPr>
              <w:t>par to, vai konkrētā sagatavotā</w:t>
            </w:r>
            <w:r w:rsidR="000720B3" w:rsidRPr="009D25E1">
              <w:rPr>
                <w:rFonts w:ascii="Times New Roman" w:eastAsia="Times New Roman" w:hAnsi="Times New Roman" w:cs="Times New Roman"/>
                <w:color w:val="000000"/>
                <w:sz w:val="24"/>
                <w:szCs w:val="24"/>
                <w:lang w:eastAsia="lv-LV"/>
              </w:rPr>
              <w:t xml:space="preserve"> </w:t>
            </w:r>
            <w:r w:rsidR="00014D2C" w:rsidRPr="009D25E1">
              <w:rPr>
                <w:rFonts w:ascii="Times New Roman" w:eastAsia="Times New Roman" w:hAnsi="Times New Roman" w:cs="Times New Roman"/>
                <w:color w:val="000000"/>
                <w:sz w:val="24"/>
                <w:szCs w:val="24"/>
                <w:lang w:eastAsia="lv-LV"/>
              </w:rPr>
              <w:t xml:space="preserve">jaunās politikas iniciatīva </w:t>
            </w:r>
            <w:r w:rsidR="000720B3" w:rsidRPr="009D25E1">
              <w:rPr>
                <w:rFonts w:ascii="Times New Roman" w:eastAsia="Times New Roman" w:hAnsi="Times New Roman" w:cs="Times New Roman"/>
                <w:color w:val="000000"/>
                <w:sz w:val="24"/>
                <w:szCs w:val="24"/>
                <w:lang w:eastAsia="lv-LV"/>
              </w:rPr>
              <w:t>tiešām atbilst</w:t>
            </w:r>
            <w:r w:rsidR="00014D2C" w:rsidRPr="009D25E1">
              <w:rPr>
                <w:rFonts w:ascii="Times New Roman" w:eastAsia="Times New Roman" w:hAnsi="Times New Roman" w:cs="Times New Roman"/>
                <w:color w:val="000000"/>
                <w:sz w:val="24"/>
                <w:szCs w:val="24"/>
                <w:lang w:eastAsia="lv-LV"/>
              </w:rPr>
              <w:t xml:space="preserve"> nacionālajam attīstības plānam vai valsts aizsardzības koncepcijai</w:t>
            </w:r>
            <w:r w:rsidR="00BB50A9" w:rsidRPr="009D25E1">
              <w:rPr>
                <w:rFonts w:ascii="Times New Roman" w:eastAsia="Times New Roman" w:hAnsi="Times New Roman" w:cs="Times New Roman"/>
                <w:color w:val="000000"/>
                <w:sz w:val="24"/>
                <w:szCs w:val="24"/>
                <w:lang w:eastAsia="lv-LV"/>
              </w:rPr>
              <w:t>, jo jauno politikas iniciatīvu pieteikumu iesniedzējiem var būt atšķirīgs viedoklis</w:t>
            </w:r>
            <w:r w:rsidR="00093904" w:rsidRPr="009D25E1">
              <w:rPr>
                <w:rFonts w:ascii="Times New Roman" w:eastAsia="Times New Roman" w:hAnsi="Times New Roman" w:cs="Times New Roman"/>
                <w:color w:val="000000"/>
                <w:sz w:val="24"/>
                <w:szCs w:val="24"/>
                <w:lang w:eastAsia="lv-LV"/>
              </w:rPr>
              <w:t>.</w:t>
            </w:r>
            <w:r w:rsidR="00BB50A9" w:rsidRPr="009D25E1">
              <w:rPr>
                <w:rFonts w:ascii="Times New Roman" w:eastAsia="Times New Roman" w:hAnsi="Times New Roman" w:cs="Times New Roman"/>
                <w:color w:val="000000"/>
                <w:sz w:val="24"/>
                <w:szCs w:val="24"/>
                <w:lang w:eastAsia="lv-LV"/>
              </w:rPr>
              <w:t xml:space="preserve"> </w:t>
            </w:r>
            <w:r w:rsidR="00CD5FA6" w:rsidRPr="009D25E1">
              <w:rPr>
                <w:rFonts w:ascii="Times New Roman" w:eastAsia="Times New Roman" w:hAnsi="Times New Roman" w:cs="Times New Roman"/>
                <w:color w:val="000000"/>
                <w:sz w:val="24"/>
                <w:szCs w:val="24"/>
                <w:lang w:eastAsia="lv-LV"/>
              </w:rPr>
              <w:t xml:space="preserve">Ministru kabinets lemj par jauno politikas iniciatīvu atbalstīšanu, pamatojoties uz  </w:t>
            </w:r>
            <w:proofErr w:type="spellStart"/>
            <w:r w:rsidR="00CD5FA6" w:rsidRPr="009D25E1">
              <w:rPr>
                <w:rFonts w:ascii="Times New Roman" w:eastAsia="Times New Roman" w:hAnsi="Times New Roman" w:cs="Times New Roman"/>
                <w:color w:val="000000"/>
                <w:sz w:val="24"/>
                <w:szCs w:val="24"/>
                <w:lang w:eastAsia="lv-LV"/>
              </w:rPr>
              <w:t>Pārresoru</w:t>
            </w:r>
            <w:proofErr w:type="spellEnd"/>
            <w:r w:rsidR="00CD5FA6" w:rsidRPr="009D25E1">
              <w:rPr>
                <w:rFonts w:ascii="Times New Roman" w:eastAsia="Times New Roman" w:hAnsi="Times New Roman" w:cs="Times New Roman"/>
                <w:color w:val="000000"/>
                <w:sz w:val="24"/>
                <w:szCs w:val="24"/>
                <w:lang w:eastAsia="lv-LV"/>
              </w:rPr>
              <w:t xml:space="preserve"> koordinācijas centra un Finanšu ministrijas veikto izvērtējumu.  Tādā veidā tiek ievērots Likumā par budžetu un finanšu vadību noteiktais. </w:t>
            </w:r>
            <w:r w:rsidR="00BB50A9" w:rsidRPr="009D25E1">
              <w:rPr>
                <w:rFonts w:ascii="Times New Roman" w:eastAsia="Times New Roman" w:hAnsi="Times New Roman" w:cs="Times New Roman"/>
                <w:color w:val="000000"/>
                <w:sz w:val="24"/>
                <w:szCs w:val="24"/>
                <w:lang w:eastAsia="lv-LV"/>
              </w:rPr>
              <w:t xml:space="preserve">Savukārt </w:t>
            </w:r>
            <w:r w:rsidR="00093904" w:rsidRPr="009D25E1">
              <w:rPr>
                <w:rFonts w:ascii="Times New Roman" w:eastAsia="Times New Roman" w:hAnsi="Times New Roman" w:cs="Times New Roman"/>
                <w:color w:val="000000"/>
                <w:sz w:val="24"/>
                <w:szCs w:val="24"/>
                <w:lang w:eastAsia="lv-LV"/>
              </w:rPr>
              <w:t xml:space="preserve">attiecībā uz </w:t>
            </w:r>
            <w:r w:rsidR="00093904" w:rsidRPr="009D25E1">
              <w:rPr>
                <w:rFonts w:ascii="Times New Roman" w:hAnsi="Times New Roman" w:cs="Times New Roman"/>
                <w:sz w:val="24"/>
                <w:szCs w:val="24"/>
              </w:rPr>
              <w:t>a</w:t>
            </w:r>
            <w:r w:rsidR="003E4BA3" w:rsidRPr="009D25E1">
              <w:rPr>
                <w:rFonts w:ascii="Times New Roman" w:eastAsia="Times New Roman" w:hAnsi="Times New Roman" w:cs="Times New Roman"/>
                <w:color w:val="000000"/>
                <w:sz w:val="24"/>
                <w:szCs w:val="24"/>
                <w:lang w:eastAsia="lv-LV"/>
              </w:rPr>
              <w:t>dministratīvās kapacitātes stiprināšanas pasākumi</w:t>
            </w:r>
            <w:r w:rsidR="00527500" w:rsidRPr="009D25E1">
              <w:rPr>
                <w:rFonts w:ascii="Times New Roman" w:eastAsia="Times New Roman" w:hAnsi="Times New Roman" w:cs="Times New Roman"/>
                <w:color w:val="000000"/>
                <w:sz w:val="24"/>
                <w:szCs w:val="24"/>
                <w:lang w:eastAsia="lv-LV"/>
              </w:rPr>
              <w:t>em</w:t>
            </w:r>
            <w:r w:rsidR="00093904" w:rsidRPr="009D25E1">
              <w:rPr>
                <w:rFonts w:ascii="Times New Roman" w:eastAsia="Times New Roman" w:hAnsi="Times New Roman" w:cs="Times New Roman"/>
                <w:color w:val="000000"/>
                <w:sz w:val="24"/>
                <w:szCs w:val="24"/>
                <w:lang w:eastAsia="lv-LV"/>
              </w:rPr>
              <w:t xml:space="preserve"> (piemēram nepieciešama jauna tehnikas iegāde</w:t>
            </w:r>
            <w:r w:rsidR="00BB50A9" w:rsidRPr="009D25E1">
              <w:rPr>
                <w:rFonts w:ascii="Times New Roman" w:eastAsia="Times New Roman" w:hAnsi="Times New Roman" w:cs="Times New Roman"/>
                <w:color w:val="000000"/>
                <w:sz w:val="24"/>
                <w:szCs w:val="24"/>
                <w:lang w:eastAsia="lv-LV"/>
              </w:rPr>
              <w:t>, jo iepriekšējā nolietota</w:t>
            </w:r>
            <w:r w:rsidR="00093904" w:rsidRPr="009D25E1">
              <w:rPr>
                <w:rFonts w:ascii="Times New Roman" w:eastAsia="Times New Roman" w:hAnsi="Times New Roman" w:cs="Times New Roman"/>
                <w:color w:val="000000"/>
                <w:sz w:val="24"/>
                <w:szCs w:val="24"/>
                <w:lang w:eastAsia="lv-LV"/>
              </w:rPr>
              <w:t xml:space="preserve">), </w:t>
            </w:r>
            <w:r w:rsidR="00BB50A9" w:rsidRPr="009D25E1">
              <w:rPr>
                <w:rFonts w:ascii="Times New Roman" w:eastAsia="Times New Roman" w:hAnsi="Times New Roman" w:cs="Times New Roman"/>
                <w:color w:val="000000"/>
                <w:sz w:val="24"/>
                <w:szCs w:val="24"/>
                <w:lang w:eastAsia="lv-LV"/>
              </w:rPr>
              <w:t xml:space="preserve">nav </w:t>
            </w:r>
            <w:r w:rsidR="00093904" w:rsidRPr="009D25E1">
              <w:rPr>
                <w:rFonts w:ascii="Times New Roman" w:eastAsia="Times New Roman" w:hAnsi="Times New Roman" w:cs="Times New Roman"/>
                <w:color w:val="000000"/>
                <w:sz w:val="24"/>
                <w:szCs w:val="24"/>
                <w:lang w:eastAsia="lv-LV"/>
              </w:rPr>
              <w:t xml:space="preserve">praktiski iespējams </w:t>
            </w:r>
            <w:r w:rsidR="003E4BA3" w:rsidRPr="009D25E1">
              <w:rPr>
                <w:rFonts w:ascii="Times New Roman" w:eastAsia="Times New Roman" w:hAnsi="Times New Roman" w:cs="Times New Roman"/>
                <w:color w:val="000000"/>
                <w:sz w:val="24"/>
                <w:szCs w:val="24"/>
                <w:lang w:eastAsia="lv-LV"/>
              </w:rPr>
              <w:t>vērtēt to</w:t>
            </w:r>
            <w:r w:rsidR="00527500" w:rsidRPr="009D25E1">
              <w:rPr>
                <w:rFonts w:ascii="Times New Roman" w:eastAsia="Times New Roman" w:hAnsi="Times New Roman" w:cs="Times New Roman"/>
                <w:color w:val="000000"/>
                <w:sz w:val="24"/>
                <w:szCs w:val="24"/>
                <w:lang w:eastAsia="lv-LV"/>
              </w:rPr>
              <w:t xml:space="preserve"> </w:t>
            </w:r>
            <w:r w:rsidR="003E4BA3" w:rsidRPr="009D25E1">
              <w:rPr>
                <w:rFonts w:ascii="Times New Roman" w:eastAsia="Times New Roman" w:hAnsi="Times New Roman" w:cs="Times New Roman"/>
                <w:color w:val="000000"/>
                <w:sz w:val="24"/>
                <w:szCs w:val="24"/>
                <w:lang w:eastAsia="lv-LV"/>
              </w:rPr>
              <w:t>atbilstīb</w:t>
            </w:r>
            <w:r w:rsidR="00BB50A9" w:rsidRPr="009D25E1">
              <w:rPr>
                <w:rFonts w:ascii="Times New Roman" w:eastAsia="Times New Roman" w:hAnsi="Times New Roman" w:cs="Times New Roman"/>
                <w:color w:val="000000"/>
                <w:sz w:val="24"/>
                <w:szCs w:val="24"/>
                <w:lang w:eastAsia="lv-LV"/>
              </w:rPr>
              <w:t>u</w:t>
            </w:r>
            <w:r w:rsidR="003E4BA3" w:rsidRPr="009D25E1">
              <w:rPr>
                <w:rFonts w:ascii="Times New Roman" w:eastAsia="Times New Roman" w:hAnsi="Times New Roman" w:cs="Times New Roman"/>
                <w:color w:val="000000"/>
                <w:sz w:val="24"/>
                <w:szCs w:val="24"/>
                <w:lang w:eastAsia="lv-LV"/>
              </w:rPr>
              <w:t xml:space="preserve"> attīstības plānošanas dokumentiem vai normatīvajiem aktiem, kā ar</w:t>
            </w:r>
            <w:r w:rsidR="00C10315" w:rsidRPr="009D25E1">
              <w:rPr>
                <w:rFonts w:ascii="Times New Roman" w:eastAsia="Times New Roman" w:hAnsi="Times New Roman" w:cs="Times New Roman"/>
                <w:color w:val="000000"/>
                <w:sz w:val="24"/>
                <w:szCs w:val="24"/>
                <w:lang w:eastAsia="lv-LV"/>
              </w:rPr>
              <w:t>ī tiem netiek noteikti darbības rezultāti un to rezultatīvie rādītāji</w:t>
            </w:r>
            <w:r w:rsidR="00527500" w:rsidRPr="009D25E1">
              <w:rPr>
                <w:rFonts w:ascii="Times New Roman" w:eastAsia="Times New Roman" w:hAnsi="Times New Roman" w:cs="Times New Roman"/>
                <w:color w:val="000000"/>
                <w:sz w:val="24"/>
                <w:szCs w:val="24"/>
                <w:lang w:eastAsia="lv-LV"/>
              </w:rPr>
              <w:t xml:space="preserve">, līdz ar to priekšlikumi par </w:t>
            </w:r>
            <w:r w:rsidR="00527500" w:rsidRPr="009D25E1">
              <w:t xml:space="preserve"> </w:t>
            </w:r>
            <w:r w:rsidR="00527500" w:rsidRPr="009D25E1">
              <w:rPr>
                <w:rFonts w:ascii="Times New Roman" w:hAnsi="Times New Roman" w:cs="Times New Roman"/>
                <w:sz w:val="24"/>
                <w:szCs w:val="24"/>
              </w:rPr>
              <w:t>a</w:t>
            </w:r>
            <w:r w:rsidR="00527500" w:rsidRPr="009D25E1">
              <w:rPr>
                <w:rFonts w:ascii="Times New Roman" w:eastAsia="Times New Roman" w:hAnsi="Times New Roman" w:cs="Times New Roman"/>
                <w:color w:val="000000"/>
                <w:sz w:val="24"/>
                <w:szCs w:val="24"/>
                <w:lang w:eastAsia="lv-LV"/>
              </w:rPr>
              <w:t>dministratīvās kapacitātes stiprināšanas pasākumu atbalstīšanu no Finanšu ministrijas puses var tikt izteikti, pamatojoties uz faktiskās situācijas izvērtējumu un līdzvērtīgiem līdzekļu piešķīrumiem ministrijām iepriekšējos saimnieciskajos gados</w:t>
            </w:r>
            <w:r w:rsidR="00C10315" w:rsidRPr="009D25E1">
              <w:rPr>
                <w:rFonts w:ascii="Times New Roman" w:eastAsia="Times New Roman" w:hAnsi="Times New Roman" w:cs="Times New Roman"/>
                <w:color w:val="000000"/>
                <w:sz w:val="24"/>
                <w:szCs w:val="24"/>
                <w:lang w:eastAsia="lv-LV"/>
              </w:rPr>
              <w:t>.</w:t>
            </w:r>
          </w:p>
          <w:p w:rsidR="00781281" w:rsidRPr="00F8101F" w:rsidRDefault="00781281" w:rsidP="00BB50A9">
            <w:pPr>
              <w:spacing w:after="0" w:line="240" w:lineRule="auto"/>
              <w:ind w:left="106" w:right="136" w:firstLine="593"/>
              <w:jc w:val="both"/>
              <w:rPr>
                <w:rFonts w:ascii="Times New Roman" w:eastAsia="Times New Roman" w:hAnsi="Times New Roman" w:cs="Times New Roman"/>
                <w:sz w:val="24"/>
                <w:szCs w:val="24"/>
                <w:lang w:eastAsia="lv-LV"/>
              </w:rPr>
            </w:pPr>
            <w:r w:rsidRPr="00781281">
              <w:rPr>
                <w:rFonts w:ascii="Times New Roman" w:eastAsia="Times New Roman" w:hAnsi="Times New Roman" w:cs="Times New Roman"/>
                <w:color w:val="000000"/>
                <w:sz w:val="24"/>
                <w:szCs w:val="24"/>
                <w:lang w:eastAsia="lv-LV"/>
              </w:rPr>
              <w:t xml:space="preserve">Finanšu ministrija iegūst </w:t>
            </w:r>
            <w:r w:rsidRPr="00781281">
              <w:rPr>
                <w:rFonts w:ascii="Times New Roman" w:eastAsia="Times New Roman" w:hAnsi="Times New Roman" w:cs="Times New Roman"/>
                <w:sz w:val="24"/>
                <w:szCs w:val="24"/>
                <w:lang w:eastAsia="ar-SA"/>
              </w:rPr>
              <w:t xml:space="preserve">maksimāli pieļaujamo izdevumu apjomu </w:t>
            </w:r>
            <w:r w:rsidR="00701F8E">
              <w:rPr>
                <w:rFonts w:ascii="Times New Roman" w:eastAsia="Times New Roman" w:hAnsi="Times New Roman" w:cs="Times New Roman"/>
                <w:sz w:val="24"/>
                <w:szCs w:val="24"/>
                <w:lang w:eastAsia="ar-SA"/>
              </w:rPr>
              <w:t xml:space="preserve">katrai ministrijai, </w:t>
            </w:r>
            <w:r w:rsidRPr="00781281">
              <w:rPr>
                <w:rFonts w:ascii="Times New Roman" w:eastAsia="Times New Roman" w:hAnsi="Times New Roman" w:cs="Times New Roman"/>
                <w:sz w:val="24"/>
                <w:szCs w:val="24"/>
                <w:lang w:eastAsia="ar-SA"/>
              </w:rPr>
              <w:t>ņemot par pamatu M</w:t>
            </w:r>
            <w:r>
              <w:rPr>
                <w:rFonts w:ascii="Times New Roman" w:eastAsia="Times New Roman" w:hAnsi="Times New Roman" w:cs="Times New Roman"/>
                <w:sz w:val="24"/>
                <w:szCs w:val="24"/>
                <w:lang w:eastAsia="ar-SA"/>
              </w:rPr>
              <w:t>inistru kabineta</w:t>
            </w:r>
            <w:r w:rsidRPr="00781281">
              <w:rPr>
                <w:rFonts w:ascii="Times New Roman" w:eastAsia="Times New Roman" w:hAnsi="Times New Roman" w:cs="Times New Roman"/>
                <w:sz w:val="24"/>
                <w:szCs w:val="24"/>
                <w:lang w:eastAsia="ar-SA"/>
              </w:rPr>
              <w:t xml:space="preserve"> apstiprinātos bāzes izdevumus un pieskaitot tiem M</w:t>
            </w:r>
            <w:r>
              <w:rPr>
                <w:rFonts w:ascii="Times New Roman" w:eastAsia="Times New Roman" w:hAnsi="Times New Roman" w:cs="Times New Roman"/>
                <w:sz w:val="24"/>
                <w:szCs w:val="24"/>
                <w:lang w:eastAsia="ar-SA"/>
              </w:rPr>
              <w:t>inistru kabineta</w:t>
            </w:r>
            <w:r w:rsidRPr="00781281">
              <w:rPr>
                <w:rFonts w:ascii="Times New Roman" w:eastAsia="Times New Roman" w:hAnsi="Times New Roman" w:cs="Times New Roman"/>
                <w:sz w:val="24"/>
                <w:szCs w:val="24"/>
                <w:lang w:eastAsia="ar-SA"/>
              </w:rPr>
              <w:t xml:space="preserve"> atbalstīto finansējumu jaun</w:t>
            </w:r>
            <w:r w:rsidR="00106827">
              <w:rPr>
                <w:rFonts w:ascii="Times New Roman" w:eastAsia="Times New Roman" w:hAnsi="Times New Roman" w:cs="Times New Roman"/>
                <w:sz w:val="24"/>
                <w:szCs w:val="24"/>
                <w:lang w:eastAsia="ar-SA"/>
              </w:rPr>
              <w:t>aj</w:t>
            </w:r>
            <w:r w:rsidRPr="00781281">
              <w:rPr>
                <w:rFonts w:ascii="Times New Roman" w:eastAsia="Times New Roman" w:hAnsi="Times New Roman" w:cs="Times New Roman"/>
                <w:sz w:val="24"/>
                <w:szCs w:val="24"/>
                <w:lang w:eastAsia="ar-SA"/>
              </w:rPr>
              <w:t>ām politikas iniciatīvām</w:t>
            </w:r>
            <w:r w:rsidR="00B77434">
              <w:rPr>
                <w:rFonts w:ascii="Times New Roman" w:eastAsia="Times New Roman" w:hAnsi="Times New Roman" w:cs="Times New Roman"/>
                <w:sz w:val="24"/>
                <w:szCs w:val="24"/>
                <w:lang w:eastAsia="ar-SA"/>
              </w:rPr>
              <w:t xml:space="preserve"> </w:t>
            </w:r>
            <w:r w:rsidRPr="00781281">
              <w:rPr>
                <w:rFonts w:ascii="Times New Roman" w:eastAsia="Times New Roman" w:hAnsi="Times New Roman" w:cs="Times New Roman"/>
                <w:sz w:val="24"/>
                <w:szCs w:val="24"/>
                <w:lang w:eastAsia="ar-SA"/>
              </w:rPr>
              <w:t xml:space="preserve">konkrētajai ministrijai. </w:t>
            </w:r>
          </w:p>
        </w:tc>
      </w:tr>
      <w:tr w:rsidR="006E7F01" w:rsidRPr="006E7F01" w:rsidTr="000B641A">
        <w:trPr>
          <w:trHeight w:val="476"/>
          <w:tblCellSpacing w:w="0" w:type="dxa"/>
        </w:trPr>
        <w:tc>
          <w:tcPr>
            <w:tcW w:w="294" w:type="dxa"/>
            <w:vAlign w:val="center"/>
          </w:tcPr>
          <w:p w:rsidR="006E7F01" w:rsidRPr="006E7F01" w:rsidRDefault="006E7F01" w:rsidP="006E7F01">
            <w:pPr>
              <w:spacing w:before="75" w:after="75" w:line="240" w:lineRule="auto"/>
              <w:jc w:val="center"/>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lastRenderedPageBreak/>
              <w:t>5.</w:t>
            </w:r>
          </w:p>
        </w:tc>
        <w:tc>
          <w:tcPr>
            <w:tcW w:w="2126" w:type="dxa"/>
            <w:vAlign w:val="center"/>
          </w:tcPr>
          <w:p w:rsidR="006E7F01" w:rsidRPr="006E7F01" w:rsidRDefault="006E7F01" w:rsidP="006E7F01">
            <w:pPr>
              <w:spacing w:after="0" w:line="240" w:lineRule="auto"/>
              <w:ind w:left="132" w:right="113" w:firstLine="10"/>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Projekta izstrādē iesaistītās institūcijas</w:t>
            </w:r>
          </w:p>
        </w:tc>
        <w:tc>
          <w:tcPr>
            <w:tcW w:w="7229" w:type="dxa"/>
            <w:vAlign w:val="center"/>
          </w:tcPr>
          <w:p w:rsidR="006E7F01" w:rsidRPr="006E7F01" w:rsidRDefault="0016249B" w:rsidP="006E7F01">
            <w:pPr>
              <w:spacing w:after="0" w:line="240" w:lineRule="auto"/>
              <w:ind w:right="13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p>
        </w:tc>
      </w:tr>
      <w:tr w:rsidR="006E7F01" w:rsidRPr="006E7F01" w:rsidTr="000B641A">
        <w:trPr>
          <w:trHeight w:val="942"/>
          <w:tblCellSpacing w:w="0" w:type="dxa"/>
        </w:trPr>
        <w:tc>
          <w:tcPr>
            <w:tcW w:w="294" w:type="dxa"/>
            <w:vAlign w:val="center"/>
          </w:tcPr>
          <w:p w:rsidR="006E7F01" w:rsidRPr="006E7F01" w:rsidRDefault="006E7F01" w:rsidP="006E7F01">
            <w:pPr>
              <w:spacing w:before="75" w:after="75" w:line="240" w:lineRule="auto"/>
              <w:jc w:val="center"/>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6.</w:t>
            </w:r>
          </w:p>
        </w:tc>
        <w:tc>
          <w:tcPr>
            <w:tcW w:w="2126" w:type="dxa"/>
            <w:vAlign w:val="center"/>
          </w:tcPr>
          <w:p w:rsidR="006E7F01" w:rsidRPr="006E7F01" w:rsidRDefault="006E7F01" w:rsidP="006E7F01">
            <w:pPr>
              <w:spacing w:after="0" w:line="240" w:lineRule="auto"/>
              <w:ind w:left="132" w:right="113" w:firstLine="10"/>
              <w:rPr>
                <w:rFonts w:ascii="Times New Roman" w:eastAsia="Times New Roman" w:hAnsi="Times New Roman" w:cs="Times New Roman"/>
                <w:i/>
                <w:sz w:val="24"/>
                <w:szCs w:val="24"/>
                <w:lang w:eastAsia="lv-LV"/>
              </w:rPr>
            </w:pPr>
            <w:r w:rsidRPr="006E7F01">
              <w:rPr>
                <w:rFonts w:ascii="Times New Roman" w:eastAsia="Times New Roman" w:hAnsi="Times New Roman" w:cs="Times New Roman"/>
                <w:sz w:val="24"/>
                <w:szCs w:val="24"/>
                <w:lang w:eastAsia="lv-LV"/>
              </w:rPr>
              <w:t>Iemesli, kādēļ netika nodrošināta sabiedrības līdzdalība</w:t>
            </w:r>
          </w:p>
        </w:tc>
        <w:tc>
          <w:tcPr>
            <w:tcW w:w="7229" w:type="dxa"/>
            <w:vAlign w:val="center"/>
          </w:tcPr>
          <w:p w:rsidR="006E7F01" w:rsidRPr="006E7F01" w:rsidRDefault="0016249B" w:rsidP="006E7F01">
            <w:pPr>
              <w:spacing w:after="0" w:line="240" w:lineRule="auto"/>
              <w:ind w:right="13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F33589" w:rsidRPr="006D6481">
              <w:rPr>
                <w:rFonts w:ascii="Times New Roman" w:eastAsia="Times New Roman" w:hAnsi="Times New Roman" w:cs="Times New Roman"/>
                <w:sz w:val="24"/>
                <w:szCs w:val="24"/>
                <w:lang w:eastAsia="lv-LV"/>
              </w:rPr>
              <w:t>rojekts neskar sabiedrību vai atsevišķas tās grupas.</w:t>
            </w:r>
          </w:p>
        </w:tc>
      </w:tr>
      <w:tr w:rsidR="006E7F01" w:rsidRPr="006E7F01" w:rsidTr="000B641A">
        <w:trPr>
          <w:trHeight w:val="437"/>
          <w:tblCellSpacing w:w="0" w:type="dxa"/>
        </w:trPr>
        <w:tc>
          <w:tcPr>
            <w:tcW w:w="294" w:type="dxa"/>
            <w:vAlign w:val="center"/>
          </w:tcPr>
          <w:p w:rsidR="006E7F01" w:rsidRPr="006E7F01" w:rsidRDefault="006E7F01" w:rsidP="006E7F01">
            <w:pPr>
              <w:spacing w:before="75" w:after="75" w:line="240" w:lineRule="auto"/>
              <w:jc w:val="center"/>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7.</w:t>
            </w:r>
          </w:p>
        </w:tc>
        <w:tc>
          <w:tcPr>
            <w:tcW w:w="2126" w:type="dxa"/>
            <w:vAlign w:val="center"/>
          </w:tcPr>
          <w:p w:rsidR="006E7F01" w:rsidRPr="006E7F01" w:rsidRDefault="006E7F01" w:rsidP="006E7F01">
            <w:pPr>
              <w:spacing w:after="0" w:line="240" w:lineRule="auto"/>
              <w:ind w:left="132" w:right="113" w:firstLine="10"/>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Cita informācija</w:t>
            </w:r>
          </w:p>
        </w:tc>
        <w:tc>
          <w:tcPr>
            <w:tcW w:w="7229" w:type="dxa"/>
            <w:vAlign w:val="center"/>
          </w:tcPr>
          <w:p w:rsidR="006E7F01" w:rsidRPr="006E7F01" w:rsidRDefault="006E7F01" w:rsidP="00F33589">
            <w:pPr>
              <w:spacing w:after="0" w:line="240" w:lineRule="auto"/>
              <w:ind w:right="131"/>
              <w:jc w:val="both"/>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 xml:space="preserve">  </w:t>
            </w:r>
            <w:r w:rsidR="00F33589" w:rsidRPr="006D6481">
              <w:rPr>
                <w:rFonts w:ascii="Times New Roman" w:eastAsia="Times New Roman" w:hAnsi="Times New Roman" w:cs="Times New Roman"/>
                <w:sz w:val="24"/>
                <w:szCs w:val="24"/>
                <w:lang w:eastAsia="lv-LV"/>
              </w:rPr>
              <w:t>Nav.</w:t>
            </w:r>
          </w:p>
        </w:tc>
      </w:tr>
    </w:tbl>
    <w:p w:rsidR="006D6481" w:rsidRDefault="006E7F01" w:rsidP="006E7F01">
      <w:pPr>
        <w:spacing w:after="0" w:line="240" w:lineRule="auto"/>
        <w:rPr>
          <w:rFonts w:ascii="Times New Roman" w:eastAsia="Times New Roman" w:hAnsi="Times New Roman" w:cs="Times New Roman"/>
          <w:bCs/>
          <w:sz w:val="24"/>
          <w:szCs w:val="24"/>
          <w:lang w:eastAsia="lv-LV"/>
        </w:rPr>
      </w:pPr>
      <w:r w:rsidRPr="006E7F01">
        <w:rPr>
          <w:rFonts w:ascii="Times New Roman" w:eastAsia="Times New Roman" w:hAnsi="Times New Roman" w:cs="Times New Roman"/>
          <w:bCs/>
          <w:sz w:val="24"/>
          <w:szCs w:val="24"/>
          <w:lang w:eastAsia="lv-LV"/>
        </w:rPr>
        <w:t xml:space="preserve">  </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2"/>
        <w:gridCol w:w="1501"/>
        <w:gridCol w:w="221"/>
        <w:gridCol w:w="7265"/>
      </w:tblGrid>
      <w:tr w:rsidR="00974A94" w:rsidRPr="00974A94" w:rsidTr="00974A94">
        <w:trPr>
          <w:trHeight w:val="655"/>
        </w:trPr>
        <w:tc>
          <w:tcPr>
            <w:tcW w:w="688" w:type="dxa"/>
            <w:gridSpan w:val="2"/>
            <w:tcBorders>
              <w:top w:val="single" w:sz="4" w:space="0" w:color="auto"/>
              <w:left w:val="single" w:sz="4" w:space="0" w:color="auto"/>
              <w:bottom w:val="single" w:sz="4" w:space="0" w:color="auto"/>
              <w:right w:val="nil"/>
            </w:tcBorders>
          </w:tcPr>
          <w:p w:rsidR="00974A94" w:rsidRPr="00974A94" w:rsidRDefault="00974A94" w:rsidP="00974A94">
            <w:pPr>
              <w:spacing w:after="0" w:line="240" w:lineRule="auto"/>
              <w:rPr>
                <w:rFonts w:ascii="Times New Roman" w:eastAsia="Times New Roman" w:hAnsi="Times New Roman" w:cs="Times New Roman"/>
                <w:bCs/>
                <w:sz w:val="24"/>
                <w:szCs w:val="24"/>
                <w:lang w:eastAsia="lv-LV"/>
              </w:rPr>
            </w:pPr>
          </w:p>
        </w:tc>
        <w:tc>
          <w:tcPr>
            <w:tcW w:w="1501" w:type="dxa"/>
            <w:tcBorders>
              <w:top w:val="single" w:sz="4" w:space="0" w:color="auto"/>
              <w:left w:val="nil"/>
              <w:bottom w:val="single" w:sz="4" w:space="0" w:color="auto"/>
              <w:right w:val="nil"/>
            </w:tcBorders>
          </w:tcPr>
          <w:p w:rsidR="00974A94" w:rsidRPr="00974A94" w:rsidRDefault="00974A94" w:rsidP="00974A94">
            <w:pPr>
              <w:spacing w:after="0" w:line="240" w:lineRule="auto"/>
              <w:rPr>
                <w:rFonts w:ascii="Times New Roman" w:eastAsia="Times New Roman" w:hAnsi="Times New Roman" w:cs="Times New Roman"/>
                <w:bCs/>
                <w:sz w:val="24"/>
                <w:szCs w:val="24"/>
                <w:lang w:eastAsia="lv-LV"/>
              </w:rPr>
            </w:pPr>
          </w:p>
        </w:tc>
        <w:tc>
          <w:tcPr>
            <w:tcW w:w="7486" w:type="dxa"/>
            <w:gridSpan w:val="2"/>
            <w:tcBorders>
              <w:top w:val="single" w:sz="4" w:space="0" w:color="auto"/>
              <w:left w:val="nil"/>
              <w:bottom w:val="single" w:sz="4" w:space="0" w:color="auto"/>
              <w:right w:val="single" w:sz="4" w:space="0" w:color="auto"/>
            </w:tcBorders>
            <w:hideMark/>
          </w:tcPr>
          <w:p w:rsidR="00974A94" w:rsidRPr="00974A94" w:rsidRDefault="00974A94" w:rsidP="00974A94">
            <w:pPr>
              <w:spacing w:after="0" w:line="240" w:lineRule="auto"/>
              <w:rPr>
                <w:rFonts w:ascii="Times New Roman" w:eastAsia="Times New Roman" w:hAnsi="Times New Roman" w:cs="Times New Roman"/>
                <w:b/>
                <w:bCs/>
                <w:sz w:val="24"/>
                <w:szCs w:val="24"/>
                <w:lang w:eastAsia="lv-LV"/>
              </w:rPr>
            </w:pPr>
            <w:r w:rsidRPr="00974A94">
              <w:rPr>
                <w:rFonts w:ascii="Times New Roman" w:eastAsia="Times New Roman" w:hAnsi="Times New Roman" w:cs="Times New Roman"/>
                <w:b/>
                <w:bCs/>
                <w:sz w:val="24"/>
                <w:szCs w:val="24"/>
                <w:lang w:eastAsia="lv-LV"/>
              </w:rPr>
              <w:t>IV.   Tiesību akta projekta ietekme uz</w:t>
            </w:r>
          </w:p>
          <w:p w:rsidR="00974A94" w:rsidRPr="00974A94" w:rsidRDefault="00974A94" w:rsidP="00974A94">
            <w:pPr>
              <w:spacing w:after="0" w:line="240" w:lineRule="auto"/>
              <w:rPr>
                <w:rFonts w:ascii="Times New Roman" w:eastAsia="Times New Roman" w:hAnsi="Times New Roman" w:cs="Times New Roman"/>
                <w:bCs/>
                <w:sz w:val="24"/>
                <w:szCs w:val="24"/>
                <w:lang w:eastAsia="lv-LV"/>
              </w:rPr>
            </w:pPr>
            <w:r w:rsidRPr="00974A94">
              <w:rPr>
                <w:rFonts w:ascii="Times New Roman" w:eastAsia="Times New Roman" w:hAnsi="Times New Roman" w:cs="Times New Roman"/>
                <w:b/>
                <w:bCs/>
                <w:sz w:val="24"/>
                <w:szCs w:val="24"/>
                <w:lang w:eastAsia="lv-LV"/>
              </w:rPr>
              <w:t>spēkā esošo tiesību normu sistēmu</w:t>
            </w:r>
          </w:p>
        </w:tc>
      </w:tr>
      <w:tr w:rsidR="00974A94" w:rsidRPr="00974A94" w:rsidTr="000B641A">
        <w:trPr>
          <w:trHeight w:val="335"/>
        </w:trPr>
        <w:tc>
          <w:tcPr>
            <w:tcW w:w="426" w:type="dxa"/>
            <w:tcBorders>
              <w:top w:val="single" w:sz="4" w:space="0" w:color="auto"/>
              <w:left w:val="single" w:sz="4" w:space="0" w:color="auto"/>
              <w:bottom w:val="single" w:sz="4" w:space="0" w:color="auto"/>
              <w:right w:val="single" w:sz="4" w:space="0" w:color="auto"/>
            </w:tcBorders>
            <w:hideMark/>
          </w:tcPr>
          <w:p w:rsidR="00974A94" w:rsidRPr="00974A94" w:rsidRDefault="00974A94" w:rsidP="00974A94">
            <w:pPr>
              <w:spacing w:after="0" w:line="240" w:lineRule="auto"/>
              <w:rPr>
                <w:rFonts w:ascii="Times New Roman" w:eastAsia="Times New Roman" w:hAnsi="Times New Roman" w:cs="Times New Roman"/>
                <w:bCs/>
                <w:sz w:val="24"/>
                <w:szCs w:val="24"/>
                <w:lang w:eastAsia="lv-LV"/>
              </w:rPr>
            </w:pPr>
            <w:r w:rsidRPr="00974A94">
              <w:rPr>
                <w:rFonts w:ascii="Times New Roman" w:eastAsia="Times New Roman" w:hAnsi="Times New Roman" w:cs="Times New Roman"/>
                <w:bCs/>
                <w:sz w:val="24"/>
                <w:szCs w:val="24"/>
                <w:lang w:eastAsia="lv-LV"/>
              </w:rPr>
              <w:t>1.</w:t>
            </w:r>
          </w:p>
        </w:tc>
        <w:tc>
          <w:tcPr>
            <w:tcW w:w="1984" w:type="dxa"/>
            <w:gridSpan w:val="3"/>
            <w:tcBorders>
              <w:top w:val="single" w:sz="4" w:space="0" w:color="auto"/>
              <w:left w:val="single" w:sz="4" w:space="0" w:color="auto"/>
              <w:bottom w:val="single" w:sz="4" w:space="0" w:color="auto"/>
              <w:right w:val="single" w:sz="4" w:space="0" w:color="auto"/>
            </w:tcBorders>
            <w:hideMark/>
          </w:tcPr>
          <w:p w:rsidR="00974A94" w:rsidRPr="00974A94" w:rsidRDefault="00974A94" w:rsidP="00974A94">
            <w:pPr>
              <w:spacing w:after="0" w:line="240" w:lineRule="auto"/>
              <w:rPr>
                <w:rFonts w:ascii="Times New Roman" w:eastAsia="Times New Roman" w:hAnsi="Times New Roman" w:cs="Times New Roman"/>
                <w:bCs/>
                <w:sz w:val="24"/>
                <w:szCs w:val="24"/>
                <w:lang w:eastAsia="lv-LV"/>
              </w:rPr>
            </w:pPr>
            <w:r w:rsidRPr="00974A94">
              <w:rPr>
                <w:rFonts w:ascii="Times New Roman" w:eastAsia="Times New Roman" w:hAnsi="Times New Roman" w:cs="Times New Roman"/>
                <w:bCs/>
                <w:sz w:val="24"/>
                <w:szCs w:val="24"/>
                <w:lang w:eastAsia="lv-LV"/>
              </w:rPr>
              <w:t>Nepieciešamie saistītie tiesību aktu projekti</w:t>
            </w:r>
          </w:p>
        </w:tc>
        <w:tc>
          <w:tcPr>
            <w:tcW w:w="7265" w:type="dxa"/>
            <w:tcBorders>
              <w:top w:val="single" w:sz="4" w:space="0" w:color="auto"/>
              <w:left w:val="single" w:sz="4" w:space="0" w:color="auto"/>
              <w:bottom w:val="single" w:sz="4" w:space="0" w:color="auto"/>
              <w:right w:val="single" w:sz="4" w:space="0" w:color="auto"/>
            </w:tcBorders>
            <w:hideMark/>
          </w:tcPr>
          <w:p w:rsidR="00974A94" w:rsidRPr="00974A94" w:rsidRDefault="00974A94" w:rsidP="00974A94">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r w:rsidR="00974A94" w:rsidRPr="00974A94" w:rsidTr="000B641A">
        <w:trPr>
          <w:trHeight w:val="335"/>
        </w:trPr>
        <w:tc>
          <w:tcPr>
            <w:tcW w:w="426" w:type="dxa"/>
            <w:tcBorders>
              <w:top w:val="single" w:sz="4" w:space="0" w:color="auto"/>
              <w:left w:val="single" w:sz="4" w:space="0" w:color="auto"/>
              <w:bottom w:val="single" w:sz="4" w:space="0" w:color="auto"/>
              <w:right w:val="single" w:sz="4" w:space="0" w:color="auto"/>
            </w:tcBorders>
            <w:hideMark/>
          </w:tcPr>
          <w:p w:rsidR="00974A94" w:rsidRPr="00974A94" w:rsidRDefault="00974A94" w:rsidP="00974A94">
            <w:pPr>
              <w:spacing w:after="0" w:line="240" w:lineRule="auto"/>
              <w:rPr>
                <w:rFonts w:ascii="Times New Roman" w:eastAsia="Times New Roman" w:hAnsi="Times New Roman" w:cs="Times New Roman"/>
                <w:bCs/>
                <w:sz w:val="24"/>
                <w:szCs w:val="24"/>
                <w:lang w:eastAsia="lv-LV"/>
              </w:rPr>
            </w:pPr>
            <w:r w:rsidRPr="00974A94">
              <w:rPr>
                <w:rFonts w:ascii="Times New Roman" w:eastAsia="Times New Roman" w:hAnsi="Times New Roman" w:cs="Times New Roman"/>
                <w:bCs/>
                <w:sz w:val="24"/>
                <w:szCs w:val="24"/>
                <w:lang w:eastAsia="lv-LV"/>
              </w:rPr>
              <w:t>2.</w:t>
            </w:r>
          </w:p>
        </w:tc>
        <w:tc>
          <w:tcPr>
            <w:tcW w:w="1984" w:type="dxa"/>
            <w:gridSpan w:val="3"/>
            <w:tcBorders>
              <w:top w:val="single" w:sz="4" w:space="0" w:color="auto"/>
              <w:left w:val="single" w:sz="4" w:space="0" w:color="auto"/>
              <w:bottom w:val="single" w:sz="4" w:space="0" w:color="auto"/>
              <w:right w:val="single" w:sz="4" w:space="0" w:color="auto"/>
            </w:tcBorders>
            <w:hideMark/>
          </w:tcPr>
          <w:p w:rsidR="00974A94" w:rsidRPr="00974A94" w:rsidRDefault="00974A94" w:rsidP="00974A94">
            <w:pPr>
              <w:spacing w:after="0" w:line="240" w:lineRule="auto"/>
              <w:rPr>
                <w:rFonts w:ascii="Times New Roman" w:eastAsia="Times New Roman" w:hAnsi="Times New Roman" w:cs="Times New Roman"/>
                <w:bCs/>
                <w:sz w:val="24"/>
                <w:szCs w:val="24"/>
                <w:lang w:eastAsia="lv-LV"/>
              </w:rPr>
            </w:pPr>
            <w:r w:rsidRPr="00974A94">
              <w:rPr>
                <w:rFonts w:ascii="Times New Roman" w:eastAsia="Times New Roman" w:hAnsi="Times New Roman" w:cs="Times New Roman"/>
                <w:bCs/>
                <w:sz w:val="24"/>
                <w:szCs w:val="24"/>
                <w:lang w:eastAsia="lv-LV"/>
              </w:rPr>
              <w:t>Cita</w:t>
            </w:r>
          </w:p>
          <w:p w:rsidR="00974A94" w:rsidRPr="00974A94" w:rsidRDefault="00974A94" w:rsidP="00974A94">
            <w:pPr>
              <w:spacing w:after="0" w:line="240" w:lineRule="auto"/>
              <w:rPr>
                <w:rFonts w:ascii="Times New Roman" w:eastAsia="Times New Roman" w:hAnsi="Times New Roman" w:cs="Times New Roman"/>
                <w:bCs/>
                <w:sz w:val="24"/>
                <w:szCs w:val="24"/>
                <w:lang w:eastAsia="lv-LV"/>
              </w:rPr>
            </w:pPr>
            <w:r w:rsidRPr="00974A94">
              <w:rPr>
                <w:rFonts w:ascii="Times New Roman" w:eastAsia="Times New Roman" w:hAnsi="Times New Roman" w:cs="Times New Roman"/>
                <w:bCs/>
                <w:sz w:val="24"/>
                <w:szCs w:val="24"/>
                <w:lang w:eastAsia="lv-LV"/>
              </w:rPr>
              <w:t>informācija</w:t>
            </w:r>
          </w:p>
        </w:tc>
        <w:tc>
          <w:tcPr>
            <w:tcW w:w="7265" w:type="dxa"/>
            <w:tcBorders>
              <w:top w:val="single" w:sz="4" w:space="0" w:color="auto"/>
              <w:left w:val="single" w:sz="4" w:space="0" w:color="auto"/>
              <w:bottom w:val="single" w:sz="4" w:space="0" w:color="auto"/>
              <w:right w:val="single" w:sz="4" w:space="0" w:color="auto"/>
            </w:tcBorders>
            <w:hideMark/>
          </w:tcPr>
          <w:p w:rsidR="00974A94" w:rsidRPr="00974A94" w:rsidRDefault="00524C18" w:rsidP="00271FD2">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w:t>
            </w:r>
            <w:r w:rsidR="00974A94">
              <w:rPr>
                <w:rFonts w:ascii="Times New Roman" w:eastAsia="Times New Roman" w:hAnsi="Times New Roman" w:cs="Times New Roman"/>
                <w:bCs/>
                <w:sz w:val="24"/>
                <w:szCs w:val="24"/>
                <w:lang w:eastAsia="lv-LV"/>
              </w:rPr>
              <w:t xml:space="preserve">oteikumu projektā noteiktā kārtība būs jāievēro, gatavojot </w:t>
            </w:r>
            <w:r w:rsidR="00974A94" w:rsidRPr="00974A94">
              <w:rPr>
                <w:rFonts w:ascii="Times New Roman" w:eastAsia="Times New Roman" w:hAnsi="Times New Roman" w:cs="Times New Roman"/>
                <w:bCs/>
                <w:sz w:val="24"/>
                <w:szCs w:val="24"/>
                <w:lang w:eastAsia="lv-LV"/>
              </w:rPr>
              <w:t>vidēja termiņa budžeta ietvara likum</w:t>
            </w:r>
            <w:r w:rsidR="00974A94">
              <w:rPr>
                <w:rFonts w:ascii="Times New Roman" w:eastAsia="Times New Roman" w:hAnsi="Times New Roman" w:cs="Times New Roman"/>
                <w:bCs/>
                <w:sz w:val="24"/>
                <w:szCs w:val="24"/>
                <w:lang w:eastAsia="lv-LV"/>
              </w:rPr>
              <w:t>projektu</w:t>
            </w:r>
            <w:r w:rsidR="00974A94" w:rsidRPr="00974A94">
              <w:rPr>
                <w:rFonts w:ascii="Times New Roman" w:eastAsia="Times New Roman" w:hAnsi="Times New Roman" w:cs="Times New Roman"/>
                <w:bCs/>
                <w:sz w:val="24"/>
                <w:szCs w:val="24"/>
                <w:lang w:eastAsia="lv-LV"/>
              </w:rPr>
              <w:t xml:space="preserve"> 201</w:t>
            </w:r>
            <w:r w:rsidR="00974A94">
              <w:rPr>
                <w:rFonts w:ascii="Times New Roman" w:eastAsia="Times New Roman" w:hAnsi="Times New Roman" w:cs="Times New Roman"/>
                <w:bCs/>
                <w:sz w:val="24"/>
                <w:szCs w:val="24"/>
                <w:lang w:eastAsia="lv-LV"/>
              </w:rPr>
              <w:t>4</w:t>
            </w:r>
            <w:r w:rsidR="00974A94" w:rsidRPr="00974A94">
              <w:rPr>
                <w:rFonts w:ascii="Times New Roman" w:eastAsia="Times New Roman" w:hAnsi="Times New Roman" w:cs="Times New Roman"/>
                <w:bCs/>
                <w:sz w:val="24"/>
                <w:szCs w:val="24"/>
                <w:lang w:eastAsia="lv-LV"/>
              </w:rPr>
              <w:t>.-201</w:t>
            </w:r>
            <w:r w:rsidR="00974A94">
              <w:rPr>
                <w:rFonts w:ascii="Times New Roman" w:eastAsia="Times New Roman" w:hAnsi="Times New Roman" w:cs="Times New Roman"/>
                <w:bCs/>
                <w:sz w:val="24"/>
                <w:szCs w:val="24"/>
                <w:lang w:eastAsia="lv-LV"/>
              </w:rPr>
              <w:t>6</w:t>
            </w:r>
            <w:r w:rsidR="00974A94" w:rsidRPr="00974A94">
              <w:rPr>
                <w:rFonts w:ascii="Times New Roman" w:eastAsia="Times New Roman" w:hAnsi="Times New Roman" w:cs="Times New Roman"/>
                <w:bCs/>
                <w:sz w:val="24"/>
                <w:szCs w:val="24"/>
                <w:lang w:eastAsia="lv-LV"/>
              </w:rPr>
              <w:t>.gadam</w:t>
            </w:r>
            <w:r w:rsidR="00974A94">
              <w:rPr>
                <w:rFonts w:ascii="Times New Roman" w:eastAsia="Times New Roman" w:hAnsi="Times New Roman" w:cs="Times New Roman"/>
                <w:bCs/>
                <w:sz w:val="24"/>
                <w:szCs w:val="24"/>
                <w:lang w:eastAsia="lv-LV"/>
              </w:rPr>
              <w:t xml:space="preserve"> un visus turpmākos </w:t>
            </w:r>
            <w:r w:rsidR="00974A94" w:rsidRPr="00974A94">
              <w:rPr>
                <w:rFonts w:ascii="Times New Roman" w:eastAsia="Times New Roman" w:hAnsi="Times New Roman" w:cs="Times New Roman"/>
                <w:bCs/>
                <w:sz w:val="24"/>
                <w:szCs w:val="24"/>
                <w:lang w:eastAsia="lv-LV"/>
              </w:rPr>
              <w:t>vidēja termiņa budžeta ietvara likum</w:t>
            </w:r>
            <w:r w:rsidR="00974A94">
              <w:rPr>
                <w:rFonts w:ascii="Times New Roman" w:eastAsia="Times New Roman" w:hAnsi="Times New Roman" w:cs="Times New Roman"/>
                <w:bCs/>
                <w:sz w:val="24"/>
                <w:szCs w:val="24"/>
                <w:lang w:eastAsia="lv-LV"/>
              </w:rPr>
              <w:t>projektus.</w:t>
            </w:r>
          </w:p>
        </w:tc>
      </w:tr>
    </w:tbl>
    <w:p w:rsidR="006D6481" w:rsidRPr="006E7F01" w:rsidRDefault="006D6481" w:rsidP="006E7F01">
      <w:pPr>
        <w:spacing w:after="0" w:line="240" w:lineRule="auto"/>
        <w:rPr>
          <w:rFonts w:ascii="Times New Roman" w:eastAsia="Times New Roman" w:hAnsi="Times New Roman" w:cs="Times New Roman"/>
          <w:bCs/>
          <w:sz w:val="24"/>
          <w:szCs w:val="24"/>
          <w:lang w:eastAsia="lv-LV"/>
        </w:rPr>
      </w:pPr>
    </w:p>
    <w:tbl>
      <w:tblPr>
        <w:tblW w:w="9654" w:type="dxa"/>
        <w:tblCellSpacing w:w="0" w:type="dxa"/>
        <w:tblInd w:w="15" w:type="dxa"/>
        <w:tblBorders>
          <w:top w:val="outset" w:sz="6" w:space="0" w:color="A6A6A6"/>
          <w:left w:val="outset" w:sz="6" w:space="0" w:color="A6A6A6"/>
          <w:bottom w:val="outset" w:sz="6" w:space="0" w:color="A6A6A6"/>
          <w:right w:val="outset" w:sz="6" w:space="0" w:color="A6A6A6"/>
          <w:insideH w:val="outset" w:sz="6" w:space="0" w:color="A6A6A6"/>
          <w:insideV w:val="outset" w:sz="6" w:space="0" w:color="A6A6A6"/>
        </w:tblBorders>
        <w:tblCellMar>
          <w:left w:w="0" w:type="dxa"/>
          <w:right w:w="0" w:type="dxa"/>
        </w:tblCellMar>
        <w:tblLook w:val="04A0" w:firstRow="1" w:lastRow="0" w:firstColumn="1" w:lastColumn="0" w:noHBand="0" w:noVBand="1"/>
      </w:tblPr>
      <w:tblGrid>
        <w:gridCol w:w="567"/>
        <w:gridCol w:w="3544"/>
        <w:gridCol w:w="5543"/>
      </w:tblGrid>
      <w:tr w:rsidR="006E7F01" w:rsidRPr="006E7F01" w:rsidTr="004D6B77">
        <w:trPr>
          <w:tblCellSpacing w:w="0" w:type="dxa"/>
        </w:trPr>
        <w:tc>
          <w:tcPr>
            <w:tcW w:w="9654" w:type="dxa"/>
            <w:gridSpan w:val="3"/>
          </w:tcPr>
          <w:p w:rsidR="006E7F01" w:rsidRPr="006E7F01" w:rsidRDefault="006E7F01" w:rsidP="006E7F01">
            <w:pPr>
              <w:spacing w:before="75" w:after="75" w:line="240" w:lineRule="auto"/>
              <w:jc w:val="center"/>
              <w:rPr>
                <w:rFonts w:ascii="Times New Roman" w:eastAsia="Times New Roman" w:hAnsi="Times New Roman" w:cs="Times New Roman"/>
                <w:sz w:val="24"/>
                <w:szCs w:val="24"/>
                <w:lang w:eastAsia="lv-LV"/>
              </w:rPr>
            </w:pPr>
            <w:r w:rsidRPr="006E7F01">
              <w:rPr>
                <w:rFonts w:ascii="Times New Roman" w:eastAsia="Times New Roman" w:hAnsi="Times New Roman" w:cs="Times New Roman"/>
                <w:b/>
                <w:bCs/>
                <w:sz w:val="24"/>
                <w:szCs w:val="24"/>
                <w:lang w:eastAsia="lv-LV"/>
              </w:rPr>
              <w:t> VII. Tiesību akta projekta izpildes nodrošināšana un tās ietekme uz institūcijām</w:t>
            </w:r>
          </w:p>
        </w:tc>
      </w:tr>
      <w:tr w:rsidR="006E7F01" w:rsidRPr="006E7F01" w:rsidTr="000B641A">
        <w:trPr>
          <w:trHeight w:val="427"/>
          <w:tblCellSpacing w:w="0" w:type="dxa"/>
        </w:trPr>
        <w:tc>
          <w:tcPr>
            <w:tcW w:w="567" w:type="dxa"/>
          </w:tcPr>
          <w:p w:rsidR="006E7F01" w:rsidRPr="006E7F01" w:rsidRDefault="006E7F01" w:rsidP="006E7F01">
            <w:pPr>
              <w:numPr>
                <w:ilvl w:val="0"/>
                <w:numId w:val="1"/>
              </w:numPr>
              <w:spacing w:after="0" w:line="240" w:lineRule="auto"/>
              <w:rPr>
                <w:rFonts w:ascii="Times New Roman" w:eastAsia="Times New Roman" w:hAnsi="Times New Roman" w:cs="Times New Roman"/>
                <w:sz w:val="24"/>
                <w:szCs w:val="24"/>
                <w:lang w:eastAsia="lv-LV"/>
              </w:rPr>
            </w:pPr>
          </w:p>
        </w:tc>
        <w:tc>
          <w:tcPr>
            <w:tcW w:w="3544" w:type="dxa"/>
            <w:hideMark/>
          </w:tcPr>
          <w:p w:rsidR="006E7F01" w:rsidRPr="006E7F01" w:rsidRDefault="006E7F01" w:rsidP="006E7F01">
            <w:pPr>
              <w:spacing w:after="0" w:line="240" w:lineRule="auto"/>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Projekta izpildē iesaistītās institūcijas</w:t>
            </w:r>
          </w:p>
        </w:tc>
        <w:tc>
          <w:tcPr>
            <w:tcW w:w="5543" w:type="dxa"/>
            <w:hideMark/>
          </w:tcPr>
          <w:p w:rsidR="006E7F01" w:rsidRPr="006E7F01" w:rsidRDefault="0016249B" w:rsidP="0016249B">
            <w:pPr>
              <w:spacing w:after="0" w:line="240" w:lineRule="auto"/>
              <w:ind w:left="127" w:right="127" w:firstLine="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projektu</w:t>
            </w:r>
            <w:r w:rsidR="00B251B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izmantos</w:t>
            </w:r>
            <w:r w:rsidR="00B251BD">
              <w:rPr>
                <w:rFonts w:ascii="Times New Roman" w:eastAsia="Times New Roman" w:hAnsi="Times New Roman" w:cs="Times New Roman"/>
                <w:sz w:val="24"/>
                <w:szCs w:val="24"/>
                <w:lang w:eastAsia="lv-LV"/>
              </w:rPr>
              <w:t xml:space="preserve"> ministrijas un citas centrālās valsts iestādes. </w:t>
            </w:r>
          </w:p>
        </w:tc>
      </w:tr>
      <w:tr w:rsidR="006E7F01" w:rsidRPr="006E7F01" w:rsidTr="000B641A">
        <w:trPr>
          <w:trHeight w:val="463"/>
          <w:tblCellSpacing w:w="0" w:type="dxa"/>
        </w:trPr>
        <w:tc>
          <w:tcPr>
            <w:tcW w:w="567" w:type="dxa"/>
          </w:tcPr>
          <w:p w:rsidR="006E7F01" w:rsidRPr="006E7F01" w:rsidRDefault="006E7F01" w:rsidP="006E7F01">
            <w:pPr>
              <w:numPr>
                <w:ilvl w:val="0"/>
                <w:numId w:val="1"/>
              </w:numPr>
              <w:spacing w:after="0" w:line="240" w:lineRule="auto"/>
              <w:rPr>
                <w:rFonts w:ascii="Times New Roman" w:eastAsia="Times New Roman" w:hAnsi="Times New Roman" w:cs="Times New Roman"/>
                <w:sz w:val="24"/>
                <w:szCs w:val="24"/>
                <w:lang w:eastAsia="lv-LV"/>
              </w:rPr>
            </w:pPr>
          </w:p>
        </w:tc>
        <w:tc>
          <w:tcPr>
            <w:tcW w:w="3544" w:type="dxa"/>
            <w:hideMark/>
          </w:tcPr>
          <w:p w:rsidR="006E7F01" w:rsidRPr="006E7F01" w:rsidRDefault="006E7F01" w:rsidP="006E7F01">
            <w:pPr>
              <w:spacing w:after="0" w:line="240" w:lineRule="auto"/>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Projekta izpildes ietekme uz pārvaldes funkcijām</w:t>
            </w:r>
          </w:p>
        </w:tc>
        <w:tc>
          <w:tcPr>
            <w:tcW w:w="5543" w:type="dxa"/>
            <w:hideMark/>
          </w:tcPr>
          <w:p w:rsidR="006E7F01" w:rsidRPr="006E7F01" w:rsidRDefault="006E7F01" w:rsidP="00701F8E">
            <w:pPr>
              <w:spacing w:after="0" w:line="240" w:lineRule="auto"/>
              <w:ind w:left="127"/>
              <w:jc w:val="both"/>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 Esošo institūciju funkcijas nepaplašinās.</w:t>
            </w:r>
            <w:r w:rsidR="00974A94">
              <w:rPr>
                <w:rFonts w:ascii="Times New Roman" w:eastAsia="Times New Roman" w:hAnsi="Times New Roman" w:cs="Times New Roman"/>
                <w:sz w:val="24"/>
                <w:szCs w:val="24"/>
                <w:lang w:eastAsia="lv-LV"/>
              </w:rPr>
              <w:t xml:space="preserve"> Jau šobrīd ministrijas darbojas saskaņā ar </w:t>
            </w:r>
            <w:r w:rsidR="00271FD2">
              <w:rPr>
                <w:rFonts w:ascii="Times New Roman" w:eastAsia="Times New Roman" w:hAnsi="Times New Roman" w:cs="Times New Roman"/>
                <w:bCs/>
                <w:sz w:val="24"/>
                <w:szCs w:val="24"/>
                <w:lang w:eastAsia="lv-LV"/>
              </w:rPr>
              <w:t xml:space="preserve">MK </w:t>
            </w:r>
            <w:r w:rsidR="00974A94" w:rsidRPr="00974A94">
              <w:rPr>
                <w:rFonts w:ascii="Times New Roman" w:eastAsia="Times New Roman" w:hAnsi="Times New Roman" w:cs="Times New Roman"/>
                <w:bCs/>
                <w:sz w:val="24"/>
                <w:szCs w:val="24"/>
                <w:lang w:eastAsia="lv-LV"/>
              </w:rPr>
              <w:t>noteikum</w:t>
            </w:r>
            <w:r w:rsidR="00974A94">
              <w:rPr>
                <w:rFonts w:ascii="Times New Roman" w:eastAsia="Times New Roman" w:hAnsi="Times New Roman" w:cs="Times New Roman"/>
                <w:bCs/>
                <w:sz w:val="24"/>
                <w:szCs w:val="24"/>
                <w:lang w:eastAsia="lv-LV"/>
              </w:rPr>
              <w:t>iem</w:t>
            </w:r>
            <w:r w:rsidR="00974A94" w:rsidRPr="00974A94">
              <w:rPr>
                <w:rFonts w:ascii="Times New Roman" w:eastAsia="Times New Roman" w:hAnsi="Times New Roman" w:cs="Times New Roman"/>
                <w:bCs/>
                <w:sz w:val="24"/>
                <w:szCs w:val="24"/>
                <w:lang w:eastAsia="lv-LV"/>
              </w:rPr>
              <w:t xml:space="preserve"> Nr.198</w:t>
            </w:r>
            <w:r w:rsidR="00974A94">
              <w:rPr>
                <w:rFonts w:ascii="Times New Roman" w:eastAsia="Times New Roman" w:hAnsi="Times New Roman" w:cs="Times New Roman"/>
                <w:bCs/>
                <w:sz w:val="24"/>
                <w:szCs w:val="24"/>
                <w:lang w:eastAsia="lv-LV"/>
              </w:rPr>
              <w:t>, bet turpmāk darbosies atbilstoši noteikumu projektā noteiktajām prasībām.</w:t>
            </w:r>
            <w:r w:rsidR="00271FD2">
              <w:rPr>
                <w:rFonts w:ascii="Times New Roman" w:eastAsia="Times New Roman" w:hAnsi="Times New Roman" w:cs="Times New Roman"/>
                <w:bCs/>
                <w:sz w:val="24"/>
                <w:szCs w:val="24"/>
                <w:lang w:eastAsia="lv-LV"/>
              </w:rPr>
              <w:t xml:space="preserve"> Savukārt noteikumu projektā aprakstītās </w:t>
            </w:r>
            <w:proofErr w:type="spellStart"/>
            <w:r w:rsidR="00271FD2">
              <w:rPr>
                <w:rFonts w:ascii="Times New Roman" w:eastAsia="Times New Roman" w:hAnsi="Times New Roman" w:cs="Times New Roman"/>
                <w:bCs/>
                <w:sz w:val="24"/>
                <w:szCs w:val="24"/>
                <w:lang w:eastAsia="lv-LV"/>
              </w:rPr>
              <w:t>Pārresoru</w:t>
            </w:r>
            <w:proofErr w:type="spellEnd"/>
            <w:r w:rsidR="00271FD2">
              <w:rPr>
                <w:rFonts w:ascii="Times New Roman" w:eastAsia="Times New Roman" w:hAnsi="Times New Roman" w:cs="Times New Roman"/>
                <w:bCs/>
                <w:sz w:val="24"/>
                <w:szCs w:val="24"/>
                <w:lang w:eastAsia="lv-LV"/>
              </w:rPr>
              <w:t xml:space="preserve"> koordinācijas centra </w:t>
            </w:r>
            <w:r w:rsidR="00271FD2">
              <w:rPr>
                <w:rFonts w:ascii="Times New Roman" w:eastAsia="Times New Roman" w:hAnsi="Times New Roman" w:cs="Times New Roman"/>
                <w:bCs/>
                <w:sz w:val="24"/>
                <w:szCs w:val="24"/>
                <w:lang w:eastAsia="lv-LV"/>
              </w:rPr>
              <w:lastRenderedPageBreak/>
              <w:t>veicamās darbības izriet no Ministru kabineta 2011.gada 19.oktobra noteikumiem „</w:t>
            </w:r>
            <w:proofErr w:type="spellStart"/>
            <w:r w:rsidR="00271FD2" w:rsidRPr="00271FD2">
              <w:rPr>
                <w:rFonts w:ascii="Times New Roman" w:eastAsia="Times New Roman" w:hAnsi="Times New Roman" w:cs="Times New Roman"/>
                <w:bCs/>
                <w:sz w:val="24"/>
                <w:szCs w:val="24"/>
                <w:lang w:eastAsia="lv-LV"/>
              </w:rPr>
              <w:t>Pārresoru</w:t>
            </w:r>
            <w:proofErr w:type="spellEnd"/>
            <w:r w:rsidR="00271FD2" w:rsidRPr="00271FD2">
              <w:rPr>
                <w:rFonts w:ascii="Times New Roman" w:eastAsia="Times New Roman" w:hAnsi="Times New Roman" w:cs="Times New Roman"/>
                <w:bCs/>
                <w:sz w:val="24"/>
                <w:szCs w:val="24"/>
                <w:lang w:eastAsia="lv-LV"/>
              </w:rPr>
              <w:t xml:space="preserve"> koordinācijas centra nolikums</w:t>
            </w:r>
            <w:r w:rsidR="00271FD2">
              <w:rPr>
                <w:rFonts w:ascii="Times New Roman" w:eastAsia="Times New Roman" w:hAnsi="Times New Roman" w:cs="Times New Roman"/>
                <w:bCs/>
                <w:sz w:val="24"/>
                <w:szCs w:val="24"/>
                <w:lang w:eastAsia="lv-LV"/>
              </w:rPr>
              <w:t xml:space="preserve">” </w:t>
            </w:r>
          </w:p>
        </w:tc>
      </w:tr>
      <w:tr w:rsidR="006E7F01" w:rsidRPr="006E7F01" w:rsidTr="000B641A">
        <w:trPr>
          <w:trHeight w:val="725"/>
          <w:tblCellSpacing w:w="0" w:type="dxa"/>
        </w:trPr>
        <w:tc>
          <w:tcPr>
            <w:tcW w:w="567" w:type="dxa"/>
          </w:tcPr>
          <w:p w:rsidR="006E7F01" w:rsidRPr="006E7F01" w:rsidRDefault="006E7F01" w:rsidP="006E7F01">
            <w:pPr>
              <w:numPr>
                <w:ilvl w:val="0"/>
                <w:numId w:val="1"/>
              </w:numPr>
              <w:spacing w:after="0" w:line="240" w:lineRule="auto"/>
              <w:rPr>
                <w:rFonts w:ascii="Times New Roman" w:eastAsia="Times New Roman" w:hAnsi="Times New Roman" w:cs="Times New Roman"/>
                <w:sz w:val="24"/>
                <w:szCs w:val="24"/>
                <w:lang w:eastAsia="lv-LV"/>
              </w:rPr>
            </w:pPr>
          </w:p>
        </w:tc>
        <w:tc>
          <w:tcPr>
            <w:tcW w:w="3544" w:type="dxa"/>
            <w:hideMark/>
          </w:tcPr>
          <w:p w:rsidR="006E7F01" w:rsidRPr="006E7F01" w:rsidRDefault="006E7F01" w:rsidP="006E7F01">
            <w:pPr>
              <w:spacing w:after="0" w:line="240" w:lineRule="auto"/>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Projekta izpildes ietekme uz pārvaldes institucionālo struktūru.</w:t>
            </w:r>
          </w:p>
          <w:p w:rsidR="006E7F01" w:rsidRPr="006E7F01" w:rsidRDefault="006E7F01" w:rsidP="006E7F01">
            <w:pPr>
              <w:spacing w:after="0" w:line="240" w:lineRule="auto"/>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Jaunu institūciju izveide</w:t>
            </w:r>
          </w:p>
        </w:tc>
        <w:tc>
          <w:tcPr>
            <w:tcW w:w="5543" w:type="dxa"/>
            <w:hideMark/>
          </w:tcPr>
          <w:p w:rsidR="006E7F01" w:rsidRPr="006E7F01" w:rsidRDefault="006E7F01" w:rsidP="006E7F01">
            <w:pPr>
              <w:spacing w:after="0" w:line="240" w:lineRule="auto"/>
              <w:ind w:left="149" w:right="127"/>
              <w:jc w:val="both"/>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Jaunas valsts institūcijas netiek radītas.</w:t>
            </w:r>
          </w:p>
        </w:tc>
      </w:tr>
      <w:tr w:rsidR="006E7F01" w:rsidRPr="006E7F01" w:rsidTr="000B641A">
        <w:trPr>
          <w:trHeight w:val="780"/>
          <w:tblCellSpacing w:w="0" w:type="dxa"/>
        </w:trPr>
        <w:tc>
          <w:tcPr>
            <w:tcW w:w="567" w:type="dxa"/>
          </w:tcPr>
          <w:p w:rsidR="006E7F01" w:rsidRPr="006E7F01" w:rsidRDefault="006E7F01" w:rsidP="006E7F01">
            <w:pPr>
              <w:numPr>
                <w:ilvl w:val="0"/>
                <w:numId w:val="1"/>
              </w:numPr>
              <w:spacing w:after="0" w:line="240" w:lineRule="auto"/>
              <w:rPr>
                <w:rFonts w:ascii="Times New Roman" w:eastAsia="Times New Roman" w:hAnsi="Times New Roman" w:cs="Times New Roman"/>
                <w:sz w:val="24"/>
                <w:szCs w:val="24"/>
                <w:lang w:eastAsia="lv-LV"/>
              </w:rPr>
            </w:pPr>
          </w:p>
        </w:tc>
        <w:tc>
          <w:tcPr>
            <w:tcW w:w="3544" w:type="dxa"/>
            <w:hideMark/>
          </w:tcPr>
          <w:p w:rsidR="006E7F01" w:rsidRPr="006E7F01" w:rsidRDefault="006E7F01" w:rsidP="006E7F01">
            <w:pPr>
              <w:spacing w:after="0" w:line="240" w:lineRule="auto"/>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Projekta izpildes ietekme uz pārvaldes institucionālo struktūru.</w:t>
            </w:r>
          </w:p>
          <w:p w:rsidR="006E7F01" w:rsidRPr="006E7F01" w:rsidRDefault="006E7F01" w:rsidP="006E7F01">
            <w:pPr>
              <w:spacing w:after="0" w:line="240" w:lineRule="auto"/>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Esošu institūciju likvidācija</w:t>
            </w:r>
          </w:p>
        </w:tc>
        <w:tc>
          <w:tcPr>
            <w:tcW w:w="5543" w:type="dxa"/>
            <w:hideMark/>
          </w:tcPr>
          <w:p w:rsidR="006E7F01" w:rsidRPr="006E7F01" w:rsidRDefault="006E7F01" w:rsidP="006E7F01">
            <w:pPr>
              <w:spacing w:after="0" w:line="240" w:lineRule="auto"/>
              <w:ind w:left="127" w:right="127"/>
              <w:rPr>
                <w:rFonts w:ascii="Times New Roman" w:eastAsia="Times New Roman" w:hAnsi="Times New Roman" w:cs="Times New Roman"/>
                <w:sz w:val="24"/>
                <w:szCs w:val="24"/>
                <w:highlight w:val="green"/>
                <w:lang w:eastAsia="lv-LV"/>
              </w:rPr>
            </w:pPr>
            <w:r w:rsidRPr="006E7F01">
              <w:rPr>
                <w:rFonts w:ascii="Times New Roman" w:eastAsia="Times New Roman" w:hAnsi="Times New Roman" w:cs="Times New Roman"/>
                <w:sz w:val="24"/>
                <w:szCs w:val="24"/>
                <w:lang w:eastAsia="lv-LV"/>
              </w:rPr>
              <w:t> Projekts šo jomu neskar</w:t>
            </w:r>
          </w:p>
        </w:tc>
      </w:tr>
      <w:tr w:rsidR="006E7F01" w:rsidRPr="006E7F01" w:rsidTr="000B641A">
        <w:trPr>
          <w:trHeight w:val="703"/>
          <w:tblCellSpacing w:w="0" w:type="dxa"/>
        </w:trPr>
        <w:tc>
          <w:tcPr>
            <w:tcW w:w="567" w:type="dxa"/>
          </w:tcPr>
          <w:p w:rsidR="006E7F01" w:rsidRPr="006E7F01" w:rsidRDefault="006E7F01" w:rsidP="006E7F01">
            <w:pPr>
              <w:numPr>
                <w:ilvl w:val="0"/>
                <w:numId w:val="1"/>
              </w:numPr>
              <w:spacing w:after="0" w:line="240" w:lineRule="auto"/>
              <w:rPr>
                <w:rFonts w:ascii="Times New Roman" w:eastAsia="Times New Roman" w:hAnsi="Times New Roman" w:cs="Times New Roman"/>
                <w:sz w:val="24"/>
                <w:szCs w:val="24"/>
                <w:lang w:eastAsia="lv-LV"/>
              </w:rPr>
            </w:pPr>
          </w:p>
        </w:tc>
        <w:tc>
          <w:tcPr>
            <w:tcW w:w="3544" w:type="dxa"/>
            <w:hideMark/>
          </w:tcPr>
          <w:p w:rsidR="006E7F01" w:rsidRPr="006E7F01" w:rsidRDefault="006E7F01" w:rsidP="006E7F01">
            <w:pPr>
              <w:spacing w:after="0" w:line="240" w:lineRule="auto"/>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Projekta izpildes ietekme uz pārvaldes institucionālo struktūru.</w:t>
            </w:r>
          </w:p>
          <w:p w:rsidR="006E7F01" w:rsidRPr="006E7F01" w:rsidRDefault="006E7F01" w:rsidP="006E7F01">
            <w:pPr>
              <w:spacing w:after="0" w:line="240" w:lineRule="auto"/>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Esošu institūciju reorganizācija</w:t>
            </w:r>
          </w:p>
        </w:tc>
        <w:tc>
          <w:tcPr>
            <w:tcW w:w="5543" w:type="dxa"/>
            <w:hideMark/>
          </w:tcPr>
          <w:p w:rsidR="006E7F01" w:rsidRPr="006E7F01" w:rsidRDefault="006E7F01" w:rsidP="006E7F01">
            <w:pPr>
              <w:spacing w:after="0" w:line="240" w:lineRule="auto"/>
              <w:ind w:left="127" w:right="127"/>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 Projekts šo jomu neskar</w:t>
            </w:r>
          </w:p>
        </w:tc>
      </w:tr>
      <w:tr w:rsidR="006E7F01" w:rsidRPr="006E7F01" w:rsidTr="000B641A">
        <w:trPr>
          <w:trHeight w:val="267"/>
          <w:tblCellSpacing w:w="0" w:type="dxa"/>
        </w:trPr>
        <w:tc>
          <w:tcPr>
            <w:tcW w:w="567" w:type="dxa"/>
          </w:tcPr>
          <w:p w:rsidR="006E7F01" w:rsidRPr="006E7F01" w:rsidRDefault="006E7F01" w:rsidP="006E7F01">
            <w:pPr>
              <w:numPr>
                <w:ilvl w:val="0"/>
                <w:numId w:val="1"/>
              </w:numPr>
              <w:spacing w:after="0" w:line="240" w:lineRule="auto"/>
              <w:rPr>
                <w:rFonts w:ascii="Times New Roman" w:eastAsia="Times New Roman" w:hAnsi="Times New Roman" w:cs="Times New Roman"/>
                <w:sz w:val="24"/>
                <w:szCs w:val="24"/>
                <w:lang w:eastAsia="lv-LV"/>
              </w:rPr>
            </w:pPr>
          </w:p>
        </w:tc>
        <w:tc>
          <w:tcPr>
            <w:tcW w:w="3544" w:type="dxa"/>
            <w:hideMark/>
          </w:tcPr>
          <w:p w:rsidR="006E7F01" w:rsidRPr="006E7F01" w:rsidRDefault="006E7F01" w:rsidP="006E7F01">
            <w:pPr>
              <w:spacing w:after="0" w:line="240" w:lineRule="auto"/>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 Cita informācija</w:t>
            </w:r>
          </w:p>
        </w:tc>
        <w:tc>
          <w:tcPr>
            <w:tcW w:w="5543" w:type="dxa"/>
            <w:hideMark/>
          </w:tcPr>
          <w:p w:rsidR="006E7F01" w:rsidRPr="006E7F01" w:rsidRDefault="006E7F01" w:rsidP="006E7F01">
            <w:pPr>
              <w:spacing w:after="0" w:line="240" w:lineRule="auto"/>
              <w:ind w:left="127" w:right="127"/>
              <w:rPr>
                <w:rFonts w:ascii="Times New Roman" w:eastAsia="Times New Roman" w:hAnsi="Times New Roman" w:cs="Times New Roman"/>
                <w:sz w:val="24"/>
                <w:szCs w:val="24"/>
                <w:lang w:eastAsia="lv-LV"/>
              </w:rPr>
            </w:pPr>
            <w:r w:rsidRPr="006E7F01">
              <w:rPr>
                <w:rFonts w:ascii="Times New Roman" w:eastAsia="Times New Roman" w:hAnsi="Times New Roman" w:cs="Times New Roman"/>
                <w:sz w:val="24"/>
                <w:szCs w:val="24"/>
                <w:lang w:eastAsia="lv-LV"/>
              </w:rPr>
              <w:t> Nav</w:t>
            </w:r>
          </w:p>
        </w:tc>
      </w:tr>
    </w:tbl>
    <w:p w:rsidR="006E796A" w:rsidRDefault="006E796A" w:rsidP="00F33589">
      <w:pPr>
        <w:spacing w:after="0" w:line="240" w:lineRule="auto"/>
        <w:rPr>
          <w:rFonts w:ascii="Times New Roman" w:eastAsia="Calibri" w:hAnsi="Times New Roman" w:cs="Times New Roman"/>
          <w:sz w:val="24"/>
          <w:szCs w:val="24"/>
          <w:lang w:eastAsia="lv-LV"/>
        </w:rPr>
      </w:pPr>
    </w:p>
    <w:p w:rsidR="00F33589" w:rsidRPr="00F33589" w:rsidRDefault="00F33589" w:rsidP="00F33589">
      <w:pPr>
        <w:spacing w:after="0" w:line="240" w:lineRule="auto"/>
        <w:rPr>
          <w:rFonts w:ascii="Times New Roman" w:eastAsia="Calibri" w:hAnsi="Times New Roman" w:cs="Times New Roman"/>
          <w:sz w:val="24"/>
          <w:szCs w:val="24"/>
          <w:lang w:eastAsia="lv-LV"/>
        </w:rPr>
      </w:pPr>
      <w:r w:rsidRPr="00F33589">
        <w:rPr>
          <w:rFonts w:ascii="Times New Roman" w:eastAsia="Calibri" w:hAnsi="Times New Roman" w:cs="Times New Roman"/>
          <w:sz w:val="24"/>
          <w:szCs w:val="24"/>
          <w:lang w:eastAsia="lv-LV"/>
        </w:rPr>
        <w:t xml:space="preserve">Anotācijas </w:t>
      </w:r>
      <w:r w:rsidRPr="006D6481">
        <w:rPr>
          <w:rFonts w:ascii="Times New Roman" w:eastAsia="Calibri" w:hAnsi="Times New Roman" w:cs="Times New Roman"/>
          <w:sz w:val="24"/>
          <w:szCs w:val="24"/>
          <w:lang w:eastAsia="lv-LV"/>
        </w:rPr>
        <w:t xml:space="preserve">II, </w:t>
      </w:r>
      <w:r w:rsidRPr="00F33589">
        <w:rPr>
          <w:rFonts w:ascii="Times New Roman" w:eastAsia="Calibri" w:hAnsi="Times New Roman" w:cs="Times New Roman"/>
          <w:sz w:val="24"/>
          <w:szCs w:val="24"/>
          <w:lang w:eastAsia="lv-LV"/>
        </w:rPr>
        <w:t>III, V un VI sadaļa – Projekts šīs jomas neskar.</w:t>
      </w:r>
    </w:p>
    <w:p w:rsidR="006E7F01" w:rsidRPr="006E7F01" w:rsidRDefault="006E7F01" w:rsidP="006E7F01">
      <w:pPr>
        <w:spacing w:after="0" w:line="240" w:lineRule="auto"/>
        <w:rPr>
          <w:rFonts w:ascii="Times New Roman" w:eastAsia="Times New Roman" w:hAnsi="Times New Roman" w:cs="Times New Roman"/>
          <w:bCs/>
          <w:sz w:val="24"/>
          <w:szCs w:val="24"/>
          <w:lang w:eastAsia="lv-LV"/>
        </w:rPr>
      </w:pPr>
    </w:p>
    <w:p w:rsidR="00D952BA" w:rsidRPr="006E7F01" w:rsidRDefault="006E7F01" w:rsidP="00D952BA">
      <w:pPr>
        <w:tabs>
          <w:tab w:val="center" w:pos="0"/>
          <w:tab w:val="right" w:pos="142"/>
        </w:tabs>
        <w:spacing w:after="0" w:line="240" w:lineRule="auto"/>
        <w:ind w:right="-153"/>
        <w:rPr>
          <w:rFonts w:ascii="Times New Roman" w:eastAsia="Times New Roman" w:hAnsi="Times New Roman" w:cs="Times New Roman"/>
          <w:sz w:val="24"/>
          <w:szCs w:val="24"/>
          <w:lang w:val="x-none" w:eastAsia="x-none"/>
        </w:rPr>
      </w:pPr>
      <w:r w:rsidRPr="006E7F01">
        <w:rPr>
          <w:rFonts w:ascii="Times New Roman" w:eastAsia="Times New Roman" w:hAnsi="Times New Roman" w:cs="Times New Roman"/>
          <w:sz w:val="24"/>
          <w:szCs w:val="24"/>
          <w:lang w:val="x-none" w:eastAsia="x-none"/>
        </w:rPr>
        <w:t>Finanšu ministr</w:t>
      </w:r>
      <w:r w:rsidR="00D952BA">
        <w:rPr>
          <w:rFonts w:ascii="Times New Roman" w:eastAsia="Times New Roman" w:hAnsi="Times New Roman" w:cs="Times New Roman"/>
          <w:sz w:val="24"/>
          <w:szCs w:val="24"/>
          <w:lang w:eastAsia="x-none"/>
        </w:rPr>
        <w:t>s</w:t>
      </w:r>
      <w:r w:rsidR="00D952BA">
        <w:rPr>
          <w:rFonts w:ascii="Times New Roman" w:eastAsia="Times New Roman" w:hAnsi="Times New Roman" w:cs="Times New Roman"/>
          <w:sz w:val="24"/>
          <w:szCs w:val="24"/>
          <w:lang w:eastAsia="x-none"/>
        </w:rPr>
        <w:tab/>
      </w:r>
      <w:r w:rsidR="00D952BA">
        <w:rPr>
          <w:rFonts w:ascii="Times New Roman" w:eastAsia="Times New Roman" w:hAnsi="Times New Roman" w:cs="Times New Roman"/>
          <w:sz w:val="24"/>
          <w:szCs w:val="24"/>
          <w:lang w:eastAsia="x-none"/>
        </w:rPr>
        <w:tab/>
      </w:r>
      <w:r w:rsidR="00D952BA">
        <w:rPr>
          <w:rFonts w:ascii="Times New Roman" w:eastAsia="Times New Roman" w:hAnsi="Times New Roman" w:cs="Times New Roman"/>
          <w:sz w:val="24"/>
          <w:szCs w:val="24"/>
          <w:lang w:eastAsia="x-none"/>
        </w:rPr>
        <w:tab/>
      </w:r>
      <w:r w:rsidR="00D952BA">
        <w:rPr>
          <w:rFonts w:ascii="Times New Roman" w:eastAsia="Times New Roman" w:hAnsi="Times New Roman" w:cs="Times New Roman"/>
          <w:sz w:val="24"/>
          <w:szCs w:val="24"/>
          <w:lang w:eastAsia="x-none"/>
        </w:rPr>
        <w:tab/>
      </w:r>
      <w:r w:rsidR="00D952BA">
        <w:rPr>
          <w:rFonts w:ascii="Times New Roman" w:eastAsia="Times New Roman" w:hAnsi="Times New Roman" w:cs="Times New Roman"/>
          <w:sz w:val="24"/>
          <w:szCs w:val="24"/>
          <w:lang w:eastAsia="x-none"/>
        </w:rPr>
        <w:tab/>
      </w:r>
      <w:r w:rsidR="00D952BA">
        <w:rPr>
          <w:rFonts w:ascii="Times New Roman" w:eastAsia="Times New Roman" w:hAnsi="Times New Roman" w:cs="Times New Roman"/>
          <w:sz w:val="24"/>
          <w:szCs w:val="24"/>
          <w:lang w:eastAsia="x-none"/>
        </w:rPr>
        <w:tab/>
      </w:r>
      <w:r w:rsidR="00D952BA">
        <w:rPr>
          <w:rFonts w:ascii="Times New Roman" w:eastAsia="Times New Roman" w:hAnsi="Times New Roman" w:cs="Times New Roman"/>
          <w:sz w:val="24"/>
          <w:szCs w:val="24"/>
          <w:lang w:eastAsia="x-none"/>
        </w:rPr>
        <w:tab/>
      </w:r>
      <w:r w:rsidR="00D952BA">
        <w:rPr>
          <w:rFonts w:ascii="Times New Roman" w:eastAsia="Times New Roman" w:hAnsi="Times New Roman" w:cs="Times New Roman"/>
          <w:sz w:val="24"/>
          <w:szCs w:val="24"/>
          <w:lang w:eastAsia="x-none"/>
        </w:rPr>
        <w:tab/>
      </w:r>
      <w:r w:rsidR="00D952BA">
        <w:rPr>
          <w:rFonts w:ascii="Times New Roman" w:eastAsia="Times New Roman" w:hAnsi="Times New Roman" w:cs="Times New Roman"/>
          <w:sz w:val="24"/>
          <w:szCs w:val="24"/>
          <w:lang w:eastAsia="x-none"/>
        </w:rPr>
        <w:tab/>
      </w:r>
      <w:r w:rsidR="00D952BA">
        <w:rPr>
          <w:rFonts w:ascii="Times New Roman" w:eastAsia="Times New Roman" w:hAnsi="Times New Roman" w:cs="Times New Roman"/>
          <w:sz w:val="24"/>
          <w:szCs w:val="24"/>
          <w:lang w:eastAsia="x-none"/>
        </w:rPr>
        <w:tab/>
        <w:t>A.Vilks</w:t>
      </w:r>
    </w:p>
    <w:p w:rsidR="00DA2CF2" w:rsidRPr="000176F1" w:rsidRDefault="006E7F01" w:rsidP="000176F1">
      <w:pPr>
        <w:tabs>
          <w:tab w:val="center" w:pos="0"/>
          <w:tab w:val="right" w:pos="142"/>
        </w:tabs>
        <w:spacing w:after="0" w:line="240" w:lineRule="auto"/>
        <w:ind w:right="-153"/>
        <w:rPr>
          <w:rFonts w:ascii="Times New Roman" w:eastAsia="Times New Roman" w:hAnsi="Times New Roman" w:cs="Times New Roman"/>
          <w:sz w:val="18"/>
          <w:szCs w:val="18"/>
        </w:rPr>
      </w:pPr>
      <w:r w:rsidRPr="006E7F01">
        <w:rPr>
          <w:rFonts w:ascii="Times New Roman" w:eastAsia="Times New Roman" w:hAnsi="Times New Roman" w:cs="Times New Roman"/>
          <w:sz w:val="24"/>
          <w:szCs w:val="24"/>
          <w:lang w:val="x-none" w:eastAsia="x-none"/>
        </w:rPr>
        <w:tab/>
      </w:r>
      <w:r w:rsidRPr="006E7F01">
        <w:rPr>
          <w:rFonts w:ascii="Times New Roman" w:eastAsia="Times New Roman" w:hAnsi="Times New Roman" w:cs="Times New Roman"/>
          <w:sz w:val="24"/>
          <w:szCs w:val="24"/>
          <w:lang w:val="x-none" w:eastAsia="x-none"/>
        </w:rPr>
        <w:tab/>
      </w:r>
      <w:r w:rsidRPr="006E7F01">
        <w:rPr>
          <w:rFonts w:ascii="Times New Roman" w:eastAsia="Times New Roman" w:hAnsi="Times New Roman" w:cs="Times New Roman"/>
          <w:sz w:val="24"/>
          <w:szCs w:val="24"/>
          <w:lang w:val="x-none" w:eastAsia="x-none"/>
        </w:rPr>
        <w:tab/>
      </w:r>
      <w:r w:rsidRPr="006E7F01">
        <w:rPr>
          <w:rFonts w:ascii="Times New Roman" w:eastAsia="Times New Roman" w:hAnsi="Times New Roman" w:cs="Times New Roman"/>
          <w:sz w:val="24"/>
          <w:szCs w:val="24"/>
          <w:lang w:val="x-none" w:eastAsia="x-none"/>
        </w:rPr>
        <w:tab/>
      </w:r>
      <w:r w:rsidRPr="006E7F01">
        <w:rPr>
          <w:rFonts w:ascii="Times New Roman" w:eastAsia="Times New Roman" w:hAnsi="Times New Roman" w:cs="Times New Roman"/>
          <w:sz w:val="24"/>
          <w:szCs w:val="24"/>
          <w:lang w:val="x-none" w:eastAsia="x-none"/>
        </w:rPr>
        <w:tab/>
      </w:r>
      <w:r w:rsidRPr="006E7F01">
        <w:rPr>
          <w:rFonts w:ascii="Times New Roman" w:eastAsia="Times New Roman" w:hAnsi="Times New Roman" w:cs="Times New Roman"/>
          <w:sz w:val="24"/>
          <w:szCs w:val="24"/>
          <w:lang w:val="x-none" w:eastAsia="x-none"/>
        </w:rPr>
        <w:tab/>
      </w:r>
      <w:r w:rsidRPr="006E7F01">
        <w:rPr>
          <w:rFonts w:ascii="Times New Roman" w:eastAsia="Times New Roman" w:hAnsi="Times New Roman" w:cs="Times New Roman"/>
          <w:sz w:val="24"/>
          <w:szCs w:val="24"/>
          <w:lang w:val="x-none" w:eastAsia="x-none"/>
        </w:rPr>
        <w:tab/>
        <w:t xml:space="preserve"> </w:t>
      </w:r>
      <w:r w:rsidR="000176F1">
        <w:rPr>
          <w:rFonts w:ascii="Times New Roman" w:eastAsia="Times New Roman" w:hAnsi="Times New Roman" w:cs="Times New Roman"/>
          <w:sz w:val="24"/>
          <w:szCs w:val="24"/>
          <w:lang w:eastAsia="x-none"/>
        </w:rPr>
        <w:t xml:space="preserve">                 </w:t>
      </w:r>
    </w:p>
    <w:p w:rsidR="00DA2CF2" w:rsidRDefault="00DA2CF2" w:rsidP="004F01B7">
      <w:pPr>
        <w:spacing w:after="0" w:line="240" w:lineRule="auto"/>
        <w:jc w:val="both"/>
        <w:rPr>
          <w:rFonts w:ascii="Times New Roman" w:eastAsia="Times New Roman" w:hAnsi="Times New Roman" w:cs="Times New Roman"/>
          <w:sz w:val="18"/>
          <w:szCs w:val="18"/>
        </w:rPr>
      </w:pPr>
    </w:p>
    <w:p w:rsidR="00DA2CF2" w:rsidRDefault="00DA2CF2" w:rsidP="004F01B7">
      <w:pPr>
        <w:spacing w:after="0" w:line="240" w:lineRule="auto"/>
        <w:jc w:val="both"/>
        <w:rPr>
          <w:rFonts w:ascii="Times New Roman" w:eastAsia="Times New Roman" w:hAnsi="Times New Roman" w:cs="Times New Roman"/>
          <w:sz w:val="18"/>
          <w:szCs w:val="18"/>
        </w:rPr>
      </w:pPr>
    </w:p>
    <w:p w:rsidR="00DA2CF2" w:rsidRDefault="00DA2CF2" w:rsidP="004F01B7">
      <w:pPr>
        <w:spacing w:after="0" w:line="240" w:lineRule="auto"/>
        <w:jc w:val="both"/>
        <w:rPr>
          <w:rFonts w:ascii="Times New Roman" w:eastAsia="Times New Roman" w:hAnsi="Times New Roman" w:cs="Times New Roman"/>
          <w:sz w:val="18"/>
          <w:szCs w:val="18"/>
        </w:rPr>
      </w:pPr>
    </w:p>
    <w:p w:rsidR="00DA2CF2" w:rsidRDefault="00DA2CF2" w:rsidP="004F01B7">
      <w:pPr>
        <w:spacing w:after="0" w:line="240" w:lineRule="auto"/>
        <w:jc w:val="both"/>
        <w:rPr>
          <w:rFonts w:ascii="Times New Roman" w:eastAsia="Times New Roman" w:hAnsi="Times New Roman" w:cs="Times New Roman"/>
          <w:sz w:val="18"/>
          <w:szCs w:val="18"/>
        </w:rPr>
      </w:pPr>
    </w:p>
    <w:p w:rsidR="00DA2CF2" w:rsidRDefault="00DA2CF2" w:rsidP="004F01B7">
      <w:pPr>
        <w:spacing w:after="0" w:line="240" w:lineRule="auto"/>
        <w:jc w:val="both"/>
        <w:rPr>
          <w:rFonts w:ascii="Times New Roman" w:eastAsia="Times New Roman" w:hAnsi="Times New Roman" w:cs="Times New Roman"/>
          <w:sz w:val="18"/>
          <w:szCs w:val="18"/>
        </w:rPr>
      </w:pPr>
    </w:p>
    <w:p w:rsidR="00DA2CF2" w:rsidRDefault="00DA2CF2" w:rsidP="004F01B7">
      <w:pPr>
        <w:spacing w:after="0" w:line="240" w:lineRule="auto"/>
        <w:jc w:val="both"/>
        <w:rPr>
          <w:rFonts w:ascii="Times New Roman" w:eastAsia="Times New Roman" w:hAnsi="Times New Roman" w:cs="Times New Roman"/>
          <w:sz w:val="18"/>
          <w:szCs w:val="18"/>
        </w:rPr>
      </w:pPr>
    </w:p>
    <w:p w:rsidR="00DA2CF2" w:rsidRDefault="00DA2CF2" w:rsidP="004F01B7">
      <w:pPr>
        <w:spacing w:after="0" w:line="240" w:lineRule="auto"/>
        <w:jc w:val="both"/>
        <w:rPr>
          <w:rFonts w:ascii="Times New Roman" w:eastAsia="Times New Roman" w:hAnsi="Times New Roman" w:cs="Times New Roman"/>
          <w:sz w:val="18"/>
          <w:szCs w:val="18"/>
        </w:rPr>
      </w:pPr>
    </w:p>
    <w:p w:rsidR="00DA2CF2" w:rsidRDefault="00DA2CF2" w:rsidP="004F01B7">
      <w:pPr>
        <w:spacing w:after="0" w:line="240" w:lineRule="auto"/>
        <w:jc w:val="both"/>
        <w:rPr>
          <w:rFonts w:ascii="Times New Roman" w:eastAsia="Times New Roman" w:hAnsi="Times New Roman" w:cs="Times New Roman"/>
          <w:sz w:val="18"/>
          <w:szCs w:val="18"/>
        </w:rPr>
      </w:pPr>
    </w:p>
    <w:p w:rsidR="00DA2CF2" w:rsidRDefault="00DA2CF2" w:rsidP="004F01B7">
      <w:pPr>
        <w:spacing w:after="0" w:line="240" w:lineRule="auto"/>
        <w:jc w:val="both"/>
        <w:rPr>
          <w:rFonts w:ascii="Times New Roman" w:eastAsia="Times New Roman" w:hAnsi="Times New Roman" w:cs="Times New Roman"/>
          <w:sz w:val="18"/>
          <w:szCs w:val="18"/>
        </w:rPr>
      </w:pPr>
    </w:p>
    <w:p w:rsidR="004F01B7" w:rsidRPr="004F01B7" w:rsidRDefault="000F2453" w:rsidP="004F01B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6A01E4">
        <w:rPr>
          <w:rFonts w:ascii="Times New Roman" w:eastAsia="Times New Roman" w:hAnsi="Times New Roman" w:cs="Times New Roman"/>
          <w:sz w:val="18"/>
          <w:szCs w:val="18"/>
        </w:rPr>
        <w:t>7</w:t>
      </w:r>
      <w:r w:rsidR="00B177F3">
        <w:rPr>
          <w:rFonts w:ascii="Times New Roman" w:eastAsia="Times New Roman" w:hAnsi="Times New Roman" w:cs="Times New Roman"/>
          <w:sz w:val="18"/>
          <w:szCs w:val="18"/>
        </w:rPr>
        <w:t>.</w:t>
      </w:r>
      <w:r w:rsidR="006A01E4">
        <w:rPr>
          <w:rFonts w:ascii="Times New Roman" w:eastAsia="Times New Roman" w:hAnsi="Times New Roman" w:cs="Times New Roman"/>
          <w:sz w:val="18"/>
          <w:szCs w:val="18"/>
        </w:rPr>
        <w:t>11</w:t>
      </w:r>
      <w:r w:rsidR="004F01B7" w:rsidRPr="004F01B7">
        <w:rPr>
          <w:rFonts w:ascii="Times New Roman" w:eastAsia="Times New Roman" w:hAnsi="Times New Roman" w:cs="Times New Roman"/>
          <w:sz w:val="18"/>
          <w:szCs w:val="18"/>
        </w:rPr>
        <w:t>.2012. 1</w:t>
      </w:r>
      <w:r w:rsidR="007D5DD6">
        <w:rPr>
          <w:rFonts w:ascii="Times New Roman" w:eastAsia="Times New Roman" w:hAnsi="Times New Roman" w:cs="Times New Roman"/>
          <w:sz w:val="18"/>
          <w:szCs w:val="18"/>
        </w:rPr>
        <w:t>0</w:t>
      </w:r>
      <w:r w:rsidR="004F01B7" w:rsidRPr="004F01B7">
        <w:rPr>
          <w:rFonts w:ascii="Times New Roman" w:eastAsia="Times New Roman" w:hAnsi="Times New Roman" w:cs="Times New Roman"/>
          <w:sz w:val="18"/>
          <w:szCs w:val="18"/>
        </w:rPr>
        <w:t>:30</w:t>
      </w:r>
    </w:p>
    <w:p w:rsidR="004F01B7" w:rsidRPr="004F01B7" w:rsidRDefault="004F01B7" w:rsidP="004F01B7">
      <w:pPr>
        <w:spacing w:after="0" w:line="240" w:lineRule="auto"/>
        <w:jc w:val="both"/>
        <w:rPr>
          <w:rFonts w:ascii="Times New Roman" w:eastAsia="Times New Roman" w:hAnsi="Times New Roman" w:cs="Times New Roman"/>
          <w:sz w:val="18"/>
          <w:szCs w:val="18"/>
        </w:rPr>
      </w:pPr>
      <w:r w:rsidRPr="004F01B7">
        <w:rPr>
          <w:rFonts w:ascii="Times New Roman" w:eastAsia="Times New Roman" w:hAnsi="Times New Roman" w:cs="Times New Roman"/>
          <w:sz w:val="18"/>
          <w:szCs w:val="18"/>
        </w:rPr>
        <w:fldChar w:fldCharType="begin"/>
      </w:r>
      <w:r w:rsidRPr="004F01B7">
        <w:rPr>
          <w:rFonts w:ascii="Times New Roman" w:eastAsia="Times New Roman" w:hAnsi="Times New Roman" w:cs="Times New Roman"/>
          <w:sz w:val="18"/>
          <w:szCs w:val="18"/>
        </w:rPr>
        <w:instrText xml:space="preserve"> NUMWORDS   \* MERGEFORMAT </w:instrText>
      </w:r>
      <w:r w:rsidRPr="004F01B7">
        <w:rPr>
          <w:rFonts w:ascii="Times New Roman" w:eastAsia="Times New Roman" w:hAnsi="Times New Roman" w:cs="Times New Roman"/>
          <w:sz w:val="18"/>
          <w:szCs w:val="18"/>
        </w:rPr>
        <w:fldChar w:fldCharType="separate"/>
      </w:r>
      <w:r w:rsidR="00BF75C8">
        <w:rPr>
          <w:rFonts w:ascii="Times New Roman" w:eastAsia="Times New Roman" w:hAnsi="Times New Roman" w:cs="Times New Roman"/>
          <w:noProof/>
          <w:sz w:val="18"/>
          <w:szCs w:val="18"/>
        </w:rPr>
        <w:t>1194</w:t>
      </w:r>
      <w:r w:rsidRPr="004F01B7">
        <w:rPr>
          <w:rFonts w:ascii="Times New Roman" w:eastAsia="Times New Roman" w:hAnsi="Times New Roman" w:cs="Times New Roman"/>
          <w:sz w:val="18"/>
          <w:szCs w:val="18"/>
        </w:rPr>
        <w:fldChar w:fldCharType="end"/>
      </w:r>
      <w:bookmarkStart w:id="0" w:name="_GoBack"/>
      <w:bookmarkEnd w:id="0"/>
    </w:p>
    <w:p w:rsidR="004F01B7" w:rsidRPr="004F01B7" w:rsidRDefault="004F01B7" w:rsidP="004F01B7">
      <w:pPr>
        <w:spacing w:after="0" w:line="240" w:lineRule="auto"/>
        <w:jc w:val="both"/>
        <w:rPr>
          <w:rFonts w:ascii="Times New Roman" w:eastAsia="Times New Roman" w:hAnsi="Times New Roman" w:cs="Times New Roman"/>
          <w:sz w:val="18"/>
          <w:szCs w:val="18"/>
        </w:rPr>
      </w:pPr>
      <w:r w:rsidRPr="004F01B7">
        <w:rPr>
          <w:rFonts w:ascii="Times New Roman" w:eastAsia="Times New Roman" w:hAnsi="Times New Roman" w:cs="Times New Roman"/>
          <w:sz w:val="18"/>
          <w:szCs w:val="18"/>
        </w:rPr>
        <w:t xml:space="preserve">Raivis </w:t>
      </w:r>
      <w:proofErr w:type="spellStart"/>
      <w:r w:rsidRPr="004F01B7">
        <w:rPr>
          <w:rFonts w:ascii="Times New Roman" w:eastAsia="Times New Roman" w:hAnsi="Times New Roman" w:cs="Times New Roman"/>
          <w:sz w:val="18"/>
          <w:szCs w:val="18"/>
        </w:rPr>
        <w:t>Čablis</w:t>
      </w:r>
      <w:proofErr w:type="spellEnd"/>
      <w:r w:rsidRPr="004F01B7">
        <w:rPr>
          <w:rFonts w:ascii="Times New Roman" w:eastAsia="Times New Roman" w:hAnsi="Times New Roman" w:cs="Times New Roman"/>
          <w:sz w:val="18"/>
          <w:szCs w:val="18"/>
        </w:rPr>
        <w:t>,</w:t>
      </w:r>
    </w:p>
    <w:p w:rsidR="004F01B7" w:rsidRPr="004F01B7" w:rsidRDefault="004F01B7" w:rsidP="004F01B7">
      <w:pPr>
        <w:spacing w:after="0" w:line="240" w:lineRule="auto"/>
        <w:jc w:val="both"/>
        <w:rPr>
          <w:rFonts w:ascii="Times New Roman" w:eastAsia="Times New Roman" w:hAnsi="Times New Roman" w:cs="Times New Roman"/>
          <w:sz w:val="18"/>
          <w:szCs w:val="18"/>
        </w:rPr>
      </w:pPr>
      <w:r w:rsidRPr="004F01B7">
        <w:rPr>
          <w:rFonts w:ascii="Times New Roman" w:eastAsia="Times New Roman" w:hAnsi="Times New Roman" w:cs="Times New Roman"/>
          <w:sz w:val="18"/>
          <w:szCs w:val="18"/>
        </w:rPr>
        <w:t>Finanšu ministrijas</w:t>
      </w:r>
    </w:p>
    <w:p w:rsidR="004F01B7" w:rsidRPr="004F01B7" w:rsidRDefault="004F01B7" w:rsidP="004F01B7">
      <w:pPr>
        <w:spacing w:after="0" w:line="240" w:lineRule="auto"/>
        <w:jc w:val="both"/>
        <w:rPr>
          <w:rFonts w:ascii="Times New Roman" w:eastAsia="Times New Roman" w:hAnsi="Times New Roman" w:cs="Times New Roman"/>
          <w:sz w:val="18"/>
          <w:szCs w:val="18"/>
        </w:rPr>
      </w:pPr>
      <w:r w:rsidRPr="004F01B7">
        <w:rPr>
          <w:rFonts w:ascii="Times New Roman" w:eastAsia="Times New Roman" w:hAnsi="Times New Roman" w:cs="Times New Roman"/>
          <w:sz w:val="18"/>
          <w:szCs w:val="18"/>
        </w:rPr>
        <w:t>Finanšu vadības un metodoloģijas departamenta</w:t>
      </w:r>
    </w:p>
    <w:p w:rsidR="004F01B7" w:rsidRPr="004F01B7" w:rsidRDefault="004F01B7" w:rsidP="004F01B7">
      <w:pPr>
        <w:spacing w:after="0" w:line="240" w:lineRule="auto"/>
        <w:jc w:val="both"/>
        <w:rPr>
          <w:rFonts w:ascii="Times New Roman" w:eastAsia="Times New Roman" w:hAnsi="Times New Roman" w:cs="Times New Roman"/>
          <w:sz w:val="18"/>
          <w:szCs w:val="18"/>
        </w:rPr>
      </w:pPr>
      <w:r w:rsidRPr="004F01B7">
        <w:rPr>
          <w:rFonts w:ascii="Times New Roman" w:eastAsia="Times New Roman" w:hAnsi="Times New Roman" w:cs="Times New Roman"/>
          <w:sz w:val="18"/>
          <w:szCs w:val="18"/>
        </w:rPr>
        <w:t>Budžeta metodoloģijas nodaļas vecākais eksperts</w:t>
      </w:r>
    </w:p>
    <w:p w:rsidR="004F01B7" w:rsidRPr="004F01B7" w:rsidRDefault="004F01B7" w:rsidP="004F01B7">
      <w:pPr>
        <w:spacing w:after="0" w:line="240" w:lineRule="auto"/>
        <w:jc w:val="both"/>
        <w:rPr>
          <w:rFonts w:ascii="Times New Roman" w:eastAsia="Times New Roman" w:hAnsi="Times New Roman" w:cs="Times New Roman"/>
          <w:sz w:val="18"/>
          <w:szCs w:val="18"/>
        </w:rPr>
      </w:pPr>
      <w:proofErr w:type="spellStart"/>
      <w:r w:rsidRPr="004F01B7">
        <w:rPr>
          <w:rFonts w:ascii="Times New Roman" w:eastAsia="Times New Roman" w:hAnsi="Times New Roman" w:cs="Times New Roman"/>
          <w:sz w:val="18"/>
          <w:szCs w:val="18"/>
        </w:rPr>
        <w:t>raivis.cablis@fm.gov.lv</w:t>
      </w:r>
      <w:proofErr w:type="spellEnd"/>
      <w:r w:rsidRPr="004F01B7">
        <w:rPr>
          <w:rFonts w:ascii="Times New Roman" w:eastAsia="Times New Roman" w:hAnsi="Times New Roman" w:cs="Times New Roman"/>
          <w:sz w:val="18"/>
          <w:szCs w:val="18"/>
        </w:rPr>
        <w:t>;</w:t>
      </w:r>
    </w:p>
    <w:p w:rsidR="00606BB9" w:rsidRPr="006D6481" w:rsidRDefault="004F01B7" w:rsidP="008A2B3D">
      <w:pPr>
        <w:spacing w:after="0" w:line="240" w:lineRule="auto"/>
        <w:jc w:val="both"/>
        <w:rPr>
          <w:sz w:val="24"/>
          <w:szCs w:val="24"/>
        </w:rPr>
      </w:pPr>
      <w:proofErr w:type="spellStart"/>
      <w:r w:rsidRPr="004F01B7">
        <w:rPr>
          <w:rFonts w:ascii="Times New Roman" w:eastAsia="Times New Roman" w:hAnsi="Times New Roman" w:cs="Times New Roman"/>
          <w:sz w:val="18"/>
          <w:szCs w:val="18"/>
        </w:rPr>
        <w:t>Tālr</w:t>
      </w:r>
      <w:proofErr w:type="spellEnd"/>
      <w:r w:rsidRPr="004F01B7">
        <w:rPr>
          <w:rFonts w:ascii="Times New Roman" w:eastAsia="Times New Roman" w:hAnsi="Times New Roman" w:cs="Times New Roman"/>
          <w:sz w:val="18"/>
          <w:szCs w:val="18"/>
        </w:rPr>
        <w:t>.: 67095498; fakss:67095541</w:t>
      </w:r>
    </w:p>
    <w:sectPr w:rsidR="00606BB9" w:rsidRPr="006D6481" w:rsidSect="00132670">
      <w:headerReference w:type="even" r:id="rId9"/>
      <w:headerReference w:type="default" r:id="rId10"/>
      <w:footerReference w:type="default" r:id="rId11"/>
      <w:footerReference w:type="first" r:id="rId12"/>
      <w:pgSz w:w="11906" w:h="16838"/>
      <w:pgMar w:top="1135" w:right="707" w:bottom="284" w:left="1418" w:header="709"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A5E" w:rsidRDefault="00D81A5E" w:rsidP="00132765">
      <w:pPr>
        <w:spacing w:after="0" w:line="240" w:lineRule="auto"/>
      </w:pPr>
      <w:r>
        <w:separator/>
      </w:r>
    </w:p>
  </w:endnote>
  <w:endnote w:type="continuationSeparator" w:id="0">
    <w:p w:rsidR="00D81A5E" w:rsidRDefault="00D81A5E" w:rsidP="0013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0" w:rsidRPr="004F01B7" w:rsidRDefault="004F01B7" w:rsidP="004F01B7">
    <w:pPr>
      <w:pStyle w:val="Footer"/>
      <w:jc w:val="both"/>
      <w:rPr>
        <w:sz w:val="18"/>
        <w:szCs w:val="18"/>
      </w:rPr>
    </w:pPr>
    <w:r w:rsidRPr="004F01B7">
      <w:rPr>
        <w:sz w:val="18"/>
        <w:szCs w:val="18"/>
      </w:rPr>
      <w:t>FMAnot_</w:t>
    </w:r>
    <w:r w:rsidR="004F0AC5">
      <w:rPr>
        <w:sz w:val="18"/>
        <w:szCs w:val="18"/>
      </w:rPr>
      <w:t>2108</w:t>
    </w:r>
    <w:r w:rsidRPr="004F01B7">
      <w:rPr>
        <w:sz w:val="18"/>
        <w:szCs w:val="18"/>
      </w:rPr>
      <w:t>2012; Ministru kabineta noteikumu projekta „„Kārtība, kādā nosakāms  maksimāli pieļaujamais valsts budžeta izdevumu kopapjoms un maksimāli pieļaujamais valsts budžeta izdevumu kopējais apjoms katrai ministrijai un citām centrālajām valsts iestādēm vidējam termiņam”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0" w:rsidRPr="002C0E78" w:rsidRDefault="00AB5627" w:rsidP="009635B7">
    <w:pPr>
      <w:pStyle w:val="Footer"/>
      <w:jc w:val="both"/>
      <w:rPr>
        <w:sz w:val="18"/>
        <w:szCs w:val="18"/>
      </w:rPr>
    </w:pPr>
    <w:r w:rsidRPr="002C0E78">
      <w:rPr>
        <w:sz w:val="18"/>
        <w:szCs w:val="18"/>
      </w:rPr>
      <w:t>FMAnot_</w:t>
    </w:r>
    <w:r w:rsidR="004F0AC5">
      <w:rPr>
        <w:sz w:val="18"/>
        <w:szCs w:val="18"/>
      </w:rPr>
      <w:t>2108</w:t>
    </w:r>
    <w:r w:rsidR="00B251BD">
      <w:rPr>
        <w:sz w:val="18"/>
        <w:szCs w:val="18"/>
      </w:rPr>
      <w:t>2012</w:t>
    </w:r>
    <w:r w:rsidRPr="002C0E78">
      <w:rPr>
        <w:sz w:val="18"/>
        <w:szCs w:val="18"/>
      </w:rPr>
      <w:t>; Ministru kabineta noteikumu projekta „</w:t>
    </w:r>
    <w:r w:rsidR="00B251BD" w:rsidRPr="00B251BD">
      <w:rPr>
        <w:sz w:val="18"/>
        <w:szCs w:val="18"/>
      </w:rPr>
      <w:t xml:space="preserve">„Kārtība, kādā nosakāms  maksimāli pieļaujamais valsts budžeta izdevumu kopapjoms un maksimāli pieļaujamais valsts budžeta izdevumu kopējais apjoms katrai ministrijai un citām centrālajām valsts iestādēm vidējam termiņam” </w:t>
    </w:r>
    <w:r w:rsidRPr="002C0E78">
      <w:rPr>
        <w:sz w:val="18"/>
        <w:szCs w:val="18"/>
      </w:rPr>
      <w:t>anotācija</w:t>
    </w:r>
  </w:p>
  <w:p w:rsidR="00405A00" w:rsidRPr="002C0E78" w:rsidRDefault="00D81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A5E" w:rsidRDefault="00D81A5E" w:rsidP="00132765">
      <w:pPr>
        <w:spacing w:after="0" w:line="240" w:lineRule="auto"/>
      </w:pPr>
      <w:r>
        <w:separator/>
      </w:r>
    </w:p>
  </w:footnote>
  <w:footnote w:type="continuationSeparator" w:id="0">
    <w:p w:rsidR="00D81A5E" w:rsidRDefault="00D81A5E" w:rsidP="00132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0" w:rsidRDefault="00AB5627" w:rsidP="00190F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5A00" w:rsidRDefault="00D81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0" w:rsidRPr="00DB073B" w:rsidRDefault="00AB5627"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Pr="00DB073B">
      <w:rPr>
        <w:rStyle w:val="PageNumber"/>
        <w:sz w:val="20"/>
        <w:szCs w:val="20"/>
      </w:rPr>
      <w:instrText xml:space="preserve">PAGE  </w:instrText>
    </w:r>
    <w:r w:rsidRPr="00DB073B">
      <w:rPr>
        <w:rStyle w:val="PageNumber"/>
        <w:sz w:val="20"/>
        <w:szCs w:val="20"/>
      </w:rPr>
      <w:fldChar w:fldCharType="separate"/>
    </w:r>
    <w:r w:rsidR="00BF75C8">
      <w:rPr>
        <w:rStyle w:val="PageNumber"/>
        <w:noProof/>
        <w:sz w:val="20"/>
        <w:szCs w:val="20"/>
      </w:rPr>
      <w:t>4</w:t>
    </w:r>
    <w:r w:rsidRPr="00DB073B">
      <w:rPr>
        <w:rStyle w:val="PageNumber"/>
        <w:sz w:val="20"/>
        <w:szCs w:val="20"/>
      </w:rPr>
      <w:fldChar w:fldCharType="end"/>
    </w:r>
  </w:p>
  <w:p w:rsidR="00405A00" w:rsidRDefault="00D81A5E" w:rsidP="00963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11A0"/>
    <w:multiLevelType w:val="hybridMultilevel"/>
    <w:tmpl w:val="16CE324C"/>
    <w:lvl w:ilvl="0" w:tplc="EB3E2A7A">
      <w:start w:val="1"/>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1">
    <w:nsid w:val="45865A89"/>
    <w:multiLevelType w:val="hybridMultilevel"/>
    <w:tmpl w:val="C95ED8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01A3865"/>
    <w:multiLevelType w:val="hybridMultilevel"/>
    <w:tmpl w:val="ED08ED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01"/>
    <w:rsid w:val="00014D2C"/>
    <w:rsid w:val="000176F1"/>
    <w:rsid w:val="000223E3"/>
    <w:rsid w:val="000479E7"/>
    <w:rsid w:val="000720B3"/>
    <w:rsid w:val="00091BCF"/>
    <w:rsid w:val="00093904"/>
    <w:rsid w:val="00095509"/>
    <w:rsid w:val="000B641A"/>
    <w:rsid w:val="000E0A15"/>
    <w:rsid w:val="000E6F85"/>
    <w:rsid w:val="000F2453"/>
    <w:rsid w:val="00105F39"/>
    <w:rsid w:val="00106827"/>
    <w:rsid w:val="00111FD0"/>
    <w:rsid w:val="00132670"/>
    <w:rsid w:val="00132765"/>
    <w:rsid w:val="001609AA"/>
    <w:rsid w:val="0016249B"/>
    <w:rsid w:val="0017436F"/>
    <w:rsid w:val="00175B76"/>
    <w:rsid w:val="00185E17"/>
    <w:rsid w:val="002263BF"/>
    <w:rsid w:val="00234FC0"/>
    <w:rsid w:val="00250FEC"/>
    <w:rsid w:val="00252C37"/>
    <w:rsid w:val="0025424B"/>
    <w:rsid w:val="00264F1F"/>
    <w:rsid w:val="00267D38"/>
    <w:rsid w:val="00271FD2"/>
    <w:rsid w:val="002858D3"/>
    <w:rsid w:val="00296B31"/>
    <w:rsid w:val="002C3C48"/>
    <w:rsid w:val="002E4C7D"/>
    <w:rsid w:val="0031541D"/>
    <w:rsid w:val="00321866"/>
    <w:rsid w:val="00347B41"/>
    <w:rsid w:val="00362D42"/>
    <w:rsid w:val="00396B13"/>
    <w:rsid w:val="003B6252"/>
    <w:rsid w:val="003C1740"/>
    <w:rsid w:val="003C45F0"/>
    <w:rsid w:val="003E4BA3"/>
    <w:rsid w:val="003E58A8"/>
    <w:rsid w:val="004151DF"/>
    <w:rsid w:val="004274D8"/>
    <w:rsid w:val="00461FC7"/>
    <w:rsid w:val="00466CC7"/>
    <w:rsid w:val="004C7FAF"/>
    <w:rsid w:val="004D1758"/>
    <w:rsid w:val="004E376E"/>
    <w:rsid w:val="004F01B7"/>
    <w:rsid w:val="004F0AC5"/>
    <w:rsid w:val="004F6153"/>
    <w:rsid w:val="00507CDA"/>
    <w:rsid w:val="00524C18"/>
    <w:rsid w:val="00527500"/>
    <w:rsid w:val="00554C60"/>
    <w:rsid w:val="0057265F"/>
    <w:rsid w:val="00576571"/>
    <w:rsid w:val="005C616C"/>
    <w:rsid w:val="005E65C4"/>
    <w:rsid w:val="005F63A1"/>
    <w:rsid w:val="00606BB9"/>
    <w:rsid w:val="00660FCD"/>
    <w:rsid w:val="006A01E4"/>
    <w:rsid w:val="006B58C7"/>
    <w:rsid w:val="006D22FE"/>
    <w:rsid w:val="006D6481"/>
    <w:rsid w:val="006E796A"/>
    <w:rsid w:val="006E7F01"/>
    <w:rsid w:val="00701F8E"/>
    <w:rsid w:val="00710690"/>
    <w:rsid w:val="00714048"/>
    <w:rsid w:val="0072307F"/>
    <w:rsid w:val="00732468"/>
    <w:rsid w:val="00747B15"/>
    <w:rsid w:val="00764FB9"/>
    <w:rsid w:val="00781281"/>
    <w:rsid w:val="007C72FA"/>
    <w:rsid w:val="007D5DD6"/>
    <w:rsid w:val="00803E08"/>
    <w:rsid w:val="008141DD"/>
    <w:rsid w:val="00856837"/>
    <w:rsid w:val="0087081E"/>
    <w:rsid w:val="00891F09"/>
    <w:rsid w:val="008A2B3D"/>
    <w:rsid w:val="008A436F"/>
    <w:rsid w:val="008A4916"/>
    <w:rsid w:val="008A67C1"/>
    <w:rsid w:val="008A6DF8"/>
    <w:rsid w:val="008D2688"/>
    <w:rsid w:val="008E5302"/>
    <w:rsid w:val="00935D97"/>
    <w:rsid w:val="00951BC9"/>
    <w:rsid w:val="00952B7C"/>
    <w:rsid w:val="00974A94"/>
    <w:rsid w:val="009A4FB6"/>
    <w:rsid w:val="009D25E1"/>
    <w:rsid w:val="009D6BBD"/>
    <w:rsid w:val="009E03D8"/>
    <w:rsid w:val="009E3715"/>
    <w:rsid w:val="00A057A6"/>
    <w:rsid w:val="00A325B5"/>
    <w:rsid w:val="00A92A2E"/>
    <w:rsid w:val="00A92B86"/>
    <w:rsid w:val="00AB5627"/>
    <w:rsid w:val="00AC405B"/>
    <w:rsid w:val="00AD06F2"/>
    <w:rsid w:val="00AD5C06"/>
    <w:rsid w:val="00AE48F8"/>
    <w:rsid w:val="00AF7FCA"/>
    <w:rsid w:val="00B177F3"/>
    <w:rsid w:val="00B251BD"/>
    <w:rsid w:val="00B5125E"/>
    <w:rsid w:val="00B65081"/>
    <w:rsid w:val="00B77434"/>
    <w:rsid w:val="00BB50A9"/>
    <w:rsid w:val="00BF1FDF"/>
    <w:rsid w:val="00BF75C8"/>
    <w:rsid w:val="00C10315"/>
    <w:rsid w:val="00C53296"/>
    <w:rsid w:val="00CA7427"/>
    <w:rsid w:val="00CD5FA6"/>
    <w:rsid w:val="00CF4E9D"/>
    <w:rsid w:val="00D10C18"/>
    <w:rsid w:val="00D211B5"/>
    <w:rsid w:val="00D3558A"/>
    <w:rsid w:val="00D366CF"/>
    <w:rsid w:val="00D64833"/>
    <w:rsid w:val="00D65971"/>
    <w:rsid w:val="00D66243"/>
    <w:rsid w:val="00D81A5E"/>
    <w:rsid w:val="00D832A6"/>
    <w:rsid w:val="00D952BA"/>
    <w:rsid w:val="00DA2CF2"/>
    <w:rsid w:val="00DA7177"/>
    <w:rsid w:val="00DC60A2"/>
    <w:rsid w:val="00DE0359"/>
    <w:rsid w:val="00DF539B"/>
    <w:rsid w:val="00E43692"/>
    <w:rsid w:val="00E459EE"/>
    <w:rsid w:val="00E636BC"/>
    <w:rsid w:val="00E86781"/>
    <w:rsid w:val="00E877AD"/>
    <w:rsid w:val="00EE266B"/>
    <w:rsid w:val="00F30C1D"/>
    <w:rsid w:val="00F33589"/>
    <w:rsid w:val="00F3596A"/>
    <w:rsid w:val="00F43674"/>
    <w:rsid w:val="00F5626A"/>
    <w:rsid w:val="00F56465"/>
    <w:rsid w:val="00F602F2"/>
    <w:rsid w:val="00F709C9"/>
    <w:rsid w:val="00F8101F"/>
    <w:rsid w:val="00F81CD4"/>
    <w:rsid w:val="00F85283"/>
    <w:rsid w:val="00FA4A09"/>
    <w:rsid w:val="00FC3AD2"/>
    <w:rsid w:val="00FC7443"/>
    <w:rsid w:val="00FD70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7F01"/>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6E7F01"/>
    <w:rPr>
      <w:rFonts w:ascii="Times New Roman" w:eastAsia="Times New Roman" w:hAnsi="Times New Roman" w:cs="Times New Roman"/>
      <w:sz w:val="24"/>
      <w:szCs w:val="24"/>
      <w:lang w:val="x-none" w:eastAsia="x-none"/>
    </w:rPr>
  </w:style>
  <w:style w:type="character" w:styleId="PageNumber">
    <w:name w:val="page number"/>
    <w:basedOn w:val="DefaultParagraphFont"/>
    <w:rsid w:val="006E7F01"/>
  </w:style>
  <w:style w:type="paragraph" w:styleId="Footer">
    <w:name w:val="footer"/>
    <w:basedOn w:val="Normal"/>
    <w:link w:val="FooterChar"/>
    <w:rsid w:val="006E7F01"/>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6E7F01"/>
    <w:rPr>
      <w:rFonts w:ascii="Times New Roman" w:eastAsia="Times New Roman" w:hAnsi="Times New Roman" w:cs="Times New Roman"/>
      <w:sz w:val="24"/>
      <w:szCs w:val="24"/>
      <w:lang w:eastAsia="lv-LV"/>
    </w:rPr>
  </w:style>
  <w:style w:type="character" w:styleId="Strong">
    <w:name w:val="Strong"/>
    <w:qFormat/>
    <w:rsid w:val="006E7F01"/>
    <w:rPr>
      <w:b/>
      <w:bCs/>
    </w:rPr>
  </w:style>
  <w:style w:type="character" w:styleId="CommentReference">
    <w:name w:val="annotation reference"/>
    <w:basedOn w:val="DefaultParagraphFont"/>
    <w:uiPriority w:val="99"/>
    <w:semiHidden/>
    <w:unhideWhenUsed/>
    <w:rsid w:val="00FD70CB"/>
    <w:rPr>
      <w:sz w:val="16"/>
      <w:szCs w:val="16"/>
    </w:rPr>
  </w:style>
  <w:style w:type="paragraph" w:styleId="CommentText">
    <w:name w:val="annotation text"/>
    <w:basedOn w:val="Normal"/>
    <w:link w:val="CommentTextChar"/>
    <w:uiPriority w:val="99"/>
    <w:semiHidden/>
    <w:unhideWhenUsed/>
    <w:rsid w:val="00FD70CB"/>
    <w:pPr>
      <w:spacing w:line="240" w:lineRule="auto"/>
    </w:pPr>
    <w:rPr>
      <w:sz w:val="20"/>
      <w:szCs w:val="20"/>
    </w:rPr>
  </w:style>
  <w:style w:type="character" w:customStyle="1" w:styleId="CommentTextChar">
    <w:name w:val="Comment Text Char"/>
    <w:basedOn w:val="DefaultParagraphFont"/>
    <w:link w:val="CommentText"/>
    <w:uiPriority w:val="99"/>
    <w:semiHidden/>
    <w:rsid w:val="00FD70CB"/>
    <w:rPr>
      <w:sz w:val="20"/>
      <w:szCs w:val="20"/>
    </w:rPr>
  </w:style>
  <w:style w:type="paragraph" w:styleId="CommentSubject">
    <w:name w:val="annotation subject"/>
    <w:basedOn w:val="CommentText"/>
    <w:next w:val="CommentText"/>
    <w:link w:val="CommentSubjectChar"/>
    <w:uiPriority w:val="99"/>
    <w:semiHidden/>
    <w:unhideWhenUsed/>
    <w:rsid w:val="00FD70CB"/>
    <w:rPr>
      <w:b/>
      <w:bCs/>
    </w:rPr>
  </w:style>
  <w:style w:type="character" w:customStyle="1" w:styleId="CommentSubjectChar">
    <w:name w:val="Comment Subject Char"/>
    <w:basedOn w:val="CommentTextChar"/>
    <w:link w:val="CommentSubject"/>
    <w:uiPriority w:val="99"/>
    <w:semiHidden/>
    <w:rsid w:val="00FD70CB"/>
    <w:rPr>
      <w:b/>
      <w:bCs/>
      <w:sz w:val="20"/>
      <w:szCs w:val="20"/>
    </w:rPr>
  </w:style>
  <w:style w:type="paragraph" w:styleId="BalloonText">
    <w:name w:val="Balloon Text"/>
    <w:basedOn w:val="Normal"/>
    <w:link w:val="BalloonTextChar"/>
    <w:uiPriority w:val="99"/>
    <w:semiHidden/>
    <w:unhideWhenUsed/>
    <w:rsid w:val="00FD7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0CB"/>
    <w:rPr>
      <w:rFonts w:ascii="Tahoma" w:hAnsi="Tahoma" w:cs="Tahoma"/>
      <w:sz w:val="16"/>
      <w:szCs w:val="16"/>
    </w:rPr>
  </w:style>
  <w:style w:type="paragraph" w:styleId="ListParagraph">
    <w:name w:val="List Paragraph"/>
    <w:basedOn w:val="Normal"/>
    <w:uiPriority w:val="34"/>
    <w:qFormat/>
    <w:rsid w:val="00AD0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7F01"/>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6E7F01"/>
    <w:rPr>
      <w:rFonts w:ascii="Times New Roman" w:eastAsia="Times New Roman" w:hAnsi="Times New Roman" w:cs="Times New Roman"/>
      <w:sz w:val="24"/>
      <w:szCs w:val="24"/>
      <w:lang w:val="x-none" w:eastAsia="x-none"/>
    </w:rPr>
  </w:style>
  <w:style w:type="character" w:styleId="PageNumber">
    <w:name w:val="page number"/>
    <w:basedOn w:val="DefaultParagraphFont"/>
    <w:rsid w:val="006E7F01"/>
  </w:style>
  <w:style w:type="paragraph" w:styleId="Footer">
    <w:name w:val="footer"/>
    <w:basedOn w:val="Normal"/>
    <w:link w:val="FooterChar"/>
    <w:rsid w:val="006E7F01"/>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6E7F01"/>
    <w:rPr>
      <w:rFonts w:ascii="Times New Roman" w:eastAsia="Times New Roman" w:hAnsi="Times New Roman" w:cs="Times New Roman"/>
      <w:sz w:val="24"/>
      <w:szCs w:val="24"/>
      <w:lang w:eastAsia="lv-LV"/>
    </w:rPr>
  </w:style>
  <w:style w:type="character" w:styleId="Strong">
    <w:name w:val="Strong"/>
    <w:qFormat/>
    <w:rsid w:val="006E7F01"/>
    <w:rPr>
      <w:b/>
      <w:bCs/>
    </w:rPr>
  </w:style>
  <w:style w:type="character" w:styleId="CommentReference">
    <w:name w:val="annotation reference"/>
    <w:basedOn w:val="DefaultParagraphFont"/>
    <w:uiPriority w:val="99"/>
    <w:semiHidden/>
    <w:unhideWhenUsed/>
    <w:rsid w:val="00FD70CB"/>
    <w:rPr>
      <w:sz w:val="16"/>
      <w:szCs w:val="16"/>
    </w:rPr>
  </w:style>
  <w:style w:type="paragraph" w:styleId="CommentText">
    <w:name w:val="annotation text"/>
    <w:basedOn w:val="Normal"/>
    <w:link w:val="CommentTextChar"/>
    <w:uiPriority w:val="99"/>
    <w:semiHidden/>
    <w:unhideWhenUsed/>
    <w:rsid w:val="00FD70CB"/>
    <w:pPr>
      <w:spacing w:line="240" w:lineRule="auto"/>
    </w:pPr>
    <w:rPr>
      <w:sz w:val="20"/>
      <w:szCs w:val="20"/>
    </w:rPr>
  </w:style>
  <w:style w:type="character" w:customStyle="1" w:styleId="CommentTextChar">
    <w:name w:val="Comment Text Char"/>
    <w:basedOn w:val="DefaultParagraphFont"/>
    <w:link w:val="CommentText"/>
    <w:uiPriority w:val="99"/>
    <w:semiHidden/>
    <w:rsid w:val="00FD70CB"/>
    <w:rPr>
      <w:sz w:val="20"/>
      <w:szCs w:val="20"/>
    </w:rPr>
  </w:style>
  <w:style w:type="paragraph" w:styleId="CommentSubject">
    <w:name w:val="annotation subject"/>
    <w:basedOn w:val="CommentText"/>
    <w:next w:val="CommentText"/>
    <w:link w:val="CommentSubjectChar"/>
    <w:uiPriority w:val="99"/>
    <w:semiHidden/>
    <w:unhideWhenUsed/>
    <w:rsid w:val="00FD70CB"/>
    <w:rPr>
      <w:b/>
      <w:bCs/>
    </w:rPr>
  </w:style>
  <w:style w:type="character" w:customStyle="1" w:styleId="CommentSubjectChar">
    <w:name w:val="Comment Subject Char"/>
    <w:basedOn w:val="CommentTextChar"/>
    <w:link w:val="CommentSubject"/>
    <w:uiPriority w:val="99"/>
    <w:semiHidden/>
    <w:rsid w:val="00FD70CB"/>
    <w:rPr>
      <w:b/>
      <w:bCs/>
      <w:sz w:val="20"/>
      <w:szCs w:val="20"/>
    </w:rPr>
  </w:style>
  <w:style w:type="paragraph" w:styleId="BalloonText">
    <w:name w:val="Balloon Text"/>
    <w:basedOn w:val="Normal"/>
    <w:link w:val="BalloonTextChar"/>
    <w:uiPriority w:val="99"/>
    <w:semiHidden/>
    <w:unhideWhenUsed/>
    <w:rsid w:val="00FD7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0CB"/>
    <w:rPr>
      <w:rFonts w:ascii="Tahoma" w:hAnsi="Tahoma" w:cs="Tahoma"/>
      <w:sz w:val="16"/>
      <w:szCs w:val="16"/>
    </w:rPr>
  </w:style>
  <w:style w:type="paragraph" w:styleId="ListParagraph">
    <w:name w:val="List Paragraph"/>
    <w:basedOn w:val="Normal"/>
    <w:uiPriority w:val="34"/>
    <w:qFormat/>
    <w:rsid w:val="00AD0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5944">
      <w:bodyDiv w:val="1"/>
      <w:marLeft w:val="0"/>
      <w:marRight w:val="0"/>
      <w:marTop w:val="0"/>
      <w:marBottom w:val="0"/>
      <w:divBdr>
        <w:top w:val="none" w:sz="0" w:space="0" w:color="auto"/>
        <w:left w:val="none" w:sz="0" w:space="0" w:color="auto"/>
        <w:bottom w:val="none" w:sz="0" w:space="0" w:color="auto"/>
        <w:right w:val="none" w:sz="0" w:space="0" w:color="auto"/>
      </w:divBdr>
    </w:div>
    <w:div w:id="1728603971">
      <w:bodyDiv w:val="1"/>
      <w:marLeft w:val="0"/>
      <w:marRight w:val="0"/>
      <w:marTop w:val="0"/>
      <w:marBottom w:val="0"/>
      <w:divBdr>
        <w:top w:val="none" w:sz="0" w:space="0" w:color="auto"/>
        <w:left w:val="none" w:sz="0" w:space="0" w:color="auto"/>
        <w:bottom w:val="none" w:sz="0" w:space="0" w:color="auto"/>
        <w:right w:val="none" w:sz="0" w:space="0" w:color="auto"/>
      </w:divBdr>
    </w:div>
    <w:div w:id="2013139011">
      <w:bodyDiv w:val="1"/>
      <w:marLeft w:val="0"/>
      <w:marRight w:val="0"/>
      <w:marTop w:val="0"/>
      <w:marBottom w:val="0"/>
      <w:divBdr>
        <w:top w:val="none" w:sz="0" w:space="0" w:color="auto"/>
        <w:left w:val="none" w:sz="0" w:space="0" w:color="auto"/>
        <w:bottom w:val="none" w:sz="0" w:space="0" w:color="auto"/>
        <w:right w:val="none" w:sz="0" w:space="0" w:color="auto"/>
      </w:divBdr>
    </w:div>
    <w:div w:id="20828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EBA0-4C8D-4431-B180-37A8C1BF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1211</Words>
  <Characters>8675</Characters>
  <Application>Microsoft Office Word</Application>
  <DocSecurity>0</DocSecurity>
  <Lines>228</Lines>
  <Paragraphs>83</Paragraphs>
  <ScaleCrop>false</ScaleCrop>
  <HeadingPairs>
    <vt:vector size="2" baseType="variant">
      <vt:variant>
        <vt:lpstr>Title</vt:lpstr>
      </vt:variant>
      <vt:variant>
        <vt:i4>1</vt:i4>
      </vt:variant>
    </vt:vector>
  </HeadingPairs>
  <TitlesOfParts>
    <vt:vector size="1" baseType="lpstr">
      <vt:lpstr>Ministru kabineta noteikumu projekta „Kārtība, kādā nosakāms maksimāli pieļaujamais valsts budžeta izdevumu kopapjoms un maksimāli pieļaujamais valsts budžeta izdevumu kopējais apjoms katrai ministrijai un citai centrālajai valsts iestādei vidējam termiņa</vt:lpstr>
    </vt:vector>
  </TitlesOfParts>
  <Company>Finanšu ministrija</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nosakāms maksimāli pieļaujamais valsts budžeta izdevumu kopapjoms un maksimāli pieļaujamais valsts budžeta izdevumu kopējais apjoms katrai ministrijai un citai centrālajai valsts iestādei vidējam termiņam” sākotnējās ietekmes novērtējuma ziņojums (anotācija)</dc:title>
  <dc:subject>Anotācija</dc:subject>
  <dc:creator>Raivis Čablis</dc:creator>
  <dc:description>67095498
raivis.cablis@fm.gov.lv;</dc:description>
  <cp:lastModifiedBy>Windows User</cp:lastModifiedBy>
  <cp:revision>13</cp:revision>
  <dcterms:created xsi:type="dcterms:W3CDTF">2012-11-26T14:44:00Z</dcterms:created>
  <dcterms:modified xsi:type="dcterms:W3CDTF">2012-12-05T06:57:00Z</dcterms:modified>
</cp:coreProperties>
</file>