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507" w:rsidRDefault="00582507" w:rsidP="00582507">
      <w:pPr>
        <w:pStyle w:val="naisc"/>
        <w:spacing w:before="0" w:after="0"/>
        <w:rPr>
          <w:b/>
          <w:bCs/>
          <w:sz w:val="28"/>
          <w:szCs w:val="28"/>
        </w:rPr>
      </w:pPr>
      <w:r>
        <w:rPr>
          <w:b/>
          <w:bCs/>
          <w:sz w:val="28"/>
          <w:szCs w:val="28"/>
        </w:rPr>
        <w:t>Likumprojekta</w:t>
      </w:r>
    </w:p>
    <w:p w:rsidR="00582507" w:rsidRDefault="00582507" w:rsidP="00582507">
      <w:pPr>
        <w:pStyle w:val="naisc"/>
        <w:spacing w:before="0" w:after="0"/>
        <w:rPr>
          <w:b/>
          <w:bCs/>
          <w:sz w:val="28"/>
          <w:szCs w:val="28"/>
        </w:rPr>
      </w:pPr>
      <w:r>
        <w:rPr>
          <w:b/>
          <w:bCs/>
          <w:sz w:val="28"/>
          <w:szCs w:val="28"/>
        </w:rPr>
        <w:t>„Grozījumi likumā „Par uzņēmumu ienākuma nodokli””</w:t>
      </w:r>
      <w:r w:rsidRPr="00F11D8F">
        <w:rPr>
          <w:b/>
          <w:bCs/>
          <w:sz w:val="28"/>
          <w:szCs w:val="28"/>
        </w:rPr>
        <w:t> </w:t>
      </w:r>
    </w:p>
    <w:p w:rsidR="00582507" w:rsidRDefault="00582507" w:rsidP="00582507">
      <w:pPr>
        <w:pStyle w:val="naisc"/>
        <w:spacing w:before="0" w:after="0"/>
        <w:rPr>
          <w:b/>
          <w:bCs/>
          <w:sz w:val="28"/>
          <w:szCs w:val="28"/>
        </w:rPr>
      </w:pPr>
      <w:r w:rsidRPr="00F11D8F">
        <w:rPr>
          <w:b/>
          <w:bCs/>
          <w:sz w:val="28"/>
          <w:szCs w:val="28"/>
        </w:rPr>
        <w:t>anotācija</w:t>
      </w:r>
    </w:p>
    <w:p w:rsidR="00582507" w:rsidRPr="00F11D8F" w:rsidRDefault="00582507" w:rsidP="00582507">
      <w:pPr>
        <w:pStyle w:val="naisc"/>
        <w:spacing w:before="0" w:after="0"/>
        <w:rPr>
          <w:b/>
          <w:bCs/>
          <w:sz w:val="28"/>
          <w:szCs w:val="28"/>
        </w:rPr>
      </w:pPr>
    </w:p>
    <w:tbl>
      <w:tblPr>
        <w:tblW w:w="5000" w:type="pct"/>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tblPr>
      <w:tblGrid>
        <w:gridCol w:w="3018"/>
        <w:gridCol w:w="6263"/>
      </w:tblGrid>
      <w:tr w:rsidR="00582507" w:rsidTr="00BE4701">
        <w:tc>
          <w:tcPr>
            <w:tcW w:w="0" w:type="auto"/>
            <w:gridSpan w:val="2"/>
            <w:tcBorders>
              <w:top w:val="outset" w:sz="6" w:space="0" w:color="auto"/>
              <w:left w:val="outset" w:sz="6" w:space="0" w:color="auto"/>
              <w:bottom w:val="outset" w:sz="6" w:space="0" w:color="auto"/>
              <w:right w:val="outset" w:sz="6" w:space="0" w:color="auto"/>
            </w:tcBorders>
            <w:vAlign w:val="center"/>
          </w:tcPr>
          <w:p w:rsidR="00582507" w:rsidRPr="00F11D8F" w:rsidRDefault="00582507" w:rsidP="00BE4701">
            <w:pPr>
              <w:pStyle w:val="naisc"/>
              <w:spacing w:before="0" w:after="0"/>
              <w:rPr>
                <w:sz w:val="28"/>
                <w:szCs w:val="28"/>
              </w:rPr>
            </w:pPr>
            <w:r w:rsidRPr="00F11D8F">
              <w:rPr>
                <w:b/>
                <w:bCs/>
                <w:sz w:val="28"/>
                <w:szCs w:val="28"/>
              </w:rPr>
              <w:t xml:space="preserve">I. Kādēļ normatīvais </w:t>
            </w:r>
            <w:smartTag w:uri="schemas-tilde-lv/tildestengine" w:element="veidnes">
              <w:smartTagPr>
                <w:attr w:name="text" w:val="akts"/>
                <w:attr w:name="baseform" w:val="akts"/>
                <w:attr w:name="id" w:val="-1"/>
              </w:smartTagPr>
              <w:r w:rsidRPr="00F11D8F">
                <w:rPr>
                  <w:b/>
                  <w:bCs/>
                  <w:sz w:val="28"/>
                  <w:szCs w:val="28"/>
                </w:rPr>
                <w:t>akts</w:t>
              </w:r>
            </w:smartTag>
            <w:r w:rsidRPr="00F11D8F">
              <w:rPr>
                <w:b/>
                <w:bCs/>
                <w:sz w:val="28"/>
                <w:szCs w:val="28"/>
              </w:rPr>
              <w:t xml:space="preserve"> ir vajadzīgs</w:t>
            </w:r>
          </w:p>
        </w:tc>
      </w:tr>
      <w:tr w:rsidR="00582507" w:rsidTr="00BE4701">
        <w:tc>
          <w:tcPr>
            <w:tcW w:w="1626" w:type="pct"/>
            <w:tcBorders>
              <w:top w:val="outset" w:sz="6" w:space="0" w:color="auto"/>
              <w:left w:val="outset" w:sz="6" w:space="0" w:color="auto"/>
              <w:bottom w:val="outset" w:sz="6" w:space="0" w:color="auto"/>
              <w:right w:val="outset" w:sz="6" w:space="0" w:color="auto"/>
            </w:tcBorders>
          </w:tcPr>
          <w:p w:rsidR="00582507" w:rsidRDefault="00582507" w:rsidP="00BE4701">
            <w:pPr>
              <w:pStyle w:val="naisf"/>
              <w:spacing w:before="0" w:after="0"/>
              <w:ind w:firstLine="0"/>
              <w:jc w:val="left"/>
            </w:pPr>
            <w:r>
              <w:t>1. Atsauce uz Deklarāciju par Ministru kabineta iecerēto darbību, politikas plānošanas dokumentu un citiem dokumentiem, kuros dots uzdevums izstrādāt normatīvā akta projektu</w:t>
            </w:r>
          </w:p>
        </w:tc>
        <w:tc>
          <w:tcPr>
            <w:tcW w:w="3374" w:type="pct"/>
            <w:tcBorders>
              <w:top w:val="outset" w:sz="6" w:space="0" w:color="auto"/>
              <w:left w:val="outset" w:sz="6" w:space="0" w:color="auto"/>
              <w:bottom w:val="outset" w:sz="6" w:space="0" w:color="auto"/>
              <w:right w:val="outset" w:sz="6" w:space="0" w:color="auto"/>
            </w:tcBorders>
          </w:tcPr>
          <w:p w:rsidR="00582507" w:rsidRDefault="00582507" w:rsidP="00BE4701">
            <w:pPr>
              <w:pStyle w:val="Default"/>
              <w:spacing w:before="60" w:after="60"/>
              <w:ind w:firstLine="384"/>
              <w:jc w:val="both"/>
              <w:rPr>
                <w:bCs/>
              </w:rPr>
            </w:pPr>
            <w:bookmarkStart w:id="0" w:name="a"/>
            <w:bookmarkEnd w:id="0"/>
            <w:r>
              <w:rPr>
                <w:bCs/>
              </w:rPr>
              <w:t>Ministru kabineta 2009.gada 29.septembra sēdes protokola Nr.63 45.§ „Par veicamajiem pasākumiem nodokļu politikas pārskatīšanai ekonomikas stimulēšanai” 3.uzdevums paredz pārskatīt uzņēmumu ienākuma nodokļa avansa maksājumu kārtību.</w:t>
            </w:r>
          </w:p>
          <w:p w:rsidR="00582507" w:rsidRDefault="00582507" w:rsidP="00BE4701">
            <w:pPr>
              <w:pStyle w:val="Default"/>
              <w:spacing w:before="60" w:after="60"/>
              <w:ind w:firstLine="384"/>
              <w:jc w:val="both"/>
              <w:rPr>
                <w:bCs/>
              </w:rPr>
            </w:pPr>
            <w:r>
              <w:rPr>
                <w:bCs/>
              </w:rPr>
              <w:t>Ministru kabineta 2009.gada 3.oktobra sēdes protokola Nr.66 6.§ „Par 2010.gada valsts budžeta izdevumu samazināšanas virzieniem TA – 3392-IP” 2.4.uzdevums paredz samazināt reprezentācijas izdevumu normu, ko drīkst atskaitīt no apliekamā ienākuma, no 60% uz 40%, kā arī mainīt nodokļa piemērošanas kārtību ar saimniecisko darbību nesaistītiem izdevumiem, piemērojot tiem līdzvērtīgu nodokļa slogu kā iedzīvotāju ienākuma nodokļa ienākumiem.</w:t>
            </w:r>
          </w:p>
          <w:p w:rsidR="00582507" w:rsidRPr="00117DA5" w:rsidRDefault="00582507" w:rsidP="00BE4701">
            <w:pPr>
              <w:pStyle w:val="Default"/>
              <w:spacing w:before="60" w:after="60"/>
              <w:ind w:firstLine="384"/>
              <w:jc w:val="both"/>
              <w:rPr>
                <w:color w:val="FF0000"/>
              </w:rPr>
            </w:pPr>
            <w:r>
              <w:rPr>
                <w:bCs/>
              </w:rPr>
              <w:t>Deklarācijā</w:t>
            </w:r>
            <w:r w:rsidRPr="00DA02F6">
              <w:rPr>
                <w:bCs/>
              </w:rPr>
              <w:t xml:space="preserve"> par Valda </w:t>
            </w:r>
            <w:proofErr w:type="spellStart"/>
            <w:r w:rsidRPr="00DA02F6">
              <w:rPr>
                <w:bCs/>
              </w:rPr>
              <w:t>Dombrovska</w:t>
            </w:r>
            <w:proofErr w:type="spellEnd"/>
            <w:r w:rsidRPr="00DA02F6">
              <w:rPr>
                <w:bCs/>
              </w:rPr>
              <w:t xml:space="preserve"> vadītā Ministru kabineta iecerēto darbību </w:t>
            </w:r>
            <w:r>
              <w:rPr>
                <w:bCs/>
              </w:rPr>
              <w:t xml:space="preserve">dotais </w:t>
            </w:r>
            <w:r w:rsidRPr="00DA02F6">
              <w:rPr>
                <w:bCs/>
              </w:rPr>
              <w:t>7.2.6.</w:t>
            </w:r>
            <w:r>
              <w:rPr>
                <w:bCs/>
              </w:rPr>
              <w:t xml:space="preserve">uzdevums </w:t>
            </w:r>
            <w:r w:rsidRPr="00E97876">
              <w:rPr>
                <w:bCs/>
              </w:rPr>
              <w:t>paredz samazināt administratīvo slogu un vienkāršot mazo un vidējo uzņēmumu darbības regulējumu.</w:t>
            </w:r>
          </w:p>
        </w:tc>
      </w:tr>
      <w:tr w:rsidR="00582507" w:rsidTr="00BE4701">
        <w:tc>
          <w:tcPr>
            <w:tcW w:w="1626" w:type="pct"/>
            <w:tcBorders>
              <w:top w:val="outset" w:sz="6" w:space="0" w:color="auto"/>
              <w:left w:val="outset" w:sz="6" w:space="0" w:color="auto"/>
              <w:bottom w:val="outset" w:sz="6" w:space="0" w:color="auto"/>
              <w:right w:val="outset" w:sz="6" w:space="0" w:color="auto"/>
            </w:tcBorders>
          </w:tcPr>
          <w:p w:rsidR="00582507" w:rsidRDefault="00582507" w:rsidP="00BE4701">
            <w:pPr>
              <w:pStyle w:val="naisf"/>
              <w:spacing w:before="0" w:after="0"/>
              <w:ind w:firstLine="0"/>
              <w:jc w:val="left"/>
            </w:pPr>
            <w:r>
              <w:t xml:space="preserve">2. Pašreizējās situācijas raksturojums </w:t>
            </w:r>
          </w:p>
          <w:p w:rsidR="00582507" w:rsidRDefault="00582507" w:rsidP="00BE4701">
            <w:pPr>
              <w:pStyle w:val="naisf"/>
              <w:spacing w:before="0" w:after="0"/>
              <w:ind w:firstLine="0"/>
              <w:jc w:val="left"/>
            </w:pPr>
          </w:p>
          <w:p w:rsidR="00582507" w:rsidRDefault="00582507" w:rsidP="00BE4701">
            <w:pPr>
              <w:pStyle w:val="naisf"/>
              <w:spacing w:before="0" w:after="0"/>
              <w:ind w:firstLine="0"/>
              <w:jc w:val="left"/>
            </w:pPr>
          </w:p>
        </w:tc>
        <w:tc>
          <w:tcPr>
            <w:tcW w:w="3374" w:type="pct"/>
            <w:tcBorders>
              <w:top w:val="outset" w:sz="6" w:space="0" w:color="auto"/>
              <w:left w:val="outset" w:sz="6" w:space="0" w:color="auto"/>
              <w:bottom w:val="outset" w:sz="6" w:space="0" w:color="auto"/>
              <w:right w:val="outset" w:sz="6" w:space="0" w:color="auto"/>
            </w:tcBorders>
          </w:tcPr>
          <w:p w:rsidR="00582507" w:rsidRPr="000325F8" w:rsidRDefault="00582507" w:rsidP="00BE4701">
            <w:pPr>
              <w:pStyle w:val="BodyText"/>
              <w:spacing w:after="0"/>
              <w:ind w:firstLine="384"/>
              <w:jc w:val="both"/>
              <w:rPr>
                <w:u w:val="single"/>
              </w:rPr>
            </w:pPr>
            <w:r w:rsidRPr="000325F8">
              <w:rPr>
                <w:u w:val="single"/>
              </w:rPr>
              <w:t>Ar saimniecisko darbību nesaistītie izdevumi</w:t>
            </w:r>
          </w:p>
          <w:p w:rsidR="00582507" w:rsidRDefault="00582507" w:rsidP="00BE4701">
            <w:pPr>
              <w:pStyle w:val="BodyText"/>
              <w:spacing w:after="0"/>
              <w:ind w:firstLine="384"/>
              <w:jc w:val="both"/>
            </w:pPr>
            <w:r w:rsidRPr="000325F8">
              <w:t xml:space="preserve">Likuma </w:t>
            </w:r>
            <w:r>
              <w:t xml:space="preserve">„Par uzņēmumu ienākuma nodokli” (turpmāk – likums) </w:t>
            </w:r>
            <w:r w:rsidRPr="000325F8">
              <w:t xml:space="preserve">normas paredz palielināt ar uzņēmumu ienākuma nodokli apliekamo ienākumu par izdevumiem, kas nav saistīti ar saimniecisko darbību. </w:t>
            </w:r>
            <w:r>
              <w:t xml:space="preserve">Komercsabiedrību un uzņēmumu īpašniekiem, valdes locekļiem un </w:t>
            </w:r>
            <w:r w:rsidRPr="000325F8">
              <w:t xml:space="preserve">darbiniekiem </w:t>
            </w:r>
            <w:r>
              <w:t xml:space="preserve">bieži </w:t>
            </w:r>
            <w:r w:rsidRPr="000325F8">
              <w:t xml:space="preserve">tiek piešķirti labumi, kurus </w:t>
            </w:r>
            <w:r>
              <w:t>grūti sasaistīt ar kādu noteiktu personu</w:t>
            </w:r>
            <w:r w:rsidRPr="000325F8">
              <w:t xml:space="preserve">, </w:t>
            </w:r>
            <w:r>
              <w:t xml:space="preserve">bet kurus var uzskatīt par netiešu atlīdzību personai. </w:t>
            </w:r>
            <w:r w:rsidRPr="000325F8">
              <w:t xml:space="preserve">Ņemot vērā, ka atlīdzība par veikto darbu ir apliekama ar </w:t>
            </w:r>
            <w:r>
              <w:t xml:space="preserve">iedzīvotāju ienākuma nodokli ar 23% likmi, </w:t>
            </w:r>
            <w:r w:rsidRPr="000325F8">
              <w:t>tad</w:t>
            </w:r>
            <w:r>
              <w:t xml:space="preserve">, </w:t>
            </w:r>
            <w:r w:rsidRPr="000325F8">
              <w:t>palielinot ar uzņēmumu ienākuma nodokli apliekamo ienākumu</w:t>
            </w:r>
            <w:r>
              <w:t xml:space="preserve"> par šādiem izdevumiem un apliekot to ar uzņēmumu ienākuma nodokli ar 15% likmi, veidojas nevienlīdzība pēc būtības vienādu ienākumu no dažādiem avotiem aplikšanā ar ienākumu nodokļiem. Tā kā grozījumi likumā „Par iedzīvotāju ienākuma nodokli” paredzēs ar iedzīvotāju ienākuma nodokli aplikt dividendes, tad šāda pati situācija var veidoties gadījumos, kad persona iespējamās dividendes saņems citu, netiešu, labumu veidā.</w:t>
            </w:r>
            <w:r w:rsidRPr="000325F8">
              <w:t xml:space="preserve"> </w:t>
            </w:r>
            <w:r>
              <w:t>Lai novērstu šādu situāciju, attiecībā uz</w:t>
            </w:r>
            <w:r w:rsidRPr="000325F8">
              <w:t xml:space="preserve"> izdevumiem, kas nav saistīti ar saimniecisko darbību</w:t>
            </w:r>
            <w:r>
              <w:t>,</w:t>
            </w:r>
            <w:r w:rsidRPr="000325F8">
              <w:t xml:space="preserve"> </w:t>
            </w:r>
            <w:r>
              <w:t>jāpiemēro</w:t>
            </w:r>
            <w:r w:rsidRPr="000325F8">
              <w:t xml:space="preserve"> </w:t>
            </w:r>
            <w:r>
              <w:t xml:space="preserve">uzņēmumu ienākuma </w:t>
            </w:r>
            <w:r w:rsidRPr="000325F8">
              <w:t xml:space="preserve">nodokļa likmi, kas būtu līdzvērtīga iedzīvotāju ienākuma nodokļa </w:t>
            </w:r>
            <w:r>
              <w:t>likmei.</w:t>
            </w:r>
          </w:p>
          <w:p w:rsidR="00582507" w:rsidRPr="000325F8" w:rsidRDefault="00582507" w:rsidP="00BE4701">
            <w:pPr>
              <w:pStyle w:val="BodyText"/>
              <w:spacing w:after="0"/>
              <w:ind w:firstLine="384"/>
              <w:jc w:val="both"/>
              <w:rPr>
                <w:u w:val="single"/>
              </w:rPr>
            </w:pPr>
            <w:r w:rsidRPr="000325F8">
              <w:rPr>
                <w:u w:val="single"/>
              </w:rPr>
              <w:t>Reprezentācijas izdevumi</w:t>
            </w:r>
          </w:p>
          <w:p w:rsidR="00582507" w:rsidRPr="004B64C7" w:rsidRDefault="00582507" w:rsidP="00BE4701">
            <w:pPr>
              <w:pStyle w:val="BodyText"/>
              <w:spacing w:after="0"/>
              <w:ind w:firstLine="384"/>
              <w:jc w:val="both"/>
            </w:pPr>
            <w:r w:rsidRPr="000325F8">
              <w:t xml:space="preserve">Likuma normas paredz palielināt ar uzņēmumu ienākuma nodokli apliekamo ienākumu 40% apmērā no reprezentācijas </w:t>
            </w:r>
            <w:r w:rsidRPr="000325F8">
              <w:lastRenderedPageBreak/>
              <w:t xml:space="preserve">izdevumiem. </w:t>
            </w:r>
            <w:r>
              <w:t xml:space="preserve">Reprezentācijas izdevumi ir viena no iespējām uzņēmumu īpašniekiem gūt netiešu labumu no tā, maksājot minimālu nodokli. Tā kā ir paredzēts aplikt dividendes ar iedzīvotāju ienākuma nodokli, tad palielinās iespēja, ka šis ienākuma gūšanas avots tiks plašāk izmantots. Tomēr reprezentācijas izdevumus nevar izslēgt pilnā apjomā no uzņēmējdarbības attaisnoto izdevumu loka. Tāpēc šajā gadījumā ir izvēlēts variants, ka tiek palielināta reprezentācijas izdevumu procentuālā daļa, ko apliek ar uzņēmumu ienākuma nodokli. </w:t>
            </w:r>
          </w:p>
          <w:p w:rsidR="00582507" w:rsidRPr="000325F8" w:rsidRDefault="00582507" w:rsidP="00BE4701">
            <w:pPr>
              <w:pStyle w:val="BodyText"/>
              <w:spacing w:after="0"/>
              <w:ind w:firstLine="384"/>
              <w:jc w:val="both"/>
              <w:rPr>
                <w:u w:val="single"/>
              </w:rPr>
            </w:pPr>
            <w:r w:rsidRPr="000325F8">
              <w:rPr>
                <w:u w:val="single"/>
              </w:rPr>
              <w:t xml:space="preserve">Darbība īpaši atbalstāmajā teritorijā </w:t>
            </w:r>
          </w:p>
          <w:p w:rsidR="00582507" w:rsidRPr="000325F8" w:rsidRDefault="00582507" w:rsidP="00BE4701">
            <w:pPr>
              <w:pStyle w:val="BodyText"/>
              <w:spacing w:after="0"/>
              <w:ind w:firstLine="384"/>
              <w:jc w:val="both"/>
            </w:pPr>
            <w:r>
              <w:t>L</w:t>
            </w:r>
            <w:r w:rsidRPr="000325F8">
              <w:t xml:space="preserve">ai varētu pretendēt uz uzņēmumu ienākuma nodokļa atvieglojumu </w:t>
            </w:r>
            <w:r>
              <w:t>n</w:t>
            </w:r>
            <w:r w:rsidRPr="000325F8">
              <w:t xml:space="preserve">odokļu maksātājiem, kas darbojas saskaņā ar Reģionālās attīstības likumu noteiktā īpaši atbalstāmajā teritorijā, ir jāsagatavo attīstības projekts, par kura atbilstību attiecīgās teritorijas attīstības programmai tiek pieņemts </w:t>
            </w:r>
            <w:smartTag w:uri="schemas-tilde-lv/tildestengine" w:element="veidnes">
              <w:smartTagPr>
                <w:attr w:name="text" w:val="lēmums"/>
                <w:attr w:name="baseform" w:val="lēmums"/>
                <w:attr w:name="id" w:val="-1"/>
              </w:smartTagPr>
              <w:r w:rsidRPr="000325F8">
                <w:t>lēmums</w:t>
              </w:r>
            </w:smartTag>
            <w:r w:rsidRPr="000325F8">
              <w:t xml:space="preserve"> Ministru kabineta 2004.gada 3.februāra noteikumos Nr.65 „</w:t>
            </w:r>
            <w:r w:rsidRPr="000325F8">
              <w:rPr>
                <w:bCs/>
              </w:rPr>
              <w:t>Lēmuma pieņemšanas kārtība par ienākuma nodokļa maksātāja saimnieciskās darbības attīstības projekta atbilstību īpaši atbalstāmās teritorijas attīstības programmai</w:t>
            </w:r>
            <w:r w:rsidRPr="000325F8">
              <w:t xml:space="preserve">” noteiktajā kārtībā. </w:t>
            </w:r>
            <w:r>
              <w:t>Šī kārtība rada lielu un nevajadzīgu administratīvo slodzi.</w:t>
            </w:r>
          </w:p>
          <w:p w:rsidR="00582507" w:rsidRDefault="00582507" w:rsidP="00BE4701">
            <w:pPr>
              <w:pStyle w:val="BodyText"/>
              <w:spacing w:after="0"/>
              <w:ind w:firstLine="384"/>
              <w:jc w:val="both"/>
            </w:pPr>
            <w:r w:rsidRPr="000325F8">
              <w:t>Likuma normas paredz pamatlīdzekļiem, kas tiek izmantoti saimnieciskajā darbībā saskaņā ar Reģionālās attīstības likumu noteikt</w:t>
            </w:r>
            <w:r>
              <w:t>ajā</w:t>
            </w:r>
            <w:r w:rsidRPr="000325F8">
              <w:t xml:space="preserve"> īpaši atbalstāmajā teritorijā</w:t>
            </w:r>
            <w:r>
              <w:t>, nolietojuma aprēķina vajadzībām</w:t>
            </w:r>
            <w:r w:rsidRPr="000325F8">
              <w:t xml:space="preserve"> piemērot pamatlīdzekļu vērtības paaugstinošus koeficientus.</w:t>
            </w:r>
            <w:r>
              <w:t xml:space="preserve"> Šīs normas attiecas arī uz transporta līdzekļiem.</w:t>
            </w:r>
            <w:r w:rsidRPr="000325F8">
              <w:t xml:space="preserve"> Ņemot vērā, ka transport</w:t>
            </w:r>
            <w:r>
              <w:t>a līdzekļi</w:t>
            </w:r>
            <w:r w:rsidRPr="000325F8">
              <w:t xml:space="preserve"> var tikt izmantot</w:t>
            </w:r>
            <w:r>
              <w:t>i</w:t>
            </w:r>
            <w:r w:rsidRPr="000325F8">
              <w:t xml:space="preserve"> ne tikai noteiktajā teritorijā, bet arī ārpus tās, </w:t>
            </w:r>
            <w:r>
              <w:t xml:space="preserve">nav pamata  tiem </w:t>
            </w:r>
            <w:r w:rsidRPr="000325F8">
              <w:t>piemērot paaugstinātu koeficientu.</w:t>
            </w:r>
            <w:r>
              <w:t xml:space="preserve"> </w:t>
            </w:r>
          </w:p>
          <w:p w:rsidR="00582507" w:rsidRPr="000325F8" w:rsidRDefault="00582507" w:rsidP="00BE4701">
            <w:pPr>
              <w:pStyle w:val="BodyText"/>
              <w:spacing w:after="0"/>
              <w:ind w:firstLine="384"/>
              <w:jc w:val="both"/>
              <w:rPr>
                <w:u w:val="single"/>
              </w:rPr>
            </w:pPr>
            <w:r>
              <w:t xml:space="preserve">Spēkā esošais regulējums par pamatlīdzekļu, kas tiek izmantoti īpaši atbalstāmajās teritorijās, vērtības paaugstināšanu nolietojuma aprēķinu vajadzībām dažkārt tiek interpretēts dažādos veidos. Nepieciešams tiešs regulējums likumā, ka pamatlīdzekļu, kuri tiek izmantoti </w:t>
            </w:r>
            <w:r w:rsidRPr="000325F8">
              <w:t>Reģionālās attīstības likumu noteiktā īpaši atbalstāmā teritorij</w:t>
            </w:r>
            <w:r>
              <w:t xml:space="preserve">ā, vērtību nolietojuma aprēķināšanas vajadzībām nesamazina gadījumos, kad </w:t>
            </w:r>
            <w:r w:rsidRPr="000325F8">
              <w:t>īpaši atbalstāmā teritorij</w:t>
            </w:r>
            <w:r>
              <w:t>a ir zaudējusi savu īpašo statusu.</w:t>
            </w:r>
          </w:p>
          <w:p w:rsidR="00582507" w:rsidRPr="000325F8" w:rsidRDefault="00582507" w:rsidP="00BE4701">
            <w:pPr>
              <w:pStyle w:val="BodyText"/>
              <w:spacing w:after="0"/>
              <w:ind w:firstLine="384"/>
              <w:jc w:val="both"/>
              <w:rPr>
                <w:u w:val="single"/>
              </w:rPr>
            </w:pPr>
            <w:r w:rsidRPr="000325F8">
              <w:rPr>
                <w:u w:val="single"/>
              </w:rPr>
              <w:t>Avansa maksājumi</w:t>
            </w:r>
          </w:p>
          <w:p w:rsidR="00582507" w:rsidRPr="000325F8" w:rsidRDefault="00582507" w:rsidP="00BE4701">
            <w:pPr>
              <w:pStyle w:val="BodyText"/>
              <w:spacing w:after="0"/>
              <w:ind w:firstLine="384"/>
              <w:jc w:val="both"/>
            </w:pPr>
            <w:r w:rsidRPr="000325F8">
              <w:t>Ja jaunizveidoto uzņēmumu pirmais taksācijas gads ilgst vairāk par 12 mēnešiem, likuma normas paredz avansa maksājumus šādiem uzņēmumiem veikt par 13. mēnesi un turpmākajiem mēnešiem līdz gada pārskata iesniegšanai</w:t>
            </w:r>
            <w:r>
              <w:t xml:space="preserve"> 0,50 procentu apmērā no neto apgrozījuma un pārējiem ieņēmumiem iepriekšējā kalendārajā mēnesī</w:t>
            </w:r>
            <w:r w:rsidRPr="000325F8">
              <w:t xml:space="preserve">. </w:t>
            </w:r>
            <w:r>
              <w:t>Š</w:t>
            </w:r>
            <w:r w:rsidRPr="000325F8">
              <w:t xml:space="preserve">āda veida aprēķina kārtība </w:t>
            </w:r>
            <w:r>
              <w:t>liek uzņēmējiem maksāt nodokļa avansa maksājumus arī gadījumos, kad uzsākot uzņēmējdarbību uzņēmējsabiedrībai ir zaudējumi. Uzņēmējiem nav jākreditē valsti, tāpēc šī kārtība ir jāmaina</w:t>
            </w:r>
            <w:r w:rsidRPr="000325F8">
              <w:t>.</w:t>
            </w:r>
          </w:p>
          <w:p w:rsidR="00582507" w:rsidRPr="004E0854" w:rsidRDefault="00582507" w:rsidP="00BE4701">
            <w:pPr>
              <w:pStyle w:val="BodyText"/>
              <w:spacing w:after="0"/>
              <w:ind w:firstLine="384"/>
              <w:jc w:val="both"/>
              <w:rPr>
                <w:sz w:val="23"/>
              </w:rPr>
            </w:pPr>
            <w:r w:rsidRPr="000325F8">
              <w:t xml:space="preserve">Likuma normas paredz iespēju nodokļa maksātājiem </w:t>
            </w:r>
            <w:r w:rsidRPr="000325F8">
              <w:lastRenderedPageBreak/>
              <w:t>iesni</w:t>
            </w:r>
            <w:r>
              <w:t>e</w:t>
            </w:r>
            <w:r w:rsidRPr="000325F8">
              <w:t>gt Valsts ieņēmumu dienestā iesniegumu turpmāko avansa maksājumu apmēru samazināšanai, ja būtiski samazinājies to neto apgrozījums un</w:t>
            </w:r>
            <w:r>
              <w:t>,</w:t>
            </w:r>
            <w:r w:rsidRPr="000325F8">
              <w:t xml:space="preserve"> ja nodokļa maksātājam ir būtiski mainījies darbības veids, vai ieņēmumu un izdevumu struktūra</w:t>
            </w:r>
            <w:r>
              <w:t>, bet neparedz to darīt gadījumos, ja nodokļa maksātājam samazinās peļņa</w:t>
            </w:r>
            <w:r w:rsidRPr="000325F8">
              <w:t xml:space="preserve">. </w:t>
            </w:r>
            <w:r>
              <w:t>J</w:t>
            </w:r>
            <w:r w:rsidRPr="000325F8">
              <w:t xml:space="preserve">a </w:t>
            </w:r>
            <w:r>
              <w:t>nodokļa maksātāja</w:t>
            </w:r>
            <w:r w:rsidRPr="000325F8">
              <w:t xml:space="preserve"> darbības rādītāji ir pasliktinājušies, nepieciešams </w:t>
            </w:r>
            <w:r>
              <w:t>tam dot</w:t>
            </w:r>
            <w:r w:rsidRPr="000325F8">
              <w:t xml:space="preserve"> iespēju </w:t>
            </w:r>
            <w:r>
              <w:t xml:space="preserve"> arī šādos gadījumos pārrēķināt avansa maksājumu lielumu. </w:t>
            </w:r>
            <w:r w:rsidRPr="000325F8">
              <w:t xml:space="preserve"> </w:t>
            </w:r>
          </w:p>
        </w:tc>
      </w:tr>
      <w:tr w:rsidR="00582507" w:rsidTr="00BE4701">
        <w:tc>
          <w:tcPr>
            <w:tcW w:w="1626" w:type="pct"/>
            <w:tcBorders>
              <w:top w:val="outset" w:sz="6" w:space="0" w:color="auto"/>
              <w:left w:val="outset" w:sz="6" w:space="0" w:color="auto"/>
              <w:bottom w:val="outset" w:sz="6" w:space="0" w:color="auto"/>
              <w:right w:val="outset" w:sz="6" w:space="0" w:color="auto"/>
            </w:tcBorders>
          </w:tcPr>
          <w:p w:rsidR="00582507" w:rsidRDefault="00582507" w:rsidP="00BE4701">
            <w:pPr>
              <w:pStyle w:val="NormalWeb"/>
              <w:spacing w:before="0" w:beforeAutospacing="0" w:after="0" w:afterAutospacing="0"/>
            </w:pPr>
            <w:r>
              <w:lastRenderedPageBreak/>
              <w:t>3.  Normatīvā akta projekta būtība</w:t>
            </w:r>
          </w:p>
          <w:p w:rsidR="00582507" w:rsidRDefault="00582507" w:rsidP="00BE4701">
            <w:pPr>
              <w:pStyle w:val="NormalWeb"/>
              <w:spacing w:before="0" w:beforeAutospacing="0" w:after="0" w:afterAutospacing="0"/>
            </w:pPr>
          </w:p>
          <w:p w:rsidR="00582507" w:rsidRDefault="00582507" w:rsidP="00BE4701">
            <w:pPr>
              <w:pStyle w:val="NormalWeb"/>
              <w:spacing w:before="0" w:beforeAutospacing="0" w:after="0" w:afterAutospacing="0"/>
            </w:pPr>
          </w:p>
        </w:tc>
        <w:tc>
          <w:tcPr>
            <w:tcW w:w="3374" w:type="pct"/>
            <w:tcBorders>
              <w:top w:val="outset" w:sz="6" w:space="0" w:color="auto"/>
              <w:left w:val="outset" w:sz="6" w:space="0" w:color="auto"/>
              <w:bottom w:val="outset" w:sz="6" w:space="0" w:color="auto"/>
              <w:right w:val="outset" w:sz="6" w:space="0" w:color="auto"/>
            </w:tcBorders>
          </w:tcPr>
          <w:p w:rsidR="00582507" w:rsidRPr="000325F8" w:rsidRDefault="00582507" w:rsidP="00BE4701">
            <w:pPr>
              <w:pStyle w:val="BodyText"/>
              <w:spacing w:after="0"/>
              <w:ind w:firstLine="384"/>
              <w:jc w:val="both"/>
              <w:rPr>
                <w:u w:val="single"/>
              </w:rPr>
            </w:pPr>
            <w:r w:rsidRPr="005055D5">
              <w:rPr>
                <w:u w:val="single"/>
              </w:rPr>
              <w:t>Ar</w:t>
            </w:r>
            <w:r w:rsidRPr="000325F8">
              <w:rPr>
                <w:u w:val="single"/>
              </w:rPr>
              <w:t xml:space="preserve"> saimniecisko darbību nesaistītie izdevumi</w:t>
            </w:r>
          </w:p>
          <w:p w:rsidR="00582507" w:rsidRDefault="00582507" w:rsidP="00BE4701">
            <w:pPr>
              <w:pStyle w:val="BodyText"/>
              <w:spacing w:after="0"/>
              <w:ind w:firstLine="384"/>
              <w:jc w:val="both"/>
            </w:pPr>
            <w:r w:rsidRPr="000325F8">
              <w:t>Ņemot vērā, ka atlīdzība par veikto darbu ir apliekama ar lielāku nodokļ</w:t>
            </w:r>
            <w:r>
              <w:t>a</w:t>
            </w:r>
            <w:r w:rsidRPr="000325F8">
              <w:t xml:space="preserve"> </w:t>
            </w:r>
            <w:r>
              <w:t>likmi nekā paredzēts</w:t>
            </w:r>
            <w:r w:rsidRPr="000325F8">
              <w:t xml:space="preserve"> uzņēmumu ienākuma nodokļa </w:t>
            </w:r>
            <w:r>
              <w:t>likumā</w:t>
            </w:r>
            <w:r w:rsidRPr="000325F8">
              <w:t xml:space="preserve">, </w:t>
            </w:r>
            <w:r>
              <w:t xml:space="preserve">savukārt no dividendēm turpmāk paredzēts ieturēt iedzīvotāju ienākuma nodokli, </w:t>
            </w:r>
            <w:r w:rsidRPr="000325F8">
              <w:t>likum</w:t>
            </w:r>
            <w:r>
              <w:t>projektā</w:t>
            </w:r>
            <w:r w:rsidRPr="000325F8">
              <w:t xml:space="preserve"> paredz</w:t>
            </w:r>
            <w:r>
              <w:t>ēts</w:t>
            </w:r>
            <w:r w:rsidRPr="000325F8">
              <w:t xml:space="preserve"> piemērot koeficientu 1,5 izdevumiem, kas nav saistīti ar saimniecisko darbību</w:t>
            </w:r>
            <w:r>
              <w:t xml:space="preserve"> un zaudējumiem, kurus radījusi sociālās infrastruktūras objektu uzturēšana.</w:t>
            </w:r>
          </w:p>
          <w:p w:rsidR="00582507" w:rsidRPr="000325F8" w:rsidRDefault="00582507" w:rsidP="00BE4701">
            <w:pPr>
              <w:pStyle w:val="BodyText"/>
              <w:spacing w:after="0"/>
              <w:ind w:firstLine="384"/>
              <w:jc w:val="both"/>
              <w:rPr>
                <w:u w:val="single"/>
              </w:rPr>
            </w:pPr>
            <w:r w:rsidRPr="000325F8">
              <w:rPr>
                <w:u w:val="single"/>
              </w:rPr>
              <w:t>Reprezentācijas izdevumi</w:t>
            </w:r>
          </w:p>
          <w:p w:rsidR="00582507" w:rsidRDefault="00582507" w:rsidP="00BE4701">
            <w:pPr>
              <w:pStyle w:val="BodyText"/>
              <w:spacing w:after="0"/>
              <w:ind w:firstLine="384"/>
              <w:jc w:val="both"/>
            </w:pPr>
            <w:r>
              <w:t xml:space="preserve">Lai palielinātu reprezentācijas izdevumu procentuālo daļu, ko apliek ar uzņēmumu ienākuma nodokli, likumprojektā paredzēts, ka, koriģējot apliekamo ienākumu, 40% vietā to palielina par 60 % no </w:t>
            </w:r>
            <w:r w:rsidRPr="000325F8">
              <w:t>reprezentācijas izdevum</w:t>
            </w:r>
            <w:r>
              <w:t>iem izmantotās summas</w:t>
            </w:r>
            <w:r w:rsidRPr="000325F8">
              <w:t>.</w:t>
            </w:r>
          </w:p>
          <w:p w:rsidR="00582507" w:rsidRPr="000325F8" w:rsidRDefault="00582507" w:rsidP="00BE4701">
            <w:pPr>
              <w:pStyle w:val="BodyText"/>
              <w:spacing w:after="0"/>
              <w:ind w:firstLine="384"/>
              <w:jc w:val="both"/>
              <w:rPr>
                <w:u w:val="single"/>
              </w:rPr>
            </w:pPr>
            <w:r w:rsidRPr="000325F8">
              <w:rPr>
                <w:u w:val="single"/>
              </w:rPr>
              <w:t xml:space="preserve">Darbība īpaši atbalstāmajā teritorijā </w:t>
            </w:r>
          </w:p>
          <w:p w:rsidR="00582507" w:rsidRDefault="00582507" w:rsidP="00BE4701">
            <w:pPr>
              <w:pStyle w:val="BodyText"/>
              <w:spacing w:after="0"/>
              <w:ind w:firstLine="384"/>
              <w:jc w:val="both"/>
            </w:pPr>
            <w:r>
              <w:rPr>
                <w:bCs/>
              </w:rPr>
              <w:t>L</w:t>
            </w:r>
            <w:r w:rsidRPr="000325F8">
              <w:rPr>
                <w:bCs/>
              </w:rPr>
              <w:t>ikum</w:t>
            </w:r>
            <w:r>
              <w:rPr>
                <w:bCs/>
              </w:rPr>
              <w:t>projektā</w:t>
            </w:r>
            <w:r w:rsidRPr="000325F8">
              <w:rPr>
                <w:bCs/>
              </w:rPr>
              <w:t xml:space="preserve"> paredz</w:t>
            </w:r>
            <w:r>
              <w:rPr>
                <w:bCs/>
              </w:rPr>
              <w:t>ēts</w:t>
            </w:r>
            <w:r w:rsidRPr="000325F8">
              <w:rPr>
                <w:bCs/>
              </w:rPr>
              <w:t xml:space="preserve"> noteikt, ka </w:t>
            </w:r>
            <w:r w:rsidRPr="000325F8">
              <w:t xml:space="preserve">nodokļa maksātājs, kas darbojas saskaņā ar Reģionālās attīstības likumu noteiktā īpaši atbalstāmajā teritorijā, </w:t>
            </w:r>
            <w:r>
              <w:t xml:space="preserve">likumā paredzētos pamatlīdzekļu nolietojuma vajadzībām piemērojamos paaugstinošos koeficientus un zaudējumu segšanas kārtību var piemērot </w:t>
            </w:r>
            <w:r w:rsidRPr="000325F8">
              <w:t>neiesniedzot attīstības projektu</w:t>
            </w:r>
            <w:r>
              <w:t>.</w:t>
            </w:r>
            <w:r w:rsidRPr="000325F8">
              <w:t xml:space="preserve"> Attiecīgi Nacionālajai reģionālās attīstības padomei nav nepieciešams pieņemt lēmumu par attīstības projekta atbilstību attiecīgās teritorijas attīstības programmai Ministru kabineta 2004.gada 2.marta noteikumos Nr.65 „</w:t>
            </w:r>
            <w:r w:rsidRPr="000325F8">
              <w:rPr>
                <w:bCs/>
              </w:rPr>
              <w:t>Lēmuma pieņemšanas kārtība par ienākuma nodokļa maksātāja saimnieciskās darbības attīstības projekta atbilstību īpaši atbalstāmās teritorijas attīstības programmai</w:t>
            </w:r>
            <w:r w:rsidRPr="000325F8">
              <w:t>” noteiktajā kārtībā.</w:t>
            </w:r>
            <w:r w:rsidRPr="000325F8" w:rsidDel="00815941">
              <w:t xml:space="preserve"> </w:t>
            </w:r>
            <w:r>
              <w:t>L</w:t>
            </w:r>
            <w:r w:rsidRPr="000325F8">
              <w:t>ikum</w:t>
            </w:r>
            <w:r>
              <w:t>projekt</w:t>
            </w:r>
            <w:r w:rsidRPr="000325F8">
              <w:t>a normas izslēdz iespēju piemērot paaugstin</w:t>
            </w:r>
            <w:r>
              <w:t xml:space="preserve">ošus </w:t>
            </w:r>
            <w:r w:rsidRPr="000325F8">
              <w:t>koeficientus</w:t>
            </w:r>
            <w:r>
              <w:t xml:space="preserve"> nolietojuma aprēķinos nodokļa vajadzībām</w:t>
            </w:r>
            <w:r w:rsidRPr="000325F8">
              <w:t xml:space="preserve"> autotransportam, kuru izmanto nodokļa maksātājs, kas darbojas saskaņā ar Reģionālās attīstības likumu noteiktā īpaši atbalstāmajā teritorijā.</w:t>
            </w:r>
            <w:r>
              <w:t xml:space="preserve"> </w:t>
            </w:r>
          </w:p>
          <w:p w:rsidR="00582507" w:rsidRPr="001C1184" w:rsidRDefault="00582507" w:rsidP="00BE4701">
            <w:pPr>
              <w:pStyle w:val="BodyText"/>
              <w:spacing w:after="0"/>
              <w:ind w:firstLine="384"/>
              <w:jc w:val="both"/>
              <w:rPr>
                <w:u w:val="single"/>
              </w:rPr>
            </w:pPr>
            <w:r w:rsidRPr="001C1184">
              <w:t>Likum</w:t>
            </w:r>
            <w:r>
              <w:t>projekta</w:t>
            </w:r>
            <w:r w:rsidRPr="001C1184">
              <w:t xml:space="preserve"> normas nosaka, ka nodokļa maksātājam nav jāveic pamatlīdzekļa uzskaites vērtības pārrēķins</w:t>
            </w:r>
            <w:r>
              <w:t xml:space="preserve"> to pazeminot, j</w:t>
            </w:r>
            <w:r w:rsidRPr="002052F7">
              <w:t>a īpaši atbalstāmajai teritorijai, kas noteikta saskaņā ar Reģionālās attīstības likumu, ir beidzies īpaši atbalstāmās teritorijas statuss un</w:t>
            </w:r>
            <w:r>
              <w:t>, ja pamatlīdzekļus turpina izmantot saimnieciskajā darbībā šajā teritorijā.</w:t>
            </w:r>
          </w:p>
          <w:p w:rsidR="00582507" w:rsidRPr="000325F8" w:rsidRDefault="00582507" w:rsidP="00BE4701">
            <w:pPr>
              <w:pStyle w:val="BodyText"/>
              <w:spacing w:after="0"/>
              <w:ind w:firstLine="384"/>
              <w:jc w:val="both"/>
              <w:rPr>
                <w:u w:val="single"/>
              </w:rPr>
            </w:pPr>
            <w:r w:rsidRPr="000325F8">
              <w:rPr>
                <w:u w:val="single"/>
              </w:rPr>
              <w:t>Avansa maksājumi</w:t>
            </w:r>
          </w:p>
          <w:p w:rsidR="00582507" w:rsidRPr="000325F8" w:rsidRDefault="00582507" w:rsidP="00BE4701">
            <w:pPr>
              <w:pStyle w:val="BodyText"/>
              <w:spacing w:after="0"/>
              <w:ind w:firstLine="384"/>
              <w:jc w:val="both"/>
            </w:pPr>
            <w:r>
              <w:t>J</w:t>
            </w:r>
            <w:r w:rsidRPr="000325F8">
              <w:t>aunizveido</w:t>
            </w:r>
            <w:r>
              <w:t>tie</w:t>
            </w:r>
            <w:r w:rsidRPr="000325F8">
              <w:t xml:space="preserve"> nodokļa maksātāji pirm</w:t>
            </w:r>
            <w:r>
              <w:t xml:space="preserve">ajā taksācijas periodā  un </w:t>
            </w:r>
            <w:r w:rsidRPr="000325F8">
              <w:t xml:space="preserve"> </w:t>
            </w:r>
            <w:r>
              <w:t xml:space="preserve">periodā </w:t>
            </w:r>
            <w:r w:rsidRPr="000325F8">
              <w:t xml:space="preserve">līdz gada pārskata iesniegšanai avansa maksājumus </w:t>
            </w:r>
            <w:r>
              <w:t>varēs veikt brīvprātīgi</w:t>
            </w:r>
            <w:r w:rsidRPr="000325F8">
              <w:t>.</w:t>
            </w:r>
          </w:p>
          <w:p w:rsidR="00582507" w:rsidRPr="000325F8" w:rsidRDefault="00582507" w:rsidP="00BE4701">
            <w:pPr>
              <w:pStyle w:val="BodyText"/>
              <w:spacing w:after="0"/>
              <w:ind w:firstLine="384"/>
              <w:jc w:val="both"/>
            </w:pPr>
            <w:r>
              <w:lastRenderedPageBreak/>
              <w:t xml:space="preserve">Nodokļa maksātājam būs iespēja veikt savu avansa maksājumu korekcijas ne tikai gadījumos, </w:t>
            </w:r>
            <w:r w:rsidRPr="000325F8">
              <w:t>ja būtiski samazinājies neto apgrozījumus un</w:t>
            </w:r>
            <w:r>
              <w:t>,</w:t>
            </w:r>
            <w:r w:rsidRPr="000325F8">
              <w:t xml:space="preserve"> ja nodokļa maksātājam ir būtiski mainījies darbības veids, vai ieņēmumu un izdevumu struktūra</w:t>
            </w:r>
            <w:r>
              <w:t>, bet arī tad, ja samazinājusies peļņa.</w:t>
            </w:r>
            <w:r w:rsidRPr="000325F8">
              <w:t xml:space="preserve"> </w:t>
            </w:r>
            <w:r>
              <w:t xml:space="preserve">Likumprojekta norma </w:t>
            </w:r>
            <w:r w:rsidRPr="000325F8">
              <w:t xml:space="preserve">paredz </w:t>
            </w:r>
            <w:r>
              <w:t xml:space="preserve">arī </w:t>
            </w:r>
            <w:r w:rsidRPr="000325F8">
              <w:t xml:space="preserve"> soda sankciju piemērošanu, ja nodokļa maksātāja Valsts ieņēmumu dienestā iesniegtais uzņēmumu ienākuma nodokļa taksācijas gada kopējais avansa maksājumu apmērs ir mazāks par </w:t>
            </w:r>
            <w:r>
              <w:t>2</w:t>
            </w:r>
            <w:r w:rsidRPr="000325F8">
              <w:t>0% no taksācijas periodā uzņēmumu ienākuma nodokļa deklarācijā aprēķinātās nodokļa summas.</w:t>
            </w:r>
          </w:p>
          <w:p w:rsidR="00582507" w:rsidRPr="000325F8" w:rsidRDefault="00582507" w:rsidP="00BE4701">
            <w:pPr>
              <w:pStyle w:val="BodyText"/>
              <w:spacing w:after="0"/>
              <w:ind w:firstLine="384"/>
              <w:jc w:val="both"/>
            </w:pPr>
          </w:p>
        </w:tc>
      </w:tr>
      <w:tr w:rsidR="00582507" w:rsidTr="00BE4701">
        <w:tc>
          <w:tcPr>
            <w:tcW w:w="1626" w:type="pct"/>
            <w:tcBorders>
              <w:top w:val="outset" w:sz="6" w:space="0" w:color="auto"/>
              <w:left w:val="outset" w:sz="6" w:space="0" w:color="auto"/>
              <w:bottom w:val="outset" w:sz="6" w:space="0" w:color="auto"/>
              <w:right w:val="outset" w:sz="6" w:space="0" w:color="auto"/>
            </w:tcBorders>
          </w:tcPr>
          <w:p w:rsidR="00582507" w:rsidRDefault="00582507" w:rsidP="00BE4701">
            <w:pPr>
              <w:pStyle w:val="NormalWeb"/>
              <w:spacing w:before="0" w:beforeAutospacing="0" w:after="0" w:afterAutospacing="0"/>
            </w:pPr>
            <w:r>
              <w:lastRenderedPageBreak/>
              <w:t>4. Cita informācija</w:t>
            </w:r>
          </w:p>
        </w:tc>
        <w:tc>
          <w:tcPr>
            <w:tcW w:w="3374" w:type="pct"/>
            <w:tcBorders>
              <w:top w:val="outset" w:sz="6" w:space="0" w:color="auto"/>
              <w:left w:val="outset" w:sz="6" w:space="0" w:color="auto"/>
              <w:bottom w:val="outset" w:sz="6" w:space="0" w:color="auto"/>
              <w:right w:val="outset" w:sz="6" w:space="0" w:color="auto"/>
            </w:tcBorders>
          </w:tcPr>
          <w:p w:rsidR="00582507" w:rsidRPr="000325F8" w:rsidRDefault="00582507" w:rsidP="00BE4701">
            <w:pPr>
              <w:ind w:firstLine="384"/>
            </w:pPr>
            <w:r w:rsidRPr="000325F8">
              <w:t> Nav attiecināms.</w:t>
            </w:r>
          </w:p>
          <w:p w:rsidR="00582507" w:rsidRPr="000325F8" w:rsidRDefault="00582507" w:rsidP="00BE4701">
            <w:pPr>
              <w:ind w:firstLine="384"/>
            </w:pPr>
          </w:p>
        </w:tc>
      </w:tr>
    </w:tbl>
    <w:p w:rsidR="00582507" w:rsidRDefault="00582507" w:rsidP="00582507">
      <w:pPr>
        <w:pStyle w:val="NormalWeb"/>
        <w:spacing w:before="0" w:beforeAutospacing="0" w:after="0" w:afterAutospacing="0"/>
        <w:rPr>
          <w:sz w:val="28"/>
          <w:szCs w:val="28"/>
        </w:rPr>
      </w:pPr>
    </w:p>
    <w:tbl>
      <w:tblPr>
        <w:tblW w:w="5000" w:type="pct"/>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tblPr>
      <w:tblGrid>
        <w:gridCol w:w="5105"/>
        <w:gridCol w:w="4176"/>
      </w:tblGrid>
      <w:tr w:rsidR="00582507" w:rsidTr="00BE4701">
        <w:tc>
          <w:tcPr>
            <w:tcW w:w="0" w:type="auto"/>
            <w:gridSpan w:val="2"/>
            <w:tcBorders>
              <w:top w:val="outset" w:sz="6" w:space="0" w:color="auto"/>
              <w:left w:val="outset" w:sz="6" w:space="0" w:color="auto"/>
              <w:bottom w:val="outset" w:sz="6" w:space="0" w:color="auto"/>
              <w:right w:val="outset" w:sz="6" w:space="0" w:color="auto"/>
            </w:tcBorders>
            <w:vAlign w:val="center"/>
          </w:tcPr>
          <w:p w:rsidR="00582507" w:rsidRPr="00F11D8F" w:rsidRDefault="00582507" w:rsidP="00BE4701">
            <w:pPr>
              <w:pStyle w:val="naisc"/>
              <w:spacing w:before="0" w:after="0"/>
              <w:rPr>
                <w:b/>
                <w:bCs/>
                <w:sz w:val="28"/>
                <w:szCs w:val="28"/>
              </w:rPr>
            </w:pPr>
            <w:r w:rsidRPr="00F11D8F">
              <w:rPr>
                <w:b/>
                <w:bCs/>
                <w:sz w:val="28"/>
                <w:szCs w:val="28"/>
              </w:rPr>
              <w:t>II. Kāda var būt normatīvā akta ietekme uz</w:t>
            </w:r>
            <w:r w:rsidRPr="00F11D8F">
              <w:rPr>
                <w:b/>
                <w:bCs/>
                <w:sz w:val="28"/>
                <w:szCs w:val="28"/>
              </w:rPr>
              <w:br/>
              <w:t>sabiedrības un tautsaimniecības attīstību</w:t>
            </w:r>
          </w:p>
        </w:tc>
      </w:tr>
      <w:tr w:rsidR="00582507" w:rsidTr="00BE4701">
        <w:trPr>
          <w:trHeight w:val="1085"/>
        </w:trPr>
        <w:tc>
          <w:tcPr>
            <w:tcW w:w="2750" w:type="pct"/>
            <w:tcBorders>
              <w:top w:val="outset" w:sz="6" w:space="0" w:color="auto"/>
              <w:left w:val="outset" w:sz="6" w:space="0" w:color="auto"/>
              <w:bottom w:val="outset" w:sz="6" w:space="0" w:color="auto"/>
              <w:right w:val="outset" w:sz="6" w:space="0" w:color="auto"/>
            </w:tcBorders>
          </w:tcPr>
          <w:p w:rsidR="00582507" w:rsidDel="00F9421A" w:rsidRDefault="00582507" w:rsidP="00BE4701">
            <w:pPr>
              <w:pStyle w:val="NormalWeb"/>
            </w:pPr>
            <w:r>
              <w:t>1. Vispārēja ietekme uz sabiedrības un tautsaimniecības pārmaiņām</w:t>
            </w:r>
          </w:p>
        </w:tc>
        <w:tc>
          <w:tcPr>
            <w:tcW w:w="2250" w:type="pct"/>
            <w:tcBorders>
              <w:top w:val="outset" w:sz="6" w:space="0" w:color="auto"/>
              <w:left w:val="outset" w:sz="6" w:space="0" w:color="auto"/>
              <w:bottom w:val="outset" w:sz="6" w:space="0" w:color="auto"/>
              <w:right w:val="outset" w:sz="6" w:space="0" w:color="auto"/>
            </w:tcBorders>
          </w:tcPr>
          <w:p w:rsidR="00582507" w:rsidRPr="00245644" w:rsidRDefault="00582507" w:rsidP="00BE4701">
            <w:pPr>
              <w:jc w:val="both"/>
            </w:pPr>
            <w:r>
              <w:t>Nav attiecināms.</w:t>
            </w:r>
          </w:p>
        </w:tc>
      </w:tr>
      <w:tr w:rsidR="00582507" w:rsidTr="00BE4701">
        <w:tc>
          <w:tcPr>
            <w:tcW w:w="2750" w:type="pct"/>
            <w:tcBorders>
              <w:top w:val="outset" w:sz="6" w:space="0" w:color="auto"/>
              <w:left w:val="outset" w:sz="6" w:space="0" w:color="auto"/>
              <w:bottom w:val="outset" w:sz="6" w:space="0" w:color="auto"/>
              <w:right w:val="outset" w:sz="6" w:space="0" w:color="auto"/>
            </w:tcBorders>
          </w:tcPr>
          <w:p w:rsidR="00582507" w:rsidRDefault="00582507" w:rsidP="00BE4701">
            <w:pPr>
              <w:pStyle w:val="NormalWeb"/>
              <w:spacing w:before="0" w:beforeAutospacing="0" w:after="0" w:afterAutospacing="0"/>
            </w:pPr>
            <w:r>
              <w:t>2. Ekonomiskā ietekme:</w:t>
            </w:r>
          </w:p>
          <w:p w:rsidR="00582507" w:rsidRDefault="00582507" w:rsidP="00BE4701">
            <w:pPr>
              <w:pStyle w:val="NormalWeb"/>
              <w:spacing w:before="0" w:beforeAutospacing="0" w:after="0" w:afterAutospacing="0"/>
            </w:pPr>
            <w:r>
              <w:t xml:space="preserve">2.1. makroekonomiskā vide; </w:t>
            </w:r>
          </w:p>
          <w:p w:rsidR="00582507" w:rsidRDefault="00582507" w:rsidP="00BE4701">
            <w:pPr>
              <w:pStyle w:val="NormalWeb"/>
              <w:spacing w:before="0" w:beforeAutospacing="0" w:after="0" w:afterAutospacing="0"/>
            </w:pPr>
            <w:r>
              <w:t>2.2. preču un pakalpojumu ražošanas apjoms un kvalitāte;</w:t>
            </w:r>
          </w:p>
          <w:p w:rsidR="00582507" w:rsidRDefault="00582507" w:rsidP="00BE4701">
            <w:pPr>
              <w:pStyle w:val="NormalWeb"/>
              <w:spacing w:before="0" w:beforeAutospacing="0" w:after="0" w:afterAutospacing="0"/>
            </w:pPr>
            <w:r>
              <w:t>2.3. cenas;</w:t>
            </w:r>
          </w:p>
          <w:p w:rsidR="00582507" w:rsidRDefault="00582507" w:rsidP="00BE4701">
            <w:pPr>
              <w:pStyle w:val="NormalWeb"/>
              <w:spacing w:before="0" w:beforeAutospacing="0" w:after="0" w:afterAutospacing="0"/>
            </w:pPr>
            <w:r>
              <w:t>2.4. eksporta un importa apjoms;</w:t>
            </w:r>
          </w:p>
          <w:p w:rsidR="00582507" w:rsidRDefault="00582507" w:rsidP="00BE4701">
            <w:pPr>
              <w:pStyle w:val="NormalWeb"/>
              <w:spacing w:before="0" w:beforeAutospacing="0" w:after="0" w:afterAutospacing="0"/>
            </w:pPr>
            <w:r>
              <w:t>2.5. konkurences apstākļi;</w:t>
            </w:r>
          </w:p>
          <w:p w:rsidR="00582507" w:rsidRDefault="00582507" w:rsidP="00BE4701">
            <w:pPr>
              <w:pStyle w:val="NormalWeb"/>
              <w:spacing w:before="0" w:beforeAutospacing="0" w:after="0" w:afterAutospacing="0"/>
            </w:pPr>
            <w:r>
              <w:t>2.6. jauninājumi un pētījumi;</w:t>
            </w:r>
          </w:p>
          <w:p w:rsidR="00582507" w:rsidRDefault="00582507" w:rsidP="00BE4701">
            <w:pPr>
              <w:pStyle w:val="NormalWeb"/>
              <w:spacing w:before="0" w:beforeAutospacing="0" w:after="0" w:afterAutospacing="0"/>
            </w:pPr>
            <w:r>
              <w:t>2.7. augstāka resursu izmantošanas efektivitāte</w:t>
            </w:r>
          </w:p>
        </w:tc>
        <w:tc>
          <w:tcPr>
            <w:tcW w:w="2250" w:type="pct"/>
            <w:tcBorders>
              <w:top w:val="outset" w:sz="6" w:space="0" w:color="auto"/>
              <w:left w:val="outset" w:sz="6" w:space="0" w:color="auto"/>
              <w:bottom w:val="outset" w:sz="6" w:space="0" w:color="auto"/>
              <w:right w:val="outset" w:sz="6" w:space="0" w:color="auto"/>
            </w:tcBorders>
          </w:tcPr>
          <w:p w:rsidR="00582507" w:rsidRDefault="00D61092" w:rsidP="00D61092">
            <w:pPr>
              <w:pStyle w:val="Footer"/>
              <w:tabs>
                <w:tab w:val="clear" w:pos="4153"/>
                <w:tab w:val="clear" w:pos="8306"/>
              </w:tabs>
              <w:jc w:val="both"/>
            </w:pPr>
            <w:r>
              <w:t>Ņemot vērā, ka grozījumi attiecībā uz saimnieciskās darbības izdevumu koriģēšanu un reprezentatīvo izdevumu palielināšanu ir vērsti uz nodokļa plānošanas ierobežošanu, tad nebūs vērojama ietekme uz sabiedrības un tautsaimniecības pārmaiņām.</w:t>
            </w:r>
          </w:p>
        </w:tc>
      </w:tr>
      <w:tr w:rsidR="00582507" w:rsidTr="00BE4701">
        <w:tc>
          <w:tcPr>
            <w:tcW w:w="2750" w:type="pct"/>
            <w:tcBorders>
              <w:top w:val="outset" w:sz="6" w:space="0" w:color="auto"/>
              <w:left w:val="outset" w:sz="6" w:space="0" w:color="auto"/>
              <w:bottom w:val="outset" w:sz="6" w:space="0" w:color="auto"/>
              <w:right w:val="outset" w:sz="6" w:space="0" w:color="auto"/>
            </w:tcBorders>
          </w:tcPr>
          <w:p w:rsidR="00582507" w:rsidRDefault="00582507" w:rsidP="00BE4701">
            <w:pPr>
              <w:pStyle w:val="NormalWeb"/>
              <w:jc w:val="both"/>
            </w:pPr>
            <w:r>
              <w:t>3. Ietekme uz uzņēmējdarbības vidi, administratīvajām procedūrām un administratīvo slogu komersantiem, pašnodarbinātajām personām, zemnieku un zvejnieku saimniecībām</w:t>
            </w:r>
          </w:p>
        </w:tc>
        <w:tc>
          <w:tcPr>
            <w:tcW w:w="2250" w:type="pct"/>
            <w:tcBorders>
              <w:top w:val="outset" w:sz="6" w:space="0" w:color="auto"/>
              <w:left w:val="outset" w:sz="6" w:space="0" w:color="auto"/>
              <w:bottom w:val="outset" w:sz="6" w:space="0" w:color="auto"/>
              <w:right w:val="outset" w:sz="6" w:space="0" w:color="auto"/>
            </w:tcBorders>
          </w:tcPr>
          <w:p w:rsidR="00582507" w:rsidRDefault="00582507" w:rsidP="00434720">
            <w:pPr>
              <w:ind w:firstLine="140"/>
              <w:jc w:val="both"/>
            </w:pPr>
            <w:r>
              <w:rPr>
                <w:bCs/>
              </w:rPr>
              <w:t xml:space="preserve">Grozījumi </w:t>
            </w:r>
            <w:r w:rsidRPr="006A3CAB">
              <w:rPr>
                <w:bCs/>
              </w:rPr>
              <w:t>likum</w:t>
            </w:r>
            <w:r>
              <w:rPr>
                <w:bCs/>
              </w:rPr>
              <w:t>ā</w:t>
            </w:r>
            <w:r w:rsidRPr="006A3CAB">
              <w:rPr>
                <w:bCs/>
              </w:rPr>
              <w:t xml:space="preserve"> „Pa</w:t>
            </w:r>
            <w:r>
              <w:rPr>
                <w:bCs/>
              </w:rPr>
              <w:t xml:space="preserve">r uzņēmumu ienākuma nodokli” samazinās administratīvo slogu </w:t>
            </w:r>
            <w:r>
              <w:t>nodokļa maksātajiem</w:t>
            </w:r>
            <w:r w:rsidR="00434720">
              <w:t xml:space="preserve">, jo nodokļa maksātājam nebūs </w:t>
            </w:r>
            <w:proofErr w:type="spellStart"/>
            <w:r w:rsidR="00434720">
              <w:t>jā</w:t>
            </w:r>
            <w:r w:rsidR="00434720" w:rsidRPr="000325F8">
              <w:t>iesniedzot</w:t>
            </w:r>
            <w:proofErr w:type="spellEnd"/>
            <w:r w:rsidR="00434720" w:rsidRPr="000325F8">
              <w:t xml:space="preserve"> attīstības projektu Nacionālajai reģionālās attīstības padomei</w:t>
            </w:r>
            <w:r w:rsidR="00434720">
              <w:t xml:space="preserve"> attiecīgi tai</w:t>
            </w:r>
            <w:r w:rsidR="00434720" w:rsidRPr="000325F8">
              <w:t xml:space="preserve"> nav nepieciešams pieņemt lēmumu par attīstības projekta atbilstību attiecīgās teritorijas attīstības programmai</w:t>
            </w:r>
          </w:p>
        </w:tc>
      </w:tr>
      <w:tr w:rsidR="00582507" w:rsidTr="00BE4701">
        <w:tc>
          <w:tcPr>
            <w:tcW w:w="2750" w:type="pct"/>
            <w:tcBorders>
              <w:top w:val="outset" w:sz="6" w:space="0" w:color="auto"/>
              <w:left w:val="outset" w:sz="6" w:space="0" w:color="auto"/>
              <w:bottom w:val="outset" w:sz="6" w:space="0" w:color="auto"/>
              <w:right w:val="outset" w:sz="6" w:space="0" w:color="auto"/>
            </w:tcBorders>
          </w:tcPr>
          <w:p w:rsidR="00582507" w:rsidRDefault="00582507" w:rsidP="00BE4701">
            <w:pPr>
              <w:pStyle w:val="NormalWeb"/>
              <w:jc w:val="both"/>
            </w:pPr>
            <w:r>
              <w:t xml:space="preserve">4. Ietekme uz administratīvajām procedūrām un administratīvo slogu fiziskām personām </w:t>
            </w:r>
          </w:p>
        </w:tc>
        <w:tc>
          <w:tcPr>
            <w:tcW w:w="2250" w:type="pct"/>
            <w:tcBorders>
              <w:top w:val="outset" w:sz="6" w:space="0" w:color="auto"/>
              <w:left w:val="outset" w:sz="6" w:space="0" w:color="auto"/>
              <w:bottom w:val="outset" w:sz="6" w:space="0" w:color="auto"/>
              <w:right w:val="outset" w:sz="6" w:space="0" w:color="auto"/>
            </w:tcBorders>
          </w:tcPr>
          <w:p w:rsidR="00582507" w:rsidRDefault="00582507" w:rsidP="00BE4701">
            <w:r>
              <w:t>Nav attiecināms.</w:t>
            </w:r>
          </w:p>
        </w:tc>
      </w:tr>
      <w:tr w:rsidR="00582507" w:rsidTr="00BE4701">
        <w:tc>
          <w:tcPr>
            <w:tcW w:w="2750" w:type="pct"/>
            <w:tcBorders>
              <w:top w:val="outset" w:sz="6" w:space="0" w:color="auto"/>
              <w:left w:val="outset" w:sz="6" w:space="0" w:color="auto"/>
              <w:bottom w:val="outset" w:sz="6" w:space="0" w:color="auto"/>
              <w:right w:val="outset" w:sz="6" w:space="0" w:color="auto"/>
            </w:tcBorders>
          </w:tcPr>
          <w:p w:rsidR="00582507" w:rsidRDefault="00582507" w:rsidP="00BE4701">
            <w:r>
              <w:t xml:space="preserve">5. Sociālā ietekme:  </w:t>
            </w:r>
          </w:p>
          <w:p w:rsidR="00582507" w:rsidRDefault="00582507" w:rsidP="00BE4701">
            <w:pPr>
              <w:pStyle w:val="NormalWeb"/>
              <w:spacing w:before="0" w:beforeAutospacing="0" w:after="0" w:afterAutospacing="0"/>
            </w:pPr>
            <w:r>
              <w:t>5.1. sociālās situācijas izmaiņas;</w:t>
            </w:r>
          </w:p>
          <w:p w:rsidR="00582507" w:rsidRDefault="00582507" w:rsidP="00BE4701">
            <w:pPr>
              <w:pStyle w:val="NormalWeb"/>
              <w:spacing w:before="0" w:beforeAutospacing="0" w:after="0" w:afterAutospacing="0"/>
            </w:pPr>
            <w:r>
              <w:t>5.2. nodarbinātība</w:t>
            </w:r>
          </w:p>
        </w:tc>
        <w:tc>
          <w:tcPr>
            <w:tcW w:w="2250" w:type="pct"/>
            <w:tcBorders>
              <w:top w:val="outset" w:sz="6" w:space="0" w:color="auto"/>
              <w:left w:val="outset" w:sz="6" w:space="0" w:color="auto"/>
              <w:bottom w:val="outset" w:sz="6" w:space="0" w:color="auto"/>
              <w:right w:val="outset" w:sz="6" w:space="0" w:color="auto"/>
            </w:tcBorders>
          </w:tcPr>
          <w:p w:rsidR="00582507" w:rsidRDefault="00582507" w:rsidP="00BE4701">
            <w:pPr>
              <w:ind w:left="33"/>
              <w:jc w:val="both"/>
            </w:pPr>
            <w:r>
              <w:t>Nav attiecināms.</w:t>
            </w:r>
          </w:p>
        </w:tc>
      </w:tr>
      <w:tr w:rsidR="00582507" w:rsidTr="00BE4701">
        <w:tc>
          <w:tcPr>
            <w:tcW w:w="2750" w:type="pct"/>
            <w:tcBorders>
              <w:top w:val="outset" w:sz="6" w:space="0" w:color="auto"/>
              <w:left w:val="outset" w:sz="6" w:space="0" w:color="auto"/>
              <w:bottom w:val="outset" w:sz="6" w:space="0" w:color="auto"/>
              <w:right w:val="outset" w:sz="6" w:space="0" w:color="auto"/>
            </w:tcBorders>
          </w:tcPr>
          <w:p w:rsidR="00582507" w:rsidRDefault="00582507" w:rsidP="00BE4701">
            <w:pPr>
              <w:pStyle w:val="NormalWeb"/>
              <w:spacing w:before="0" w:beforeAutospacing="0" w:after="0" w:afterAutospacing="0"/>
            </w:pPr>
            <w:r>
              <w:lastRenderedPageBreak/>
              <w:t>6. Ietekme uz vidi:</w:t>
            </w:r>
          </w:p>
          <w:p w:rsidR="00582507" w:rsidRDefault="00582507" w:rsidP="00BE4701">
            <w:pPr>
              <w:pStyle w:val="NormalWeb"/>
              <w:spacing w:before="0" w:beforeAutospacing="0" w:after="0" w:afterAutospacing="0"/>
            </w:pPr>
            <w:r>
              <w:t>6.1. dabas resursu lietošana;</w:t>
            </w:r>
          </w:p>
          <w:p w:rsidR="00582507" w:rsidRDefault="00582507" w:rsidP="00BE4701">
            <w:pPr>
              <w:pStyle w:val="NormalWeb"/>
              <w:spacing w:before="0" w:beforeAutospacing="0" w:after="0" w:afterAutospacing="0"/>
            </w:pPr>
            <w:r>
              <w:t>6.2. ietekme uz piesārņojošo vielu emisiju vidē;</w:t>
            </w:r>
          </w:p>
          <w:p w:rsidR="00582507" w:rsidRDefault="00582507" w:rsidP="00BE4701">
            <w:pPr>
              <w:pStyle w:val="NormalWeb"/>
              <w:spacing w:before="0" w:beforeAutospacing="0" w:after="0" w:afterAutospacing="0"/>
            </w:pPr>
            <w:r>
              <w:t>6.3. darbības radītie atkritumi;</w:t>
            </w:r>
          </w:p>
          <w:p w:rsidR="00582507" w:rsidRDefault="00582507" w:rsidP="00BE4701">
            <w:pPr>
              <w:pStyle w:val="NormalWeb"/>
              <w:spacing w:before="0" w:beforeAutospacing="0" w:after="0" w:afterAutospacing="0"/>
            </w:pPr>
            <w:r>
              <w:t>6.4. ķīmisko vielu produktu ražošana;</w:t>
            </w:r>
          </w:p>
          <w:p w:rsidR="00582507" w:rsidRDefault="00582507" w:rsidP="00BE4701">
            <w:pPr>
              <w:pStyle w:val="NormalWeb"/>
              <w:spacing w:before="0" w:beforeAutospacing="0" w:after="0" w:afterAutospacing="0"/>
            </w:pPr>
            <w:r>
              <w:t>6.5. ietekme uz īpaši aizsargājamām sugām vai biotopiem;</w:t>
            </w:r>
          </w:p>
          <w:p w:rsidR="00582507" w:rsidRDefault="00582507" w:rsidP="00BE4701">
            <w:pPr>
              <w:pStyle w:val="NormalWeb"/>
              <w:spacing w:before="0" w:beforeAutospacing="0" w:after="0" w:afterAutospacing="0"/>
            </w:pPr>
            <w:r>
              <w:t>6.6. ietekme uz īpaši aizsargājamām teritorijām;</w:t>
            </w:r>
          </w:p>
          <w:p w:rsidR="00582507" w:rsidRDefault="00582507" w:rsidP="00BE4701">
            <w:pPr>
              <w:pStyle w:val="NormalWeb"/>
              <w:spacing w:before="0" w:beforeAutospacing="0" w:after="0" w:afterAutospacing="0"/>
            </w:pPr>
            <w:r>
              <w:t>6.7. cita veida piesārņojuma emisija vidē</w:t>
            </w:r>
          </w:p>
        </w:tc>
        <w:tc>
          <w:tcPr>
            <w:tcW w:w="2250" w:type="pct"/>
            <w:tcBorders>
              <w:top w:val="outset" w:sz="6" w:space="0" w:color="auto"/>
              <w:left w:val="outset" w:sz="6" w:space="0" w:color="auto"/>
              <w:bottom w:val="outset" w:sz="6" w:space="0" w:color="auto"/>
              <w:right w:val="outset" w:sz="6" w:space="0" w:color="auto"/>
            </w:tcBorders>
          </w:tcPr>
          <w:p w:rsidR="00582507" w:rsidRDefault="00582507" w:rsidP="00BE4701">
            <w:r>
              <w:t>Nav attiecināms.</w:t>
            </w:r>
          </w:p>
        </w:tc>
      </w:tr>
      <w:tr w:rsidR="00582507" w:rsidTr="00BE4701">
        <w:tc>
          <w:tcPr>
            <w:tcW w:w="2750" w:type="pct"/>
            <w:tcBorders>
              <w:top w:val="outset" w:sz="6" w:space="0" w:color="auto"/>
              <w:left w:val="outset" w:sz="6" w:space="0" w:color="auto"/>
              <w:bottom w:val="outset" w:sz="6" w:space="0" w:color="auto"/>
              <w:right w:val="outset" w:sz="6" w:space="0" w:color="auto"/>
            </w:tcBorders>
          </w:tcPr>
          <w:p w:rsidR="00582507" w:rsidRDefault="00582507" w:rsidP="00BE4701">
            <w:pPr>
              <w:pStyle w:val="NormalWeb"/>
            </w:pPr>
            <w:r>
              <w:t xml:space="preserve">7. Cita ietekme </w:t>
            </w:r>
          </w:p>
        </w:tc>
        <w:tc>
          <w:tcPr>
            <w:tcW w:w="2250" w:type="pct"/>
            <w:tcBorders>
              <w:top w:val="outset" w:sz="6" w:space="0" w:color="auto"/>
              <w:left w:val="outset" w:sz="6" w:space="0" w:color="auto"/>
              <w:bottom w:val="outset" w:sz="6" w:space="0" w:color="auto"/>
              <w:right w:val="outset" w:sz="6" w:space="0" w:color="auto"/>
            </w:tcBorders>
          </w:tcPr>
          <w:p w:rsidR="00582507" w:rsidRDefault="00582507" w:rsidP="00BE4701">
            <w:r>
              <w:t> Nav.</w:t>
            </w:r>
          </w:p>
        </w:tc>
      </w:tr>
    </w:tbl>
    <w:p w:rsidR="00582507" w:rsidRDefault="00582507" w:rsidP="00582507">
      <w:pPr>
        <w:pStyle w:val="NormalWeb"/>
        <w:spacing w:before="0" w:beforeAutospacing="0" w:after="0" w:afterAutospacing="0"/>
      </w:pPr>
    </w:p>
    <w:tbl>
      <w:tblPr>
        <w:tblW w:w="50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5" w:type="dxa"/>
          <w:left w:w="105" w:type="dxa"/>
          <w:bottom w:w="105" w:type="dxa"/>
          <w:right w:w="105" w:type="dxa"/>
        </w:tblCellMar>
        <w:tblLook w:val="0000"/>
      </w:tblPr>
      <w:tblGrid>
        <w:gridCol w:w="2513"/>
        <w:gridCol w:w="2325"/>
        <w:gridCol w:w="1496"/>
        <w:gridCol w:w="1496"/>
        <w:gridCol w:w="1494"/>
      </w:tblGrid>
      <w:tr w:rsidR="00582507" w:rsidTr="00BE4701">
        <w:tc>
          <w:tcPr>
            <w:tcW w:w="5000" w:type="pct"/>
            <w:gridSpan w:val="5"/>
            <w:vAlign w:val="center"/>
          </w:tcPr>
          <w:p w:rsidR="00582507" w:rsidRPr="00F11D8F" w:rsidRDefault="00582507" w:rsidP="00BE4701">
            <w:pPr>
              <w:pStyle w:val="NormalWeb"/>
              <w:spacing w:before="0" w:beforeAutospacing="0" w:after="0" w:afterAutospacing="0"/>
              <w:jc w:val="center"/>
              <w:rPr>
                <w:b/>
                <w:szCs w:val="28"/>
              </w:rPr>
            </w:pPr>
            <w:r w:rsidRPr="00F11D8F">
              <w:rPr>
                <w:b/>
                <w:sz w:val="28"/>
                <w:szCs w:val="28"/>
              </w:rPr>
              <w:t>III. Kāda var būt normatīvā akta ietekme uz</w:t>
            </w:r>
            <w:r w:rsidRPr="00F11D8F">
              <w:rPr>
                <w:b/>
                <w:sz w:val="28"/>
                <w:szCs w:val="28"/>
              </w:rPr>
              <w:br/>
              <w:t>valsts budžetu un pašvaldību budžetiem</w:t>
            </w:r>
          </w:p>
        </w:tc>
      </w:tr>
      <w:tr w:rsidR="00582507" w:rsidTr="00BE4701">
        <w:tc>
          <w:tcPr>
            <w:tcW w:w="1348" w:type="pct"/>
          </w:tcPr>
          <w:p w:rsidR="00582507" w:rsidRDefault="00582507" w:rsidP="00BE4701"/>
        </w:tc>
        <w:tc>
          <w:tcPr>
            <w:tcW w:w="3652" w:type="pct"/>
            <w:gridSpan w:val="4"/>
          </w:tcPr>
          <w:p w:rsidR="00582507" w:rsidRDefault="00582507" w:rsidP="00BE4701">
            <w:pPr>
              <w:pStyle w:val="naislab"/>
              <w:spacing w:before="0" w:after="0"/>
            </w:pPr>
            <w:r>
              <w:t>(tūkst</w:t>
            </w:r>
            <w:smartTag w:uri="schemas-tilde-lv/tildestengine" w:element="currency2">
              <w:smartTagPr>
                <w:attr w:name="currency_text" w:val="latu"/>
                <w:attr w:name="currency_value" w:val="."/>
                <w:attr w:name="currency_key" w:val="LVL"/>
                <w:attr w:name="currency_id" w:val="48"/>
              </w:smartTagPr>
              <w:r>
                <w:t>. latu</w:t>
              </w:r>
            </w:smartTag>
            <w:r>
              <w:t>)</w:t>
            </w:r>
          </w:p>
        </w:tc>
      </w:tr>
      <w:tr w:rsidR="00582507" w:rsidTr="00BE4701">
        <w:trPr>
          <w:trHeight w:val="450"/>
        </w:trPr>
        <w:tc>
          <w:tcPr>
            <w:tcW w:w="1348" w:type="pct"/>
            <w:vMerge w:val="restart"/>
            <w:vAlign w:val="center"/>
          </w:tcPr>
          <w:p w:rsidR="00582507" w:rsidRDefault="00582507" w:rsidP="00BE4701">
            <w:pPr>
              <w:pStyle w:val="naisc"/>
              <w:spacing w:before="0" w:after="0"/>
            </w:pPr>
            <w:r>
              <w:t>Rādītāji</w:t>
            </w:r>
          </w:p>
        </w:tc>
        <w:tc>
          <w:tcPr>
            <w:tcW w:w="1247" w:type="pct"/>
            <w:vMerge w:val="restart"/>
            <w:vAlign w:val="center"/>
          </w:tcPr>
          <w:p w:rsidR="00582507" w:rsidRDefault="00582507" w:rsidP="00BE4701">
            <w:pPr>
              <w:pStyle w:val="naisc"/>
              <w:spacing w:before="0" w:after="0"/>
            </w:pPr>
            <w:r>
              <w:t>2009.</w:t>
            </w:r>
          </w:p>
        </w:tc>
        <w:tc>
          <w:tcPr>
            <w:tcW w:w="2406" w:type="pct"/>
            <w:gridSpan w:val="3"/>
            <w:vAlign w:val="center"/>
          </w:tcPr>
          <w:p w:rsidR="00582507" w:rsidRDefault="00582507" w:rsidP="00BE4701">
            <w:pPr>
              <w:pStyle w:val="naisc"/>
              <w:tabs>
                <w:tab w:val="left" w:pos="314"/>
                <w:tab w:val="center" w:pos="1360"/>
                <w:tab w:val="left" w:pos="2474"/>
              </w:tabs>
              <w:spacing w:before="0" w:after="0"/>
            </w:pPr>
            <w:r>
              <w:t>Turpmākie trīs periodi</w:t>
            </w:r>
          </w:p>
        </w:tc>
      </w:tr>
      <w:tr w:rsidR="00582507" w:rsidTr="00BE4701">
        <w:trPr>
          <w:trHeight w:val="450"/>
        </w:trPr>
        <w:tc>
          <w:tcPr>
            <w:tcW w:w="1348" w:type="pct"/>
            <w:vMerge/>
          </w:tcPr>
          <w:p w:rsidR="00582507" w:rsidRDefault="00582507" w:rsidP="00BE4701">
            <w:pPr>
              <w:pStyle w:val="naisc"/>
              <w:spacing w:before="0" w:after="0"/>
            </w:pPr>
          </w:p>
        </w:tc>
        <w:tc>
          <w:tcPr>
            <w:tcW w:w="1247" w:type="pct"/>
            <w:vMerge/>
          </w:tcPr>
          <w:p w:rsidR="00582507" w:rsidRDefault="00582507" w:rsidP="00BE4701">
            <w:pPr>
              <w:pStyle w:val="naisc"/>
              <w:spacing w:before="0" w:after="0"/>
            </w:pPr>
          </w:p>
        </w:tc>
        <w:tc>
          <w:tcPr>
            <w:tcW w:w="802" w:type="pct"/>
            <w:vAlign w:val="center"/>
          </w:tcPr>
          <w:p w:rsidR="00582507" w:rsidRDefault="00582507" w:rsidP="00BE4701">
            <w:pPr>
              <w:pStyle w:val="naisc"/>
              <w:spacing w:before="0" w:after="0"/>
            </w:pPr>
            <w:r>
              <w:t>2010.</w:t>
            </w:r>
          </w:p>
        </w:tc>
        <w:tc>
          <w:tcPr>
            <w:tcW w:w="802" w:type="pct"/>
            <w:vAlign w:val="center"/>
          </w:tcPr>
          <w:p w:rsidR="00582507" w:rsidRDefault="00582507" w:rsidP="00BE4701">
            <w:pPr>
              <w:pStyle w:val="naisc"/>
              <w:spacing w:before="0" w:after="0"/>
            </w:pPr>
            <w:r>
              <w:t>2011.</w:t>
            </w:r>
          </w:p>
        </w:tc>
        <w:tc>
          <w:tcPr>
            <w:tcW w:w="801" w:type="pct"/>
            <w:vAlign w:val="center"/>
          </w:tcPr>
          <w:p w:rsidR="00582507" w:rsidRDefault="00582507" w:rsidP="00BE4701">
            <w:pPr>
              <w:pStyle w:val="naisc"/>
              <w:spacing w:before="0" w:after="0"/>
            </w:pPr>
            <w:r>
              <w:t>2012.</w:t>
            </w:r>
          </w:p>
        </w:tc>
      </w:tr>
      <w:tr w:rsidR="00582507" w:rsidTr="00BE4701">
        <w:tc>
          <w:tcPr>
            <w:tcW w:w="1348" w:type="pct"/>
            <w:vAlign w:val="center"/>
          </w:tcPr>
          <w:p w:rsidR="00582507" w:rsidRPr="00F11D8F" w:rsidRDefault="00582507" w:rsidP="00BE4701">
            <w:pPr>
              <w:pStyle w:val="naisc"/>
              <w:spacing w:before="0" w:after="0"/>
            </w:pPr>
            <w:r w:rsidRPr="00F11D8F">
              <w:t>1</w:t>
            </w:r>
          </w:p>
        </w:tc>
        <w:tc>
          <w:tcPr>
            <w:tcW w:w="1247" w:type="pct"/>
            <w:vAlign w:val="center"/>
          </w:tcPr>
          <w:p w:rsidR="00582507" w:rsidRPr="00F11D8F" w:rsidRDefault="00582507" w:rsidP="00BE4701">
            <w:pPr>
              <w:pStyle w:val="naisc"/>
              <w:spacing w:before="0" w:after="0"/>
            </w:pPr>
            <w:r w:rsidRPr="00F11D8F">
              <w:t>2</w:t>
            </w:r>
          </w:p>
        </w:tc>
        <w:tc>
          <w:tcPr>
            <w:tcW w:w="802" w:type="pct"/>
            <w:vAlign w:val="center"/>
          </w:tcPr>
          <w:p w:rsidR="00582507" w:rsidRPr="00F11D8F" w:rsidRDefault="00582507" w:rsidP="00BE4701">
            <w:pPr>
              <w:pStyle w:val="naisc"/>
              <w:spacing w:before="0" w:after="0"/>
            </w:pPr>
            <w:r w:rsidRPr="00F11D8F">
              <w:t>3</w:t>
            </w:r>
          </w:p>
        </w:tc>
        <w:tc>
          <w:tcPr>
            <w:tcW w:w="802" w:type="pct"/>
            <w:vAlign w:val="center"/>
          </w:tcPr>
          <w:p w:rsidR="00582507" w:rsidRPr="00F11D8F" w:rsidRDefault="00582507" w:rsidP="00BE4701">
            <w:pPr>
              <w:pStyle w:val="naisc"/>
              <w:spacing w:before="0" w:after="0"/>
            </w:pPr>
            <w:r w:rsidRPr="00F11D8F">
              <w:t>4</w:t>
            </w:r>
          </w:p>
        </w:tc>
        <w:tc>
          <w:tcPr>
            <w:tcW w:w="801" w:type="pct"/>
            <w:vAlign w:val="center"/>
          </w:tcPr>
          <w:p w:rsidR="00582507" w:rsidRPr="00F11D8F" w:rsidRDefault="00582507" w:rsidP="00BE4701">
            <w:pPr>
              <w:pStyle w:val="naisc"/>
              <w:spacing w:before="0" w:after="0"/>
            </w:pPr>
            <w:r w:rsidRPr="00F11D8F">
              <w:t>5</w:t>
            </w:r>
          </w:p>
        </w:tc>
      </w:tr>
      <w:tr w:rsidR="00582507" w:rsidTr="00BE4701">
        <w:tc>
          <w:tcPr>
            <w:tcW w:w="1348" w:type="pct"/>
          </w:tcPr>
          <w:p w:rsidR="00582507" w:rsidRPr="00D8740D" w:rsidRDefault="00582507" w:rsidP="00BE4701">
            <w:pPr>
              <w:pStyle w:val="NormalWeb"/>
              <w:spacing w:before="0" w:beforeAutospacing="0" w:after="0" w:afterAutospacing="0"/>
            </w:pPr>
            <w:r w:rsidRPr="00D8740D">
              <w:t>1. Izmaiņas budžeta ieņēmumos:</w:t>
            </w:r>
          </w:p>
          <w:p w:rsidR="00582507" w:rsidRPr="00D8740D" w:rsidRDefault="00582507" w:rsidP="00BE4701">
            <w:pPr>
              <w:tabs>
                <w:tab w:val="left" w:pos="252"/>
              </w:tabs>
              <w:jc w:val="both"/>
            </w:pPr>
            <w:r w:rsidRPr="00D8740D">
              <w:t>1.1. valsts pamatbudžets, tajā skaitā iestāžu ieņēmumi no maksas pakalpojumiem un citi pašu ieņēmumi;</w:t>
            </w:r>
          </w:p>
          <w:p w:rsidR="00582507" w:rsidRPr="00D8740D" w:rsidRDefault="00582507" w:rsidP="00BE4701">
            <w:pPr>
              <w:tabs>
                <w:tab w:val="left" w:pos="900"/>
              </w:tabs>
              <w:jc w:val="both"/>
            </w:pPr>
            <w:r w:rsidRPr="00D8740D">
              <w:t>1.2. speciālais budžets;</w:t>
            </w:r>
          </w:p>
          <w:p w:rsidR="00582507" w:rsidRPr="00D8740D" w:rsidRDefault="00582507" w:rsidP="00BE4701">
            <w:pPr>
              <w:tabs>
                <w:tab w:val="left" w:pos="900"/>
              </w:tabs>
              <w:jc w:val="both"/>
            </w:pPr>
            <w:r w:rsidRPr="00D8740D">
              <w:t>1.3. pašvaldību budžets</w:t>
            </w:r>
          </w:p>
          <w:p w:rsidR="00582507" w:rsidRPr="00D8740D" w:rsidRDefault="00582507" w:rsidP="00BE4701">
            <w:pPr>
              <w:pStyle w:val="NormalWeb"/>
              <w:spacing w:before="0" w:beforeAutospacing="0" w:after="0" w:afterAutospacing="0"/>
            </w:pPr>
          </w:p>
        </w:tc>
        <w:tc>
          <w:tcPr>
            <w:tcW w:w="1247" w:type="pct"/>
          </w:tcPr>
          <w:p w:rsidR="00582507" w:rsidRPr="00D8740D" w:rsidRDefault="00582507" w:rsidP="00BE4701">
            <w:r w:rsidRPr="00D8740D">
              <w:t>Nav attiecināms.</w:t>
            </w:r>
          </w:p>
          <w:p w:rsidR="00582507" w:rsidRPr="00D8740D" w:rsidRDefault="00582507" w:rsidP="00BE4701">
            <w:pPr>
              <w:jc w:val="center"/>
            </w:pPr>
          </w:p>
        </w:tc>
        <w:tc>
          <w:tcPr>
            <w:tcW w:w="802" w:type="pct"/>
          </w:tcPr>
          <w:p w:rsidR="00582507" w:rsidRPr="00D8740D" w:rsidRDefault="00582507" w:rsidP="00BE4701">
            <w:r w:rsidRPr="00D8740D">
              <w:t>Nav attiecināms.</w:t>
            </w:r>
          </w:p>
          <w:p w:rsidR="00582507" w:rsidRPr="00D8740D" w:rsidRDefault="00582507" w:rsidP="00BE4701">
            <w:pPr>
              <w:jc w:val="center"/>
            </w:pPr>
          </w:p>
        </w:tc>
        <w:tc>
          <w:tcPr>
            <w:tcW w:w="802" w:type="pct"/>
          </w:tcPr>
          <w:p w:rsidR="00582507" w:rsidRDefault="00582507" w:rsidP="00BE4701">
            <w:pPr>
              <w:jc w:val="center"/>
            </w:pPr>
          </w:p>
          <w:p w:rsidR="00582507" w:rsidRDefault="00582507" w:rsidP="00BE4701">
            <w:pPr>
              <w:jc w:val="center"/>
            </w:pPr>
          </w:p>
          <w:p w:rsidR="00582507" w:rsidRPr="00D8740D" w:rsidRDefault="00582507" w:rsidP="00BE4701">
            <w:pPr>
              <w:jc w:val="center"/>
            </w:pPr>
            <w:r>
              <w:t>+ 6 800</w:t>
            </w:r>
          </w:p>
        </w:tc>
        <w:tc>
          <w:tcPr>
            <w:tcW w:w="801" w:type="pct"/>
          </w:tcPr>
          <w:p w:rsidR="00582507" w:rsidRDefault="00582507" w:rsidP="00BE4701"/>
          <w:p w:rsidR="00582507" w:rsidRDefault="00582507" w:rsidP="00BE4701"/>
          <w:p w:rsidR="00582507" w:rsidRPr="00005E1C" w:rsidRDefault="00582507" w:rsidP="00BE4701">
            <w:r>
              <w:t xml:space="preserve">+ </w:t>
            </w:r>
            <w:r w:rsidRPr="00005E1C">
              <w:t>6</w:t>
            </w:r>
            <w:r>
              <w:t xml:space="preserve"> </w:t>
            </w:r>
            <w:r w:rsidRPr="00005E1C">
              <w:t>8</w:t>
            </w:r>
            <w:r>
              <w:t>00</w:t>
            </w:r>
          </w:p>
          <w:p w:rsidR="00582507" w:rsidRPr="00D8740D" w:rsidRDefault="00582507" w:rsidP="00BE4701">
            <w:pPr>
              <w:jc w:val="center"/>
            </w:pPr>
          </w:p>
        </w:tc>
      </w:tr>
      <w:tr w:rsidR="00582507" w:rsidTr="00BE4701">
        <w:tc>
          <w:tcPr>
            <w:tcW w:w="1348" w:type="pct"/>
          </w:tcPr>
          <w:p w:rsidR="00582507" w:rsidRPr="00D8740D" w:rsidRDefault="00582507" w:rsidP="00BE4701">
            <w:pPr>
              <w:tabs>
                <w:tab w:val="left" w:pos="900"/>
              </w:tabs>
              <w:jc w:val="both"/>
            </w:pPr>
            <w:r w:rsidRPr="00D8740D">
              <w:t>2. Izmaiņas budžeta izdevumos:</w:t>
            </w:r>
          </w:p>
          <w:p w:rsidR="00582507" w:rsidRPr="00D8740D" w:rsidRDefault="00582507" w:rsidP="00BE4701">
            <w:pPr>
              <w:tabs>
                <w:tab w:val="left" w:pos="900"/>
              </w:tabs>
              <w:jc w:val="both"/>
            </w:pPr>
            <w:r w:rsidRPr="00D8740D">
              <w:t>2.1. valsts pamatbudžets,</w:t>
            </w:r>
          </w:p>
          <w:p w:rsidR="00582507" w:rsidRPr="00D8740D" w:rsidRDefault="00582507" w:rsidP="00BE4701">
            <w:pPr>
              <w:tabs>
                <w:tab w:val="left" w:pos="900"/>
              </w:tabs>
            </w:pPr>
            <w:r w:rsidRPr="00D8740D">
              <w:t>tajā skaitā iestāžu ieņēmumi no maksas pakalpojumiem un citi pašu ieņēmumi;</w:t>
            </w:r>
          </w:p>
          <w:p w:rsidR="00582507" w:rsidRPr="00D8740D" w:rsidRDefault="00582507" w:rsidP="00BE4701">
            <w:pPr>
              <w:tabs>
                <w:tab w:val="left" w:pos="900"/>
              </w:tabs>
              <w:jc w:val="both"/>
            </w:pPr>
            <w:r w:rsidRPr="00D8740D">
              <w:t>2.2. speciālais budžets;</w:t>
            </w:r>
          </w:p>
          <w:p w:rsidR="00582507" w:rsidRPr="00D8740D" w:rsidRDefault="00582507" w:rsidP="00BE4701">
            <w:pPr>
              <w:pStyle w:val="NormalWeb"/>
              <w:spacing w:before="0" w:beforeAutospacing="0" w:after="0" w:afterAutospacing="0"/>
            </w:pPr>
            <w:r w:rsidRPr="00D8740D">
              <w:t>2.3. pašvaldību budžets </w:t>
            </w:r>
          </w:p>
          <w:p w:rsidR="00582507" w:rsidRPr="00D8740D" w:rsidRDefault="00582507" w:rsidP="00BE4701">
            <w:pPr>
              <w:pStyle w:val="NormalWeb"/>
              <w:spacing w:before="0" w:beforeAutospacing="0" w:after="0" w:afterAutospacing="0"/>
            </w:pPr>
          </w:p>
        </w:tc>
        <w:tc>
          <w:tcPr>
            <w:tcW w:w="1247" w:type="pct"/>
          </w:tcPr>
          <w:p w:rsidR="00582507" w:rsidRPr="00D8740D" w:rsidRDefault="00582507" w:rsidP="00BE4701">
            <w:r w:rsidRPr="00D8740D">
              <w:t>Nav attiecināms.</w:t>
            </w:r>
          </w:p>
          <w:p w:rsidR="00582507" w:rsidRPr="00D8740D" w:rsidRDefault="00582507" w:rsidP="00BE4701">
            <w:pPr>
              <w:jc w:val="center"/>
            </w:pPr>
          </w:p>
        </w:tc>
        <w:tc>
          <w:tcPr>
            <w:tcW w:w="802" w:type="pct"/>
          </w:tcPr>
          <w:p w:rsidR="00582507" w:rsidRPr="00D8740D" w:rsidRDefault="00582507" w:rsidP="00BE4701">
            <w:r w:rsidRPr="00D8740D">
              <w:t>Nav attiecināms.</w:t>
            </w:r>
          </w:p>
          <w:p w:rsidR="00582507" w:rsidRPr="00D8740D" w:rsidRDefault="00582507" w:rsidP="00BE4701">
            <w:pPr>
              <w:jc w:val="center"/>
            </w:pPr>
          </w:p>
        </w:tc>
        <w:tc>
          <w:tcPr>
            <w:tcW w:w="802" w:type="pct"/>
          </w:tcPr>
          <w:p w:rsidR="00582507" w:rsidRPr="00D8740D" w:rsidRDefault="00582507" w:rsidP="00BE4701">
            <w:r w:rsidRPr="00D8740D">
              <w:t>Nav attiecināms.</w:t>
            </w:r>
          </w:p>
          <w:p w:rsidR="00582507" w:rsidRPr="00D8740D" w:rsidRDefault="00582507" w:rsidP="00BE4701">
            <w:pPr>
              <w:jc w:val="center"/>
            </w:pPr>
          </w:p>
        </w:tc>
        <w:tc>
          <w:tcPr>
            <w:tcW w:w="801" w:type="pct"/>
          </w:tcPr>
          <w:p w:rsidR="00582507" w:rsidRPr="00D8740D" w:rsidRDefault="00582507" w:rsidP="00BE4701">
            <w:r w:rsidRPr="00D8740D">
              <w:t>Nav attiecināms.</w:t>
            </w:r>
          </w:p>
          <w:p w:rsidR="00582507" w:rsidRPr="00D8740D" w:rsidRDefault="00582507" w:rsidP="00BE4701">
            <w:pPr>
              <w:jc w:val="center"/>
            </w:pPr>
          </w:p>
        </w:tc>
      </w:tr>
      <w:tr w:rsidR="00582507" w:rsidTr="00BE4701">
        <w:tc>
          <w:tcPr>
            <w:tcW w:w="1348" w:type="pct"/>
          </w:tcPr>
          <w:p w:rsidR="00582507" w:rsidRDefault="00582507" w:rsidP="00BE4701">
            <w:pPr>
              <w:tabs>
                <w:tab w:val="left" w:pos="900"/>
              </w:tabs>
              <w:jc w:val="both"/>
            </w:pPr>
            <w:r>
              <w:t>3. Finansiālā ietekme:</w:t>
            </w:r>
          </w:p>
          <w:p w:rsidR="00582507" w:rsidRPr="00E16B44" w:rsidRDefault="00582507" w:rsidP="00BE4701">
            <w:pPr>
              <w:tabs>
                <w:tab w:val="left" w:pos="900"/>
              </w:tabs>
              <w:jc w:val="both"/>
            </w:pPr>
            <w:r w:rsidRPr="00E16B44">
              <w:lastRenderedPageBreak/>
              <w:t>3.1. valsts pamatbudžets</w:t>
            </w:r>
            <w:r>
              <w:t>,</w:t>
            </w:r>
          </w:p>
          <w:p w:rsidR="00582507" w:rsidRPr="00E16B44" w:rsidRDefault="00582507" w:rsidP="00BE4701">
            <w:pPr>
              <w:tabs>
                <w:tab w:val="left" w:pos="900"/>
              </w:tabs>
            </w:pPr>
            <w:r>
              <w:t>tajā skaitā</w:t>
            </w:r>
            <w:r w:rsidRPr="00E16B44">
              <w:t xml:space="preserve"> iestāžu ieņēmumi no maksas pakalpojumiem un citi pašu ieņēmumi</w:t>
            </w:r>
            <w:r>
              <w:t>;</w:t>
            </w:r>
          </w:p>
          <w:p w:rsidR="00582507" w:rsidRPr="00E16B44" w:rsidRDefault="00582507" w:rsidP="00BE4701">
            <w:pPr>
              <w:tabs>
                <w:tab w:val="left" w:pos="900"/>
              </w:tabs>
              <w:jc w:val="both"/>
            </w:pPr>
            <w:r w:rsidRPr="00E16B44">
              <w:t>3.2. speciālais budžets</w:t>
            </w:r>
            <w:r>
              <w:t>;</w:t>
            </w:r>
          </w:p>
          <w:p w:rsidR="00582507" w:rsidRDefault="00582507" w:rsidP="00BE4701">
            <w:pPr>
              <w:pStyle w:val="NormalWeb"/>
              <w:spacing w:before="0" w:beforeAutospacing="0" w:after="0" w:afterAutospacing="0"/>
            </w:pPr>
            <w:r w:rsidRPr="00E16B44">
              <w:t>3.3. pašvaldību budžets</w:t>
            </w:r>
            <w:r>
              <w:t> </w:t>
            </w:r>
          </w:p>
          <w:p w:rsidR="00582507" w:rsidRDefault="00582507" w:rsidP="00BE4701">
            <w:pPr>
              <w:pStyle w:val="NormalWeb"/>
              <w:spacing w:before="0" w:beforeAutospacing="0" w:after="0" w:afterAutospacing="0"/>
            </w:pPr>
          </w:p>
        </w:tc>
        <w:tc>
          <w:tcPr>
            <w:tcW w:w="1247" w:type="pct"/>
          </w:tcPr>
          <w:p w:rsidR="00582507" w:rsidRDefault="00582507" w:rsidP="00BE4701">
            <w:r>
              <w:lastRenderedPageBreak/>
              <w:t>Nav attiecināms.</w:t>
            </w:r>
          </w:p>
          <w:p w:rsidR="00582507" w:rsidRDefault="00582507" w:rsidP="00BE4701">
            <w:pPr>
              <w:jc w:val="center"/>
            </w:pPr>
          </w:p>
        </w:tc>
        <w:tc>
          <w:tcPr>
            <w:tcW w:w="802" w:type="pct"/>
          </w:tcPr>
          <w:p w:rsidR="00582507" w:rsidRDefault="00582507" w:rsidP="00BE4701">
            <w:r>
              <w:lastRenderedPageBreak/>
              <w:t xml:space="preserve">Nav </w:t>
            </w:r>
            <w:r>
              <w:lastRenderedPageBreak/>
              <w:t>attiecināms.</w:t>
            </w:r>
          </w:p>
          <w:p w:rsidR="00582507" w:rsidRDefault="00582507" w:rsidP="00BE4701">
            <w:pPr>
              <w:jc w:val="center"/>
            </w:pPr>
          </w:p>
        </w:tc>
        <w:tc>
          <w:tcPr>
            <w:tcW w:w="802" w:type="pct"/>
          </w:tcPr>
          <w:p w:rsidR="00582507" w:rsidRDefault="00582507" w:rsidP="00BE4701">
            <w:pPr>
              <w:jc w:val="center"/>
            </w:pPr>
          </w:p>
          <w:p w:rsidR="00582507" w:rsidRDefault="00582507" w:rsidP="00BE4701">
            <w:pPr>
              <w:jc w:val="center"/>
            </w:pPr>
          </w:p>
          <w:p w:rsidR="00582507" w:rsidRPr="00D8740D" w:rsidRDefault="00582507" w:rsidP="00BE4701">
            <w:pPr>
              <w:jc w:val="center"/>
            </w:pPr>
            <w:r>
              <w:t>+ 6 800</w:t>
            </w:r>
          </w:p>
        </w:tc>
        <w:tc>
          <w:tcPr>
            <w:tcW w:w="801" w:type="pct"/>
          </w:tcPr>
          <w:p w:rsidR="00582507" w:rsidRDefault="00582507" w:rsidP="00BE4701"/>
          <w:p w:rsidR="00582507" w:rsidRDefault="00582507" w:rsidP="00BE4701"/>
          <w:p w:rsidR="00582507" w:rsidRPr="00005E1C" w:rsidRDefault="00582507" w:rsidP="00BE4701">
            <w:r>
              <w:t xml:space="preserve">+ </w:t>
            </w:r>
            <w:r w:rsidRPr="00005E1C">
              <w:t>6</w:t>
            </w:r>
            <w:r>
              <w:t xml:space="preserve"> </w:t>
            </w:r>
            <w:r w:rsidRPr="00005E1C">
              <w:t>8</w:t>
            </w:r>
            <w:r>
              <w:t>00</w:t>
            </w:r>
          </w:p>
          <w:p w:rsidR="00582507" w:rsidRPr="00D8740D" w:rsidRDefault="00582507" w:rsidP="00BE4701">
            <w:pPr>
              <w:jc w:val="center"/>
            </w:pPr>
          </w:p>
        </w:tc>
      </w:tr>
      <w:tr w:rsidR="00582507" w:rsidTr="00BE4701">
        <w:tc>
          <w:tcPr>
            <w:tcW w:w="1348" w:type="pct"/>
          </w:tcPr>
          <w:p w:rsidR="00582507" w:rsidRDefault="00582507" w:rsidP="00BE4701">
            <w:pPr>
              <w:pStyle w:val="NormalWeb"/>
              <w:spacing w:before="0" w:beforeAutospacing="0" w:after="0" w:afterAutospacing="0"/>
            </w:pPr>
            <w:r>
              <w:lastRenderedPageBreak/>
              <w:t>4. Prognozējamie kompensējošie pasākumi papildu izdevumu finansēšanai </w:t>
            </w:r>
          </w:p>
          <w:p w:rsidR="00582507" w:rsidRDefault="00582507" w:rsidP="00BE4701">
            <w:pPr>
              <w:pStyle w:val="NormalWeb"/>
              <w:spacing w:before="0" w:beforeAutospacing="0" w:after="0" w:afterAutospacing="0"/>
            </w:pPr>
          </w:p>
        </w:tc>
        <w:tc>
          <w:tcPr>
            <w:tcW w:w="1247" w:type="pct"/>
          </w:tcPr>
          <w:p w:rsidR="00582507" w:rsidRDefault="00582507" w:rsidP="00BE4701">
            <w:r>
              <w:t>Nav attiecināms.</w:t>
            </w:r>
          </w:p>
        </w:tc>
        <w:tc>
          <w:tcPr>
            <w:tcW w:w="802" w:type="pct"/>
          </w:tcPr>
          <w:p w:rsidR="00582507" w:rsidRDefault="00582507" w:rsidP="00BE4701">
            <w:r>
              <w:t>Nav attiecināms.</w:t>
            </w:r>
          </w:p>
        </w:tc>
        <w:tc>
          <w:tcPr>
            <w:tcW w:w="802" w:type="pct"/>
          </w:tcPr>
          <w:p w:rsidR="00582507" w:rsidRDefault="00582507" w:rsidP="00BE4701">
            <w:r>
              <w:t>Nav attiecināms.</w:t>
            </w:r>
          </w:p>
        </w:tc>
        <w:tc>
          <w:tcPr>
            <w:tcW w:w="801" w:type="pct"/>
          </w:tcPr>
          <w:p w:rsidR="00582507" w:rsidRDefault="00582507" w:rsidP="00BE4701">
            <w:r>
              <w:t>Nav attiecināms.</w:t>
            </w:r>
          </w:p>
        </w:tc>
      </w:tr>
      <w:tr w:rsidR="00582507" w:rsidTr="00BE4701">
        <w:tc>
          <w:tcPr>
            <w:tcW w:w="1348" w:type="pct"/>
          </w:tcPr>
          <w:p w:rsidR="00582507" w:rsidRDefault="00582507" w:rsidP="00BE4701">
            <w:pPr>
              <w:pStyle w:val="NormalWeb"/>
              <w:spacing w:before="0" w:beforeAutospacing="0" w:after="0" w:afterAutospacing="0"/>
            </w:pPr>
            <w:r w:rsidRPr="00CF6AC1">
              <w:t>5. Detalizēts ieņēmumu</w:t>
            </w:r>
            <w:r>
              <w:t xml:space="preserve"> un</w:t>
            </w:r>
            <w:r w:rsidRPr="00CF6AC1">
              <w:t xml:space="preserve"> izdevumu aprēķins (ja nepieciešams, detalizētu ieņēmumu </w:t>
            </w:r>
            <w:r>
              <w:t xml:space="preserve">un </w:t>
            </w:r>
            <w:r w:rsidRPr="00CF6AC1">
              <w:t>izdevumu aprēķinu var pievienot anotācijas pielikumā)</w:t>
            </w:r>
          </w:p>
          <w:p w:rsidR="00582507" w:rsidRDefault="00582507" w:rsidP="00BE4701">
            <w:pPr>
              <w:pStyle w:val="NormalWeb"/>
              <w:spacing w:before="0" w:beforeAutospacing="0" w:after="0" w:afterAutospacing="0"/>
            </w:pPr>
          </w:p>
        </w:tc>
        <w:tc>
          <w:tcPr>
            <w:tcW w:w="3652" w:type="pct"/>
            <w:gridSpan w:val="4"/>
          </w:tcPr>
          <w:p w:rsidR="00582507" w:rsidRPr="00BE6C7C" w:rsidRDefault="00582507" w:rsidP="00BE4701">
            <w:pPr>
              <w:jc w:val="both"/>
            </w:pPr>
            <w:r w:rsidRPr="00151842">
              <w:rPr>
                <w:color w:val="000000" w:themeColor="text1"/>
              </w:rPr>
              <w:t>2008.taksācijas gadā uzņēmumu ienākuma nodokļa maksātājiem bija 156,6 milj. latu izdevumi, kas nav saistīti ar saimniecisko darbību.  Pieņemot, ka finansiālās krīzes apstākļos ar saimniecisko darbību saistītie ieņēmumi un izdevumi būtiski samazināsies, t.sk. arī ar saimniecisko darbību nesaistītie izdevumi. Pieņēmums, ka  ar saimniecisko darbību nesaistītie izdevumi samazināsies par 40 procentiem. Savukārt, ņemot vērā, ka šiem izdevumiem piemēros palielinātu koeficientu, varētu uzlaboties izdevumu pareizāka atspoguļošana finanšu uzskaitē. Rezultātā, samazinoties ar saimniecisko darbību nesaistītie izdevumi, palielināsies reprezentācijas izdevumi aptuveni par 10%. Tādējādi, piemērojot izdevumiem, kas nav saistīti ar saimniecisko darb</w:t>
            </w:r>
            <w:r w:rsidRPr="00BE6C7C">
              <w:t xml:space="preserve">ību </w:t>
            </w:r>
            <w:r>
              <w:t xml:space="preserve">apliekamā ienākuma palielināšanai </w:t>
            </w:r>
            <w:r w:rsidRPr="00BE6C7C">
              <w:t>koeficientu 1,5</w:t>
            </w:r>
            <w:r>
              <w:t xml:space="preserve">, </w:t>
            </w:r>
            <w:r w:rsidRPr="00BE6C7C">
              <w:t>budžeta ieņēmumi palielināsies par 5,8</w:t>
            </w:r>
            <w:r>
              <w:t xml:space="preserve"> </w:t>
            </w:r>
            <w:proofErr w:type="spellStart"/>
            <w:r w:rsidRPr="00BE6C7C">
              <w:t>milj.latu</w:t>
            </w:r>
            <w:proofErr w:type="spellEnd"/>
            <w:r w:rsidRPr="00BE6C7C">
              <w:t xml:space="preserve"> gadā</w:t>
            </w:r>
            <w:r>
              <w:t xml:space="preserve">. Ietekme uz budžetu būs </w:t>
            </w:r>
            <w:r w:rsidRPr="00BE6C7C">
              <w:t xml:space="preserve">sākot ar 2011.taksācijas gadu. </w:t>
            </w:r>
          </w:p>
          <w:p w:rsidR="00582507" w:rsidRDefault="00582507" w:rsidP="00BE4701">
            <w:pPr>
              <w:jc w:val="both"/>
            </w:pPr>
          </w:p>
          <w:p w:rsidR="00582507" w:rsidRDefault="00582507" w:rsidP="00BE4701">
            <w:pPr>
              <w:jc w:val="both"/>
            </w:pPr>
            <w:r>
              <w:t xml:space="preserve">2008.taksācijas gadā </w:t>
            </w:r>
            <w:r w:rsidRPr="00151842">
              <w:rPr>
                <w:color w:val="000000" w:themeColor="text1"/>
              </w:rPr>
              <w:t xml:space="preserve">uzņēmumu ienākuma nodokļa maksātājiem </w:t>
            </w:r>
            <w:r>
              <w:t xml:space="preserve">uzņēmumu ienākuma nodokļa aprēķināšanas vajadzībām reprezentācijas izdevumi </w:t>
            </w:r>
            <w:r w:rsidRPr="00151842">
              <w:rPr>
                <w:color w:val="000000" w:themeColor="text1"/>
              </w:rPr>
              <w:t xml:space="preserve">bija </w:t>
            </w:r>
            <w:r>
              <w:t xml:space="preserve">37,5 </w:t>
            </w:r>
            <w:proofErr w:type="spellStart"/>
            <w:r>
              <w:t>milj.latu</w:t>
            </w:r>
            <w:proofErr w:type="spellEnd"/>
            <w:r>
              <w:t xml:space="preserve">.  Ar nodokli apliekamais ienākums tika palielināts par 40% no šīs summas (15 milj. latu). Aprēķinos tas tiek samazināts, pieņemot, ka finansiālās krīzes ietekmē šo izdevumu apjoms varētu samazināties par 40%. </w:t>
            </w:r>
            <w:r w:rsidRPr="00151842">
              <w:rPr>
                <w:color w:val="000000" w:themeColor="text1"/>
              </w:rPr>
              <w:t xml:space="preserve">Savukārt, ņemot vērā, ka šiem izdevumiem piemēros </w:t>
            </w:r>
            <w:r>
              <w:rPr>
                <w:color w:val="000000" w:themeColor="text1"/>
              </w:rPr>
              <w:t>samazinātu izdevumu normu (no 60% uz 40%)</w:t>
            </w:r>
            <w:r w:rsidRPr="00151842">
              <w:rPr>
                <w:color w:val="000000" w:themeColor="text1"/>
              </w:rPr>
              <w:t>, varētu uzlaboties izdevumu pareizāka atspoguļošana finanšu uzskaitē</w:t>
            </w:r>
            <w:r>
              <w:rPr>
                <w:color w:val="000000" w:themeColor="text1"/>
              </w:rPr>
              <w:t xml:space="preserve"> un daļa (</w:t>
            </w:r>
            <w:r w:rsidRPr="00151842">
              <w:rPr>
                <w:color w:val="000000" w:themeColor="text1"/>
              </w:rPr>
              <w:t>10%</w:t>
            </w:r>
            <w:r>
              <w:rPr>
                <w:color w:val="000000" w:themeColor="text1"/>
              </w:rPr>
              <w:t>)</w:t>
            </w:r>
            <w:r w:rsidRPr="00151842">
              <w:rPr>
                <w:color w:val="000000" w:themeColor="text1"/>
              </w:rPr>
              <w:t xml:space="preserve"> ar saimniecisko darbību nesaistītie izdevumi</w:t>
            </w:r>
            <w:r>
              <w:rPr>
                <w:color w:val="000000" w:themeColor="text1"/>
              </w:rPr>
              <w:t xml:space="preserve"> </w:t>
            </w:r>
            <w:r w:rsidRPr="00151842">
              <w:rPr>
                <w:color w:val="000000" w:themeColor="text1"/>
              </w:rPr>
              <w:t>palielinās reprezentācijas izdevum</w:t>
            </w:r>
            <w:r>
              <w:rPr>
                <w:color w:val="000000" w:themeColor="text1"/>
              </w:rPr>
              <w:t>us</w:t>
            </w:r>
            <w:r w:rsidRPr="00151842">
              <w:rPr>
                <w:color w:val="000000" w:themeColor="text1"/>
              </w:rPr>
              <w:t xml:space="preserve"> aptuveni par </w:t>
            </w:r>
            <w:r>
              <w:rPr>
                <w:color w:val="000000" w:themeColor="text1"/>
              </w:rPr>
              <w:t xml:space="preserve">15 milj. latu. </w:t>
            </w:r>
            <w:r>
              <w:t>P</w:t>
            </w:r>
            <w:r w:rsidRPr="00635133">
              <w:t>alielinot reprezentāciju izdevumu apjomu, par kuru palielina ar uzņēmumu ienākuma nodokli apliekamo ienākumu no 40% uz 60% budžeta ieņēmumi palielināsies par 1</w:t>
            </w:r>
            <w:r>
              <w:t xml:space="preserve"> </w:t>
            </w:r>
            <w:r w:rsidRPr="00635133">
              <w:t>milj.</w:t>
            </w:r>
            <w:r>
              <w:t xml:space="preserve"> </w:t>
            </w:r>
            <w:r w:rsidRPr="00635133">
              <w:t>latu gadā</w:t>
            </w:r>
            <w:r>
              <w:t>.</w:t>
            </w:r>
            <w:r w:rsidRPr="00635133">
              <w:t xml:space="preserve"> </w:t>
            </w:r>
            <w:r>
              <w:t>Ietekme uz budžetu būs sākot</w:t>
            </w:r>
            <w:r w:rsidRPr="00635133">
              <w:t xml:space="preserve"> ar 2011.taksācijas gadu.</w:t>
            </w:r>
          </w:p>
          <w:p w:rsidR="00582507" w:rsidRDefault="00582507" w:rsidP="00BE4701">
            <w:pPr>
              <w:jc w:val="both"/>
            </w:pPr>
            <w:r>
              <w:t xml:space="preserve">Kopā uzņēmumu ienākuma nodokļa pasākumi radīs kopējo ietekmi 6.8 milj. latu gadā. </w:t>
            </w:r>
          </w:p>
        </w:tc>
      </w:tr>
      <w:tr w:rsidR="00582507" w:rsidTr="00BE4701">
        <w:tc>
          <w:tcPr>
            <w:tcW w:w="1348" w:type="pct"/>
          </w:tcPr>
          <w:p w:rsidR="00582507" w:rsidRDefault="00582507" w:rsidP="00BE4701">
            <w:pPr>
              <w:pStyle w:val="NormalWeb"/>
              <w:spacing w:before="0" w:beforeAutospacing="0" w:after="0" w:afterAutospacing="0"/>
            </w:pPr>
            <w:r>
              <w:lastRenderedPageBreak/>
              <w:t>6. Cita informācija </w:t>
            </w:r>
          </w:p>
          <w:p w:rsidR="00582507" w:rsidRDefault="00582507" w:rsidP="00BE4701">
            <w:pPr>
              <w:pStyle w:val="NormalWeb"/>
              <w:spacing w:before="0" w:beforeAutospacing="0" w:after="0" w:afterAutospacing="0"/>
            </w:pPr>
          </w:p>
        </w:tc>
        <w:tc>
          <w:tcPr>
            <w:tcW w:w="3652" w:type="pct"/>
            <w:gridSpan w:val="4"/>
          </w:tcPr>
          <w:p w:rsidR="00582507" w:rsidRDefault="00582507" w:rsidP="00BE4701">
            <w:pPr>
              <w:ind w:firstLine="322"/>
              <w:jc w:val="both"/>
            </w:pPr>
            <w:r>
              <w:t xml:space="preserve">Ņemot vērā, ka jau šobrīd nodokļa maksātājiem ir iespēja iesniedzot Valsts ieņēmumu dienestā iesniegumu par tā apgrozījuma, vai ieņēmumu un izdevumu struktūras maiņu noteikt citu avansa maksājumu apmēru un projektā ir paredzēta sankcija par nepareizu avansa maksājumu noteikšanu paredzams, ka izvairīšanās no nodokļa maksāšanas nenotiks un izmaiņu ietekme uz budžetu nebūs būtiska. </w:t>
            </w:r>
          </w:p>
        </w:tc>
      </w:tr>
    </w:tbl>
    <w:p w:rsidR="00582507" w:rsidRDefault="00582507" w:rsidP="00582507">
      <w:pPr>
        <w:pStyle w:val="NormalWeb"/>
        <w:spacing w:before="0" w:beforeAutospacing="0" w:after="0" w:afterAutospacing="0"/>
      </w:pPr>
      <w:r>
        <w:t>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197"/>
        <w:gridCol w:w="4084"/>
      </w:tblGrid>
      <w:tr w:rsidR="00582507" w:rsidTr="00BE4701">
        <w:tc>
          <w:tcPr>
            <w:tcW w:w="0" w:type="auto"/>
            <w:gridSpan w:val="2"/>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vAlign w:val="center"/>
            <w:hideMark/>
          </w:tcPr>
          <w:p w:rsidR="00582507" w:rsidRDefault="00582507" w:rsidP="00BE4701">
            <w:pPr>
              <w:pStyle w:val="NormalWeb"/>
              <w:jc w:val="center"/>
              <w:rPr>
                <w:b/>
                <w:bCs/>
                <w:szCs w:val="28"/>
              </w:rPr>
            </w:pPr>
            <w:r>
              <w:rPr>
                <w:b/>
                <w:bCs/>
                <w:sz w:val="28"/>
                <w:szCs w:val="28"/>
              </w:rPr>
              <w:t>IV. Kāda var būt normatīvā akta ietekme uz</w:t>
            </w:r>
            <w:r>
              <w:rPr>
                <w:b/>
                <w:bCs/>
                <w:sz w:val="28"/>
                <w:szCs w:val="28"/>
              </w:rPr>
              <w:br/>
              <w:t>spēkā esošo tiesību normu sistēmu</w:t>
            </w:r>
          </w:p>
        </w:tc>
      </w:tr>
      <w:tr w:rsidR="00582507" w:rsidTr="00BE4701">
        <w:tc>
          <w:tcPr>
            <w:tcW w:w="2800" w:type="pct"/>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582507" w:rsidRDefault="00582507" w:rsidP="00BE4701">
            <w:pPr>
              <w:pStyle w:val="NormalWeb"/>
              <w:jc w:val="both"/>
            </w:pPr>
            <w:r>
              <w:t>1. Kādi normatīvie akti (likumi un Ministru kabineta noteikumi) papildus jāizdod un vai ir sagatavoti to projekti, to būtība, kā arī ministrija, kura ir atbildīga par tā sagatavošanu. Par Ministru kabineta noteikumiem (arī tiem, kuru izdošana ir paredzēta izstrādātajā likumprojektā) – norāda to izdošanas mērķi un galvenos satura punktus, kā arī termiņu, kādā paredzēts šos noteikumus izstrādāt </w:t>
            </w:r>
          </w:p>
        </w:tc>
        <w:tc>
          <w:tcPr>
            <w:tcW w:w="2200" w:type="pct"/>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582507" w:rsidRDefault="00582507" w:rsidP="00BE4701">
            <w:pPr>
              <w:ind w:firstLine="190"/>
              <w:jc w:val="both"/>
              <w:rPr>
                <w:rFonts w:ascii="Calibri" w:eastAsiaTheme="minorHAnsi" w:hAnsi="Calibri"/>
              </w:rPr>
            </w:pPr>
            <w:r w:rsidRPr="00B96DFD">
              <w:t>Vienlaikus ar šā likuma grozījum</w:t>
            </w:r>
            <w:r>
              <w:t>u spēkā stāšanos</w:t>
            </w:r>
            <w:r w:rsidRPr="00B96DFD">
              <w:t xml:space="preserve"> </w:t>
            </w:r>
            <w:r w:rsidRPr="00225521">
              <w:t>spēku zaudē</w:t>
            </w:r>
            <w:r>
              <w:t xml:space="preserve"> </w:t>
            </w:r>
            <w:r w:rsidRPr="00AE1EB1">
              <w:t>Ministru kabineta 200</w:t>
            </w:r>
            <w:r>
              <w:t>4</w:t>
            </w:r>
            <w:r w:rsidRPr="00AE1EB1">
              <w:t>.gada 2.marta noteikum</w:t>
            </w:r>
            <w:r>
              <w:t>os</w:t>
            </w:r>
            <w:r w:rsidRPr="00AE1EB1">
              <w:t xml:space="preserve"> Nr.65 „</w:t>
            </w:r>
            <w:r w:rsidRPr="00AE1EB1">
              <w:rPr>
                <w:bCs/>
              </w:rPr>
              <w:t>Lēmuma pieņemšanas kārtība par ienākuma nodokļa maksātāja saimnieciskās darbības attīstības projekta atbilstību īpaši atbalstāmās teritorijas attīstības programmai</w:t>
            </w:r>
            <w:r w:rsidRPr="00AE1EB1">
              <w:t>”</w:t>
            </w:r>
            <w:r>
              <w:t xml:space="preserve">. </w:t>
            </w:r>
          </w:p>
        </w:tc>
      </w:tr>
      <w:tr w:rsidR="00582507" w:rsidTr="00BE4701">
        <w:tc>
          <w:tcPr>
            <w:tcW w:w="2800" w:type="pct"/>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582507" w:rsidRDefault="00582507" w:rsidP="00BE4701">
            <w:pPr>
              <w:pStyle w:val="NormalWeb"/>
            </w:pPr>
            <w:r>
              <w:t>2. Cita informācija</w:t>
            </w:r>
          </w:p>
        </w:tc>
        <w:tc>
          <w:tcPr>
            <w:tcW w:w="2200" w:type="pct"/>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582507" w:rsidRDefault="00582507" w:rsidP="00BE4701">
            <w:pPr>
              <w:rPr>
                <w:rFonts w:ascii="Calibri" w:eastAsiaTheme="minorHAnsi" w:hAnsi="Calibri"/>
              </w:rPr>
            </w:pPr>
            <w:r>
              <w:t> Nav</w:t>
            </w:r>
          </w:p>
        </w:tc>
      </w:tr>
    </w:tbl>
    <w:p w:rsidR="00582507" w:rsidRDefault="00582507" w:rsidP="00582507">
      <w:pPr>
        <w:pStyle w:val="NormalWeb"/>
        <w:spacing w:before="0" w:beforeAutospacing="0" w:after="0" w:afterAutospacing="0"/>
      </w:pPr>
    </w:p>
    <w:p w:rsidR="00582507" w:rsidRDefault="00582507" w:rsidP="00582507">
      <w:pPr>
        <w:pStyle w:val="NormalWeb"/>
        <w:spacing w:before="0" w:beforeAutospacing="0" w:after="0" w:afterAutospacing="0"/>
        <w:rPr>
          <w:sz w:val="28"/>
          <w:szCs w:val="28"/>
        </w:rPr>
      </w:pPr>
      <w:r>
        <w:rPr>
          <w:sz w:val="28"/>
          <w:szCs w:val="28"/>
        </w:rPr>
        <w:t>Anotācijas V sadaļa – projekts šo jomu neskar.</w:t>
      </w:r>
    </w:p>
    <w:p w:rsidR="00582507" w:rsidRPr="00C4515D" w:rsidRDefault="00582507" w:rsidP="00582507">
      <w:pPr>
        <w:pStyle w:val="NormalWeb"/>
        <w:spacing w:before="0" w:beforeAutospacing="0" w:after="0" w:afterAutospacing="0"/>
        <w:rPr>
          <w:sz w:val="28"/>
          <w:szCs w:val="28"/>
        </w:rPr>
      </w:pPr>
    </w:p>
    <w:tbl>
      <w:tblPr>
        <w:tblW w:w="5000" w:type="pct"/>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tblPr>
      <w:tblGrid>
        <w:gridCol w:w="4499"/>
        <w:gridCol w:w="4782"/>
      </w:tblGrid>
      <w:tr w:rsidR="00582507" w:rsidTr="00BE4701">
        <w:tc>
          <w:tcPr>
            <w:tcW w:w="0" w:type="auto"/>
            <w:gridSpan w:val="2"/>
            <w:tcBorders>
              <w:top w:val="outset" w:sz="6" w:space="0" w:color="auto"/>
              <w:left w:val="outset" w:sz="6" w:space="0" w:color="auto"/>
              <w:bottom w:val="outset" w:sz="6" w:space="0" w:color="auto"/>
              <w:right w:val="outset" w:sz="6" w:space="0" w:color="auto"/>
            </w:tcBorders>
          </w:tcPr>
          <w:p w:rsidR="00582507" w:rsidRPr="00F11D8F" w:rsidRDefault="00582507" w:rsidP="00BE4701">
            <w:pPr>
              <w:pStyle w:val="naisc"/>
              <w:spacing w:before="0" w:after="0"/>
              <w:rPr>
                <w:b/>
                <w:sz w:val="28"/>
                <w:szCs w:val="28"/>
              </w:rPr>
            </w:pPr>
            <w:r w:rsidRPr="00F11D8F">
              <w:rPr>
                <w:b/>
                <w:bCs/>
                <w:sz w:val="28"/>
                <w:szCs w:val="28"/>
              </w:rPr>
              <w:t>VI. Kādas konsultācijas notikušas,</w:t>
            </w:r>
            <w:r w:rsidRPr="00F11D8F">
              <w:rPr>
                <w:b/>
                <w:bCs/>
                <w:sz w:val="28"/>
                <w:szCs w:val="28"/>
              </w:rPr>
              <w:br/>
              <w:t>sagatavojot normatīvā akta projektu</w:t>
            </w:r>
          </w:p>
        </w:tc>
      </w:tr>
      <w:tr w:rsidR="00582507" w:rsidTr="00BE4701">
        <w:tc>
          <w:tcPr>
            <w:tcW w:w="2424" w:type="pct"/>
            <w:tcBorders>
              <w:top w:val="outset" w:sz="6" w:space="0" w:color="auto"/>
              <w:left w:val="outset" w:sz="6" w:space="0" w:color="auto"/>
              <w:bottom w:val="outset" w:sz="6" w:space="0" w:color="auto"/>
              <w:right w:val="outset" w:sz="6" w:space="0" w:color="auto"/>
            </w:tcBorders>
          </w:tcPr>
          <w:p w:rsidR="00582507" w:rsidRDefault="00582507" w:rsidP="00BE4701">
            <w:pPr>
              <w:pStyle w:val="NormalWeb"/>
            </w:pPr>
            <w:r>
              <w:t xml:space="preserve">1. Ar kurām </w:t>
            </w:r>
            <w:r w:rsidRPr="00FF1813">
              <w:t>pilsoniskās sabiedrības un sociālo partneru organizācij</w:t>
            </w:r>
            <w:r>
              <w:t>ām</w:t>
            </w:r>
            <w:r w:rsidRPr="00FF1813">
              <w:t xml:space="preserve"> </w:t>
            </w:r>
            <w:r>
              <w:t>un citām iesaistītajām institūcijām</w:t>
            </w:r>
            <w:r w:rsidDel="000456B8">
              <w:t xml:space="preserve"> </w:t>
            </w:r>
            <w:r>
              <w:t>konsultācijas ir notikušas</w:t>
            </w:r>
          </w:p>
        </w:tc>
        <w:tc>
          <w:tcPr>
            <w:tcW w:w="2576" w:type="pct"/>
            <w:tcBorders>
              <w:top w:val="outset" w:sz="6" w:space="0" w:color="auto"/>
              <w:left w:val="outset" w:sz="6" w:space="0" w:color="auto"/>
              <w:bottom w:val="outset" w:sz="6" w:space="0" w:color="auto"/>
              <w:right w:val="outset" w:sz="6" w:space="0" w:color="auto"/>
            </w:tcBorders>
          </w:tcPr>
          <w:p w:rsidR="00582507" w:rsidRPr="00922181" w:rsidRDefault="00582507" w:rsidP="00BE4701">
            <w:pPr>
              <w:ind w:firstLine="179"/>
              <w:jc w:val="both"/>
              <w:rPr>
                <w:color w:val="FF0000"/>
              </w:rPr>
            </w:pPr>
            <w:r>
              <w:t> </w:t>
            </w:r>
            <w:r>
              <w:rPr>
                <w:bCs/>
              </w:rPr>
              <w:t xml:space="preserve">Priekšlikumus </w:t>
            </w:r>
            <w:r w:rsidRPr="006A3CAB">
              <w:rPr>
                <w:bCs/>
              </w:rPr>
              <w:t>likum</w:t>
            </w:r>
            <w:r>
              <w:rPr>
                <w:bCs/>
              </w:rPr>
              <w:t>a</w:t>
            </w:r>
            <w:r w:rsidRPr="006A3CAB">
              <w:rPr>
                <w:bCs/>
              </w:rPr>
              <w:t xml:space="preserve"> „Pa</w:t>
            </w:r>
            <w:r>
              <w:rPr>
                <w:bCs/>
              </w:rPr>
              <w:t xml:space="preserve">r uzņēmumu ienākuma nodokli” grozījumiem par īpaši atbalstāmajās teritorijās piemērojamā nodokļa režīms izmaiņām ir </w:t>
            </w:r>
            <w:r>
              <w:t xml:space="preserve">izskatīts Nacionālajā reģionālās attīstības padomē un Reģionālās attīstības trīspusējas sadarbības </w:t>
            </w:r>
            <w:proofErr w:type="spellStart"/>
            <w:r>
              <w:t>apakšpadomē</w:t>
            </w:r>
            <w:proofErr w:type="spellEnd"/>
            <w:r>
              <w:t>.</w:t>
            </w:r>
          </w:p>
        </w:tc>
      </w:tr>
      <w:tr w:rsidR="00582507" w:rsidTr="00BE4701">
        <w:tc>
          <w:tcPr>
            <w:tcW w:w="2424" w:type="pct"/>
            <w:tcBorders>
              <w:top w:val="outset" w:sz="6" w:space="0" w:color="auto"/>
              <w:left w:val="outset" w:sz="6" w:space="0" w:color="auto"/>
              <w:bottom w:val="outset" w:sz="6" w:space="0" w:color="auto"/>
              <w:right w:val="outset" w:sz="6" w:space="0" w:color="auto"/>
            </w:tcBorders>
          </w:tcPr>
          <w:p w:rsidR="00582507" w:rsidRDefault="00582507" w:rsidP="00BE4701">
            <w:pPr>
              <w:pStyle w:val="NormalWeb"/>
            </w:pPr>
            <w:r>
              <w:t>2. Kāda ir šo</w:t>
            </w:r>
            <w:r w:rsidRPr="00FF1813">
              <w:t xml:space="preserve"> pilsoniskās sabiedrības un sociālo partneru organizācij</w:t>
            </w:r>
            <w:r>
              <w:t>u</w:t>
            </w:r>
            <w:r w:rsidRPr="00FF1813">
              <w:t xml:space="preserve"> </w:t>
            </w:r>
            <w:r>
              <w:t>un citu iesaistīto institūciju pozīcija (atbalsta, iestrādāti to iesniegtie priekšlikumi, mainīts formulējums to interesēs, neatbalsta)</w:t>
            </w:r>
          </w:p>
        </w:tc>
        <w:tc>
          <w:tcPr>
            <w:tcW w:w="2576" w:type="pct"/>
            <w:tcBorders>
              <w:top w:val="outset" w:sz="6" w:space="0" w:color="auto"/>
              <w:left w:val="outset" w:sz="6" w:space="0" w:color="auto"/>
              <w:bottom w:val="outset" w:sz="6" w:space="0" w:color="auto"/>
              <w:right w:val="outset" w:sz="6" w:space="0" w:color="auto"/>
            </w:tcBorders>
          </w:tcPr>
          <w:p w:rsidR="00582507" w:rsidRDefault="00582507" w:rsidP="00BE4701">
            <w:pPr>
              <w:jc w:val="both"/>
            </w:pPr>
            <w:r>
              <w:t xml:space="preserve">Nacionālajā reģionālās attīstības padome un Reģionālās attīstības trīspusējas sadarbības </w:t>
            </w:r>
            <w:proofErr w:type="spellStart"/>
            <w:r>
              <w:t>apakšpadome</w:t>
            </w:r>
            <w:proofErr w:type="spellEnd"/>
            <w:r>
              <w:t xml:space="preserve"> neiebilst pret likuma grozījumiem.</w:t>
            </w:r>
          </w:p>
        </w:tc>
      </w:tr>
      <w:tr w:rsidR="00582507" w:rsidTr="00BE4701">
        <w:tc>
          <w:tcPr>
            <w:tcW w:w="2424" w:type="pct"/>
            <w:tcBorders>
              <w:top w:val="outset" w:sz="6" w:space="0" w:color="auto"/>
              <w:left w:val="outset" w:sz="6" w:space="0" w:color="auto"/>
              <w:bottom w:val="outset" w:sz="6" w:space="0" w:color="auto"/>
              <w:right w:val="outset" w:sz="6" w:space="0" w:color="auto"/>
            </w:tcBorders>
          </w:tcPr>
          <w:p w:rsidR="00582507" w:rsidRDefault="00582507" w:rsidP="00BE4701">
            <w:pPr>
              <w:pStyle w:val="NormalWeb"/>
            </w:pPr>
            <w:r>
              <w:t xml:space="preserve">3. Kāds konsultāciju veids un sabiedrības informēšanas pasākumi ir izmantoti </w:t>
            </w:r>
          </w:p>
        </w:tc>
        <w:tc>
          <w:tcPr>
            <w:tcW w:w="2576" w:type="pct"/>
            <w:tcBorders>
              <w:top w:val="outset" w:sz="6" w:space="0" w:color="auto"/>
              <w:left w:val="outset" w:sz="6" w:space="0" w:color="auto"/>
              <w:bottom w:val="outset" w:sz="6" w:space="0" w:color="auto"/>
              <w:right w:val="outset" w:sz="6" w:space="0" w:color="auto"/>
            </w:tcBorders>
          </w:tcPr>
          <w:p w:rsidR="00582507" w:rsidRDefault="00582507" w:rsidP="00BE4701">
            <w:pPr>
              <w:ind w:firstLine="179"/>
            </w:pPr>
            <w:r>
              <w:t> Sabiedrības informēšanas pasākumi nav veikti.</w:t>
            </w:r>
          </w:p>
        </w:tc>
      </w:tr>
      <w:tr w:rsidR="00582507" w:rsidTr="00BE4701">
        <w:tc>
          <w:tcPr>
            <w:tcW w:w="2424" w:type="pct"/>
            <w:tcBorders>
              <w:top w:val="outset" w:sz="6" w:space="0" w:color="auto"/>
              <w:left w:val="outset" w:sz="6" w:space="0" w:color="auto"/>
              <w:bottom w:val="outset" w:sz="6" w:space="0" w:color="auto"/>
              <w:right w:val="outset" w:sz="6" w:space="0" w:color="auto"/>
            </w:tcBorders>
          </w:tcPr>
          <w:p w:rsidR="00582507" w:rsidRDefault="00582507" w:rsidP="00BE4701">
            <w:pPr>
              <w:pStyle w:val="NormalWeb"/>
            </w:pPr>
            <w:r>
              <w:t>4. Konsultācijas ar ekspertiem</w:t>
            </w:r>
          </w:p>
        </w:tc>
        <w:tc>
          <w:tcPr>
            <w:tcW w:w="2576" w:type="pct"/>
            <w:tcBorders>
              <w:top w:val="outset" w:sz="6" w:space="0" w:color="auto"/>
              <w:left w:val="outset" w:sz="6" w:space="0" w:color="auto"/>
              <w:bottom w:val="outset" w:sz="6" w:space="0" w:color="auto"/>
              <w:right w:val="outset" w:sz="6" w:space="0" w:color="auto"/>
            </w:tcBorders>
          </w:tcPr>
          <w:p w:rsidR="00582507" w:rsidRDefault="00582507" w:rsidP="00BE4701">
            <w:r>
              <w:t> Nav attiecināms.</w:t>
            </w:r>
          </w:p>
        </w:tc>
      </w:tr>
      <w:tr w:rsidR="00582507" w:rsidTr="00BE4701">
        <w:tc>
          <w:tcPr>
            <w:tcW w:w="2424" w:type="pct"/>
            <w:tcBorders>
              <w:top w:val="outset" w:sz="6" w:space="0" w:color="auto"/>
              <w:left w:val="outset" w:sz="6" w:space="0" w:color="auto"/>
              <w:bottom w:val="outset" w:sz="6" w:space="0" w:color="auto"/>
              <w:right w:val="outset" w:sz="6" w:space="0" w:color="auto"/>
            </w:tcBorders>
          </w:tcPr>
          <w:p w:rsidR="00582507" w:rsidRDefault="00582507" w:rsidP="00BE4701">
            <w:pPr>
              <w:pStyle w:val="NormalWeb"/>
            </w:pPr>
            <w:r>
              <w:t>5. Cita informācija</w:t>
            </w:r>
          </w:p>
        </w:tc>
        <w:tc>
          <w:tcPr>
            <w:tcW w:w="2576" w:type="pct"/>
            <w:tcBorders>
              <w:top w:val="outset" w:sz="6" w:space="0" w:color="auto"/>
              <w:left w:val="outset" w:sz="6" w:space="0" w:color="auto"/>
              <w:bottom w:val="outset" w:sz="6" w:space="0" w:color="auto"/>
              <w:right w:val="outset" w:sz="6" w:space="0" w:color="auto"/>
            </w:tcBorders>
          </w:tcPr>
          <w:p w:rsidR="00582507" w:rsidRDefault="00582507" w:rsidP="00BE4701">
            <w:r>
              <w:t> Nav attiecināms.</w:t>
            </w:r>
          </w:p>
          <w:p w:rsidR="00582507" w:rsidRDefault="00582507" w:rsidP="00BE4701"/>
        </w:tc>
      </w:tr>
    </w:tbl>
    <w:p w:rsidR="00582507" w:rsidRPr="00063764" w:rsidRDefault="00582507" w:rsidP="00582507">
      <w:pPr>
        <w:pStyle w:val="NormalWeb"/>
        <w:spacing w:before="0" w:beforeAutospacing="0" w:after="0" w:afterAutospacing="0"/>
        <w:rPr>
          <w:sz w:val="28"/>
          <w:szCs w:val="28"/>
        </w:rPr>
      </w:pPr>
    </w:p>
    <w:tbl>
      <w:tblPr>
        <w:tblW w:w="5000" w:type="pct"/>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tblPr>
      <w:tblGrid>
        <w:gridCol w:w="4499"/>
        <w:gridCol w:w="4782"/>
      </w:tblGrid>
      <w:tr w:rsidR="00582507" w:rsidTr="00BE4701">
        <w:tc>
          <w:tcPr>
            <w:tcW w:w="0" w:type="auto"/>
            <w:gridSpan w:val="2"/>
            <w:tcBorders>
              <w:top w:val="outset" w:sz="6" w:space="0" w:color="auto"/>
              <w:left w:val="outset" w:sz="6" w:space="0" w:color="auto"/>
              <w:bottom w:val="outset" w:sz="6" w:space="0" w:color="auto"/>
              <w:right w:val="outset" w:sz="6" w:space="0" w:color="auto"/>
            </w:tcBorders>
          </w:tcPr>
          <w:p w:rsidR="00582507" w:rsidRPr="00F11D8F" w:rsidRDefault="00582507" w:rsidP="00BE4701">
            <w:pPr>
              <w:pStyle w:val="naisc"/>
              <w:spacing w:before="0" w:after="0"/>
              <w:rPr>
                <w:b/>
                <w:bCs/>
                <w:sz w:val="28"/>
                <w:szCs w:val="28"/>
              </w:rPr>
            </w:pPr>
            <w:r w:rsidRPr="00F11D8F">
              <w:rPr>
                <w:b/>
                <w:bCs/>
                <w:sz w:val="28"/>
                <w:szCs w:val="28"/>
              </w:rPr>
              <w:lastRenderedPageBreak/>
              <w:t>VII. Kā tiks nodrošināta normatīvā akta izpilde</w:t>
            </w:r>
          </w:p>
        </w:tc>
      </w:tr>
      <w:tr w:rsidR="00582507" w:rsidTr="00BE4701">
        <w:tc>
          <w:tcPr>
            <w:tcW w:w="2424" w:type="pct"/>
            <w:tcBorders>
              <w:top w:val="outset" w:sz="6" w:space="0" w:color="auto"/>
              <w:left w:val="outset" w:sz="6" w:space="0" w:color="auto"/>
              <w:bottom w:val="outset" w:sz="6" w:space="0" w:color="auto"/>
              <w:right w:val="outset" w:sz="6" w:space="0" w:color="auto"/>
            </w:tcBorders>
          </w:tcPr>
          <w:p w:rsidR="00582507" w:rsidRDefault="00582507" w:rsidP="00BE4701">
            <w:pPr>
              <w:pStyle w:val="NormalWeb"/>
            </w:pPr>
            <w:r>
              <w:t xml:space="preserve">1. Kā tiks nodrošināta normatīvā akta izpilde no valsts un pašvaldību puses </w:t>
            </w:r>
            <w:r w:rsidRPr="0074034C">
              <w:t>–</w:t>
            </w:r>
            <w:r>
              <w:t xml:space="preserve"> vai tiek radītas jaunas valsts institūcijas vai paplašinātas esošo institūciju funkcijas</w:t>
            </w:r>
          </w:p>
        </w:tc>
        <w:tc>
          <w:tcPr>
            <w:tcW w:w="2576" w:type="pct"/>
            <w:tcBorders>
              <w:top w:val="outset" w:sz="6" w:space="0" w:color="auto"/>
              <w:left w:val="outset" w:sz="6" w:space="0" w:color="auto"/>
              <w:bottom w:val="outset" w:sz="6" w:space="0" w:color="auto"/>
              <w:right w:val="outset" w:sz="6" w:space="0" w:color="auto"/>
            </w:tcBorders>
          </w:tcPr>
          <w:p w:rsidR="00582507" w:rsidRDefault="00582507" w:rsidP="00BE4701">
            <w:pPr>
              <w:ind w:firstLine="179"/>
              <w:jc w:val="both"/>
            </w:pPr>
            <w:r>
              <w:t>Lai īstenotu paredzētos grozījumus likumā „Par uzņēmumu ienākuma nodokli”, nav nepieciešams radīt jaunas valsts institūcijas. Esošo valsts institūciju funkcijas netiks paplašinātas.</w:t>
            </w:r>
          </w:p>
        </w:tc>
      </w:tr>
      <w:tr w:rsidR="00582507" w:rsidTr="00BE4701">
        <w:tc>
          <w:tcPr>
            <w:tcW w:w="2424" w:type="pct"/>
            <w:tcBorders>
              <w:top w:val="outset" w:sz="6" w:space="0" w:color="auto"/>
              <w:left w:val="outset" w:sz="6" w:space="0" w:color="auto"/>
              <w:bottom w:val="outset" w:sz="6" w:space="0" w:color="auto"/>
              <w:right w:val="outset" w:sz="6" w:space="0" w:color="auto"/>
            </w:tcBorders>
          </w:tcPr>
          <w:p w:rsidR="00582507" w:rsidRDefault="00582507" w:rsidP="00BE4701">
            <w:pPr>
              <w:pStyle w:val="NormalWeb"/>
            </w:pPr>
            <w:r>
              <w:t>2. Kā sabiedrība tiks informēta par normatīvā akta ieviešanu</w:t>
            </w:r>
          </w:p>
        </w:tc>
        <w:tc>
          <w:tcPr>
            <w:tcW w:w="2576" w:type="pct"/>
            <w:tcBorders>
              <w:top w:val="outset" w:sz="6" w:space="0" w:color="auto"/>
              <w:left w:val="outset" w:sz="6" w:space="0" w:color="auto"/>
              <w:bottom w:val="outset" w:sz="6" w:space="0" w:color="auto"/>
              <w:right w:val="outset" w:sz="6" w:space="0" w:color="auto"/>
            </w:tcBorders>
          </w:tcPr>
          <w:p w:rsidR="00582507" w:rsidRDefault="00582507" w:rsidP="00BE4701">
            <w:pPr>
              <w:tabs>
                <w:tab w:val="left" w:pos="2176"/>
              </w:tabs>
              <w:ind w:firstLine="179"/>
              <w:jc w:val="both"/>
            </w:pPr>
            <w:r>
              <w:t> Likumprojekts pēc pieņemšanas Saeimā tiks publicēts laikrakstā</w:t>
            </w:r>
            <w:r w:rsidRPr="0034674B">
              <w:t xml:space="preserve"> „Latvijas Vēstnes</w:t>
            </w:r>
            <w:r>
              <w:t>is</w:t>
            </w:r>
            <w:r w:rsidRPr="0034674B">
              <w:t>”</w:t>
            </w:r>
            <w:r>
              <w:t xml:space="preserve">, kā arī izdevumā „Latvijas Republikas Saeimas un Ministru kabineta Ziņotājs” un Normatīvo </w:t>
            </w:r>
            <w:smartTag w:uri="schemas-tilde-lv/tildestengine" w:element="veidnes">
              <w:smartTagPr>
                <w:attr w:name="text" w:val="aktu"/>
                <w:attr w:name="id" w:val="-1"/>
                <w:attr w:name="baseform" w:val="akt|s"/>
              </w:smartTagPr>
              <w:r>
                <w:t>aktu</w:t>
              </w:r>
            </w:smartTag>
            <w:r>
              <w:t xml:space="preserve"> informācijas sistēmā (NAIS)</w:t>
            </w:r>
            <w:r w:rsidRPr="0034674B">
              <w:t>.</w:t>
            </w:r>
          </w:p>
        </w:tc>
      </w:tr>
      <w:tr w:rsidR="00582507" w:rsidTr="00BE4701">
        <w:tc>
          <w:tcPr>
            <w:tcW w:w="2424" w:type="pct"/>
            <w:tcBorders>
              <w:top w:val="outset" w:sz="6" w:space="0" w:color="auto"/>
              <w:left w:val="outset" w:sz="6" w:space="0" w:color="auto"/>
              <w:bottom w:val="outset" w:sz="6" w:space="0" w:color="auto"/>
              <w:right w:val="outset" w:sz="6" w:space="0" w:color="auto"/>
            </w:tcBorders>
          </w:tcPr>
          <w:p w:rsidR="00582507" w:rsidRDefault="00582507" w:rsidP="00BE4701">
            <w:pPr>
              <w:pStyle w:val="NormalWeb"/>
            </w:pPr>
            <w:r>
              <w:t xml:space="preserve">3. Kā indivīds var aizstāvēt savas tiesības, ja normatīvais </w:t>
            </w:r>
            <w:smartTag w:uri="schemas-tilde-lv/tildestengine" w:element="veidnes">
              <w:smartTagPr>
                <w:attr w:name="text" w:val="akts"/>
                <w:attr w:name="baseform" w:val="akts"/>
                <w:attr w:name="id" w:val="-1"/>
              </w:smartTagPr>
              <w:r>
                <w:t>akts</w:t>
              </w:r>
            </w:smartTag>
            <w:r>
              <w:t xml:space="preserve"> viņu ierobežo</w:t>
            </w:r>
          </w:p>
        </w:tc>
        <w:tc>
          <w:tcPr>
            <w:tcW w:w="2576" w:type="pct"/>
            <w:tcBorders>
              <w:top w:val="outset" w:sz="6" w:space="0" w:color="auto"/>
              <w:left w:val="outset" w:sz="6" w:space="0" w:color="auto"/>
              <w:bottom w:val="outset" w:sz="6" w:space="0" w:color="auto"/>
              <w:right w:val="outset" w:sz="6" w:space="0" w:color="auto"/>
            </w:tcBorders>
          </w:tcPr>
          <w:p w:rsidR="00582507" w:rsidRDefault="00582507" w:rsidP="00BE4701">
            <w:pPr>
              <w:ind w:firstLine="179"/>
              <w:jc w:val="both"/>
            </w:pPr>
            <w:r>
              <w:t> Ja, piemērojot likumprojektu, radīsies indivīda tiesību ierobežojums, tas varēs aizstāvēt savas tiesības administratīvo procesu regulējošajos normatīvajos aktos noteiktajā kārtībā.</w:t>
            </w:r>
          </w:p>
        </w:tc>
      </w:tr>
      <w:tr w:rsidR="00582507" w:rsidTr="00BE4701">
        <w:tc>
          <w:tcPr>
            <w:tcW w:w="2424" w:type="pct"/>
            <w:tcBorders>
              <w:top w:val="outset" w:sz="6" w:space="0" w:color="auto"/>
              <w:left w:val="outset" w:sz="6" w:space="0" w:color="auto"/>
              <w:bottom w:val="outset" w:sz="6" w:space="0" w:color="auto"/>
              <w:right w:val="outset" w:sz="6" w:space="0" w:color="auto"/>
            </w:tcBorders>
          </w:tcPr>
          <w:p w:rsidR="00582507" w:rsidRDefault="00582507" w:rsidP="00BE4701">
            <w:pPr>
              <w:pStyle w:val="NormalWeb"/>
            </w:pPr>
            <w:r>
              <w:t>4. Cita informācija</w:t>
            </w:r>
          </w:p>
        </w:tc>
        <w:tc>
          <w:tcPr>
            <w:tcW w:w="2576" w:type="pct"/>
            <w:tcBorders>
              <w:top w:val="outset" w:sz="6" w:space="0" w:color="auto"/>
              <w:left w:val="outset" w:sz="6" w:space="0" w:color="auto"/>
              <w:bottom w:val="outset" w:sz="6" w:space="0" w:color="auto"/>
              <w:right w:val="outset" w:sz="6" w:space="0" w:color="auto"/>
            </w:tcBorders>
          </w:tcPr>
          <w:p w:rsidR="00582507" w:rsidRDefault="00582507" w:rsidP="00BE4701">
            <w:r>
              <w:t> Nav attiecināms.</w:t>
            </w:r>
          </w:p>
          <w:p w:rsidR="00582507" w:rsidRDefault="00582507" w:rsidP="00BE4701"/>
        </w:tc>
      </w:tr>
    </w:tbl>
    <w:p w:rsidR="00582507" w:rsidRDefault="00582507" w:rsidP="00582507">
      <w:pPr>
        <w:ind w:firstLine="720"/>
        <w:rPr>
          <w:sz w:val="28"/>
          <w:szCs w:val="28"/>
        </w:rPr>
      </w:pPr>
    </w:p>
    <w:p w:rsidR="00582507" w:rsidRPr="00E83C4F" w:rsidRDefault="00582507" w:rsidP="00582507">
      <w:pPr>
        <w:rPr>
          <w:sz w:val="28"/>
          <w:szCs w:val="28"/>
        </w:rPr>
      </w:pPr>
    </w:p>
    <w:p w:rsidR="00582507" w:rsidRPr="00E83C4F" w:rsidRDefault="00582507" w:rsidP="00582507">
      <w:pPr>
        <w:tabs>
          <w:tab w:val="left" w:pos="6521"/>
          <w:tab w:val="left" w:pos="6804"/>
          <w:tab w:val="left" w:pos="6946"/>
        </w:tabs>
        <w:rPr>
          <w:sz w:val="28"/>
          <w:szCs w:val="28"/>
        </w:rPr>
      </w:pPr>
      <w:r w:rsidRPr="00E83C4F">
        <w:rPr>
          <w:sz w:val="28"/>
          <w:szCs w:val="28"/>
        </w:rPr>
        <w:t>Finanšu ministr</w:t>
      </w:r>
      <w:r>
        <w:rPr>
          <w:sz w:val="28"/>
          <w:szCs w:val="28"/>
        </w:rPr>
        <w:t>s                                                                   E.Repše</w:t>
      </w:r>
    </w:p>
    <w:p w:rsidR="00582507" w:rsidRPr="00E83C4F" w:rsidRDefault="00582507" w:rsidP="00582507">
      <w:pPr>
        <w:jc w:val="both"/>
        <w:rPr>
          <w:sz w:val="28"/>
          <w:szCs w:val="28"/>
        </w:rPr>
      </w:pPr>
    </w:p>
    <w:p w:rsidR="00582507" w:rsidRPr="00E83C4F" w:rsidRDefault="00582507" w:rsidP="00582507">
      <w:pPr>
        <w:jc w:val="both"/>
        <w:rPr>
          <w:sz w:val="28"/>
          <w:szCs w:val="28"/>
        </w:rPr>
      </w:pPr>
    </w:p>
    <w:p w:rsidR="00582507" w:rsidRPr="00E83C4F" w:rsidRDefault="00582507" w:rsidP="00582507">
      <w:pPr>
        <w:shd w:val="clear" w:color="auto" w:fill="FFFFFF"/>
        <w:tabs>
          <w:tab w:val="left" w:pos="7740"/>
        </w:tabs>
        <w:spacing w:line="324" w:lineRule="exact"/>
        <w:rPr>
          <w:sz w:val="28"/>
          <w:szCs w:val="28"/>
        </w:rPr>
      </w:pPr>
      <w:r w:rsidRPr="00E83C4F">
        <w:rPr>
          <w:sz w:val="28"/>
          <w:szCs w:val="28"/>
        </w:rPr>
        <w:t>Vīza:</w:t>
      </w:r>
    </w:p>
    <w:p w:rsidR="00582507" w:rsidRPr="00E83C4F" w:rsidRDefault="00582507" w:rsidP="00582507">
      <w:pPr>
        <w:shd w:val="clear" w:color="auto" w:fill="FFFFFF"/>
        <w:tabs>
          <w:tab w:val="left" w:pos="3544"/>
          <w:tab w:val="left" w:pos="7740"/>
        </w:tabs>
        <w:spacing w:line="324" w:lineRule="exact"/>
        <w:rPr>
          <w:sz w:val="28"/>
          <w:szCs w:val="28"/>
        </w:rPr>
      </w:pPr>
      <w:r w:rsidRPr="00E83C4F">
        <w:rPr>
          <w:sz w:val="28"/>
          <w:szCs w:val="28"/>
        </w:rPr>
        <w:t xml:space="preserve">Valsts sekretārs                                                                     </w:t>
      </w:r>
      <w:proofErr w:type="spellStart"/>
      <w:r w:rsidRPr="00E83C4F">
        <w:rPr>
          <w:sz w:val="28"/>
          <w:szCs w:val="28"/>
        </w:rPr>
        <w:t>M.Bičevskis</w:t>
      </w:r>
      <w:proofErr w:type="spellEnd"/>
    </w:p>
    <w:p w:rsidR="00582507" w:rsidRDefault="00582507" w:rsidP="00582507">
      <w:pPr>
        <w:ind w:firstLine="720"/>
        <w:rPr>
          <w:sz w:val="28"/>
          <w:szCs w:val="28"/>
        </w:rPr>
      </w:pPr>
    </w:p>
    <w:p w:rsidR="00582507" w:rsidRDefault="00582507" w:rsidP="00582507">
      <w:pPr>
        <w:jc w:val="both"/>
        <w:rPr>
          <w:sz w:val="22"/>
          <w:szCs w:val="22"/>
        </w:rPr>
      </w:pPr>
    </w:p>
    <w:p w:rsidR="00582507" w:rsidRDefault="00582507" w:rsidP="00582507">
      <w:pPr>
        <w:jc w:val="both"/>
        <w:rPr>
          <w:sz w:val="22"/>
          <w:szCs w:val="22"/>
        </w:rPr>
      </w:pPr>
    </w:p>
    <w:p w:rsidR="00582507" w:rsidRDefault="00582507" w:rsidP="00582507">
      <w:pPr>
        <w:jc w:val="both"/>
        <w:rPr>
          <w:sz w:val="22"/>
          <w:szCs w:val="22"/>
        </w:rPr>
      </w:pPr>
    </w:p>
    <w:p w:rsidR="00582507" w:rsidRDefault="00582507" w:rsidP="00582507">
      <w:pPr>
        <w:jc w:val="both"/>
        <w:rPr>
          <w:sz w:val="22"/>
          <w:szCs w:val="22"/>
        </w:rPr>
      </w:pPr>
    </w:p>
    <w:p w:rsidR="00582507" w:rsidRDefault="00582507" w:rsidP="00582507">
      <w:pPr>
        <w:jc w:val="both"/>
        <w:rPr>
          <w:sz w:val="22"/>
          <w:szCs w:val="22"/>
        </w:rPr>
      </w:pPr>
    </w:p>
    <w:p w:rsidR="00582507" w:rsidRDefault="00582507" w:rsidP="00582507">
      <w:pPr>
        <w:jc w:val="both"/>
        <w:rPr>
          <w:sz w:val="22"/>
          <w:szCs w:val="22"/>
        </w:rPr>
      </w:pPr>
    </w:p>
    <w:p w:rsidR="00582507" w:rsidRDefault="00582507" w:rsidP="00582507">
      <w:pPr>
        <w:jc w:val="both"/>
        <w:rPr>
          <w:sz w:val="22"/>
          <w:szCs w:val="22"/>
        </w:rPr>
      </w:pPr>
    </w:p>
    <w:p w:rsidR="00582507" w:rsidRDefault="00A70F13" w:rsidP="00582507">
      <w:pPr>
        <w:jc w:val="both"/>
        <w:rPr>
          <w:sz w:val="22"/>
          <w:szCs w:val="22"/>
        </w:rPr>
      </w:pPr>
      <w:r>
        <w:rPr>
          <w:sz w:val="22"/>
          <w:szCs w:val="22"/>
        </w:rPr>
        <w:t>21</w:t>
      </w:r>
      <w:r w:rsidR="00582507">
        <w:rPr>
          <w:sz w:val="22"/>
          <w:szCs w:val="22"/>
        </w:rPr>
        <w:t>.10.2009 16:02</w:t>
      </w:r>
    </w:p>
    <w:p w:rsidR="00582507" w:rsidRPr="00890C96" w:rsidRDefault="00687517" w:rsidP="00582507">
      <w:pPr>
        <w:jc w:val="both"/>
        <w:rPr>
          <w:sz w:val="22"/>
          <w:szCs w:val="22"/>
        </w:rPr>
      </w:pPr>
      <w:fldSimple w:instr=" NUMWORDS   \* MERGEFORMAT ">
        <w:r w:rsidR="00BE4701" w:rsidRPr="00BE4701">
          <w:rPr>
            <w:noProof/>
            <w:sz w:val="22"/>
            <w:szCs w:val="22"/>
          </w:rPr>
          <w:t>2058</w:t>
        </w:r>
      </w:fldSimple>
    </w:p>
    <w:p w:rsidR="00582507" w:rsidRDefault="00582507" w:rsidP="00582507">
      <w:pPr>
        <w:jc w:val="both"/>
        <w:rPr>
          <w:sz w:val="22"/>
          <w:szCs w:val="22"/>
        </w:rPr>
      </w:pPr>
      <w:proofErr w:type="spellStart"/>
      <w:r w:rsidRPr="00890C96">
        <w:rPr>
          <w:sz w:val="22"/>
          <w:szCs w:val="22"/>
        </w:rPr>
        <w:t>S.Mačivka</w:t>
      </w:r>
      <w:proofErr w:type="spellEnd"/>
      <w:r>
        <w:rPr>
          <w:sz w:val="22"/>
          <w:szCs w:val="22"/>
        </w:rPr>
        <w:t xml:space="preserve"> </w:t>
      </w:r>
    </w:p>
    <w:p w:rsidR="00582507" w:rsidRPr="00D63D65" w:rsidRDefault="00582507" w:rsidP="00582507">
      <w:pPr>
        <w:jc w:val="both"/>
      </w:pPr>
      <w:r w:rsidRPr="00890C96">
        <w:rPr>
          <w:sz w:val="22"/>
          <w:szCs w:val="22"/>
        </w:rPr>
        <w:t>67095493,</w:t>
      </w:r>
      <w:r>
        <w:rPr>
          <w:sz w:val="22"/>
          <w:szCs w:val="22"/>
        </w:rPr>
        <w:t xml:space="preserve"> </w:t>
      </w:r>
      <w:hyperlink r:id="rId6" w:history="1">
        <w:r w:rsidRPr="00890C96">
          <w:rPr>
            <w:rStyle w:val="Hyperlink"/>
            <w:sz w:val="22"/>
            <w:szCs w:val="22"/>
          </w:rPr>
          <w:t>sandra.macivka@fm.gov.lv</w:t>
        </w:r>
      </w:hyperlink>
    </w:p>
    <w:p w:rsidR="00582507" w:rsidRDefault="00582507" w:rsidP="00582507"/>
    <w:p w:rsidR="00582507" w:rsidRDefault="00582507" w:rsidP="00582507"/>
    <w:p w:rsidR="00582507" w:rsidRPr="00A61017" w:rsidRDefault="00582507" w:rsidP="00582507"/>
    <w:p w:rsidR="00582507" w:rsidRPr="00EC3A52" w:rsidRDefault="00582507" w:rsidP="00582507"/>
    <w:p w:rsidR="002B51A3" w:rsidRDefault="002B51A3"/>
    <w:sectPr w:rsidR="002B51A3" w:rsidSect="00BE4701">
      <w:headerReference w:type="even" r:id="rId7"/>
      <w:headerReference w:type="default" r:id="rId8"/>
      <w:footerReference w:type="even" r:id="rId9"/>
      <w:footerReference w:type="default" r:id="rId10"/>
      <w:headerReference w:type="first" r:id="rId11"/>
      <w:footerReference w:type="first" r:id="rId12"/>
      <w:pgSz w:w="11906" w:h="16838" w:code="9"/>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4701" w:rsidRDefault="00BE4701" w:rsidP="004D512F">
      <w:r>
        <w:separator/>
      </w:r>
    </w:p>
  </w:endnote>
  <w:endnote w:type="continuationSeparator" w:id="0">
    <w:p w:rsidR="00BE4701" w:rsidRDefault="00BE4701" w:rsidP="004D51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701" w:rsidRDefault="00BE4701" w:rsidP="00BE470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E4701" w:rsidRDefault="00BE4701" w:rsidP="00BE470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701" w:rsidRPr="00241A6E" w:rsidRDefault="00BE4701" w:rsidP="00BE4701">
    <w:pPr>
      <w:pStyle w:val="Footer"/>
      <w:rPr>
        <w:sz w:val="20"/>
        <w:szCs w:val="20"/>
      </w:rPr>
    </w:pPr>
    <w:fldSimple w:instr=" FILENAME   \* MERGEFORMAT ">
      <w:r w:rsidRPr="00BE4701">
        <w:rPr>
          <w:noProof/>
          <w:sz w:val="20"/>
          <w:szCs w:val="20"/>
        </w:rPr>
        <w:t>FMAnot_211009_UINKV</w:t>
      </w:r>
    </w:fldSimple>
    <w:r>
      <w:rPr>
        <w:sz w:val="20"/>
        <w:szCs w:val="20"/>
      </w:rPr>
      <w:t xml:space="preserve">; Likumprojekta „Grozījumi likumā „Par uzņēmumu ienākuma nodokli”” anotācija </w:t>
    </w:r>
  </w:p>
  <w:p w:rsidR="00BE4701" w:rsidRPr="00C117D6" w:rsidRDefault="00BE4701" w:rsidP="00BE4701">
    <w:pPr>
      <w:pStyle w:val="Footer"/>
      <w:rPr>
        <w:sz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701" w:rsidRPr="00241A6E" w:rsidRDefault="00BE4701" w:rsidP="00BE4701">
    <w:pPr>
      <w:pStyle w:val="Footer"/>
      <w:rPr>
        <w:sz w:val="20"/>
        <w:szCs w:val="20"/>
      </w:rPr>
    </w:pPr>
    <w:fldSimple w:instr=" FILENAME   \* MERGEFORMAT ">
      <w:r w:rsidRPr="00BE4701">
        <w:rPr>
          <w:noProof/>
          <w:sz w:val="20"/>
          <w:szCs w:val="20"/>
        </w:rPr>
        <w:t>FMAnot_211009_UINKV</w:t>
      </w:r>
    </w:fldSimple>
    <w:r>
      <w:rPr>
        <w:sz w:val="20"/>
        <w:szCs w:val="20"/>
      </w:rPr>
      <w:t xml:space="preserve">; Likumprojekta „Grozījumi likumā „Par uzņēmumu ienākuma nodokli”” anotācija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4701" w:rsidRDefault="00BE4701" w:rsidP="004D512F">
      <w:r>
        <w:separator/>
      </w:r>
    </w:p>
  </w:footnote>
  <w:footnote w:type="continuationSeparator" w:id="0">
    <w:p w:rsidR="00BE4701" w:rsidRDefault="00BE4701" w:rsidP="004D51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701" w:rsidRDefault="00BE4701" w:rsidP="00BE470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BE4701" w:rsidRDefault="00BE470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27690"/>
      <w:docPartObj>
        <w:docPartGallery w:val="Page Numbers (Top of Page)"/>
        <w:docPartUnique/>
      </w:docPartObj>
    </w:sdtPr>
    <w:sdtContent>
      <w:p w:rsidR="00BE4701" w:rsidRDefault="00BE4701">
        <w:pPr>
          <w:pStyle w:val="Header"/>
          <w:jc w:val="center"/>
        </w:pPr>
        <w:fldSimple w:instr=" PAGE   \* MERGEFORMAT ">
          <w:r w:rsidR="00524A6C">
            <w:rPr>
              <w:noProof/>
            </w:rPr>
            <w:t>8</w:t>
          </w:r>
        </w:fldSimple>
      </w:p>
    </w:sdtContent>
  </w:sdt>
  <w:p w:rsidR="00BE4701" w:rsidRPr="004F7101" w:rsidRDefault="00BE4701" w:rsidP="00BE4701">
    <w:pPr>
      <w:pStyle w:val="Header"/>
      <w:jc w:val="right"/>
      <w:rPr>
        <w:i/>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701" w:rsidRDefault="00BE4701">
    <w:pPr>
      <w:pStyle w:val="Header"/>
      <w:jc w:val="center"/>
    </w:pPr>
  </w:p>
  <w:p w:rsidR="00BE4701" w:rsidRDefault="00BE470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rsids>
    <w:rsidRoot w:val="00582507"/>
    <w:rsid w:val="0015782F"/>
    <w:rsid w:val="002B51A3"/>
    <w:rsid w:val="003D76EC"/>
    <w:rsid w:val="00434720"/>
    <w:rsid w:val="004D512F"/>
    <w:rsid w:val="00524A6C"/>
    <w:rsid w:val="00582507"/>
    <w:rsid w:val="005F0F0A"/>
    <w:rsid w:val="00687517"/>
    <w:rsid w:val="00757AFB"/>
    <w:rsid w:val="007E0029"/>
    <w:rsid w:val="009B370E"/>
    <w:rsid w:val="00A70F13"/>
    <w:rsid w:val="00B92154"/>
    <w:rsid w:val="00BE4701"/>
    <w:rsid w:val="00BF6069"/>
    <w:rsid w:val="00D61092"/>
    <w:rsid w:val="00E52023"/>
    <w:rsid w:val="00EC1C1B"/>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507"/>
    <w:rPr>
      <w:rFonts w:eastAsia="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82507"/>
    <w:pPr>
      <w:spacing w:before="100" w:beforeAutospacing="1" w:after="100" w:afterAutospacing="1"/>
    </w:pPr>
  </w:style>
  <w:style w:type="paragraph" w:customStyle="1" w:styleId="naisf">
    <w:name w:val="naisf"/>
    <w:basedOn w:val="Normal"/>
    <w:rsid w:val="00582507"/>
    <w:pPr>
      <w:spacing w:before="75" w:after="75"/>
      <w:ind w:firstLine="375"/>
      <w:jc w:val="both"/>
    </w:pPr>
  </w:style>
  <w:style w:type="paragraph" w:customStyle="1" w:styleId="naislab">
    <w:name w:val="naislab"/>
    <w:basedOn w:val="Normal"/>
    <w:rsid w:val="00582507"/>
    <w:pPr>
      <w:spacing w:before="75" w:after="75"/>
      <w:jc w:val="right"/>
    </w:pPr>
  </w:style>
  <w:style w:type="paragraph" w:customStyle="1" w:styleId="naisc">
    <w:name w:val="naisc"/>
    <w:basedOn w:val="Normal"/>
    <w:rsid w:val="00582507"/>
    <w:pPr>
      <w:spacing w:before="450" w:after="300"/>
      <w:jc w:val="center"/>
    </w:pPr>
    <w:rPr>
      <w:sz w:val="26"/>
      <w:szCs w:val="26"/>
    </w:rPr>
  </w:style>
  <w:style w:type="character" w:styleId="Hyperlink">
    <w:name w:val="Hyperlink"/>
    <w:basedOn w:val="DefaultParagraphFont"/>
    <w:rsid w:val="00582507"/>
    <w:rPr>
      <w:color w:val="0000FF"/>
      <w:u w:val="single"/>
    </w:rPr>
  </w:style>
  <w:style w:type="paragraph" w:styleId="Header">
    <w:name w:val="header"/>
    <w:basedOn w:val="Normal"/>
    <w:link w:val="HeaderChar"/>
    <w:uiPriority w:val="99"/>
    <w:rsid w:val="00582507"/>
    <w:pPr>
      <w:tabs>
        <w:tab w:val="center" w:pos="4153"/>
        <w:tab w:val="right" w:pos="8306"/>
      </w:tabs>
    </w:pPr>
  </w:style>
  <w:style w:type="character" w:customStyle="1" w:styleId="HeaderChar">
    <w:name w:val="Header Char"/>
    <w:basedOn w:val="DefaultParagraphFont"/>
    <w:link w:val="Header"/>
    <w:uiPriority w:val="99"/>
    <w:rsid w:val="00582507"/>
    <w:rPr>
      <w:rFonts w:eastAsia="Times New Roman" w:cs="Times New Roman"/>
      <w:sz w:val="24"/>
      <w:szCs w:val="24"/>
      <w:lang w:eastAsia="lv-LV"/>
    </w:rPr>
  </w:style>
  <w:style w:type="paragraph" w:styleId="Footer">
    <w:name w:val="footer"/>
    <w:basedOn w:val="Normal"/>
    <w:link w:val="FooterChar"/>
    <w:rsid w:val="00582507"/>
    <w:pPr>
      <w:tabs>
        <w:tab w:val="center" w:pos="4153"/>
        <w:tab w:val="right" w:pos="8306"/>
      </w:tabs>
    </w:pPr>
  </w:style>
  <w:style w:type="character" w:customStyle="1" w:styleId="FooterChar">
    <w:name w:val="Footer Char"/>
    <w:basedOn w:val="DefaultParagraphFont"/>
    <w:link w:val="Footer"/>
    <w:rsid w:val="00582507"/>
    <w:rPr>
      <w:rFonts w:eastAsia="Times New Roman" w:cs="Times New Roman"/>
      <w:sz w:val="24"/>
      <w:szCs w:val="24"/>
      <w:lang w:eastAsia="lv-LV"/>
    </w:rPr>
  </w:style>
  <w:style w:type="character" w:styleId="PageNumber">
    <w:name w:val="page number"/>
    <w:basedOn w:val="DefaultParagraphFont"/>
    <w:rsid w:val="00582507"/>
  </w:style>
  <w:style w:type="paragraph" w:styleId="BodyText">
    <w:name w:val="Body Text"/>
    <w:basedOn w:val="Normal"/>
    <w:link w:val="BodyTextChar"/>
    <w:rsid w:val="00582507"/>
    <w:pPr>
      <w:suppressAutoHyphens/>
      <w:spacing w:after="120"/>
    </w:pPr>
    <w:rPr>
      <w:lang w:eastAsia="ar-SA"/>
    </w:rPr>
  </w:style>
  <w:style w:type="character" w:customStyle="1" w:styleId="BodyTextChar">
    <w:name w:val="Body Text Char"/>
    <w:basedOn w:val="DefaultParagraphFont"/>
    <w:link w:val="BodyText"/>
    <w:rsid w:val="00582507"/>
    <w:rPr>
      <w:rFonts w:eastAsia="Times New Roman" w:cs="Times New Roman"/>
      <w:sz w:val="24"/>
      <w:szCs w:val="24"/>
      <w:lang w:eastAsia="ar-SA"/>
    </w:rPr>
  </w:style>
  <w:style w:type="paragraph" w:customStyle="1" w:styleId="Default">
    <w:name w:val="Default"/>
    <w:rsid w:val="00582507"/>
    <w:pPr>
      <w:autoSpaceDE w:val="0"/>
      <w:autoSpaceDN w:val="0"/>
      <w:adjustRightInd w:val="0"/>
    </w:pPr>
    <w:rPr>
      <w:rFonts w:eastAsia="Times New Roman" w:cs="Times New Roman"/>
      <w:color w:val="000000"/>
      <w:sz w:val="24"/>
      <w:szCs w:val="24"/>
      <w:lang w:eastAsia="lv-LV"/>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andra.macivka@fm.gov.lv"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8</Pages>
  <Words>2014</Words>
  <Characters>14932</Characters>
  <Application>Microsoft Office Word</Application>
  <DocSecurity>0</DocSecurity>
  <Lines>746</Lines>
  <Paragraphs>403</Paragraphs>
  <ScaleCrop>false</ScaleCrop>
  <HeadingPairs>
    <vt:vector size="2" baseType="variant">
      <vt:variant>
        <vt:lpstr>Title</vt:lpstr>
      </vt:variant>
      <vt:variant>
        <vt:i4>1</vt:i4>
      </vt:variant>
    </vt:vector>
  </HeadingPairs>
  <TitlesOfParts>
    <vt:vector size="1" baseType="lpstr">
      <vt:lpstr>Likumprojekta "Grozījumi likumā "Par uzņēmumu ienākuma nodokli""</vt:lpstr>
    </vt:vector>
  </TitlesOfParts>
  <Company>fm</Company>
  <LinksUpToDate>false</LinksUpToDate>
  <CharactersWithSpaces>16543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likumā "Par uzņēmumu ienākuma nodokli""</dc:title>
  <dc:subject>Likumprojekta par UIN anotācija</dc:subject>
  <dc:creator>S.Mačivka</dc:creator>
  <cp:keywords/>
  <dc:description>S.Mačivka,t.67095493,e-pasts: Sandra.Macivka@fm.gov.lv</dc:description>
  <cp:lastModifiedBy>it-berna</cp:lastModifiedBy>
  <cp:revision>11</cp:revision>
  <cp:lastPrinted>2009-10-21T13:47:00Z</cp:lastPrinted>
  <dcterms:created xsi:type="dcterms:W3CDTF">2009-10-21T10:10:00Z</dcterms:created>
  <dcterms:modified xsi:type="dcterms:W3CDTF">2009-10-21T14:10:00Z</dcterms:modified>
</cp:coreProperties>
</file>