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16" w:rsidRPr="00EA5E16" w:rsidRDefault="00EA5E16" w:rsidP="00EA5E16">
      <w:pPr>
        <w:jc w:val="center"/>
        <w:rPr>
          <w:rFonts w:eastAsia="Times New Roman" w:cs="Times New Roman"/>
          <w:b/>
          <w:bCs/>
          <w:sz w:val="28"/>
          <w:szCs w:val="28"/>
          <w:lang w:eastAsia="lv-LV"/>
        </w:rPr>
      </w:pPr>
      <w:bookmarkStart w:id="0" w:name="_GoBack"/>
      <w:bookmarkEnd w:id="0"/>
      <w:r w:rsidRPr="00EA5E16">
        <w:rPr>
          <w:rFonts w:eastAsia="Times New Roman" w:cs="Times New Roman"/>
          <w:b/>
          <w:sz w:val="28"/>
          <w:szCs w:val="28"/>
          <w:lang w:eastAsia="lv-LV"/>
        </w:rPr>
        <w:t>Ministru kabineta noteikumu projekta</w:t>
      </w:r>
      <w:r w:rsidRPr="00EA5E16">
        <w:rPr>
          <w:rFonts w:eastAsia="Times New Roman" w:cs="Times New Roman"/>
          <w:b/>
          <w:bCs/>
          <w:sz w:val="28"/>
          <w:szCs w:val="28"/>
          <w:lang w:eastAsia="lv-LV"/>
        </w:rPr>
        <w:t xml:space="preserve"> „Noteikumi par budžetu pieprasījumu izstrādāšanas un iesniegšanas pamatprincipiem” sākotnējās ietekmes novērtējuma ziņojums (anotācija)</w:t>
      </w:r>
    </w:p>
    <w:p w:rsidR="00EA5E16" w:rsidRPr="00EA5E16" w:rsidRDefault="00EA5E16" w:rsidP="00EA5E16">
      <w:pPr>
        <w:jc w:val="center"/>
        <w:rPr>
          <w:rFonts w:eastAsia="Times New Roman" w:cs="Times New Roman"/>
          <w:b/>
          <w:bCs/>
          <w:sz w:val="16"/>
          <w:szCs w:val="16"/>
          <w:lang w:eastAsia="lv-LV"/>
        </w:rPr>
      </w:pPr>
    </w:p>
    <w:p w:rsidR="00EA5E16" w:rsidRPr="00EA5E16" w:rsidRDefault="00EA5E16" w:rsidP="00EA5E16">
      <w:pPr>
        <w:jc w:val="center"/>
        <w:rPr>
          <w:rFonts w:eastAsia="Times New Roman" w:cs="Times New Roman"/>
          <w:b/>
          <w:bCs/>
          <w:sz w:val="16"/>
          <w:szCs w:val="1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88"/>
        <w:gridCol w:w="5351"/>
      </w:tblGrid>
      <w:tr w:rsidR="00EA5E16" w:rsidRPr="00EA5E16" w:rsidTr="004A187E">
        <w:tc>
          <w:tcPr>
            <w:tcW w:w="9287" w:type="dxa"/>
            <w:gridSpan w:val="3"/>
          </w:tcPr>
          <w:p w:rsidR="00EA5E16" w:rsidRPr="00EA5E16" w:rsidRDefault="00EA5E16" w:rsidP="00EA5E16">
            <w:pPr>
              <w:jc w:val="center"/>
              <w:rPr>
                <w:rFonts w:eastAsia="Times New Roman" w:cs="Times New Roman"/>
                <w:szCs w:val="24"/>
                <w:lang w:eastAsia="lv-LV"/>
              </w:rPr>
            </w:pPr>
            <w:r w:rsidRPr="00EA5E16">
              <w:rPr>
                <w:rFonts w:eastAsia="Times New Roman" w:cs="Times New Roman"/>
                <w:b/>
                <w:bCs/>
                <w:szCs w:val="24"/>
                <w:lang w:eastAsia="lv-LV"/>
              </w:rPr>
              <w:t>I. Tiesību akta projekta izstrādes nepieciešamība</w:t>
            </w:r>
          </w:p>
        </w:tc>
      </w:tr>
      <w:tr w:rsidR="00EA5E16" w:rsidRPr="00EA5E16" w:rsidTr="004A187E">
        <w:trPr>
          <w:trHeight w:val="1944"/>
        </w:trPr>
        <w:tc>
          <w:tcPr>
            <w:tcW w:w="64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1.</w:t>
            </w:r>
          </w:p>
        </w:tc>
        <w:tc>
          <w:tcPr>
            <w:tcW w:w="328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Pamatojums</w:t>
            </w:r>
          </w:p>
        </w:tc>
        <w:tc>
          <w:tcPr>
            <w:tcW w:w="5351" w:type="dxa"/>
          </w:tcPr>
          <w:p w:rsidR="00EA5E16" w:rsidRPr="00EA5E16" w:rsidRDefault="00EA5E16" w:rsidP="00EA5E16">
            <w:pPr>
              <w:tabs>
                <w:tab w:val="left" w:pos="354"/>
              </w:tabs>
              <w:ind w:left="33"/>
              <w:jc w:val="both"/>
              <w:rPr>
                <w:rFonts w:eastAsia="Times New Roman" w:cs="Times New Roman"/>
                <w:szCs w:val="24"/>
                <w:lang w:eastAsia="lv-LV"/>
              </w:rPr>
            </w:pPr>
            <w:r w:rsidRPr="00EA5E16">
              <w:rPr>
                <w:rFonts w:eastAsia="Times New Roman" w:cs="Times New Roman"/>
                <w:szCs w:val="24"/>
                <w:lang w:eastAsia="lv-LV"/>
              </w:rPr>
              <w:t xml:space="preserve">Ministru kabineta 2010.gada 16.novembra protokollēmuma Nr.64 38.§ 2.1.apakšpunktā dotais uzdevums nosaka Finanšu ministrijai izstrādāt un finanšu ministram līdz 2013.gada 1.janvārim iesniegt noteiktā kārtībā Ministru kabinetā grozījumus Ministru kabineta 2009.gada 3.oktobra noteikumos Nr.1127 „Noteikumi par budžeta pieprasījumu izstrādāšanas un iesniegšanas pamatprincipiem”, lai ieviestu budžeta programmu plānošanu pēc vienotiem valsts budžeta programmu veidošanas principiem, nodrošinot to sasaisti ar politikas plānošanas dokumentos noteiktajiem mērķiem un sasniedzamajiem rezultātiem un rezultatīvajiem rādītājiem. </w:t>
            </w:r>
          </w:p>
          <w:p w:rsidR="00EA5E16" w:rsidRPr="00EA5E16" w:rsidRDefault="00EA5E16" w:rsidP="00EA5E16">
            <w:pPr>
              <w:tabs>
                <w:tab w:val="left" w:pos="354"/>
              </w:tabs>
              <w:ind w:left="33"/>
              <w:jc w:val="both"/>
              <w:rPr>
                <w:rFonts w:eastAsia="Times New Roman" w:cs="Times New Roman"/>
                <w:szCs w:val="24"/>
                <w:lang w:eastAsia="lv-LV"/>
              </w:rPr>
            </w:pPr>
            <w:r w:rsidRPr="00EA5E16">
              <w:rPr>
                <w:rFonts w:eastAsia="Times New Roman" w:cs="Times New Roman"/>
                <w:szCs w:val="24"/>
                <w:lang w:eastAsia="lv-LV"/>
              </w:rPr>
              <w:t>Ministru kabineta 2011.gada 11</w:t>
            </w:r>
            <w:r>
              <w:rPr>
                <w:rFonts w:eastAsia="Times New Roman" w:cs="Times New Roman"/>
                <w:szCs w:val="24"/>
                <w:lang w:eastAsia="lv-LV"/>
              </w:rPr>
              <w:t>.oktobra noteikumi Nr.781 „Grozī</w:t>
            </w:r>
            <w:r w:rsidRPr="00EA5E16">
              <w:rPr>
                <w:rFonts w:eastAsia="Times New Roman" w:cs="Times New Roman"/>
                <w:szCs w:val="24"/>
                <w:lang w:eastAsia="lv-LV"/>
              </w:rPr>
              <w:t>jumi Ministru kabineta 2005.gada 27.decembra noteikumos Nr.1032 „Noteikumi par budžetu ieņēmumu klasifikāciju”” (prot. Nr.58 4.§) un Ministru kabineta 2011.gada 11.oktobra noteikumi Nr.782 „Grozījumi Ministru kabineta 2005.gada 27.decembra noteikumos Nr.1031 „Noteikumi par budžetu izdevumu klasifikāciju atbilstoši ekonomiskajām kategorijām”” (prot. Nr.58 5.§) paredz attiecīgi izmaiņas budžeta ieņēmumu un izdevumu klasifikācijās, kas stājās spēkā 2012.gada 1.janvārī. Līdz ar to ir nepieciešams precizēt budžeta pieprasījumu veidlapas atbilstoši jaunpieņemtajām budžeta ieņēmumu un izdevumu klasifikācijām.</w:t>
            </w:r>
          </w:p>
          <w:p w:rsidR="00EA5E16" w:rsidRPr="00EA5E16" w:rsidRDefault="00EA5E16" w:rsidP="00EA5E16">
            <w:pPr>
              <w:tabs>
                <w:tab w:val="left" w:pos="354"/>
              </w:tabs>
              <w:ind w:left="33"/>
              <w:jc w:val="both"/>
              <w:rPr>
                <w:rFonts w:eastAsia="Times New Roman" w:cs="Times New Roman"/>
                <w:szCs w:val="24"/>
                <w:lang w:eastAsia="lv-LV"/>
              </w:rPr>
            </w:pPr>
            <w:r w:rsidRPr="00EA5E16">
              <w:rPr>
                <w:rFonts w:eastAsia="Times New Roman" w:cs="Times New Roman"/>
                <w:szCs w:val="24"/>
                <w:lang w:eastAsia="lv-LV"/>
              </w:rPr>
              <w:t>Saskaņā ar Ministru kabineta 2009.gada 3.februāra noteikumu Nr.108 „Normatīvo aktu projektu sagatavošanas noteikumi” 140.punktu, grozījumu noteikumu projekts Ministru kabineta 2009.gada 3.oktobra noteikumiem Nr.1127 „Noteikumi par budžeta pieprasījumu izstrādāšanas un iesniegšanas pamatprincipiem” netiek sagatavots, jo grozījumu noteikumu projekta normu apjoms pārsniegtu pusi no spēkā esošā normatīvā akta normu apjoma, līdz ar to tiek sagatavots jauns noteikumu projekts.</w:t>
            </w:r>
          </w:p>
        </w:tc>
      </w:tr>
      <w:tr w:rsidR="00EA5E16" w:rsidRPr="00EA5E16" w:rsidTr="004A187E">
        <w:tc>
          <w:tcPr>
            <w:tcW w:w="64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2.</w:t>
            </w:r>
          </w:p>
        </w:tc>
        <w:tc>
          <w:tcPr>
            <w:tcW w:w="3288" w:type="dxa"/>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Pašreizējā situācija un problēmas</w:t>
            </w:r>
          </w:p>
        </w:tc>
        <w:tc>
          <w:tcPr>
            <w:tcW w:w="5351" w:type="dxa"/>
          </w:tcPr>
          <w:p w:rsidR="00EA5E16" w:rsidRPr="00EA5E16" w:rsidRDefault="00EA5E16" w:rsidP="00EA5E16">
            <w:pPr>
              <w:jc w:val="both"/>
              <w:rPr>
                <w:rFonts w:eastAsia="Calibri" w:cs="Times New Roman"/>
                <w:szCs w:val="24"/>
              </w:rPr>
            </w:pPr>
            <w:r w:rsidRPr="00EA5E16">
              <w:rPr>
                <w:rFonts w:eastAsia="Times New Roman" w:cs="Times New Roman"/>
                <w:bCs/>
                <w:szCs w:val="24"/>
                <w:lang w:eastAsia="lv-LV"/>
              </w:rPr>
              <w:t>Ministru kabineta 2009.gada 3.oktobra noteikumi Nr.1127 „Noteikumi par budžeta pieprasījumu izstrādāšanas un iesniegšanas pamatprincipiem”</w:t>
            </w:r>
            <w:r w:rsidRPr="00EA5E16">
              <w:rPr>
                <w:rFonts w:eastAsia="Calibri" w:cs="Times New Roman"/>
                <w:szCs w:val="24"/>
              </w:rPr>
              <w:t xml:space="preserve"> nosaka budžeta pieprasījumu vidējam termiņam sagatavošanas un iesniegšanas pamatprincipus, kuros šobrīd ir nepieciešams veikt izmaiņas, lai ieviestu </w:t>
            </w:r>
            <w:r w:rsidRPr="00EA5E16">
              <w:rPr>
                <w:rFonts w:eastAsia="Calibri" w:cs="Times New Roman"/>
                <w:szCs w:val="24"/>
              </w:rPr>
              <w:lastRenderedPageBreak/>
              <w:t xml:space="preserve">budžeta programmu plānošanu pēc vienotiem valsts budžeta programmu veidošanas principiem, nodrošinot to sasaisti ar politikas plānošanas dokumentos noteiktajiem mērķiem un sasniedzamajiem rezultātiem un rezultatīvajiem rādītājiem un vienlaikus optimizētu budžeta pieprasījumos iekļaujamo informācijas </w:t>
            </w:r>
            <w:r w:rsidR="007E5020">
              <w:rPr>
                <w:rFonts w:eastAsia="Calibri" w:cs="Times New Roman"/>
                <w:szCs w:val="24"/>
              </w:rPr>
              <w:t xml:space="preserve">saturu un iesniegšanas kārtību. </w:t>
            </w:r>
            <w:r w:rsidRPr="00EA5E16">
              <w:rPr>
                <w:rFonts w:eastAsia="Calibri" w:cs="Times New Roman"/>
                <w:szCs w:val="24"/>
              </w:rPr>
              <w:t>Noteikumu projekta nepieciešamību nosaka:</w:t>
            </w:r>
          </w:p>
          <w:p w:rsidR="00910783" w:rsidRDefault="00EA5E16" w:rsidP="00533F4F">
            <w:pPr>
              <w:numPr>
                <w:ilvl w:val="0"/>
                <w:numId w:val="2"/>
              </w:numPr>
              <w:tabs>
                <w:tab w:val="left" w:pos="459"/>
              </w:tabs>
              <w:ind w:left="33" w:firstLine="0"/>
              <w:jc w:val="both"/>
              <w:rPr>
                <w:rFonts w:eastAsia="Calibri" w:cs="Times New Roman"/>
                <w:szCs w:val="24"/>
              </w:rPr>
            </w:pPr>
            <w:r w:rsidRPr="00EA5E16">
              <w:rPr>
                <w:rFonts w:eastAsia="Calibri" w:cs="Times New Roman"/>
                <w:szCs w:val="24"/>
              </w:rPr>
              <w:t>Šobrīd nav definēti vienoti valsts pamatbudžeta pamatfunkciju īstenošanas daļas programmu (apakšprogrammu) struktūras veidošanas principi.</w:t>
            </w:r>
            <w:r w:rsidRPr="00EA5E16">
              <w:rPr>
                <w:rFonts w:ascii="Calibri" w:eastAsia="Times New Roman" w:hAnsi="Century Schoolbook" w:cs="Times New Roman"/>
                <w:color w:val="000000"/>
                <w:kern w:val="24"/>
                <w:sz w:val="48"/>
                <w:szCs w:val="48"/>
                <w:lang w:eastAsia="lv-LV"/>
              </w:rPr>
              <w:t xml:space="preserve"> </w:t>
            </w:r>
            <w:r w:rsidRPr="00EA5E16">
              <w:rPr>
                <w:rFonts w:eastAsia="Calibri" w:cs="Times New Roman"/>
                <w:szCs w:val="24"/>
              </w:rPr>
              <w:t xml:space="preserve">Līdzekļu apjoms izdevumiem budžeta programmās (apakšprogrammās) ir ļoti dažāds, kas </w:t>
            </w:r>
            <w:r w:rsidR="00163276" w:rsidRPr="00EA5E16">
              <w:rPr>
                <w:rFonts w:eastAsia="Calibri" w:cs="Times New Roman"/>
                <w:szCs w:val="24"/>
              </w:rPr>
              <w:t>palielina</w:t>
            </w:r>
            <w:r w:rsidRPr="00EA5E16">
              <w:rPr>
                <w:rFonts w:eastAsia="Calibri" w:cs="Times New Roman"/>
                <w:szCs w:val="24"/>
              </w:rPr>
              <w:t xml:space="preserve"> budžeta </w:t>
            </w:r>
            <w:r w:rsidRPr="00EA5E16">
              <w:rPr>
                <w:rFonts w:eastAsia="Calibri" w:cs="Times New Roman"/>
                <w:bCs/>
                <w:szCs w:val="24"/>
              </w:rPr>
              <w:t>sadrumstalotību.</w:t>
            </w:r>
            <w:r w:rsidRPr="00EA5E16">
              <w:rPr>
                <w:rFonts w:eastAsia="Calibri" w:cs="Times New Roman"/>
                <w:szCs w:val="24"/>
              </w:rPr>
              <w:t xml:space="preserve"> Maza apjoma programmas (apakšprogrammas) samazina budžeta elastību, savukārt liela apjoma programmas (apakšprogrammas) ierobežo izdevumu analīzes iespējas un negatīvi ietekmē rezultatīvo rādītāju kvalitāti.</w:t>
            </w:r>
          </w:p>
          <w:p w:rsidR="00910783" w:rsidRDefault="00EA5E16" w:rsidP="00533F4F">
            <w:pPr>
              <w:numPr>
                <w:ilvl w:val="0"/>
                <w:numId w:val="2"/>
              </w:numPr>
              <w:tabs>
                <w:tab w:val="left" w:pos="459"/>
              </w:tabs>
              <w:ind w:left="33" w:firstLine="0"/>
              <w:jc w:val="both"/>
              <w:rPr>
                <w:rFonts w:eastAsia="Calibri" w:cs="Times New Roman"/>
                <w:szCs w:val="24"/>
              </w:rPr>
            </w:pPr>
            <w:r w:rsidRPr="00910783">
              <w:rPr>
                <w:rFonts w:eastAsia="Calibri" w:cs="Times New Roman"/>
                <w:szCs w:val="24"/>
              </w:rPr>
              <w:t>Nav definēti izveides kritēriji vienādajām budžeta programmām (apakšprogrammām), kā arī nav definēti apakšprogrammu izveides kritēriji.</w:t>
            </w:r>
          </w:p>
          <w:p w:rsidR="00EA5E16" w:rsidRPr="00A463AA" w:rsidRDefault="00EA5E16" w:rsidP="00533F4F">
            <w:pPr>
              <w:pStyle w:val="ListParagraph"/>
              <w:numPr>
                <w:ilvl w:val="0"/>
                <w:numId w:val="2"/>
              </w:numPr>
              <w:tabs>
                <w:tab w:val="left" w:pos="459"/>
              </w:tabs>
              <w:ind w:left="33" w:firstLine="0"/>
              <w:jc w:val="both"/>
              <w:rPr>
                <w:rFonts w:eastAsia="Calibri" w:cs="Times New Roman"/>
                <w:szCs w:val="24"/>
              </w:rPr>
            </w:pPr>
            <w:r w:rsidRPr="00A463AA">
              <w:rPr>
                <w:rFonts w:eastAsia="Calibri" w:cs="Times New Roman"/>
                <w:szCs w:val="24"/>
              </w:rPr>
              <w:t>Šobrīd valsts budžeta Eiropas Savienības politiku instrumentu un pārējās ārvalstu finanšu palīdzības līdzfinansēto un finansēto projektu un pasākumu īstenošanas daļā nav budžeta pro</w:t>
            </w:r>
            <w:r w:rsidR="00A463AA">
              <w:rPr>
                <w:rFonts w:eastAsia="Calibri" w:cs="Times New Roman"/>
                <w:szCs w:val="24"/>
              </w:rPr>
              <w:t>grammu (apakšprogrammu), kas būtu</w:t>
            </w:r>
            <w:r w:rsidRPr="00A463AA">
              <w:rPr>
                <w:rFonts w:eastAsia="Calibri" w:cs="Times New Roman"/>
                <w:szCs w:val="24"/>
              </w:rPr>
              <w:t xml:space="preserve"> piemērojamas finansējuma plānošanai nākamajā Eiropas Savienības budžeta plānošanas periodā 2014. – 2020.gadā.</w:t>
            </w:r>
          </w:p>
          <w:p w:rsidR="00EA5E16" w:rsidRPr="00EA5E16" w:rsidRDefault="00EA5E16" w:rsidP="00533F4F">
            <w:pPr>
              <w:numPr>
                <w:ilvl w:val="0"/>
                <w:numId w:val="2"/>
              </w:numPr>
              <w:tabs>
                <w:tab w:val="left" w:pos="459"/>
              </w:tabs>
              <w:ind w:left="33" w:firstLine="0"/>
              <w:jc w:val="both"/>
              <w:rPr>
                <w:rFonts w:eastAsia="Calibri" w:cs="Times New Roman"/>
                <w:bCs/>
                <w:szCs w:val="24"/>
              </w:rPr>
            </w:pPr>
            <w:r w:rsidRPr="00EA5E16">
              <w:rPr>
                <w:rFonts w:eastAsia="Calibri" w:cs="Times New Roman"/>
                <w:szCs w:val="24"/>
              </w:rPr>
              <w:t>Šobrīd noteikumos nav sasaistes starp   programmu (apakšprogrammu) darbības rezultāt</w:t>
            </w:r>
            <w:r w:rsidR="00AF2378">
              <w:rPr>
                <w:rFonts w:eastAsia="Calibri" w:cs="Times New Roman"/>
                <w:szCs w:val="24"/>
              </w:rPr>
              <w:t xml:space="preserve">iem, </w:t>
            </w:r>
            <w:r w:rsidRPr="00EA5E16">
              <w:rPr>
                <w:rFonts w:eastAsia="Calibri" w:cs="Times New Roman"/>
                <w:szCs w:val="24"/>
              </w:rPr>
              <w:t>to rezultatīv</w:t>
            </w:r>
            <w:r w:rsidR="00AF2378">
              <w:rPr>
                <w:rFonts w:eastAsia="Calibri" w:cs="Times New Roman"/>
                <w:szCs w:val="24"/>
              </w:rPr>
              <w:t>ajiem</w:t>
            </w:r>
            <w:r w:rsidRPr="00EA5E16">
              <w:rPr>
                <w:rFonts w:eastAsia="Calibri" w:cs="Times New Roman"/>
                <w:szCs w:val="24"/>
              </w:rPr>
              <w:t xml:space="preserve"> rādītāj</w:t>
            </w:r>
            <w:r w:rsidR="00AF2378">
              <w:rPr>
                <w:rFonts w:eastAsia="Calibri" w:cs="Times New Roman"/>
                <w:szCs w:val="24"/>
              </w:rPr>
              <w:t>iem</w:t>
            </w:r>
            <w:r w:rsidRPr="00EA5E16">
              <w:rPr>
                <w:rFonts w:eastAsia="Calibri" w:cs="Times New Roman"/>
                <w:szCs w:val="24"/>
              </w:rPr>
              <w:t xml:space="preserve"> un attīstības plānošanas dokumentos plānotajiem rezultātiem un rezultatīvajiem rādītājiem. Tāpat nepieciešams paredzēt</w:t>
            </w:r>
            <w:r w:rsidR="00AF2378">
              <w:rPr>
                <w:rFonts w:eastAsia="Calibri" w:cs="Times New Roman"/>
                <w:szCs w:val="24"/>
              </w:rPr>
              <w:t>,</w:t>
            </w:r>
            <w:r w:rsidRPr="00EA5E16">
              <w:rPr>
                <w:rFonts w:eastAsia="Calibri" w:cs="Times New Roman"/>
                <w:szCs w:val="24"/>
              </w:rPr>
              <w:t xml:space="preserve"> k</w:t>
            </w:r>
            <w:r w:rsidR="00AF2378">
              <w:rPr>
                <w:rFonts w:eastAsia="Calibri" w:cs="Times New Roman"/>
                <w:szCs w:val="24"/>
              </w:rPr>
              <w:t>ā</w:t>
            </w:r>
            <w:r w:rsidRPr="00EA5E16">
              <w:rPr>
                <w:rFonts w:eastAsia="Calibri" w:cs="Times New Roman"/>
                <w:szCs w:val="24"/>
              </w:rPr>
              <w:t>d</w:t>
            </w:r>
            <w:r w:rsidR="00AF2378">
              <w:rPr>
                <w:rFonts w:eastAsia="Calibri" w:cs="Times New Roman"/>
                <w:szCs w:val="24"/>
              </w:rPr>
              <w:t>os gadījumos</w:t>
            </w:r>
            <w:r w:rsidRPr="00EA5E16">
              <w:rPr>
                <w:rFonts w:eastAsia="Calibri" w:cs="Times New Roman"/>
                <w:szCs w:val="24"/>
              </w:rPr>
              <w:t xml:space="preserve"> ministrija var pārskatīt budžeta programmu (apakšprogrammu) darbības rezultātus un to rezultatīvos rādītājus un </w:t>
            </w:r>
            <w:r w:rsidR="00533F4F" w:rsidRPr="00EA5E16">
              <w:rPr>
                <w:rFonts w:eastAsia="Calibri" w:cs="Times New Roman"/>
                <w:szCs w:val="24"/>
              </w:rPr>
              <w:t>kārtību</w:t>
            </w:r>
            <w:r w:rsidR="00533F4F">
              <w:rPr>
                <w:rFonts w:eastAsia="Calibri" w:cs="Times New Roman"/>
                <w:szCs w:val="24"/>
              </w:rPr>
              <w:t xml:space="preserve">, kādā ministrija </w:t>
            </w:r>
            <w:r w:rsidR="00533F4F" w:rsidRPr="00EA5E16">
              <w:rPr>
                <w:rFonts w:eastAsia="Calibri" w:cs="Times New Roman"/>
                <w:szCs w:val="24"/>
              </w:rPr>
              <w:t xml:space="preserve"> iesnie</w:t>
            </w:r>
            <w:r w:rsidR="00533F4F">
              <w:rPr>
                <w:rFonts w:eastAsia="Calibri" w:cs="Times New Roman"/>
                <w:szCs w:val="24"/>
              </w:rPr>
              <w:t>dz pārskatītos un precizētos</w:t>
            </w:r>
            <w:r w:rsidR="00533F4F" w:rsidRPr="00EA5E16">
              <w:rPr>
                <w:rFonts w:eastAsia="Calibri" w:cs="Times New Roman"/>
                <w:szCs w:val="24"/>
              </w:rPr>
              <w:t xml:space="preserve"> </w:t>
            </w:r>
            <w:r w:rsidR="00533F4F" w:rsidRPr="00533F4F">
              <w:rPr>
                <w:rFonts w:eastAsia="Calibri" w:cs="Times New Roman"/>
                <w:szCs w:val="24"/>
              </w:rPr>
              <w:t>programmu (apakšprogrammu)</w:t>
            </w:r>
            <w:r w:rsidR="00533F4F">
              <w:rPr>
                <w:rFonts w:eastAsia="Calibri" w:cs="Times New Roman"/>
                <w:szCs w:val="24"/>
              </w:rPr>
              <w:t xml:space="preserve"> </w:t>
            </w:r>
            <w:r w:rsidRPr="00EA5E16">
              <w:rPr>
                <w:rFonts w:eastAsia="Calibri" w:cs="Times New Roman"/>
                <w:szCs w:val="24"/>
              </w:rPr>
              <w:t>darbības rezultātu</w:t>
            </w:r>
            <w:r w:rsidR="00533F4F">
              <w:rPr>
                <w:rFonts w:eastAsia="Calibri" w:cs="Times New Roman"/>
                <w:szCs w:val="24"/>
              </w:rPr>
              <w:t>s</w:t>
            </w:r>
            <w:r w:rsidRPr="00EA5E16">
              <w:rPr>
                <w:rFonts w:eastAsia="Calibri" w:cs="Times New Roman"/>
                <w:szCs w:val="24"/>
              </w:rPr>
              <w:t xml:space="preserve"> un to rezultatīvo</w:t>
            </w:r>
            <w:r w:rsidR="00533F4F">
              <w:rPr>
                <w:rFonts w:eastAsia="Calibri" w:cs="Times New Roman"/>
                <w:szCs w:val="24"/>
              </w:rPr>
              <w:t>s</w:t>
            </w:r>
            <w:r w:rsidRPr="00EA5E16">
              <w:rPr>
                <w:rFonts w:eastAsia="Calibri" w:cs="Times New Roman"/>
                <w:szCs w:val="24"/>
              </w:rPr>
              <w:t xml:space="preserve"> rādītāju</w:t>
            </w:r>
            <w:r w:rsidR="00533F4F">
              <w:rPr>
                <w:rFonts w:eastAsia="Calibri" w:cs="Times New Roman"/>
                <w:szCs w:val="24"/>
              </w:rPr>
              <w:t>s</w:t>
            </w:r>
            <w:r w:rsidRPr="00EA5E16">
              <w:rPr>
                <w:rFonts w:eastAsia="Calibri" w:cs="Times New Roman"/>
                <w:szCs w:val="24"/>
              </w:rPr>
              <w:t>.</w:t>
            </w:r>
          </w:p>
          <w:p w:rsidR="00EA5E16" w:rsidRPr="00EA5E16" w:rsidRDefault="00EA5E16" w:rsidP="00533F4F">
            <w:pPr>
              <w:numPr>
                <w:ilvl w:val="0"/>
                <w:numId w:val="2"/>
              </w:numPr>
              <w:tabs>
                <w:tab w:val="left" w:pos="459"/>
              </w:tabs>
              <w:ind w:left="33" w:firstLine="0"/>
              <w:jc w:val="both"/>
              <w:rPr>
                <w:rFonts w:eastAsia="Calibri" w:cs="Times New Roman"/>
                <w:bCs/>
                <w:szCs w:val="24"/>
              </w:rPr>
            </w:pPr>
            <w:r w:rsidRPr="00EA5E16">
              <w:rPr>
                <w:rFonts w:eastAsia="Calibri" w:cs="Times New Roman"/>
                <w:szCs w:val="24"/>
              </w:rPr>
              <w:t>Lai kvalitatīvi sagatavot</w:t>
            </w:r>
            <w:r w:rsidR="000369DD">
              <w:rPr>
                <w:rFonts w:eastAsia="Calibri" w:cs="Times New Roman"/>
                <w:szCs w:val="24"/>
              </w:rPr>
              <w:t>u</w:t>
            </w:r>
            <w:r w:rsidRPr="00EA5E16">
              <w:rPr>
                <w:rFonts w:eastAsia="Calibri" w:cs="Times New Roman"/>
                <w:bCs/>
                <w:szCs w:val="24"/>
              </w:rPr>
              <w:t xml:space="preserve"> priekšlikumus grozījumiem likumā par valsts budžetu kārtējam gadam,</w:t>
            </w:r>
            <w:r w:rsidRPr="00EA5E16">
              <w:rPr>
                <w:rFonts w:eastAsia="Calibri" w:cs="Times New Roman"/>
                <w:szCs w:val="24"/>
              </w:rPr>
              <w:t xml:space="preserve"> nepieciešams </w:t>
            </w:r>
            <w:r w:rsidR="00AF2378">
              <w:rPr>
                <w:rFonts w:eastAsia="Calibri" w:cs="Times New Roman"/>
                <w:szCs w:val="24"/>
              </w:rPr>
              <w:t>paredzēt</w:t>
            </w:r>
            <w:r w:rsidRPr="00EA5E16">
              <w:rPr>
                <w:rFonts w:eastAsia="Calibri" w:cs="Times New Roman"/>
                <w:szCs w:val="24"/>
              </w:rPr>
              <w:t xml:space="preserve"> formu, kād</w:t>
            </w:r>
            <w:r w:rsidR="00815A80">
              <w:rPr>
                <w:rFonts w:eastAsia="Calibri" w:cs="Times New Roman"/>
                <w:szCs w:val="24"/>
              </w:rPr>
              <w:t>ā</w:t>
            </w:r>
            <w:r w:rsidRPr="00EA5E16">
              <w:rPr>
                <w:rFonts w:eastAsia="Calibri" w:cs="Times New Roman"/>
                <w:szCs w:val="24"/>
              </w:rPr>
              <w:t xml:space="preserve"> </w:t>
            </w:r>
            <w:r w:rsidRPr="00EA5E16">
              <w:rPr>
                <w:rFonts w:eastAsia="Calibri" w:cs="Times New Roman"/>
                <w:bCs/>
                <w:szCs w:val="24"/>
              </w:rPr>
              <w:t xml:space="preserve">ministrijām jāsniedz publiski pieejamu skaidrojumu par priekšlikumiem grozījumiem likumā </w:t>
            </w:r>
            <w:r w:rsidRPr="00997FDD">
              <w:rPr>
                <w:rFonts w:eastAsia="Calibri" w:cs="Times New Roman"/>
                <w:bCs/>
                <w:szCs w:val="24"/>
              </w:rPr>
              <w:t>par valsts budžetu kārtējam gadam</w:t>
            </w:r>
            <w:r w:rsidRPr="00EA5E16">
              <w:rPr>
                <w:rFonts w:eastAsia="Calibri" w:cs="Times New Roman"/>
                <w:bCs/>
                <w:szCs w:val="24"/>
              </w:rPr>
              <w:t xml:space="preserve">. Tāpat, ņemot vērā </w:t>
            </w:r>
            <w:r w:rsidR="00815A80" w:rsidRPr="00EA5E16">
              <w:rPr>
                <w:rFonts w:eastAsia="Calibri" w:cs="Times New Roman"/>
                <w:szCs w:val="24"/>
              </w:rPr>
              <w:t>laika ierobežoj</w:t>
            </w:r>
            <w:r w:rsidR="00815A80">
              <w:rPr>
                <w:rFonts w:eastAsia="Calibri" w:cs="Times New Roman"/>
                <w:szCs w:val="24"/>
              </w:rPr>
              <w:t>umu</w:t>
            </w:r>
            <w:r w:rsidR="00AF2378">
              <w:rPr>
                <w:rFonts w:eastAsia="Calibri" w:cs="Times New Roman"/>
                <w:szCs w:val="24"/>
              </w:rPr>
              <w:t>s</w:t>
            </w:r>
            <w:r w:rsidR="00815A80" w:rsidRPr="00EA5E16">
              <w:rPr>
                <w:rFonts w:eastAsia="Calibri" w:cs="Times New Roman"/>
                <w:szCs w:val="24"/>
              </w:rPr>
              <w:t xml:space="preserve"> </w:t>
            </w:r>
            <w:r w:rsidR="00815A80">
              <w:rPr>
                <w:rFonts w:eastAsia="Calibri" w:cs="Times New Roman"/>
                <w:szCs w:val="24"/>
              </w:rPr>
              <w:t xml:space="preserve">starp </w:t>
            </w:r>
            <w:r w:rsidR="00815A80" w:rsidRPr="00815A80">
              <w:rPr>
                <w:rFonts w:eastAsia="Calibri" w:cs="Times New Roman"/>
                <w:szCs w:val="24"/>
              </w:rPr>
              <w:t>valsts budžeta likumprojekta izskatīšan</w:t>
            </w:r>
            <w:r w:rsidR="00815A80">
              <w:rPr>
                <w:rFonts w:eastAsia="Calibri" w:cs="Times New Roman"/>
                <w:szCs w:val="24"/>
              </w:rPr>
              <w:t>u</w:t>
            </w:r>
            <w:r w:rsidR="00815A80" w:rsidRPr="00815A80">
              <w:rPr>
                <w:rFonts w:eastAsia="Calibri" w:cs="Times New Roman"/>
                <w:szCs w:val="24"/>
              </w:rPr>
              <w:t xml:space="preserve"> Saeimā</w:t>
            </w:r>
            <w:r w:rsidR="00815A80">
              <w:rPr>
                <w:rFonts w:eastAsia="Calibri" w:cs="Times New Roman"/>
                <w:szCs w:val="24"/>
              </w:rPr>
              <w:t xml:space="preserve"> pirmajā un otrajā lasījumā, </w:t>
            </w:r>
            <w:r w:rsidRPr="00EA5E16">
              <w:rPr>
                <w:rFonts w:eastAsia="Calibri" w:cs="Times New Roman"/>
                <w:szCs w:val="24"/>
              </w:rPr>
              <w:t>ir</w:t>
            </w:r>
            <w:r w:rsidRPr="00EA5E16">
              <w:rPr>
                <w:rFonts w:eastAsia="Calibri" w:cs="Times New Roman"/>
                <w:bCs/>
                <w:szCs w:val="24"/>
              </w:rPr>
              <w:t xml:space="preserve"> </w:t>
            </w:r>
            <w:r w:rsidRPr="00EA5E16">
              <w:rPr>
                <w:rFonts w:eastAsia="Calibri" w:cs="Times New Roman"/>
                <w:bCs/>
                <w:szCs w:val="24"/>
              </w:rPr>
              <w:lastRenderedPageBreak/>
              <w:t xml:space="preserve">nepieciešams paredzēt pamatprincipus, kurus </w:t>
            </w:r>
            <w:r w:rsidRPr="00EA5E16">
              <w:rPr>
                <w:rFonts w:eastAsia="Calibri" w:cs="Times New Roman"/>
                <w:szCs w:val="24"/>
              </w:rPr>
              <w:t>ministrija ievēro, sagatavojot priekšlikumus valsts budžeta likumprojekta izskatīšanai Saeimā otrajā lasījumā.</w:t>
            </w:r>
            <w:r w:rsidR="001E67BC">
              <w:rPr>
                <w:rFonts w:eastAsia="Calibri" w:cs="Times New Roman"/>
                <w:szCs w:val="24"/>
              </w:rPr>
              <w:t xml:space="preserve">  </w:t>
            </w:r>
          </w:p>
          <w:p w:rsidR="00EA5E16" w:rsidRPr="00EA5E16" w:rsidRDefault="00EA5E16" w:rsidP="00627FD8">
            <w:pPr>
              <w:numPr>
                <w:ilvl w:val="0"/>
                <w:numId w:val="2"/>
              </w:numPr>
              <w:tabs>
                <w:tab w:val="left" w:pos="459"/>
                <w:tab w:val="num" w:pos="1440"/>
              </w:tabs>
              <w:ind w:left="33" w:firstLine="0"/>
              <w:jc w:val="both"/>
              <w:rPr>
                <w:rFonts w:eastAsia="Times New Roman" w:cs="Times New Roman"/>
                <w:szCs w:val="24"/>
                <w:lang w:eastAsia="lv-LV"/>
              </w:rPr>
            </w:pPr>
            <w:r w:rsidRPr="00EA5E16">
              <w:rPr>
                <w:rFonts w:eastAsia="Times New Roman" w:cs="Times New Roman"/>
                <w:szCs w:val="24"/>
                <w:lang w:eastAsia="lv-LV"/>
              </w:rPr>
              <w:t>Lai pilnveidot</w:t>
            </w:r>
            <w:r w:rsidR="00AF2378">
              <w:rPr>
                <w:rFonts w:eastAsia="Times New Roman" w:cs="Times New Roman"/>
                <w:szCs w:val="24"/>
                <w:lang w:eastAsia="lv-LV"/>
              </w:rPr>
              <w:t>u</w:t>
            </w:r>
            <w:r w:rsidRPr="00EA5E16">
              <w:rPr>
                <w:rFonts w:eastAsia="Times New Roman" w:cs="Times New Roman"/>
                <w:szCs w:val="24"/>
                <w:lang w:eastAsia="lv-LV"/>
              </w:rPr>
              <w:t xml:space="preserve"> </w:t>
            </w:r>
            <w:r w:rsidR="00AF2378">
              <w:rPr>
                <w:rFonts w:eastAsia="Times New Roman" w:cs="Times New Roman"/>
                <w:szCs w:val="24"/>
                <w:lang w:eastAsia="lv-LV"/>
              </w:rPr>
              <w:t>pa</w:t>
            </w:r>
            <w:r w:rsidRPr="00EA5E16">
              <w:rPr>
                <w:rFonts w:eastAsia="Times New Roman" w:cs="Times New Roman"/>
                <w:szCs w:val="24"/>
                <w:lang w:eastAsia="lv-LV"/>
              </w:rPr>
              <w:t>skaidrojumu</w:t>
            </w:r>
            <w:r w:rsidR="00AF2378">
              <w:rPr>
                <w:rFonts w:eastAsia="Times New Roman" w:cs="Times New Roman"/>
                <w:szCs w:val="24"/>
                <w:lang w:eastAsia="lv-LV"/>
              </w:rPr>
              <w:t>s</w:t>
            </w:r>
            <w:r w:rsidRPr="00EA5E16">
              <w:rPr>
                <w:rFonts w:eastAsia="Times New Roman" w:cs="Times New Roman"/>
                <w:szCs w:val="24"/>
                <w:lang w:eastAsia="lv-LV"/>
              </w:rPr>
              <w:t xml:space="preserve"> par </w:t>
            </w:r>
            <w:r w:rsidR="00AF2378">
              <w:rPr>
                <w:rFonts w:eastAsia="Times New Roman" w:cs="Times New Roman"/>
                <w:szCs w:val="24"/>
                <w:lang w:eastAsia="lv-LV"/>
              </w:rPr>
              <w:t>plānoto budžetu n+1 gadam</w:t>
            </w:r>
            <w:r w:rsidRPr="00EA5E16">
              <w:rPr>
                <w:rFonts w:eastAsia="Times New Roman" w:cs="Times New Roman"/>
                <w:szCs w:val="24"/>
                <w:lang w:eastAsia="lv-LV"/>
              </w:rPr>
              <w:t xml:space="preserve">, ir nepieciešams </w:t>
            </w:r>
            <w:r w:rsidR="002E226E" w:rsidRPr="00EA5E16">
              <w:rPr>
                <w:rFonts w:eastAsia="Times New Roman" w:cs="Times New Roman"/>
                <w:szCs w:val="24"/>
                <w:lang w:eastAsia="lv-LV"/>
              </w:rPr>
              <w:t>p</w:t>
            </w:r>
            <w:r w:rsidR="002E226E">
              <w:rPr>
                <w:rFonts w:eastAsia="Times New Roman" w:cs="Times New Roman"/>
                <w:szCs w:val="24"/>
                <w:lang w:eastAsia="lv-LV"/>
              </w:rPr>
              <w:t>ap</w:t>
            </w:r>
            <w:r w:rsidR="002E226E" w:rsidRPr="00EA5E16">
              <w:rPr>
                <w:rFonts w:eastAsia="Times New Roman" w:cs="Times New Roman"/>
                <w:szCs w:val="24"/>
                <w:lang w:eastAsia="lv-LV"/>
              </w:rPr>
              <w:t>ildināt</w:t>
            </w:r>
            <w:r w:rsidRPr="00EA5E16">
              <w:rPr>
                <w:rFonts w:eastAsia="Times New Roman" w:cs="Times New Roman"/>
                <w:szCs w:val="24"/>
                <w:lang w:eastAsia="lv-LV"/>
              </w:rPr>
              <w:t xml:space="preserve"> budžeta paskaidrojumu veidlapas ar ministriju sniegtajiem skaidrojumiem par apropriāciju apmēra izmaiņām pēc sākotnējā plāna pieņemšanas, optimizācija</w:t>
            </w:r>
            <w:r w:rsidR="008D03E3">
              <w:rPr>
                <w:rFonts w:eastAsia="Times New Roman" w:cs="Times New Roman"/>
                <w:szCs w:val="24"/>
                <w:lang w:eastAsia="lv-LV"/>
              </w:rPr>
              <w:t>s</w:t>
            </w:r>
            <w:r w:rsidRPr="00EA5E16">
              <w:rPr>
                <w:rFonts w:eastAsia="Times New Roman" w:cs="Times New Roman"/>
                <w:szCs w:val="24"/>
                <w:lang w:eastAsia="lv-LV"/>
              </w:rPr>
              <w:t xml:space="preserve"> pasākumiem un strukturālajām reformām un par prioritārajiem pasākumiem un jaunajām politikas iniciatīvām </w:t>
            </w:r>
            <w:r w:rsidR="00B950BC" w:rsidRPr="007578E7">
              <w:rPr>
                <w:rFonts w:eastAsia="Times New Roman" w:cs="Times New Roman"/>
                <w:szCs w:val="24"/>
                <w:lang w:eastAsia="lv-LV"/>
              </w:rPr>
              <w:t xml:space="preserve">piešķirto </w:t>
            </w:r>
            <w:r w:rsidRPr="007578E7">
              <w:rPr>
                <w:rFonts w:eastAsia="Times New Roman" w:cs="Times New Roman"/>
                <w:szCs w:val="24"/>
                <w:lang w:eastAsia="lv-LV"/>
              </w:rPr>
              <w:t xml:space="preserve">papildu </w:t>
            </w:r>
            <w:r w:rsidRPr="00EA5E16">
              <w:rPr>
                <w:rFonts w:eastAsia="Times New Roman" w:cs="Times New Roman"/>
                <w:szCs w:val="24"/>
                <w:lang w:eastAsia="lv-LV"/>
              </w:rPr>
              <w:t>finansējumu.</w:t>
            </w:r>
            <w:r w:rsidR="002E226E">
              <w:rPr>
                <w:rFonts w:eastAsia="Times New Roman" w:cs="Times New Roman"/>
                <w:szCs w:val="24"/>
                <w:lang w:eastAsia="lv-LV"/>
              </w:rPr>
              <w:t xml:space="preserve"> Tāpat nepieciešams pilnveidot esošās noteikumu normas, paredzot, ka Finanšu ministrija  </w:t>
            </w:r>
            <w:r w:rsidR="00F46446" w:rsidRPr="00F46446">
              <w:rPr>
                <w:rFonts w:eastAsia="Calibri" w:cs="Times New Roman"/>
                <w:szCs w:val="24"/>
              </w:rPr>
              <w:t>mēneša laikā pēc gadskārtējā valsts budžeta likuma spēkā stāšanās aktualizē gadskārtējam valsts budžeta likumprojektam pievienotos paskaidrojumus</w:t>
            </w:r>
            <w:r w:rsidR="00F46446">
              <w:rPr>
                <w:rFonts w:eastAsia="Calibri" w:cs="Times New Roman"/>
                <w:szCs w:val="24"/>
              </w:rPr>
              <w:t>.</w:t>
            </w:r>
          </w:p>
          <w:p w:rsidR="00CF27A1" w:rsidRPr="00CF27A1" w:rsidRDefault="00EA5E16" w:rsidP="00CF27A1">
            <w:pPr>
              <w:pStyle w:val="ListParagraph"/>
              <w:numPr>
                <w:ilvl w:val="0"/>
                <w:numId w:val="2"/>
              </w:numPr>
              <w:tabs>
                <w:tab w:val="left" w:pos="459"/>
              </w:tabs>
              <w:ind w:left="33" w:firstLine="0"/>
              <w:jc w:val="both"/>
              <w:rPr>
                <w:rFonts w:eastAsia="Times New Roman" w:cs="Times New Roman"/>
                <w:bCs/>
                <w:iCs/>
                <w:szCs w:val="24"/>
                <w:lang w:eastAsia="lv-LV"/>
              </w:rPr>
            </w:pPr>
            <w:r w:rsidRPr="00E82CD8">
              <w:rPr>
                <w:rFonts w:eastAsia="Times New Roman" w:cs="Times New Roman"/>
                <w:szCs w:val="24"/>
                <w:lang w:eastAsia="lv-LV"/>
              </w:rPr>
              <w:t>Jāizvērtē budžeta pieprasījum</w:t>
            </w:r>
            <w:r w:rsidR="00CF27A1" w:rsidRPr="00E82CD8">
              <w:rPr>
                <w:rFonts w:eastAsia="Times New Roman" w:cs="Times New Roman"/>
                <w:szCs w:val="24"/>
                <w:lang w:eastAsia="lv-LV"/>
              </w:rPr>
              <w:t>am</w:t>
            </w:r>
            <w:r w:rsidRPr="00E82CD8">
              <w:rPr>
                <w:rFonts w:eastAsia="Times New Roman" w:cs="Times New Roman"/>
                <w:szCs w:val="24"/>
                <w:lang w:eastAsia="lv-LV"/>
              </w:rPr>
              <w:t xml:space="preserve"> </w:t>
            </w:r>
            <w:r w:rsidR="003E144D" w:rsidRPr="00E82CD8">
              <w:rPr>
                <w:rFonts w:eastAsia="Times New Roman" w:cs="Times New Roman"/>
                <w:szCs w:val="24"/>
                <w:lang w:eastAsia="lv-LV"/>
              </w:rPr>
              <w:t xml:space="preserve">iesniedzamās veidlapas un </w:t>
            </w:r>
            <w:r w:rsidRPr="00E82CD8">
              <w:rPr>
                <w:rFonts w:eastAsia="Times New Roman" w:cs="Times New Roman"/>
                <w:szCs w:val="24"/>
                <w:lang w:eastAsia="lv-LV"/>
              </w:rPr>
              <w:t>veidlapās iekļaujam</w:t>
            </w:r>
            <w:r w:rsidR="00831D08" w:rsidRPr="00E82CD8">
              <w:rPr>
                <w:rFonts w:eastAsia="Times New Roman" w:cs="Times New Roman"/>
                <w:szCs w:val="24"/>
                <w:lang w:eastAsia="lv-LV"/>
              </w:rPr>
              <w:t>ā</w:t>
            </w:r>
            <w:r w:rsidR="003D370D" w:rsidRPr="00E82CD8">
              <w:rPr>
                <w:rFonts w:eastAsia="Times New Roman" w:cs="Times New Roman"/>
                <w:szCs w:val="24"/>
                <w:lang w:eastAsia="lv-LV"/>
              </w:rPr>
              <w:t>s</w:t>
            </w:r>
            <w:r w:rsidRPr="00E82CD8">
              <w:rPr>
                <w:rFonts w:eastAsia="Times New Roman" w:cs="Times New Roman"/>
                <w:szCs w:val="24"/>
                <w:lang w:eastAsia="lv-LV"/>
              </w:rPr>
              <w:t xml:space="preserve"> informācijas atbilstību šobrīd spēkā esoš</w:t>
            </w:r>
            <w:r w:rsidR="00882F90">
              <w:rPr>
                <w:rFonts w:eastAsia="Times New Roman" w:cs="Times New Roman"/>
                <w:szCs w:val="24"/>
                <w:lang w:eastAsia="lv-LV"/>
              </w:rPr>
              <w:t>ajiem</w:t>
            </w:r>
            <w:r w:rsidRPr="00E82CD8">
              <w:rPr>
                <w:rFonts w:eastAsia="Times New Roman" w:cs="Times New Roman"/>
                <w:szCs w:val="24"/>
                <w:lang w:eastAsia="lv-LV"/>
              </w:rPr>
              <w:t xml:space="preserve"> normatīvajiem aktiem, kā arī </w:t>
            </w:r>
            <w:r w:rsidR="00CF27A1" w:rsidRPr="00E82CD8">
              <w:rPr>
                <w:rFonts w:eastAsia="Times New Roman" w:cs="Times New Roman"/>
                <w:szCs w:val="24"/>
                <w:lang w:eastAsia="lv-LV"/>
              </w:rPr>
              <w:t>jānovērš</w:t>
            </w:r>
            <w:r w:rsidRPr="00E82CD8">
              <w:rPr>
                <w:rFonts w:eastAsia="Times New Roman" w:cs="Times New Roman"/>
                <w:szCs w:val="24"/>
                <w:lang w:eastAsia="lv-LV"/>
              </w:rPr>
              <w:t xml:space="preserve"> praksē sastopam</w:t>
            </w:r>
            <w:r w:rsidR="00CF27A1" w:rsidRPr="00E82CD8">
              <w:rPr>
                <w:rFonts w:eastAsia="Times New Roman" w:cs="Times New Roman"/>
                <w:szCs w:val="24"/>
                <w:lang w:eastAsia="lv-LV"/>
              </w:rPr>
              <w:t>ā</w:t>
            </w:r>
            <w:r w:rsidRPr="00E82CD8">
              <w:rPr>
                <w:rFonts w:eastAsia="Times New Roman" w:cs="Times New Roman"/>
                <w:szCs w:val="24"/>
                <w:lang w:eastAsia="lv-LV"/>
              </w:rPr>
              <w:t xml:space="preserve">s </w:t>
            </w:r>
            <w:r w:rsidR="00CF27A1" w:rsidRPr="00E82CD8">
              <w:rPr>
                <w:rFonts w:eastAsia="Times New Roman" w:cs="Times New Roman"/>
                <w:szCs w:val="24"/>
                <w:lang w:eastAsia="lv-LV"/>
              </w:rPr>
              <w:t>problēmas</w:t>
            </w:r>
            <w:r w:rsidR="00882F90">
              <w:rPr>
                <w:rFonts w:eastAsia="Times New Roman" w:cs="Times New Roman"/>
                <w:szCs w:val="24"/>
                <w:lang w:eastAsia="lv-LV"/>
              </w:rPr>
              <w:t>, kas ir saistīt</w:t>
            </w:r>
            <w:r w:rsidR="00E66763">
              <w:rPr>
                <w:rFonts w:eastAsia="Times New Roman" w:cs="Times New Roman"/>
                <w:szCs w:val="24"/>
                <w:lang w:eastAsia="lv-LV"/>
              </w:rPr>
              <w:t>a</w:t>
            </w:r>
            <w:r w:rsidR="00D92916">
              <w:rPr>
                <w:rFonts w:eastAsia="Times New Roman" w:cs="Times New Roman"/>
                <w:szCs w:val="24"/>
                <w:lang w:eastAsia="lv-LV"/>
              </w:rPr>
              <w:t>s ar</w:t>
            </w:r>
            <w:r w:rsidRPr="00E82CD8">
              <w:rPr>
                <w:rFonts w:eastAsia="Times New Roman" w:cs="Times New Roman"/>
                <w:szCs w:val="24"/>
                <w:lang w:eastAsia="lv-LV"/>
              </w:rPr>
              <w:t xml:space="preserve"> veidlap</w:t>
            </w:r>
            <w:r w:rsidR="00CF27A1" w:rsidRPr="00E82CD8">
              <w:rPr>
                <w:rFonts w:eastAsia="Times New Roman" w:cs="Times New Roman"/>
                <w:szCs w:val="24"/>
                <w:lang w:eastAsia="lv-LV"/>
              </w:rPr>
              <w:t>u</w:t>
            </w:r>
            <w:r w:rsidRPr="00E82CD8">
              <w:rPr>
                <w:rFonts w:eastAsia="Times New Roman" w:cs="Times New Roman"/>
                <w:szCs w:val="24"/>
                <w:lang w:eastAsia="lv-LV"/>
              </w:rPr>
              <w:t xml:space="preserve"> aizpildīšan</w:t>
            </w:r>
            <w:r w:rsidR="00882F90">
              <w:rPr>
                <w:rFonts w:eastAsia="Times New Roman" w:cs="Times New Roman"/>
                <w:szCs w:val="24"/>
                <w:lang w:eastAsia="lv-LV"/>
              </w:rPr>
              <w:t>u</w:t>
            </w:r>
            <w:r w:rsidRPr="00E82CD8">
              <w:rPr>
                <w:rFonts w:eastAsia="Times New Roman" w:cs="Times New Roman"/>
                <w:szCs w:val="24"/>
                <w:lang w:eastAsia="lv-LV"/>
              </w:rPr>
              <w:t>.</w:t>
            </w:r>
            <w:r w:rsidRPr="00CF27A1">
              <w:rPr>
                <w:rFonts w:eastAsia="Times New Roman" w:cs="Times New Roman"/>
                <w:szCs w:val="24"/>
                <w:lang w:eastAsia="lv-LV"/>
              </w:rPr>
              <w:t xml:space="preserve"> Piemēram, šobrīd noteikumi neparedz kārtību, kādā ministrijas savstarpēji saskaņo transfertus no/uz </w:t>
            </w:r>
            <w:r w:rsidR="008E0A88" w:rsidRPr="008E0A88">
              <w:rPr>
                <w:rFonts w:eastAsia="Times New Roman" w:cs="Times New Roman"/>
                <w:szCs w:val="24"/>
                <w:lang w:eastAsia="lv-LV"/>
              </w:rPr>
              <w:t>no valsts budžeta daļēji finansēt</w:t>
            </w:r>
            <w:r w:rsidR="008E0A88">
              <w:rPr>
                <w:rFonts w:eastAsia="Times New Roman" w:cs="Times New Roman"/>
                <w:szCs w:val="24"/>
                <w:lang w:eastAsia="lv-LV"/>
              </w:rPr>
              <w:t>o</w:t>
            </w:r>
            <w:r w:rsidR="008E0A88" w:rsidRPr="008E0A88">
              <w:rPr>
                <w:rFonts w:eastAsia="Times New Roman" w:cs="Times New Roman"/>
                <w:szCs w:val="24"/>
                <w:lang w:eastAsia="lv-LV"/>
              </w:rPr>
              <w:t xml:space="preserve"> atvasināt</w:t>
            </w:r>
            <w:r w:rsidR="008E0A88">
              <w:rPr>
                <w:rFonts w:eastAsia="Times New Roman" w:cs="Times New Roman"/>
                <w:szCs w:val="24"/>
                <w:lang w:eastAsia="lv-LV"/>
              </w:rPr>
              <w:t>o</w:t>
            </w:r>
            <w:r w:rsidR="008E0A88" w:rsidRPr="008E0A88">
              <w:rPr>
                <w:rFonts w:eastAsia="Times New Roman" w:cs="Times New Roman"/>
                <w:szCs w:val="24"/>
                <w:lang w:eastAsia="lv-LV"/>
              </w:rPr>
              <w:t xml:space="preserve"> publisk</w:t>
            </w:r>
            <w:r w:rsidR="008E0A88">
              <w:rPr>
                <w:rFonts w:eastAsia="Times New Roman" w:cs="Times New Roman"/>
                <w:szCs w:val="24"/>
                <w:lang w:eastAsia="lv-LV"/>
              </w:rPr>
              <w:t>o</w:t>
            </w:r>
            <w:r w:rsidR="008E0A88" w:rsidRPr="008E0A88">
              <w:rPr>
                <w:rFonts w:eastAsia="Times New Roman" w:cs="Times New Roman"/>
                <w:szCs w:val="24"/>
                <w:lang w:eastAsia="lv-LV"/>
              </w:rPr>
              <w:t xml:space="preserve"> person</w:t>
            </w:r>
            <w:r w:rsidR="008E0A88">
              <w:rPr>
                <w:rFonts w:eastAsia="Times New Roman" w:cs="Times New Roman"/>
                <w:szCs w:val="24"/>
                <w:lang w:eastAsia="lv-LV"/>
              </w:rPr>
              <w:t>u</w:t>
            </w:r>
            <w:r w:rsidR="008E0A88" w:rsidRPr="008E0A88">
              <w:rPr>
                <w:rFonts w:eastAsia="Times New Roman" w:cs="Times New Roman"/>
                <w:szCs w:val="24"/>
                <w:lang w:eastAsia="lv-LV"/>
              </w:rPr>
              <w:t xml:space="preserve"> vai budžeta nefinansēt</w:t>
            </w:r>
            <w:r w:rsidR="008E0A88">
              <w:rPr>
                <w:rFonts w:eastAsia="Times New Roman" w:cs="Times New Roman"/>
                <w:szCs w:val="24"/>
                <w:lang w:eastAsia="lv-LV"/>
              </w:rPr>
              <w:t>o iestāžu budžetiem</w:t>
            </w:r>
            <w:r w:rsidRPr="00CF27A1">
              <w:rPr>
                <w:rFonts w:eastAsia="Times New Roman" w:cs="Times New Roman"/>
                <w:szCs w:val="24"/>
                <w:lang w:eastAsia="lv-LV"/>
              </w:rPr>
              <w:t>.</w:t>
            </w:r>
            <w:r w:rsidR="00CF27A1" w:rsidRPr="00CF27A1">
              <w:rPr>
                <w:rFonts w:eastAsia="Times New Roman" w:cs="Times New Roman"/>
                <w:szCs w:val="24"/>
                <w:lang w:eastAsia="lv-LV"/>
              </w:rPr>
              <w:t xml:space="preserve"> Papildus nepieciešams </w:t>
            </w:r>
            <w:r w:rsidR="00CF27A1" w:rsidRPr="00CF27A1">
              <w:rPr>
                <w:rFonts w:eastAsia="Times New Roman" w:cs="Times New Roman"/>
                <w:bCs/>
                <w:iCs/>
                <w:szCs w:val="24"/>
                <w:lang w:eastAsia="lv-LV"/>
              </w:rPr>
              <w:t>aktualizēt visas veidlapas atbilstoši jaunpieņemtajām budžeta ieņēmumu un izdevumu klasifikācijām.</w:t>
            </w:r>
          </w:p>
          <w:p w:rsidR="00EA5E16" w:rsidRDefault="00831D08" w:rsidP="00831D08">
            <w:pPr>
              <w:numPr>
                <w:ilvl w:val="0"/>
                <w:numId w:val="2"/>
              </w:numPr>
              <w:tabs>
                <w:tab w:val="left" w:pos="459"/>
              </w:tabs>
              <w:ind w:left="33" w:firstLine="0"/>
              <w:jc w:val="both"/>
              <w:rPr>
                <w:rFonts w:eastAsia="Times New Roman" w:cs="Times New Roman"/>
                <w:bCs/>
                <w:iCs/>
                <w:szCs w:val="24"/>
                <w:lang w:eastAsia="lv-LV"/>
              </w:rPr>
            </w:pPr>
            <w:r w:rsidRPr="00EA5E16">
              <w:rPr>
                <w:rFonts w:eastAsia="Times New Roman" w:cs="Times New Roman"/>
                <w:bCs/>
                <w:iCs/>
                <w:szCs w:val="24"/>
                <w:lang w:eastAsia="lv-LV"/>
              </w:rPr>
              <w:t>Ņemot vērā, ka Vienotās valsts budžeta plānošanas un izpildes informācijas sistēmas (turpmāk – SAP sistēma) lietotāji atsevišķos gadījumos ilgstoši nelieto SAP sistēmu vai nodod savas lietošanas tiesības citai personai, neinformējot par to Finanšu ministriju, ir nepieciešams pārskatīt Finanšu ministrijas tiesības un SAP sistēmas lietotāja pienākumus SAP sistēmas lietošana jomā.</w:t>
            </w:r>
          </w:p>
          <w:p w:rsidR="00E72AA8" w:rsidRPr="003064E1" w:rsidRDefault="006B7E5B" w:rsidP="00C06C40">
            <w:pPr>
              <w:numPr>
                <w:ilvl w:val="0"/>
                <w:numId w:val="2"/>
              </w:numPr>
              <w:tabs>
                <w:tab w:val="left" w:pos="459"/>
              </w:tabs>
              <w:ind w:left="33" w:firstLine="0"/>
              <w:jc w:val="both"/>
              <w:rPr>
                <w:rFonts w:eastAsia="Times New Roman" w:cs="Times New Roman"/>
                <w:bCs/>
                <w:iCs/>
                <w:szCs w:val="24"/>
                <w:lang w:eastAsia="lv-LV"/>
              </w:rPr>
            </w:pPr>
            <w:r>
              <w:rPr>
                <w:rFonts w:eastAsia="Times New Roman" w:cs="Times New Roman"/>
                <w:bCs/>
                <w:iCs/>
                <w:szCs w:val="24"/>
                <w:lang w:eastAsia="lv-LV"/>
              </w:rPr>
              <w:t>Lai nodrošinātu vienotu pieeju budžeta izpildes datu analīzei un apstrādei, nepieciešams definēt ailes „n-1 gada izpilde”</w:t>
            </w:r>
            <w:r w:rsidR="00417898">
              <w:rPr>
                <w:rFonts w:eastAsia="Times New Roman" w:cs="Times New Roman"/>
                <w:bCs/>
                <w:iCs/>
                <w:szCs w:val="24"/>
                <w:lang w:eastAsia="lv-LV"/>
              </w:rPr>
              <w:t xml:space="preserve"> datu iegūšanas avotus.</w:t>
            </w:r>
          </w:p>
        </w:tc>
      </w:tr>
      <w:tr w:rsidR="00EA5E16" w:rsidRPr="00EA5E16" w:rsidTr="004A187E">
        <w:tc>
          <w:tcPr>
            <w:tcW w:w="64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lastRenderedPageBreak/>
              <w:t>3.</w:t>
            </w:r>
          </w:p>
        </w:tc>
        <w:tc>
          <w:tcPr>
            <w:tcW w:w="3288" w:type="dxa"/>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Saistītie politikas ietekmes novērtējumi un pētījumi</w:t>
            </w:r>
          </w:p>
        </w:tc>
        <w:tc>
          <w:tcPr>
            <w:tcW w:w="5351" w:type="dxa"/>
          </w:tcPr>
          <w:p w:rsidR="00EA5E16" w:rsidRPr="00EA5E16" w:rsidRDefault="00D51B9D" w:rsidP="00EA5E16">
            <w:pPr>
              <w:jc w:val="both"/>
              <w:rPr>
                <w:rFonts w:eastAsia="Times New Roman" w:cs="Times New Roman"/>
                <w:szCs w:val="24"/>
                <w:lang w:eastAsia="lv-LV"/>
              </w:rPr>
            </w:pPr>
            <w:r w:rsidRPr="00D51B9D">
              <w:rPr>
                <w:rFonts w:eastAsia="Times New Roman" w:cs="Times New Roman"/>
                <w:szCs w:val="24"/>
                <w:lang w:eastAsia="lv-LV"/>
              </w:rPr>
              <w:t>Projekts šo jomu neskar</w:t>
            </w:r>
            <w:r>
              <w:rPr>
                <w:rFonts w:eastAsia="Times New Roman" w:cs="Times New Roman"/>
                <w:szCs w:val="24"/>
                <w:lang w:eastAsia="lv-LV"/>
              </w:rPr>
              <w:t>.</w:t>
            </w:r>
          </w:p>
        </w:tc>
      </w:tr>
      <w:tr w:rsidR="00EA5E16" w:rsidRPr="00EA5E16" w:rsidTr="004A187E">
        <w:tc>
          <w:tcPr>
            <w:tcW w:w="64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4.</w:t>
            </w:r>
          </w:p>
        </w:tc>
        <w:tc>
          <w:tcPr>
            <w:tcW w:w="3288" w:type="dxa"/>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Tiesiskā regulējuma mērķis un būtība</w:t>
            </w:r>
          </w:p>
        </w:tc>
        <w:tc>
          <w:tcPr>
            <w:tcW w:w="5351"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Noteikumu projekta mērķis ir ieviest budžeta programmu plānošanu pēc vienotiem valsts budžeta programmu veidošanas principiem, nodrošinot to sasaisti ar politikas plānošanas dokumentos noteiktajiem mērķiem un sasniedzamajiem rezultātiem un rezultatīvajiem rādītājiem</w:t>
            </w:r>
            <w:r w:rsidR="00E67951">
              <w:rPr>
                <w:rFonts w:eastAsia="Times New Roman" w:cs="Times New Roman"/>
                <w:szCs w:val="24"/>
                <w:lang w:eastAsia="lv-LV"/>
              </w:rPr>
              <w:t>, kā arī veikt citus precizējumu</w:t>
            </w:r>
            <w:r w:rsidR="00376D22">
              <w:rPr>
                <w:rFonts w:eastAsia="Times New Roman" w:cs="Times New Roman"/>
                <w:szCs w:val="24"/>
                <w:lang w:eastAsia="lv-LV"/>
              </w:rPr>
              <w:t>s</w:t>
            </w:r>
            <w:r w:rsidR="00E67951">
              <w:rPr>
                <w:rFonts w:eastAsia="Times New Roman" w:cs="Times New Roman"/>
                <w:szCs w:val="24"/>
                <w:lang w:eastAsia="lv-LV"/>
              </w:rPr>
              <w:t xml:space="preserve"> attiecībā pret līdzšinējo tiesisko regulējumu, lai novērstu iepriekš identificētās </w:t>
            </w:r>
            <w:r w:rsidR="00E67951">
              <w:rPr>
                <w:rFonts w:eastAsia="Times New Roman" w:cs="Times New Roman"/>
                <w:szCs w:val="24"/>
                <w:lang w:eastAsia="lv-LV"/>
              </w:rPr>
              <w:lastRenderedPageBreak/>
              <w:t>problēmas</w:t>
            </w:r>
            <w:r w:rsidRPr="00EA5E16">
              <w:rPr>
                <w:rFonts w:eastAsia="Times New Roman" w:cs="Times New Roman"/>
                <w:szCs w:val="24"/>
                <w:lang w:eastAsia="lv-LV"/>
              </w:rPr>
              <w:t>.</w:t>
            </w:r>
          </w:p>
          <w:p w:rsidR="00EA5E16" w:rsidRPr="00EA5E16" w:rsidRDefault="00EA5E16" w:rsidP="00163276">
            <w:pPr>
              <w:numPr>
                <w:ilvl w:val="0"/>
                <w:numId w:val="3"/>
              </w:numPr>
              <w:tabs>
                <w:tab w:val="left" w:pos="447"/>
              </w:tabs>
              <w:ind w:left="33" w:firstLine="0"/>
              <w:jc w:val="both"/>
              <w:rPr>
                <w:rFonts w:eastAsia="Times New Roman" w:cs="Times New Roman"/>
                <w:szCs w:val="24"/>
                <w:lang w:eastAsia="lv-LV"/>
              </w:rPr>
            </w:pPr>
            <w:r w:rsidRPr="00EA5E16">
              <w:rPr>
                <w:rFonts w:eastAsia="Times New Roman" w:cs="Times New Roman"/>
                <w:szCs w:val="24"/>
                <w:lang w:eastAsia="lv-LV"/>
              </w:rPr>
              <w:t>Noteikumu projekts nodrošinās vienotus valsts pamatbudžeta pamatfunkciju īstenošanas daļas programmu (apakšprogrammu) struktūras veidošanas principus.</w:t>
            </w:r>
            <w:r w:rsidRPr="00EA5E16">
              <w:rPr>
                <w:rFonts w:eastAsia="Calibri" w:cs="Times New Roman"/>
                <w:szCs w:val="24"/>
              </w:rPr>
              <w:t xml:space="preserve"> Saskaņā ar noteikumu projekta normām, </w:t>
            </w:r>
            <w:r w:rsidRPr="00EA5E16">
              <w:rPr>
                <w:rFonts w:eastAsia="Times New Roman" w:cs="Times New Roman"/>
                <w:szCs w:val="24"/>
                <w:lang w:eastAsia="lv-LV"/>
              </w:rPr>
              <w:t>budžeta programmām ir jānodrošina attīstības plānošanas dokumentos izvirzīto mērķu un plānoto rezultātu un to rezultatīvo rādītāju sasniegšana</w:t>
            </w:r>
            <w:r w:rsidR="00163276">
              <w:rPr>
                <w:rFonts w:eastAsia="Times New Roman" w:cs="Times New Roman"/>
                <w:szCs w:val="24"/>
                <w:lang w:eastAsia="lv-LV"/>
              </w:rPr>
              <w:t>. B</w:t>
            </w:r>
            <w:r w:rsidRPr="00EA5E16">
              <w:rPr>
                <w:rFonts w:eastAsia="Times New Roman" w:cs="Times New Roman"/>
                <w:szCs w:val="24"/>
                <w:lang w:eastAsia="lv-LV"/>
              </w:rPr>
              <w:t>udžeta programmu struktūru no</w:t>
            </w:r>
            <w:r w:rsidR="00D72353">
              <w:rPr>
                <w:rFonts w:eastAsia="Times New Roman" w:cs="Times New Roman"/>
                <w:szCs w:val="24"/>
                <w:lang w:eastAsia="lv-LV"/>
              </w:rPr>
              <w:t>teiks</w:t>
            </w:r>
            <w:r w:rsidRPr="00EA5E16">
              <w:rPr>
                <w:rFonts w:eastAsia="Times New Roman" w:cs="Times New Roman"/>
                <w:szCs w:val="24"/>
                <w:lang w:eastAsia="lv-LV"/>
              </w:rPr>
              <w:t xml:space="preserve"> institūcijas </w:t>
            </w:r>
            <w:r w:rsidR="00985DD0">
              <w:rPr>
                <w:rFonts w:eastAsia="Times New Roman" w:cs="Times New Roman"/>
                <w:szCs w:val="24"/>
                <w:lang w:eastAsia="lv-LV"/>
              </w:rPr>
              <w:t>darbības stratēģijā</w:t>
            </w:r>
            <w:r w:rsidRPr="00EA5E16">
              <w:rPr>
                <w:rFonts w:eastAsia="Times New Roman" w:cs="Times New Roman"/>
                <w:szCs w:val="24"/>
                <w:lang w:eastAsia="lv-LV"/>
              </w:rPr>
              <w:t xml:space="preserve"> definētie darbības (rīcības) virzieni  vai ministrijas funkcijas</w:t>
            </w:r>
            <w:r w:rsidR="0073079A">
              <w:rPr>
                <w:rFonts w:eastAsia="Times New Roman" w:cs="Times New Roman"/>
                <w:szCs w:val="24"/>
                <w:lang w:eastAsia="lv-LV"/>
              </w:rPr>
              <w:t xml:space="preserve"> atbilstoši ministrijas nolikuma</w:t>
            </w:r>
            <w:r w:rsidR="008C5BC8">
              <w:rPr>
                <w:rFonts w:eastAsia="Times New Roman" w:cs="Times New Roman"/>
                <w:szCs w:val="24"/>
                <w:lang w:eastAsia="lv-LV"/>
              </w:rPr>
              <w:t>m</w:t>
            </w:r>
            <w:r w:rsidR="0073079A">
              <w:rPr>
                <w:rFonts w:eastAsia="Times New Roman" w:cs="Times New Roman"/>
                <w:szCs w:val="24"/>
                <w:lang w:eastAsia="lv-LV"/>
              </w:rPr>
              <w:t>, ja ministrijai nebūs apstiprināt</w:t>
            </w:r>
            <w:r w:rsidR="00B81E0E">
              <w:rPr>
                <w:rFonts w:eastAsia="Times New Roman" w:cs="Times New Roman"/>
                <w:szCs w:val="24"/>
                <w:lang w:eastAsia="lv-LV"/>
              </w:rPr>
              <w:t>a</w:t>
            </w:r>
            <w:r w:rsidR="0073079A">
              <w:rPr>
                <w:rFonts w:eastAsia="Times New Roman" w:cs="Times New Roman"/>
                <w:szCs w:val="24"/>
                <w:lang w:eastAsia="lv-LV"/>
              </w:rPr>
              <w:t xml:space="preserve"> institūcijas </w:t>
            </w:r>
            <w:r w:rsidR="00B81E0E">
              <w:rPr>
                <w:rFonts w:eastAsia="Times New Roman" w:cs="Times New Roman"/>
                <w:szCs w:val="24"/>
                <w:lang w:eastAsia="lv-LV"/>
              </w:rPr>
              <w:t>darbības stratēģija</w:t>
            </w:r>
            <w:r w:rsidRPr="00EA5E16">
              <w:rPr>
                <w:rFonts w:eastAsia="Times New Roman" w:cs="Times New Roman"/>
                <w:szCs w:val="24"/>
                <w:lang w:eastAsia="lv-LV"/>
              </w:rPr>
              <w:t>.</w:t>
            </w:r>
          </w:p>
          <w:p w:rsidR="00EA5E16" w:rsidRPr="00EA5E16" w:rsidRDefault="00EA5E16" w:rsidP="00EA5E16">
            <w:pPr>
              <w:tabs>
                <w:tab w:val="left" w:pos="447"/>
              </w:tabs>
              <w:ind w:left="33"/>
              <w:jc w:val="both"/>
              <w:rPr>
                <w:rFonts w:eastAsia="Times New Roman" w:cs="Times New Roman"/>
                <w:szCs w:val="24"/>
                <w:lang w:eastAsia="lv-LV"/>
              </w:rPr>
            </w:pPr>
            <w:r w:rsidRPr="00EA5E16">
              <w:rPr>
                <w:rFonts w:eastAsia="Times New Roman" w:cs="Times New Roman"/>
                <w:szCs w:val="24"/>
                <w:lang w:eastAsia="lv-LV"/>
              </w:rPr>
              <w:t>Noteikumu projekts paredz budžeta programmu (apakšprogrammu) struktūras pārskatīšan</w:t>
            </w:r>
            <w:r w:rsidR="00163276">
              <w:rPr>
                <w:rFonts w:eastAsia="Times New Roman" w:cs="Times New Roman"/>
                <w:szCs w:val="24"/>
                <w:lang w:eastAsia="lv-LV"/>
              </w:rPr>
              <w:t>a</w:t>
            </w:r>
            <w:r w:rsidRPr="00EA5E16">
              <w:rPr>
                <w:rFonts w:eastAsia="Times New Roman" w:cs="Times New Roman"/>
                <w:szCs w:val="24"/>
                <w:lang w:eastAsia="lv-LV"/>
              </w:rPr>
              <w:t xml:space="preserve">s iespējas gadījumā, ja  ir </w:t>
            </w:r>
            <w:r w:rsidR="00D46160">
              <w:rPr>
                <w:rFonts w:eastAsia="Times New Roman" w:cs="Times New Roman"/>
                <w:szCs w:val="24"/>
                <w:lang w:eastAsia="lv-LV"/>
              </w:rPr>
              <w:t xml:space="preserve">šāds </w:t>
            </w:r>
            <w:r w:rsidRPr="00EA5E16">
              <w:rPr>
                <w:rFonts w:eastAsia="Times New Roman" w:cs="Times New Roman"/>
                <w:szCs w:val="24"/>
                <w:lang w:eastAsia="lv-LV"/>
              </w:rPr>
              <w:t>Ministru kabineta lēmums vai jauns tiesību akts ar norādi</w:t>
            </w:r>
            <w:r w:rsidR="00D46160">
              <w:rPr>
                <w:rFonts w:eastAsia="Times New Roman" w:cs="Times New Roman"/>
                <w:szCs w:val="24"/>
                <w:lang w:eastAsia="lv-LV"/>
              </w:rPr>
              <w:t xml:space="preserve"> par finansējuma plānošanu atsevišķ</w:t>
            </w:r>
            <w:r w:rsidR="008A459D">
              <w:rPr>
                <w:rFonts w:eastAsia="Times New Roman" w:cs="Times New Roman"/>
                <w:szCs w:val="24"/>
                <w:lang w:eastAsia="lv-LV"/>
              </w:rPr>
              <w:t>ā</w:t>
            </w:r>
            <w:r w:rsidR="00D46160">
              <w:rPr>
                <w:rFonts w:eastAsia="Times New Roman" w:cs="Times New Roman"/>
                <w:szCs w:val="24"/>
                <w:lang w:eastAsia="lv-LV"/>
              </w:rPr>
              <w:t xml:space="preserve"> budžeta programmā (apakšprogrammā)</w:t>
            </w:r>
            <w:r w:rsidR="00163276">
              <w:rPr>
                <w:rFonts w:eastAsia="Times New Roman" w:cs="Times New Roman"/>
                <w:szCs w:val="24"/>
                <w:lang w:eastAsia="lv-LV"/>
              </w:rPr>
              <w:t>, kā arī</w:t>
            </w:r>
            <w:r w:rsidRPr="00EA5E16">
              <w:rPr>
                <w:rFonts w:eastAsia="Times New Roman" w:cs="Times New Roman"/>
                <w:szCs w:val="24"/>
                <w:lang w:eastAsia="lv-LV"/>
              </w:rPr>
              <w:t xml:space="preserve"> ministrijas vai padotības iestādes reorganizācijas vai likvidācijas, funkciju pārdales u.</w:t>
            </w:r>
            <w:r w:rsidR="00DA0881">
              <w:rPr>
                <w:rFonts w:eastAsia="Times New Roman" w:cs="Times New Roman"/>
                <w:szCs w:val="24"/>
                <w:lang w:eastAsia="lv-LV"/>
              </w:rPr>
              <w:t>tml</w:t>
            </w:r>
            <w:r w:rsidRPr="00EA5E16">
              <w:rPr>
                <w:rFonts w:eastAsia="Times New Roman" w:cs="Times New Roman"/>
                <w:szCs w:val="24"/>
                <w:lang w:eastAsia="lv-LV"/>
              </w:rPr>
              <w:t xml:space="preserve">. gadījumā. </w:t>
            </w:r>
          </w:p>
          <w:p w:rsidR="00EA5E16" w:rsidRPr="00EA5E16" w:rsidRDefault="00EA5E16" w:rsidP="00EA5E16">
            <w:pPr>
              <w:tabs>
                <w:tab w:val="left" w:pos="447"/>
              </w:tabs>
              <w:ind w:left="33"/>
              <w:jc w:val="both"/>
              <w:rPr>
                <w:rFonts w:eastAsia="Times New Roman" w:cs="Times New Roman"/>
                <w:szCs w:val="24"/>
                <w:lang w:eastAsia="lv-LV"/>
              </w:rPr>
            </w:pPr>
            <w:r w:rsidRPr="00EA5E16">
              <w:rPr>
                <w:rFonts w:eastAsia="Times New Roman" w:cs="Times New Roman"/>
                <w:szCs w:val="24"/>
                <w:lang w:eastAsia="lv-LV"/>
              </w:rPr>
              <w:t>Atsevišķu programmu (apakšprogrammu) neveido vienreizējam vai īstermiņa pasākumam, vienreizējam īstermiņā īstenotam projektam un vienreizējam pārskaitījumam.</w:t>
            </w:r>
          </w:p>
          <w:p w:rsidR="00EA5E16" w:rsidRPr="00EA5E16" w:rsidRDefault="00EA5E16" w:rsidP="00EA5E16">
            <w:pPr>
              <w:tabs>
                <w:tab w:val="left" w:pos="447"/>
              </w:tabs>
              <w:ind w:left="33"/>
              <w:jc w:val="both"/>
              <w:rPr>
                <w:rFonts w:eastAsia="Times New Roman" w:cs="Times New Roman"/>
                <w:szCs w:val="24"/>
                <w:lang w:eastAsia="lv-LV"/>
              </w:rPr>
            </w:pPr>
            <w:r w:rsidRPr="00EA5E16">
              <w:rPr>
                <w:rFonts w:eastAsia="Times New Roman" w:cs="Times New Roman"/>
                <w:szCs w:val="24"/>
                <w:lang w:eastAsia="lv-LV"/>
              </w:rPr>
              <w:t>Noteikumu projekts paredz arī citas normas pamatbudžeta pamatfunkciju īstenošanas daļas programmu (apakšprogrammu) struktūras veidošanā</w:t>
            </w:r>
            <w:r w:rsidR="00C40E57">
              <w:rPr>
                <w:rFonts w:eastAsia="Times New Roman" w:cs="Times New Roman"/>
                <w:szCs w:val="24"/>
                <w:lang w:eastAsia="lv-LV"/>
              </w:rPr>
              <w:t>, lai šī procesa īstenošanā paredzētu vienotu principus un kritērijus</w:t>
            </w:r>
            <w:r w:rsidRPr="00EA5E16">
              <w:rPr>
                <w:rFonts w:eastAsia="Times New Roman" w:cs="Times New Roman"/>
                <w:szCs w:val="24"/>
                <w:lang w:eastAsia="lv-LV"/>
              </w:rPr>
              <w:t>.</w:t>
            </w:r>
          </w:p>
          <w:p w:rsidR="00EA5E16" w:rsidRPr="00EA5E16" w:rsidRDefault="00EA5E16" w:rsidP="009771B7">
            <w:pPr>
              <w:numPr>
                <w:ilvl w:val="0"/>
                <w:numId w:val="3"/>
              </w:numPr>
              <w:tabs>
                <w:tab w:val="left" w:pos="447"/>
              </w:tabs>
              <w:ind w:left="33" w:firstLine="0"/>
              <w:jc w:val="both"/>
              <w:rPr>
                <w:rFonts w:eastAsia="Times New Roman" w:cs="Times New Roman"/>
                <w:szCs w:val="24"/>
                <w:lang w:eastAsia="lv-LV"/>
              </w:rPr>
            </w:pPr>
            <w:r w:rsidRPr="00EA5E16">
              <w:rPr>
                <w:rFonts w:eastAsia="Times New Roman" w:cs="Times New Roman"/>
                <w:szCs w:val="24"/>
                <w:lang w:eastAsia="lv-LV"/>
              </w:rPr>
              <w:t>Noteikumu projekts paredz visām ministrijām vienādu numerāciju un nosaukumu piemērošanu programmai 97.00.00 „Nozaru vadība un politikas plānošana”, kur jāplāno ministrijas centrāl</w:t>
            </w:r>
            <w:r w:rsidR="0017108B">
              <w:rPr>
                <w:rFonts w:eastAsia="Times New Roman" w:cs="Times New Roman"/>
                <w:szCs w:val="24"/>
                <w:lang w:eastAsia="lv-LV"/>
              </w:rPr>
              <w:t>ā</w:t>
            </w:r>
            <w:r w:rsidRPr="00EA5E16">
              <w:rPr>
                <w:rFonts w:eastAsia="Times New Roman" w:cs="Times New Roman"/>
                <w:szCs w:val="24"/>
                <w:lang w:eastAsia="lv-LV"/>
              </w:rPr>
              <w:t xml:space="preserve"> aparāta darbības nodrošināšanai nepieciešam</w:t>
            </w:r>
            <w:r w:rsidR="008C2A7B">
              <w:rPr>
                <w:rFonts w:eastAsia="Times New Roman" w:cs="Times New Roman"/>
                <w:szCs w:val="24"/>
                <w:lang w:eastAsia="lv-LV"/>
              </w:rPr>
              <w:t>ais</w:t>
            </w:r>
            <w:r w:rsidRPr="00EA5E16">
              <w:rPr>
                <w:rFonts w:eastAsia="Times New Roman" w:cs="Times New Roman"/>
                <w:szCs w:val="24"/>
                <w:lang w:eastAsia="lv-LV"/>
              </w:rPr>
              <w:t xml:space="preserve"> finansējum</w:t>
            </w:r>
            <w:r w:rsidR="008C2A7B">
              <w:rPr>
                <w:rFonts w:eastAsia="Times New Roman" w:cs="Times New Roman"/>
                <w:szCs w:val="24"/>
                <w:lang w:eastAsia="lv-LV"/>
              </w:rPr>
              <w:t>s</w:t>
            </w:r>
            <w:r w:rsidRPr="00EA5E16">
              <w:rPr>
                <w:rFonts w:eastAsia="Times New Roman" w:cs="Times New Roman"/>
                <w:szCs w:val="24"/>
                <w:lang w:eastAsia="lv-LV"/>
              </w:rPr>
              <w:t xml:space="preserve">, kā arī </w:t>
            </w:r>
            <w:r w:rsidRPr="00EA5E16">
              <w:rPr>
                <w:rFonts w:eastAsia="Calibri" w:cs="Times New Roman"/>
                <w:szCs w:val="24"/>
              </w:rPr>
              <w:t xml:space="preserve"> </w:t>
            </w:r>
            <w:r w:rsidRPr="00EA5E16">
              <w:rPr>
                <w:rFonts w:eastAsia="Times New Roman" w:cs="Times New Roman"/>
                <w:szCs w:val="24"/>
                <w:lang w:eastAsia="lv-LV"/>
              </w:rPr>
              <w:t>vienādu numerāciju un nosaukumu piemēro, ja Ministru kabinets ir pieņēmis attiecīgu lēmumu par programmas (apakšprogrammas) veidošanu</w:t>
            </w:r>
            <w:r w:rsidRPr="00EA5E16">
              <w:rPr>
                <w:rFonts w:eastAsia="Calibri" w:cs="Times New Roman"/>
                <w:szCs w:val="24"/>
              </w:rPr>
              <w:t xml:space="preserve"> </w:t>
            </w:r>
            <w:r w:rsidRPr="00EA5E16">
              <w:rPr>
                <w:rFonts w:eastAsia="Times New Roman" w:cs="Times New Roman"/>
                <w:szCs w:val="24"/>
                <w:lang w:eastAsia="lv-LV"/>
              </w:rPr>
              <w:t>ar vienādu numerāciju un nosaukumu.</w:t>
            </w:r>
          </w:p>
          <w:p w:rsidR="00EA5E16" w:rsidRDefault="00EA5E16" w:rsidP="00EA5E16">
            <w:pPr>
              <w:tabs>
                <w:tab w:val="left" w:pos="447"/>
              </w:tabs>
              <w:ind w:left="33"/>
              <w:jc w:val="both"/>
              <w:rPr>
                <w:rFonts w:eastAsia="Times New Roman" w:cs="Times New Roman"/>
                <w:szCs w:val="24"/>
                <w:lang w:eastAsia="lv-LV"/>
              </w:rPr>
            </w:pPr>
            <w:r w:rsidRPr="00EA5E16">
              <w:rPr>
                <w:rFonts w:eastAsia="Times New Roman" w:cs="Times New Roman"/>
                <w:szCs w:val="24"/>
                <w:lang w:eastAsia="lv-LV"/>
              </w:rPr>
              <w:t>Noteikumu projekts paredz, ka budžeta programmai izveidot</w:t>
            </w:r>
            <w:r w:rsidR="009771B7">
              <w:rPr>
                <w:rFonts w:eastAsia="Times New Roman" w:cs="Times New Roman"/>
                <w:szCs w:val="24"/>
                <w:lang w:eastAsia="lv-LV"/>
              </w:rPr>
              <w:t>ajām</w:t>
            </w:r>
            <w:r w:rsidRPr="00EA5E16">
              <w:rPr>
                <w:rFonts w:eastAsia="Times New Roman" w:cs="Times New Roman"/>
                <w:szCs w:val="24"/>
                <w:lang w:eastAsia="lv-LV"/>
              </w:rPr>
              <w:t xml:space="preserve"> budžeta apakšprogrammām</w:t>
            </w:r>
            <w:r w:rsidRPr="00EA5E16">
              <w:rPr>
                <w:rFonts w:eastAsia="Calibri" w:cs="Times New Roman"/>
                <w:szCs w:val="24"/>
              </w:rPr>
              <w:t xml:space="preserve"> jā</w:t>
            </w:r>
            <w:r w:rsidRPr="00EA5E16">
              <w:rPr>
                <w:rFonts w:eastAsia="Times New Roman" w:cs="Times New Roman"/>
                <w:szCs w:val="24"/>
                <w:lang w:eastAsia="lv-LV"/>
              </w:rPr>
              <w:t>veido attiecīgās programmas finansējuma kopsumm</w:t>
            </w:r>
            <w:r w:rsidR="00DF1523">
              <w:rPr>
                <w:rFonts w:eastAsia="Times New Roman" w:cs="Times New Roman"/>
                <w:szCs w:val="24"/>
                <w:lang w:eastAsia="lv-LV"/>
              </w:rPr>
              <w:t>a</w:t>
            </w:r>
            <w:r w:rsidRPr="00EA5E16">
              <w:rPr>
                <w:rFonts w:eastAsia="Times New Roman" w:cs="Times New Roman"/>
                <w:szCs w:val="24"/>
                <w:lang w:eastAsia="lv-LV"/>
              </w:rPr>
              <w:t xml:space="preserve"> un jānodrošina budžeta programmai izvirzītā mērķa sasniegšan</w:t>
            </w:r>
            <w:r w:rsidR="008C2A7B">
              <w:rPr>
                <w:rFonts w:eastAsia="Times New Roman" w:cs="Times New Roman"/>
                <w:szCs w:val="24"/>
                <w:lang w:eastAsia="lv-LV"/>
              </w:rPr>
              <w:t>a</w:t>
            </w:r>
            <w:r w:rsidR="00C938DD">
              <w:rPr>
                <w:rFonts w:eastAsia="Times New Roman" w:cs="Times New Roman"/>
                <w:szCs w:val="24"/>
                <w:lang w:eastAsia="lv-LV"/>
              </w:rPr>
              <w:t>.</w:t>
            </w:r>
          </w:p>
          <w:p w:rsidR="00EA5E16" w:rsidRPr="00EA5E16" w:rsidRDefault="00EA5E16" w:rsidP="00C938DD">
            <w:pPr>
              <w:tabs>
                <w:tab w:val="left" w:pos="447"/>
              </w:tabs>
              <w:ind w:left="33"/>
              <w:jc w:val="both"/>
              <w:rPr>
                <w:rFonts w:eastAsia="Times New Roman" w:cs="Times New Roman"/>
                <w:szCs w:val="24"/>
                <w:lang w:eastAsia="lv-LV"/>
              </w:rPr>
            </w:pPr>
            <w:r w:rsidRPr="00EA5E16">
              <w:rPr>
                <w:rFonts w:eastAsia="Times New Roman" w:cs="Times New Roman"/>
                <w:szCs w:val="24"/>
                <w:lang w:eastAsia="lv-LV"/>
              </w:rPr>
              <w:t xml:space="preserve">Atbilstoši likumam „Par valsts sociālo apdrošināšanu” tiks definēta </w:t>
            </w:r>
            <w:r w:rsidRPr="00EA5E16">
              <w:rPr>
                <w:rFonts w:eastAsia="Calibri" w:cs="Times New Roman"/>
                <w:szCs w:val="24"/>
              </w:rPr>
              <w:t>valsts sociālās apdrošināšanas speciālā budžeta</w:t>
            </w:r>
            <w:r w:rsidRPr="00EA5E16">
              <w:rPr>
                <w:rFonts w:eastAsia="Times New Roman" w:cs="Times New Roman"/>
                <w:szCs w:val="24"/>
                <w:lang w:eastAsia="lv-LV"/>
              </w:rPr>
              <w:t xml:space="preserve"> </w:t>
            </w:r>
            <w:r w:rsidRPr="00EA5E16">
              <w:rPr>
                <w:rFonts w:eastAsia="Calibri" w:cs="Times New Roman"/>
                <w:szCs w:val="24"/>
              </w:rPr>
              <w:t xml:space="preserve">pamatfunkciju īstenošanas daļas programmu (apakšprogrammu) struktūra. Papildus noteikumu projekts paredz </w:t>
            </w:r>
            <w:r w:rsidRPr="00EA5E16">
              <w:rPr>
                <w:rFonts w:eastAsia="Calibri" w:cs="Times New Roman"/>
                <w:szCs w:val="24"/>
              </w:rPr>
              <w:lastRenderedPageBreak/>
              <w:t xml:space="preserve">Labklājības ministrijai iespēju </w:t>
            </w:r>
            <w:r w:rsidR="00E315D2">
              <w:rPr>
                <w:rFonts w:eastAsia="Times New Roman" w:cs="Times New Roman"/>
                <w:szCs w:val="24"/>
                <w:lang w:eastAsia="lv-LV"/>
              </w:rPr>
              <w:t>pārskatīt</w:t>
            </w:r>
            <w:r w:rsidRPr="00EA5E16">
              <w:rPr>
                <w:rFonts w:eastAsia="Times New Roman" w:cs="Times New Roman"/>
                <w:szCs w:val="24"/>
                <w:lang w:eastAsia="lv-LV"/>
              </w:rPr>
              <w:t xml:space="preserve"> programmu (apakšprogrammu) struktūru saskaņā ar izmaiņām likumā „Par valsts sociālo apdrošināšanu”.</w:t>
            </w:r>
          </w:p>
          <w:p w:rsidR="00EA5E16" w:rsidRPr="00EA5E16" w:rsidRDefault="00EA5E16" w:rsidP="00533F4F">
            <w:pPr>
              <w:numPr>
                <w:ilvl w:val="0"/>
                <w:numId w:val="3"/>
              </w:numPr>
              <w:tabs>
                <w:tab w:val="left" w:pos="447"/>
              </w:tabs>
              <w:ind w:left="33" w:firstLine="0"/>
              <w:jc w:val="both"/>
              <w:rPr>
                <w:rFonts w:eastAsia="Times New Roman" w:cs="Times New Roman"/>
                <w:szCs w:val="24"/>
                <w:lang w:eastAsia="lv-LV"/>
              </w:rPr>
            </w:pPr>
            <w:r w:rsidRPr="00EA5E16">
              <w:rPr>
                <w:rFonts w:eastAsia="Times New Roman" w:cs="Times New Roman"/>
                <w:szCs w:val="24"/>
                <w:lang w:eastAsia="lv-LV"/>
              </w:rPr>
              <w:t xml:space="preserve">Noteikumu projekts paredz papildināt budžeta programmu (apakšprogrammu) struktūru valsts budžeta </w:t>
            </w:r>
            <w:r w:rsidRPr="00EA5E16">
              <w:rPr>
                <w:rFonts w:eastAsia="Calibri" w:cs="Times New Roman"/>
                <w:szCs w:val="24"/>
              </w:rPr>
              <w:t>Eiropas Savienības</w:t>
            </w:r>
            <w:r w:rsidRPr="00EA5E16">
              <w:rPr>
                <w:rFonts w:eastAsia="Times New Roman" w:cs="Times New Roman"/>
                <w:szCs w:val="24"/>
                <w:lang w:eastAsia="lv-LV"/>
              </w:rPr>
              <w:t xml:space="preserve"> politiku instrumentu un pārējās ārvalstu finanšu palīdzības līdzfinansēto un finansēto projektu un pasākumu īstenošanas daļā ar budžeta apakšprogrammām, kas būs piemērojamas finansējuma plānošanai nākamajā </w:t>
            </w:r>
            <w:r w:rsidRPr="00EA5E16">
              <w:rPr>
                <w:rFonts w:eastAsia="Calibri" w:cs="Times New Roman"/>
                <w:szCs w:val="24"/>
              </w:rPr>
              <w:t>Eiropas Savienības</w:t>
            </w:r>
            <w:r w:rsidRPr="00EA5E16">
              <w:rPr>
                <w:rFonts w:eastAsia="Times New Roman" w:cs="Times New Roman"/>
                <w:szCs w:val="24"/>
                <w:lang w:eastAsia="lv-LV"/>
              </w:rPr>
              <w:t xml:space="preserve"> budžeta plānošanas periodā 2014. – 2020.gadā.</w:t>
            </w:r>
          </w:p>
          <w:p w:rsidR="00EA5E16" w:rsidRPr="00EA5E16" w:rsidRDefault="00EA5E16" w:rsidP="00CC0107">
            <w:pPr>
              <w:numPr>
                <w:ilvl w:val="0"/>
                <w:numId w:val="3"/>
              </w:numPr>
              <w:tabs>
                <w:tab w:val="left" w:pos="447"/>
              </w:tabs>
              <w:ind w:left="33" w:firstLine="0"/>
              <w:jc w:val="both"/>
              <w:rPr>
                <w:rFonts w:eastAsia="Times New Roman" w:cs="Times New Roman"/>
                <w:szCs w:val="24"/>
                <w:lang w:eastAsia="lv-LV"/>
              </w:rPr>
            </w:pPr>
            <w:r w:rsidRPr="00EA5E16">
              <w:rPr>
                <w:rFonts w:eastAsia="Times New Roman" w:cs="Times New Roman"/>
                <w:szCs w:val="24"/>
                <w:lang w:eastAsia="lv-LV"/>
              </w:rPr>
              <w:t>Noteikumu projekts paredz pilnveidot darbības rezultātu un to rezultatīvo rādītāju noteikšanas normas, paredzot, ka:</w:t>
            </w:r>
            <w:r w:rsidR="00CC0107" w:rsidRPr="00EA5E16">
              <w:rPr>
                <w:rFonts w:eastAsia="Times New Roman" w:cs="Times New Roman"/>
                <w:szCs w:val="24"/>
                <w:lang w:eastAsia="lv-LV"/>
              </w:rPr>
              <w:t xml:space="preserve"> </w:t>
            </w:r>
          </w:p>
          <w:p w:rsidR="00EA5E16" w:rsidRPr="00EA5E16" w:rsidRDefault="00EA5E16" w:rsidP="00B93B3F">
            <w:pPr>
              <w:numPr>
                <w:ilvl w:val="1"/>
                <w:numId w:val="3"/>
              </w:numPr>
              <w:tabs>
                <w:tab w:val="left" w:pos="447"/>
              </w:tabs>
              <w:ind w:left="33" w:firstLine="0"/>
              <w:jc w:val="both"/>
              <w:rPr>
                <w:rFonts w:eastAsia="Times New Roman" w:cs="Times New Roman"/>
                <w:szCs w:val="24"/>
                <w:lang w:eastAsia="lv-LV"/>
              </w:rPr>
            </w:pPr>
            <w:r w:rsidRPr="00EA5E16">
              <w:rPr>
                <w:rFonts w:eastAsia="Times New Roman" w:cs="Times New Roman"/>
                <w:bCs/>
                <w:szCs w:val="24"/>
                <w:lang w:eastAsia="lv-LV"/>
              </w:rPr>
              <w:t>budžeta programmu (apakšprogrammu) darbības rezultātus un rezultatīvos rādītājus pēc iespējas veido attīstības plānošanas dokumentos plānotie darbības rezultāti un to rezultatīvie rādītāji;</w:t>
            </w:r>
          </w:p>
          <w:p w:rsidR="00EA5E16" w:rsidRPr="0041460D" w:rsidRDefault="00EA5E16" w:rsidP="00B93B3F">
            <w:pPr>
              <w:numPr>
                <w:ilvl w:val="1"/>
                <w:numId w:val="3"/>
              </w:numPr>
              <w:tabs>
                <w:tab w:val="left" w:pos="447"/>
              </w:tabs>
              <w:ind w:left="33" w:firstLine="0"/>
              <w:jc w:val="both"/>
              <w:rPr>
                <w:rFonts w:eastAsia="Times New Roman" w:cs="Times New Roman"/>
                <w:bCs/>
                <w:szCs w:val="24"/>
                <w:lang w:eastAsia="lv-LV"/>
              </w:rPr>
            </w:pPr>
            <w:r w:rsidRPr="0041460D">
              <w:rPr>
                <w:rFonts w:eastAsia="Times New Roman" w:cs="Times New Roman"/>
                <w:szCs w:val="24"/>
                <w:lang w:eastAsia="lv-LV"/>
              </w:rPr>
              <w:t xml:space="preserve">budžeta programmai (ar apakšprogrammām) neplāno darbības rezultātus un rezultatīvos rādītājus, aktivitātes un izpildītājus, kā arī nenorāda sasaisti ar attīstības plānošanas dokumentiem, savukārt </w:t>
            </w:r>
            <w:r w:rsidRPr="0041460D">
              <w:rPr>
                <w:rFonts w:eastAsia="Times New Roman" w:cs="Times New Roman"/>
                <w:bCs/>
                <w:szCs w:val="24"/>
                <w:lang w:eastAsia="lv-LV"/>
              </w:rPr>
              <w:t>programmai (bez apakšprogrammām) vai apakšprogrammai</w:t>
            </w:r>
            <w:r w:rsidRPr="0041460D">
              <w:rPr>
                <w:rFonts w:ascii="Calibri" w:eastAsia="Times New Roman" w:hAnsi="Century Schoolbook" w:cs="Times New Roman"/>
                <w:color w:val="000000"/>
                <w:kern w:val="24"/>
                <w:sz w:val="50"/>
                <w:szCs w:val="50"/>
                <w:lang w:eastAsia="lv-LV"/>
              </w:rPr>
              <w:t xml:space="preserve"> </w:t>
            </w:r>
            <w:r w:rsidRPr="0041460D">
              <w:rPr>
                <w:rFonts w:eastAsia="Times New Roman" w:cs="Times New Roman"/>
                <w:bCs/>
                <w:szCs w:val="24"/>
                <w:lang w:eastAsia="lv-LV"/>
              </w:rPr>
              <w:t>plāno visus raksturlielumus un sniedz paskaidrojumus par finansējumu</w:t>
            </w:r>
            <w:r w:rsidR="005B624D">
              <w:rPr>
                <w:rFonts w:eastAsia="Times New Roman" w:cs="Times New Roman"/>
                <w:bCs/>
                <w:szCs w:val="24"/>
                <w:lang w:eastAsia="lv-LV"/>
              </w:rPr>
              <w:t>;</w:t>
            </w:r>
          </w:p>
          <w:p w:rsidR="00EA5E16" w:rsidRPr="00EA5E16" w:rsidRDefault="00EA5E16" w:rsidP="00B93B3F">
            <w:pPr>
              <w:numPr>
                <w:ilvl w:val="1"/>
                <w:numId w:val="3"/>
              </w:numPr>
              <w:tabs>
                <w:tab w:val="left" w:pos="447"/>
              </w:tabs>
              <w:ind w:left="33" w:firstLine="0"/>
              <w:jc w:val="both"/>
              <w:rPr>
                <w:rFonts w:eastAsia="Times New Roman" w:cs="Times New Roman"/>
                <w:szCs w:val="24"/>
                <w:lang w:eastAsia="lv-LV"/>
              </w:rPr>
            </w:pPr>
            <w:r w:rsidRPr="00EA5E16">
              <w:rPr>
                <w:rFonts w:eastAsia="Times New Roman" w:cs="Times New Roman"/>
                <w:szCs w:val="24"/>
                <w:lang w:eastAsia="lv-LV"/>
              </w:rPr>
              <w:t>darbības rezultātus un rezultatīvos rādītājus neplāno Eiropas Savienības politiku instrumentu un pārējās ārvalstu finanšu palīdzības līdzfinansēto un finansēto projektu un pasākumu īstenošanas budžeta programmām (apakšprogrammām) (ja šāda informācija ir norādīta citos ar Eiropas Savienības politiku instrumentu un pārējās ārvalstu finanšu palīdzības līdzfinansēto un finansēto projektu un pasākumu īstenošanu saistītos normatīvajos aktos), budžeta programmai 42.00.00 „Valsts budžeta aizdevumi un to atmaksāšana”, budžeta programmai 97.00.00 „Nozaru vadība un politikas plānošana” un tās apakšprogrammām un budžeta programmām (apakšprogrammām), kas plānotas 74.resorā „Gadskārtējā valsts budžeta izpildes procesā pārdalāmais finansējums”;</w:t>
            </w:r>
          </w:p>
          <w:p w:rsidR="00EA5E16" w:rsidRPr="00EA5E16" w:rsidRDefault="00EA5E16" w:rsidP="00B93B3F">
            <w:pPr>
              <w:numPr>
                <w:ilvl w:val="1"/>
                <w:numId w:val="3"/>
              </w:numPr>
              <w:tabs>
                <w:tab w:val="left" w:pos="447"/>
              </w:tabs>
              <w:ind w:left="33" w:firstLine="0"/>
              <w:jc w:val="both"/>
              <w:rPr>
                <w:rFonts w:eastAsia="Calibri" w:cs="Times New Roman"/>
                <w:szCs w:val="24"/>
              </w:rPr>
            </w:pPr>
            <w:r w:rsidRPr="00EA5E16">
              <w:rPr>
                <w:rFonts w:eastAsia="Times New Roman" w:cs="Times New Roman"/>
                <w:szCs w:val="24"/>
                <w:lang w:eastAsia="lv-LV"/>
              </w:rPr>
              <w:t xml:space="preserve">gadskārtējā budžeta likumā plānotos darbības rezultātus un rezultatīvos rādītājus var pārskatīt gadījumā, ja tiek veikti grozījumi gadskārtējā valsts budžeta likumā, kas paredz finansējuma (izdevumu) samazinājumu vai palielinājumu, ja </w:t>
            </w:r>
            <w:r w:rsidRPr="00EA5E16">
              <w:rPr>
                <w:rFonts w:eastAsia="Calibri" w:cs="Times New Roman"/>
                <w:szCs w:val="24"/>
              </w:rPr>
              <w:t xml:space="preserve">tiek veikta apropriācijas pārdale saskaņā ar Likuma par budžetu un finanšu vadību 9.panta piecpadsmito daļu un ja Labklājības ministrija precizē rādītājus valsts sociālā </w:t>
            </w:r>
            <w:r w:rsidRPr="00EA5E16">
              <w:rPr>
                <w:rFonts w:eastAsia="Calibri" w:cs="Times New Roman"/>
                <w:szCs w:val="24"/>
              </w:rPr>
              <w:lastRenderedPageBreak/>
              <w:t>nodrošinājuma jomā;</w:t>
            </w:r>
          </w:p>
          <w:p w:rsidR="00EA5E16" w:rsidRPr="00EA5E16" w:rsidRDefault="00EA5E16" w:rsidP="00EA5E16">
            <w:pPr>
              <w:numPr>
                <w:ilvl w:val="1"/>
                <w:numId w:val="3"/>
              </w:numPr>
              <w:tabs>
                <w:tab w:val="left" w:pos="459"/>
              </w:tabs>
              <w:ind w:left="33" w:hanging="33"/>
              <w:jc w:val="both"/>
              <w:rPr>
                <w:rFonts w:eastAsia="Calibri" w:cs="Times New Roman"/>
                <w:szCs w:val="24"/>
              </w:rPr>
            </w:pPr>
            <w:r w:rsidRPr="00EA5E16">
              <w:rPr>
                <w:rFonts w:eastAsia="Calibri" w:cs="Times New Roman"/>
                <w:szCs w:val="24"/>
              </w:rPr>
              <w:t>tiks veikti arī citi precizējumi</w:t>
            </w:r>
            <w:r w:rsidRPr="00EA5E16">
              <w:rPr>
                <w:rFonts w:eastAsia="Times New Roman" w:cs="Times New Roman"/>
                <w:bCs/>
                <w:szCs w:val="24"/>
                <w:lang w:eastAsia="lv-LV"/>
              </w:rPr>
              <w:t xml:space="preserve"> </w:t>
            </w:r>
            <w:r w:rsidRPr="00EA5E16">
              <w:rPr>
                <w:rFonts w:eastAsia="Calibri" w:cs="Times New Roman"/>
                <w:bCs/>
                <w:szCs w:val="24"/>
              </w:rPr>
              <w:t xml:space="preserve">budžeta programmu (apakšprogrammu) </w:t>
            </w:r>
            <w:r w:rsidRPr="00EA5E16">
              <w:rPr>
                <w:rFonts w:eastAsia="Times New Roman" w:cs="Times New Roman"/>
                <w:szCs w:val="24"/>
                <w:lang w:eastAsia="lv-LV"/>
              </w:rPr>
              <w:t xml:space="preserve"> </w:t>
            </w:r>
            <w:r w:rsidRPr="00EA5E16">
              <w:rPr>
                <w:rFonts w:eastAsia="Calibri" w:cs="Times New Roman"/>
                <w:szCs w:val="24"/>
              </w:rPr>
              <w:t>darbības rezultātu un to rezultatīvo rādītāju noteikšanas jomā.</w:t>
            </w:r>
          </w:p>
          <w:p w:rsidR="00EA5E16" w:rsidRPr="00EA5E16" w:rsidRDefault="00EA5E16" w:rsidP="00B93B3F">
            <w:pPr>
              <w:numPr>
                <w:ilvl w:val="0"/>
                <w:numId w:val="3"/>
              </w:numPr>
              <w:tabs>
                <w:tab w:val="left" w:pos="447"/>
              </w:tabs>
              <w:ind w:left="33" w:firstLine="0"/>
              <w:jc w:val="both"/>
              <w:rPr>
                <w:rFonts w:eastAsia="Times New Roman" w:cs="Times New Roman"/>
                <w:bCs/>
                <w:szCs w:val="24"/>
                <w:lang w:eastAsia="lv-LV"/>
              </w:rPr>
            </w:pPr>
            <w:r w:rsidRPr="00EA5E16">
              <w:rPr>
                <w:rFonts w:eastAsia="Times New Roman" w:cs="Times New Roman"/>
                <w:bCs/>
                <w:szCs w:val="24"/>
                <w:lang w:eastAsia="lv-LV"/>
              </w:rPr>
              <w:t xml:space="preserve">Noteikumu projekts paredz jaunu </w:t>
            </w:r>
            <w:r w:rsidR="00DA1B02">
              <w:rPr>
                <w:rFonts w:eastAsia="Times New Roman" w:cs="Times New Roman"/>
                <w:bCs/>
                <w:szCs w:val="24"/>
                <w:lang w:eastAsia="lv-LV"/>
              </w:rPr>
              <w:t>veidlapu</w:t>
            </w:r>
            <w:r w:rsidRPr="00EA5E16">
              <w:rPr>
                <w:rFonts w:eastAsia="Times New Roman" w:cs="Times New Roman"/>
                <w:bCs/>
                <w:szCs w:val="24"/>
                <w:lang w:eastAsia="lv-LV"/>
              </w:rPr>
              <w:t>, kuru piemēro paskaidrojum</w:t>
            </w:r>
            <w:r w:rsidR="00DA1B02">
              <w:rPr>
                <w:rFonts w:eastAsia="Times New Roman" w:cs="Times New Roman"/>
                <w:bCs/>
                <w:szCs w:val="24"/>
                <w:lang w:eastAsia="lv-LV"/>
              </w:rPr>
              <w:t>u sagatavošanai</w:t>
            </w:r>
            <w:r w:rsidRPr="00EA5E16">
              <w:rPr>
                <w:rFonts w:eastAsia="Times New Roman" w:cs="Times New Roman"/>
                <w:bCs/>
                <w:szCs w:val="24"/>
                <w:lang w:eastAsia="lv-LV"/>
              </w:rPr>
              <w:t xml:space="preserve"> par ministrijas priekšlikumiem grozījumiem likumā par valsts budžetu kārtējam gadam. Tāpat noteikumu projekts paredz </w:t>
            </w:r>
            <w:r w:rsidRPr="00EA5E16">
              <w:rPr>
                <w:rFonts w:eastAsia="Calibri" w:cs="Times New Roman"/>
                <w:bCs/>
                <w:szCs w:val="24"/>
              </w:rPr>
              <w:t xml:space="preserve">pamatprincipus, kurus </w:t>
            </w:r>
            <w:r w:rsidRPr="00EA5E16">
              <w:rPr>
                <w:rFonts w:eastAsia="Calibri" w:cs="Times New Roman"/>
                <w:szCs w:val="24"/>
              </w:rPr>
              <w:t>ministrija ievēro, sagatavojot priekšlikumus valsts budžeta likumprojekta izskatīšanai Saeimā otrajā lasījumā:</w:t>
            </w:r>
          </w:p>
          <w:p w:rsidR="00EA5E16" w:rsidRPr="00EA5E16" w:rsidRDefault="00EA5E16" w:rsidP="00DA1B02">
            <w:pPr>
              <w:numPr>
                <w:ilvl w:val="1"/>
                <w:numId w:val="3"/>
              </w:numPr>
              <w:tabs>
                <w:tab w:val="left" w:pos="459"/>
              </w:tabs>
              <w:ind w:left="33" w:firstLine="0"/>
              <w:jc w:val="both"/>
              <w:rPr>
                <w:rFonts w:eastAsia="Times New Roman" w:cs="Times New Roman"/>
                <w:bCs/>
                <w:szCs w:val="24"/>
                <w:lang w:eastAsia="lv-LV"/>
              </w:rPr>
            </w:pPr>
            <w:r w:rsidRPr="00EA5E16">
              <w:rPr>
                <w:rFonts w:eastAsiaTheme="minorEastAsia" w:cs="Times New Roman"/>
                <w:color w:val="000000" w:themeColor="text1"/>
                <w:kern w:val="24"/>
                <w:szCs w:val="24"/>
                <w:lang w:eastAsia="lv-LV"/>
              </w:rPr>
              <w:t>par</w:t>
            </w:r>
            <w:r w:rsidRPr="00EA5E16">
              <w:rPr>
                <w:rFonts w:asciiTheme="minorHAnsi" w:eastAsiaTheme="minorEastAsia" w:hAnsi="Century Schoolbook"/>
                <w:color w:val="000000" w:themeColor="text1"/>
                <w:kern w:val="24"/>
                <w:sz w:val="50"/>
                <w:szCs w:val="50"/>
                <w:lang w:eastAsia="lv-LV"/>
              </w:rPr>
              <w:t xml:space="preserve"> </w:t>
            </w:r>
            <w:r w:rsidRPr="00EA5E16">
              <w:rPr>
                <w:rFonts w:eastAsia="Calibri" w:cs="Times New Roman"/>
                <w:szCs w:val="24"/>
              </w:rPr>
              <w:t>Eiropas Savienības politiku instrumentu un pārējās ārvalstu finanšu palīdzības līdzfinansēto un finansēto projektu un pasākumu īstenošanai</w:t>
            </w:r>
            <w:r w:rsidR="00D44D16">
              <w:rPr>
                <w:rFonts w:eastAsia="Calibri" w:cs="Times New Roman"/>
                <w:szCs w:val="24"/>
              </w:rPr>
              <w:t xml:space="preserve"> </w:t>
            </w:r>
            <w:r w:rsidR="00D44D16" w:rsidRPr="00D44D16">
              <w:rPr>
                <w:rFonts w:eastAsia="Calibri" w:cs="Times New Roman"/>
                <w:szCs w:val="24"/>
              </w:rPr>
              <w:t>(tai skaitā līgumu slēgšan</w:t>
            </w:r>
            <w:r w:rsidR="00D44D16">
              <w:rPr>
                <w:rFonts w:eastAsia="Calibri" w:cs="Times New Roman"/>
                <w:szCs w:val="24"/>
              </w:rPr>
              <w:t>ai</w:t>
            </w:r>
            <w:r w:rsidR="00D44D16" w:rsidRPr="00D44D16">
              <w:rPr>
                <w:rFonts w:eastAsia="Calibri" w:cs="Times New Roman"/>
                <w:szCs w:val="24"/>
              </w:rPr>
              <w:t xml:space="preserve">) </w:t>
            </w:r>
            <w:r w:rsidRPr="00EA5E16">
              <w:rPr>
                <w:rFonts w:eastAsia="Calibri" w:cs="Times New Roman"/>
                <w:szCs w:val="24"/>
              </w:rPr>
              <w:t xml:space="preserve"> nepieciešamā finansējuma pārdali </w:t>
            </w:r>
            <w:r w:rsidRPr="00EA5E16">
              <w:rPr>
                <w:rFonts w:eastAsia="Times New Roman" w:cs="Times New Roman"/>
                <w:bCs/>
                <w:szCs w:val="24"/>
                <w:lang w:eastAsia="lv-LV"/>
              </w:rPr>
              <w:t xml:space="preserve">no </w:t>
            </w:r>
            <w:r w:rsidR="00CF0B15" w:rsidRPr="00EA5E16">
              <w:rPr>
                <w:rFonts w:eastAsia="Times New Roman" w:cs="Times New Roman"/>
                <w:bCs/>
                <w:szCs w:val="24"/>
                <w:lang w:eastAsia="lv-LV"/>
              </w:rPr>
              <w:t xml:space="preserve">programmas </w:t>
            </w:r>
            <w:r w:rsidR="00CF0B15">
              <w:rPr>
                <w:rFonts w:eastAsia="Times New Roman" w:cs="Times New Roman"/>
                <w:bCs/>
                <w:szCs w:val="24"/>
                <w:lang w:eastAsia="lv-LV"/>
              </w:rPr>
              <w:t xml:space="preserve">80.00.00 </w:t>
            </w:r>
            <w:r w:rsidRPr="00EA5E16">
              <w:rPr>
                <w:rFonts w:eastAsia="Times New Roman" w:cs="Times New Roman"/>
                <w:bCs/>
                <w:szCs w:val="24"/>
                <w:lang w:eastAsia="lv-LV"/>
              </w:rPr>
              <w:t>„Nesadalītais finansējums Eiropas Savienības politiku instrumentu un pārējās ārvalstu finanšu palīdzības līdzfinansēto projektu un pasākumu īstenošanai” iesniedz tikai tad, ja projektu uzsāk n+1 gada 1.ceturksnī, paredzot finansējumu visam gadam;</w:t>
            </w:r>
          </w:p>
          <w:p w:rsidR="00EA5E16" w:rsidRPr="00EA5E16" w:rsidRDefault="00EA5E16" w:rsidP="00DA1B02">
            <w:pPr>
              <w:numPr>
                <w:ilvl w:val="1"/>
                <w:numId w:val="3"/>
              </w:numPr>
              <w:tabs>
                <w:tab w:val="left" w:pos="459"/>
              </w:tabs>
              <w:ind w:left="33" w:firstLine="0"/>
              <w:jc w:val="both"/>
              <w:rPr>
                <w:rFonts w:eastAsia="Times New Roman" w:cs="Times New Roman"/>
                <w:bCs/>
                <w:szCs w:val="24"/>
                <w:lang w:eastAsia="lv-LV"/>
              </w:rPr>
            </w:pPr>
            <w:r w:rsidRPr="00EA5E16">
              <w:rPr>
                <w:rFonts w:eastAsia="Times New Roman" w:cs="Times New Roman"/>
                <w:bCs/>
                <w:szCs w:val="24"/>
                <w:lang w:eastAsia="lv-LV"/>
              </w:rPr>
              <w:t>valsts pamatfunkciju īstenošanai paredzētā finansējuma ietvaros nepalielina izdevumus atlīdzībai, izņemot gadījumus, ja Ministru kabinets ir pieņēmis attiecīgu lēmumu;</w:t>
            </w:r>
          </w:p>
          <w:p w:rsidR="00EA5E16" w:rsidRPr="00EA5E16" w:rsidRDefault="00EA5E16" w:rsidP="00DA1B02">
            <w:pPr>
              <w:numPr>
                <w:ilvl w:val="1"/>
                <w:numId w:val="3"/>
              </w:numPr>
              <w:tabs>
                <w:tab w:val="left" w:pos="459"/>
              </w:tabs>
              <w:ind w:left="33" w:firstLine="0"/>
              <w:jc w:val="both"/>
              <w:rPr>
                <w:rFonts w:eastAsia="Times New Roman" w:cs="Times New Roman"/>
                <w:bCs/>
                <w:szCs w:val="24"/>
                <w:lang w:eastAsia="lv-LV"/>
              </w:rPr>
            </w:pPr>
            <w:r w:rsidRPr="00EA5E16">
              <w:rPr>
                <w:rFonts w:eastAsia="Times New Roman" w:cs="Times New Roman"/>
                <w:bCs/>
                <w:szCs w:val="24"/>
                <w:lang w:eastAsia="lv-LV"/>
              </w:rPr>
              <w:t>neiesniedz priekšlikumus, kas pasliktina valsts budžeta finansiālo bilanci, izņemot gadījumus, ja Ministru kabinets ir pieņēmis attiecīgu lēmumu;</w:t>
            </w:r>
          </w:p>
          <w:p w:rsidR="003E240E" w:rsidRPr="00EA5E16" w:rsidRDefault="00EA5E16" w:rsidP="003B5386">
            <w:pPr>
              <w:numPr>
                <w:ilvl w:val="1"/>
                <w:numId w:val="3"/>
              </w:numPr>
              <w:tabs>
                <w:tab w:val="left" w:pos="459"/>
              </w:tabs>
              <w:ind w:left="33" w:firstLine="0"/>
              <w:jc w:val="both"/>
              <w:rPr>
                <w:rFonts w:eastAsia="Times New Roman" w:cs="Times New Roman"/>
                <w:bCs/>
                <w:szCs w:val="24"/>
                <w:lang w:eastAsia="lv-LV"/>
              </w:rPr>
            </w:pPr>
            <w:r w:rsidRPr="00EA5E16">
              <w:rPr>
                <w:rFonts w:eastAsia="Times New Roman" w:cs="Times New Roman"/>
                <w:bCs/>
                <w:szCs w:val="24"/>
                <w:lang w:eastAsia="lv-LV"/>
              </w:rPr>
              <w:t>neiesniedz priekšlikumus, ja finansējums nav nepieciešams n+1 gada pirmajā ceturksnī un to var nodrošināt budžeta izpildes gaitā Likumā par budžetu un finanšu vadību noteiktajā kārtībā ar finanšu ministra rīkojumu.</w:t>
            </w:r>
            <w:r w:rsidR="003B5386" w:rsidRPr="00EA5E16">
              <w:rPr>
                <w:rFonts w:eastAsia="Times New Roman" w:cs="Times New Roman"/>
                <w:bCs/>
                <w:szCs w:val="24"/>
                <w:lang w:eastAsia="lv-LV"/>
              </w:rPr>
              <w:t xml:space="preserve"> </w:t>
            </w:r>
          </w:p>
          <w:p w:rsidR="00EA5E16" w:rsidRDefault="00EA5E16" w:rsidP="009221A4">
            <w:pPr>
              <w:pStyle w:val="ListParagraph"/>
              <w:numPr>
                <w:ilvl w:val="0"/>
                <w:numId w:val="3"/>
              </w:numPr>
              <w:tabs>
                <w:tab w:val="left" w:pos="447"/>
              </w:tabs>
              <w:ind w:left="33" w:firstLine="0"/>
              <w:jc w:val="both"/>
              <w:rPr>
                <w:rFonts w:eastAsia="Times New Roman" w:cs="Times New Roman"/>
                <w:bCs/>
                <w:szCs w:val="24"/>
                <w:lang w:eastAsia="lv-LV"/>
              </w:rPr>
            </w:pPr>
            <w:r w:rsidRPr="009221A4">
              <w:rPr>
                <w:rFonts w:eastAsia="Times New Roman" w:cs="Times New Roman"/>
                <w:bCs/>
                <w:szCs w:val="24"/>
                <w:lang w:eastAsia="lv-LV"/>
              </w:rPr>
              <w:t>Noteikumu projekta paskaidrojum</w:t>
            </w:r>
            <w:r w:rsidR="0032585E" w:rsidRPr="009221A4">
              <w:rPr>
                <w:rFonts w:eastAsia="Times New Roman" w:cs="Times New Roman"/>
                <w:bCs/>
                <w:szCs w:val="24"/>
                <w:lang w:eastAsia="lv-LV"/>
              </w:rPr>
              <w:t>u</w:t>
            </w:r>
            <w:r w:rsidRPr="009221A4">
              <w:rPr>
                <w:rFonts w:eastAsia="Times New Roman" w:cs="Times New Roman"/>
                <w:bCs/>
                <w:szCs w:val="24"/>
                <w:lang w:eastAsia="lv-LV"/>
              </w:rPr>
              <w:t xml:space="preserve"> </w:t>
            </w:r>
            <w:r w:rsidR="0032585E" w:rsidRPr="009221A4">
              <w:rPr>
                <w:rFonts w:eastAsia="Times New Roman" w:cs="Times New Roman"/>
                <w:bCs/>
                <w:szCs w:val="24"/>
                <w:lang w:eastAsia="lv-LV"/>
              </w:rPr>
              <w:t>veidlapa Nr.7(pb) „Paskaidrojums par ministrijas (citas centrālās valsts iestādes) valsts pamatbudžeta līdzekļu pieprasījumu vidējam termiņam” (17.pielikums) un veidlapa Nr.7(sb) „Paskaidrojums par ministrijas (citas centrālās valsts iestādes) valsts speciālā budžeta līdzekļu pieprasījumu vidējam termiņam” (18.pielikums) tiks</w:t>
            </w:r>
            <w:r w:rsidRPr="009221A4">
              <w:rPr>
                <w:rFonts w:eastAsia="Times New Roman" w:cs="Times New Roman"/>
                <w:bCs/>
                <w:szCs w:val="24"/>
                <w:lang w:eastAsia="lv-LV"/>
              </w:rPr>
              <w:t xml:space="preserve"> </w:t>
            </w:r>
            <w:r w:rsidR="0032585E" w:rsidRPr="009221A4">
              <w:rPr>
                <w:rFonts w:eastAsia="Times New Roman" w:cs="Times New Roman"/>
                <w:bCs/>
                <w:szCs w:val="24"/>
                <w:lang w:eastAsia="lv-LV"/>
              </w:rPr>
              <w:t>papildināt</w:t>
            </w:r>
            <w:r w:rsidR="009221A4">
              <w:rPr>
                <w:rFonts w:eastAsia="Times New Roman" w:cs="Times New Roman"/>
                <w:bCs/>
                <w:szCs w:val="24"/>
                <w:lang w:eastAsia="lv-LV"/>
              </w:rPr>
              <w:t>a</w:t>
            </w:r>
            <w:r w:rsidR="002129A8">
              <w:rPr>
                <w:rFonts w:eastAsia="Times New Roman" w:cs="Times New Roman"/>
                <w:bCs/>
                <w:szCs w:val="24"/>
                <w:lang w:eastAsia="lv-LV"/>
              </w:rPr>
              <w:t>s</w:t>
            </w:r>
            <w:r w:rsidRPr="009221A4">
              <w:rPr>
                <w:rFonts w:eastAsia="Times New Roman" w:cs="Times New Roman"/>
                <w:bCs/>
                <w:szCs w:val="24"/>
                <w:lang w:eastAsia="lv-LV"/>
              </w:rPr>
              <w:t xml:space="preserve"> ar ministriju sniegtajiem skaidrojumiem par apropriāciju apmēra izmaiņām pēc sākotnējā plāna pieņemšanas, optimizācija</w:t>
            </w:r>
            <w:r w:rsidR="000678EE">
              <w:rPr>
                <w:rFonts w:eastAsia="Times New Roman" w:cs="Times New Roman"/>
                <w:bCs/>
                <w:szCs w:val="24"/>
                <w:lang w:eastAsia="lv-LV"/>
              </w:rPr>
              <w:t>s</w:t>
            </w:r>
            <w:r w:rsidRPr="009221A4">
              <w:rPr>
                <w:rFonts w:eastAsia="Times New Roman" w:cs="Times New Roman"/>
                <w:bCs/>
                <w:szCs w:val="24"/>
                <w:lang w:eastAsia="lv-LV"/>
              </w:rPr>
              <w:t xml:space="preserve"> pasākumiem un strukturālajām reformām un par prioritārajiem pasākumiem un jaunajām politikas iniciatīvām </w:t>
            </w:r>
            <w:r w:rsidR="00A11AE2" w:rsidRPr="006C174E">
              <w:rPr>
                <w:rFonts w:eastAsia="Times New Roman" w:cs="Times New Roman"/>
                <w:bCs/>
                <w:szCs w:val="24"/>
                <w:lang w:eastAsia="lv-LV"/>
              </w:rPr>
              <w:t xml:space="preserve">piešķirto </w:t>
            </w:r>
            <w:r w:rsidRPr="006C174E">
              <w:rPr>
                <w:rFonts w:eastAsia="Times New Roman" w:cs="Times New Roman"/>
                <w:bCs/>
                <w:szCs w:val="24"/>
                <w:lang w:eastAsia="lv-LV"/>
              </w:rPr>
              <w:t>papildu finansējumu</w:t>
            </w:r>
            <w:r w:rsidRPr="009221A4">
              <w:rPr>
                <w:rFonts w:eastAsia="Times New Roman" w:cs="Times New Roman"/>
                <w:bCs/>
                <w:szCs w:val="24"/>
                <w:lang w:eastAsia="lv-LV"/>
              </w:rPr>
              <w:t>.</w:t>
            </w:r>
          </w:p>
          <w:p w:rsidR="00A2128C" w:rsidRPr="009221A4" w:rsidRDefault="00A2128C" w:rsidP="00A2128C">
            <w:pPr>
              <w:pStyle w:val="ListParagraph"/>
              <w:tabs>
                <w:tab w:val="left" w:pos="447"/>
              </w:tabs>
              <w:ind w:left="33"/>
              <w:jc w:val="both"/>
              <w:rPr>
                <w:rFonts w:eastAsia="Times New Roman" w:cs="Times New Roman"/>
                <w:bCs/>
                <w:szCs w:val="24"/>
                <w:lang w:eastAsia="lv-LV"/>
              </w:rPr>
            </w:pPr>
            <w:r w:rsidRPr="00EA5E16">
              <w:rPr>
                <w:rFonts w:eastAsia="Times New Roman" w:cs="Times New Roman"/>
                <w:bCs/>
                <w:szCs w:val="24"/>
                <w:lang w:eastAsia="lv-LV"/>
              </w:rPr>
              <w:t xml:space="preserve">Papildus noteikumu </w:t>
            </w:r>
            <w:r w:rsidR="00654BCB">
              <w:rPr>
                <w:rFonts w:eastAsia="Times New Roman" w:cs="Times New Roman"/>
                <w:bCs/>
                <w:szCs w:val="24"/>
                <w:lang w:eastAsia="lv-LV"/>
              </w:rPr>
              <w:t>projekts paredz</w:t>
            </w:r>
            <w:r>
              <w:rPr>
                <w:rFonts w:eastAsia="Times New Roman" w:cs="Times New Roman"/>
                <w:bCs/>
                <w:szCs w:val="24"/>
                <w:lang w:eastAsia="lv-LV"/>
              </w:rPr>
              <w:t>, ka</w:t>
            </w:r>
            <w:r w:rsidR="00654BCB">
              <w:rPr>
                <w:rFonts w:eastAsia="Times New Roman" w:cs="Times New Roman"/>
                <w:bCs/>
                <w:szCs w:val="24"/>
                <w:lang w:eastAsia="lv-LV"/>
              </w:rPr>
              <w:t>,</w:t>
            </w:r>
            <w:r w:rsidRPr="00EA5E16">
              <w:rPr>
                <w:rFonts w:eastAsia="Times New Roman" w:cs="Times New Roman"/>
                <w:bCs/>
                <w:szCs w:val="24"/>
                <w:lang w:eastAsia="lv-LV"/>
              </w:rPr>
              <w:t xml:space="preserve"> </w:t>
            </w:r>
            <w:r w:rsidR="00654BCB">
              <w:rPr>
                <w:rFonts w:eastAsia="Times New Roman" w:cs="Times New Roman"/>
                <w:bCs/>
                <w:szCs w:val="24"/>
                <w:lang w:eastAsia="lv-LV"/>
              </w:rPr>
              <w:t>j</w:t>
            </w:r>
            <w:r w:rsidR="00654BCB" w:rsidRPr="00654BCB">
              <w:rPr>
                <w:rFonts w:eastAsia="Times New Roman" w:cs="Times New Roman"/>
                <w:bCs/>
                <w:szCs w:val="24"/>
                <w:lang w:eastAsia="lv-LV"/>
              </w:rPr>
              <w:t xml:space="preserve">a Ministru kabinets nav lēmis </w:t>
            </w:r>
            <w:r w:rsidR="009B59E9">
              <w:rPr>
                <w:rFonts w:eastAsia="Times New Roman" w:cs="Times New Roman"/>
                <w:bCs/>
                <w:szCs w:val="24"/>
                <w:lang w:eastAsia="lv-LV"/>
              </w:rPr>
              <w:t>citādi</w:t>
            </w:r>
            <w:r w:rsidR="00654BCB">
              <w:rPr>
                <w:rFonts w:eastAsia="Times New Roman" w:cs="Times New Roman"/>
                <w:bCs/>
                <w:szCs w:val="24"/>
                <w:lang w:eastAsia="lv-LV"/>
              </w:rPr>
              <w:t>,</w:t>
            </w:r>
            <w:r w:rsidR="00654BCB" w:rsidRPr="00654BCB">
              <w:rPr>
                <w:rFonts w:eastAsia="Times New Roman" w:cs="Times New Roman"/>
                <w:bCs/>
                <w:szCs w:val="24"/>
                <w:lang w:eastAsia="lv-LV"/>
              </w:rPr>
              <w:t xml:space="preserve"> </w:t>
            </w:r>
            <w:r w:rsidRPr="00A2128C">
              <w:rPr>
                <w:rFonts w:eastAsia="Times New Roman" w:cs="Times New Roman"/>
                <w:bCs/>
                <w:szCs w:val="24"/>
                <w:lang w:eastAsia="lv-LV"/>
              </w:rPr>
              <w:t xml:space="preserve">Finanšu ministrija sadarbībā ar pārējām ministrijām mēneša laikā pēc </w:t>
            </w:r>
            <w:r w:rsidRPr="00A2128C">
              <w:rPr>
                <w:rFonts w:eastAsia="Times New Roman" w:cs="Times New Roman"/>
                <w:bCs/>
                <w:szCs w:val="24"/>
                <w:lang w:eastAsia="lv-LV"/>
              </w:rPr>
              <w:lastRenderedPageBreak/>
              <w:t xml:space="preserve">gadskārtējā valsts budžeta likuma spēkā stāšanās aktualizē gadskārtējam valsts budžeta likumprojektam pievienotos paskaidrojumus un publicē tos Finanšu ministrijas </w:t>
            </w:r>
            <w:r w:rsidR="00762754" w:rsidRPr="00762754">
              <w:rPr>
                <w:rFonts w:eastAsia="Calibri" w:cs="Times New Roman"/>
                <w:bCs/>
                <w:szCs w:val="24"/>
              </w:rPr>
              <w:t>tīmekļa</w:t>
            </w:r>
            <w:r w:rsidR="00762754">
              <w:rPr>
                <w:rFonts w:eastAsia="Times New Roman" w:cs="Times New Roman"/>
                <w:bCs/>
                <w:szCs w:val="24"/>
                <w:lang w:eastAsia="lv-LV"/>
              </w:rPr>
              <w:t xml:space="preserve"> vietnē </w:t>
            </w:r>
            <w:r>
              <w:rPr>
                <w:rFonts w:eastAsia="Times New Roman" w:cs="Times New Roman"/>
                <w:bCs/>
                <w:szCs w:val="24"/>
                <w:lang w:eastAsia="lv-LV"/>
              </w:rPr>
              <w:t xml:space="preserve">. </w:t>
            </w:r>
          </w:p>
          <w:p w:rsidR="00EA5E16" w:rsidRPr="00EA5E16" w:rsidRDefault="00EA5E16" w:rsidP="00C0231E">
            <w:pPr>
              <w:numPr>
                <w:ilvl w:val="0"/>
                <w:numId w:val="3"/>
              </w:numPr>
              <w:tabs>
                <w:tab w:val="left" w:pos="447"/>
              </w:tabs>
              <w:ind w:left="33" w:firstLine="0"/>
              <w:jc w:val="both"/>
              <w:rPr>
                <w:rFonts w:eastAsia="Times New Roman" w:cs="Times New Roman"/>
                <w:bCs/>
                <w:szCs w:val="24"/>
                <w:lang w:eastAsia="lv-LV"/>
              </w:rPr>
            </w:pPr>
            <w:r w:rsidRPr="00EA5E16">
              <w:rPr>
                <w:rFonts w:eastAsia="Times New Roman" w:cs="Times New Roman"/>
                <w:bCs/>
                <w:szCs w:val="24"/>
                <w:lang w:eastAsia="lv-LV"/>
              </w:rPr>
              <w:t>Tiks svītrota veidlapa Nr.5 „Eiropas Savienības politiku instrumentu un pārējo ārvalstu finanšu palīdzības līdzekļu naudas plūsmas (izdevumu prognozes) plāns n, n+1, n+2 un n+3 gadiem pēc finansējuma sniedzēja”</w:t>
            </w:r>
            <w:r w:rsidR="00831D08">
              <w:rPr>
                <w:rFonts w:eastAsia="Times New Roman" w:cs="Times New Roman"/>
                <w:bCs/>
                <w:szCs w:val="24"/>
                <w:lang w:eastAsia="lv-LV"/>
              </w:rPr>
              <w:t xml:space="preserve"> </w:t>
            </w:r>
            <w:r w:rsidR="00831D08" w:rsidRPr="00EA5E16">
              <w:rPr>
                <w:rFonts w:eastAsia="Times New Roman" w:cs="Times New Roman"/>
                <w:bCs/>
                <w:szCs w:val="24"/>
                <w:lang w:eastAsia="lv-LV"/>
              </w:rPr>
              <w:t>(15.pielikums)</w:t>
            </w:r>
            <w:r w:rsidRPr="00EA5E16">
              <w:rPr>
                <w:rFonts w:eastAsia="Times New Roman" w:cs="Times New Roman"/>
                <w:bCs/>
                <w:szCs w:val="24"/>
                <w:lang w:eastAsia="lv-LV"/>
              </w:rPr>
              <w:t>,</w:t>
            </w:r>
            <w:r w:rsidRPr="00EA5E16">
              <w:rPr>
                <w:rFonts w:eastAsia="Times New Roman" w:cs="Times New Roman"/>
                <w:szCs w:val="24"/>
                <w:lang w:eastAsia="lv-LV"/>
              </w:rPr>
              <w:t xml:space="preserve"> veidlapa Nr.24 </w:t>
            </w:r>
            <w:r w:rsidRPr="00EA5E16">
              <w:rPr>
                <w:rFonts w:eastAsia="Times New Roman" w:cs="Times New Roman"/>
                <w:bCs/>
                <w:szCs w:val="24"/>
                <w:lang w:eastAsia="lv-LV"/>
              </w:rPr>
              <w:t>„Ministriju un citu centrālo valsts iestāžu plānotais amata vietu skaits”</w:t>
            </w:r>
            <w:r w:rsidR="00831D08" w:rsidRPr="00EA5E16">
              <w:rPr>
                <w:rFonts w:eastAsia="Times New Roman" w:cs="Times New Roman"/>
                <w:szCs w:val="24"/>
                <w:lang w:eastAsia="lv-LV"/>
              </w:rPr>
              <w:t xml:space="preserve"> (</w:t>
            </w:r>
            <w:r w:rsidR="00831D08" w:rsidRPr="00EA5E16">
              <w:rPr>
                <w:rFonts w:eastAsia="Times New Roman" w:cs="Times New Roman"/>
                <w:bCs/>
                <w:szCs w:val="24"/>
                <w:lang w:eastAsia="lv-LV"/>
              </w:rPr>
              <w:t>35.pielikums)</w:t>
            </w:r>
            <w:r w:rsidRPr="00EA5E16">
              <w:rPr>
                <w:rFonts w:eastAsia="Times New Roman" w:cs="Times New Roman"/>
                <w:bCs/>
                <w:szCs w:val="24"/>
                <w:lang w:eastAsia="lv-LV"/>
              </w:rPr>
              <w:t xml:space="preserve">, kā arī tiks optimizēti mērķdotāciju pašvaldībām pielikumi (no </w:t>
            </w:r>
            <w:r w:rsidR="00D17578">
              <w:rPr>
                <w:rFonts w:eastAsia="Times New Roman" w:cs="Times New Roman"/>
                <w:bCs/>
                <w:szCs w:val="24"/>
                <w:lang w:eastAsia="lv-LV"/>
              </w:rPr>
              <w:t>līdzšinēji</w:t>
            </w:r>
            <w:r w:rsidR="00376D22">
              <w:rPr>
                <w:rFonts w:eastAsia="Times New Roman" w:cs="Times New Roman"/>
                <w:bCs/>
                <w:szCs w:val="24"/>
                <w:lang w:eastAsia="lv-LV"/>
              </w:rPr>
              <w:t>em</w:t>
            </w:r>
            <w:r w:rsidR="00D17578">
              <w:rPr>
                <w:rFonts w:eastAsia="Times New Roman" w:cs="Times New Roman"/>
                <w:bCs/>
                <w:szCs w:val="24"/>
                <w:lang w:eastAsia="lv-LV"/>
              </w:rPr>
              <w:t xml:space="preserve"> </w:t>
            </w:r>
            <w:r w:rsidRPr="00EA5E16">
              <w:rPr>
                <w:rFonts w:eastAsia="Times New Roman" w:cs="Times New Roman"/>
                <w:bCs/>
                <w:szCs w:val="24"/>
                <w:lang w:eastAsia="lv-LV"/>
              </w:rPr>
              <w:t>9 pielikumiem līdz 7 pielikumiem</w:t>
            </w:r>
            <w:r w:rsidR="00D17578">
              <w:rPr>
                <w:rFonts w:eastAsia="Times New Roman" w:cs="Times New Roman"/>
                <w:bCs/>
                <w:szCs w:val="24"/>
                <w:lang w:eastAsia="lv-LV"/>
              </w:rPr>
              <w:t xml:space="preserve"> turpmāk</w:t>
            </w:r>
            <w:r w:rsidRPr="00EA5E16">
              <w:rPr>
                <w:rFonts w:eastAsia="Times New Roman" w:cs="Times New Roman"/>
                <w:bCs/>
                <w:szCs w:val="24"/>
                <w:lang w:eastAsia="lv-LV"/>
              </w:rPr>
              <w:t>).</w:t>
            </w:r>
            <w:r w:rsidR="00831D08">
              <w:rPr>
                <w:rFonts w:eastAsia="Times New Roman" w:cs="Times New Roman"/>
                <w:bCs/>
                <w:szCs w:val="24"/>
                <w:lang w:eastAsia="lv-LV"/>
              </w:rPr>
              <w:t xml:space="preserve"> </w:t>
            </w:r>
          </w:p>
          <w:p w:rsidR="00EA5E16" w:rsidRPr="00EA5E16" w:rsidRDefault="00EA5E16" w:rsidP="00EA5E16">
            <w:pPr>
              <w:tabs>
                <w:tab w:val="left" w:pos="447"/>
              </w:tabs>
              <w:ind w:left="33"/>
              <w:jc w:val="both"/>
              <w:rPr>
                <w:rFonts w:eastAsia="Times New Roman" w:cs="Times New Roman"/>
                <w:bCs/>
                <w:szCs w:val="24"/>
                <w:lang w:eastAsia="lv-LV"/>
              </w:rPr>
            </w:pPr>
            <w:r w:rsidRPr="00EA5E16">
              <w:rPr>
                <w:rFonts w:eastAsia="Times New Roman" w:cs="Times New Roman"/>
                <w:bCs/>
                <w:szCs w:val="24"/>
                <w:lang w:eastAsia="lv-LV"/>
              </w:rPr>
              <w:t>Noteikumu projekts tiks papildināts ar veidlapu Nr.9 „Optimizācijas pasākumu un strukturālo reformu saraksts vidējam termiņam”</w:t>
            </w:r>
            <w:r w:rsidR="00831D08" w:rsidRPr="00EA5E16">
              <w:rPr>
                <w:rFonts w:eastAsia="Times New Roman" w:cs="Times New Roman"/>
                <w:bCs/>
                <w:szCs w:val="24"/>
                <w:lang w:eastAsia="lv-LV"/>
              </w:rPr>
              <w:t xml:space="preserve"> (20.pielikums)</w:t>
            </w:r>
            <w:r w:rsidRPr="00EA5E16">
              <w:rPr>
                <w:rFonts w:eastAsia="Times New Roman" w:cs="Times New Roman"/>
                <w:bCs/>
                <w:szCs w:val="24"/>
                <w:lang w:eastAsia="lv-LV"/>
              </w:rPr>
              <w:t xml:space="preserve">, veidlapu Nr.22 „Plānoto ministriju, </w:t>
            </w:r>
            <w:r w:rsidR="008826B6">
              <w:rPr>
                <w:rFonts w:eastAsia="Times New Roman" w:cs="Times New Roman"/>
                <w:bCs/>
                <w:szCs w:val="24"/>
                <w:lang w:eastAsia="lv-LV"/>
              </w:rPr>
              <w:t xml:space="preserve">no valsts </w:t>
            </w:r>
            <w:r w:rsidRPr="00EA5E16">
              <w:rPr>
                <w:rFonts w:eastAsia="Times New Roman" w:cs="Times New Roman"/>
                <w:bCs/>
                <w:szCs w:val="24"/>
                <w:lang w:eastAsia="lv-LV"/>
              </w:rPr>
              <w:t xml:space="preserve">budžeta daļēji finansēto atvasināto publisko personu vai budžeta nefinansēto iestāžu savstarpējo transfertu n+1, n+2, n+3 gadā saskaņojums” </w:t>
            </w:r>
            <w:r w:rsidR="00831D08" w:rsidRPr="00EA5E16">
              <w:rPr>
                <w:rFonts w:eastAsia="Times New Roman" w:cs="Times New Roman"/>
                <w:bCs/>
                <w:szCs w:val="24"/>
                <w:lang w:eastAsia="lv-LV"/>
              </w:rPr>
              <w:t xml:space="preserve">(35.pielikums) </w:t>
            </w:r>
            <w:r w:rsidRPr="00EA5E16">
              <w:rPr>
                <w:rFonts w:eastAsia="Times New Roman" w:cs="Times New Roman"/>
                <w:bCs/>
                <w:szCs w:val="24"/>
                <w:lang w:eastAsia="lv-LV"/>
              </w:rPr>
              <w:t>un ar veidlapu Nr.24 „Paskaidrojums par ministrijas (citas centrālās valsts iestādes) darbības rezultātu un to rezultatīvo rādītāju izmaiņām”</w:t>
            </w:r>
            <w:r w:rsidR="00831D08">
              <w:rPr>
                <w:rFonts w:eastAsia="Times New Roman" w:cs="Times New Roman"/>
                <w:bCs/>
                <w:szCs w:val="24"/>
                <w:lang w:eastAsia="lv-LV"/>
              </w:rPr>
              <w:t xml:space="preserve"> </w:t>
            </w:r>
            <w:r w:rsidR="00831D08" w:rsidRPr="00EA5E16">
              <w:rPr>
                <w:rFonts w:eastAsia="Times New Roman" w:cs="Times New Roman"/>
                <w:bCs/>
                <w:szCs w:val="24"/>
                <w:lang w:eastAsia="lv-LV"/>
              </w:rPr>
              <w:t>(38.pielikums)</w:t>
            </w:r>
            <w:r w:rsidRPr="00EA5E16">
              <w:rPr>
                <w:rFonts w:eastAsia="Times New Roman" w:cs="Times New Roman"/>
                <w:bCs/>
                <w:szCs w:val="24"/>
                <w:lang w:eastAsia="lv-LV"/>
              </w:rPr>
              <w:t>. Papildus noteikumu projekts tiks papildināts ar veidlap</w:t>
            </w:r>
            <w:r w:rsidR="008F4B19">
              <w:rPr>
                <w:rFonts w:eastAsia="Times New Roman" w:cs="Times New Roman"/>
                <w:bCs/>
                <w:szCs w:val="24"/>
                <w:lang w:eastAsia="lv-LV"/>
              </w:rPr>
              <w:t>ām</w:t>
            </w:r>
            <w:r w:rsidRPr="00EA5E16">
              <w:rPr>
                <w:rFonts w:eastAsia="Times New Roman" w:cs="Times New Roman"/>
                <w:bCs/>
                <w:szCs w:val="24"/>
                <w:lang w:eastAsia="lv-LV"/>
              </w:rPr>
              <w:t>, kur</w:t>
            </w:r>
            <w:r w:rsidR="002A4CDC">
              <w:rPr>
                <w:rFonts w:eastAsia="Times New Roman" w:cs="Times New Roman"/>
                <w:bCs/>
                <w:szCs w:val="24"/>
                <w:lang w:eastAsia="lv-LV"/>
              </w:rPr>
              <w:t>a</w:t>
            </w:r>
            <w:r w:rsidR="008F4B19">
              <w:rPr>
                <w:rFonts w:eastAsia="Times New Roman" w:cs="Times New Roman"/>
                <w:bCs/>
                <w:szCs w:val="24"/>
                <w:lang w:eastAsia="lv-LV"/>
              </w:rPr>
              <w:t>s</w:t>
            </w:r>
            <w:r w:rsidRPr="00EA5E16">
              <w:rPr>
                <w:rFonts w:eastAsia="Times New Roman" w:cs="Times New Roman"/>
                <w:bCs/>
                <w:szCs w:val="24"/>
                <w:lang w:eastAsia="lv-LV"/>
              </w:rPr>
              <w:t xml:space="preserve"> piemēro paskaidrojumiem par ministrijas priekšlikumiem grozījumiem likumā par valsts budžetu kārtējam gadam – </w:t>
            </w:r>
            <w:r w:rsidRPr="00EA5E16">
              <w:rPr>
                <w:rFonts w:eastAsia="Calibri" w:cs="Times New Roman"/>
                <w:bCs/>
                <w:szCs w:val="24"/>
              </w:rPr>
              <w:t xml:space="preserve">veidlapa Nr.23(pb) </w:t>
            </w:r>
            <w:r w:rsidRPr="00EA5E16">
              <w:rPr>
                <w:rFonts w:eastAsia="Times New Roman" w:cs="Times New Roman"/>
                <w:bCs/>
                <w:szCs w:val="24"/>
                <w:lang w:eastAsia="lv-LV"/>
              </w:rPr>
              <w:t xml:space="preserve">„Paskaidrojums par ministrijas (citas centrālās valsts iestādes) priekšlikumiem grozījumiem likumā par valsts budžetu kārtējam gadam valsts pamatbudžetā” </w:t>
            </w:r>
            <w:r w:rsidR="00831D08" w:rsidRPr="00EA5E16">
              <w:rPr>
                <w:rFonts w:eastAsia="Calibri" w:cs="Times New Roman"/>
                <w:bCs/>
                <w:szCs w:val="24"/>
              </w:rPr>
              <w:t>(</w:t>
            </w:r>
            <w:r w:rsidR="00831D08" w:rsidRPr="00EA5E16">
              <w:rPr>
                <w:rFonts w:eastAsia="Times New Roman" w:cs="Times New Roman"/>
                <w:bCs/>
                <w:szCs w:val="24"/>
                <w:lang w:eastAsia="lv-LV"/>
              </w:rPr>
              <w:t xml:space="preserve">36.pielikums) </w:t>
            </w:r>
            <w:r w:rsidR="00831D08">
              <w:rPr>
                <w:rFonts w:eastAsia="Times New Roman" w:cs="Times New Roman"/>
                <w:bCs/>
                <w:szCs w:val="24"/>
                <w:lang w:eastAsia="lv-LV"/>
              </w:rPr>
              <w:t xml:space="preserve">un </w:t>
            </w:r>
            <w:r w:rsidR="00831D08" w:rsidRPr="001C3CA9">
              <w:rPr>
                <w:rFonts w:eastAsia="Times New Roman" w:cs="Times New Roman"/>
                <w:bCs/>
                <w:szCs w:val="24"/>
                <w:lang w:eastAsia="lv-LV"/>
              </w:rPr>
              <w:t>veidlapa</w:t>
            </w:r>
            <w:r w:rsidR="00831D08">
              <w:rPr>
                <w:rFonts w:eastAsia="Times New Roman" w:cs="Times New Roman"/>
                <w:bCs/>
                <w:szCs w:val="24"/>
                <w:lang w:eastAsia="lv-LV"/>
              </w:rPr>
              <w:t xml:space="preserve"> Nr.23(sb) </w:t>
            </w:r>
            <w:r w:rsidRPr="00EA5E16">
              <w:rPr>
                <w:rFonts w:eastAsia="Times New Roman" w:cs="Times New Roman"/>
                <w:bCs/>
                <w:szCs w:val="24"/>
                <w:lang w:eastAsia="lv-LV"/>
              </w:rPr>
              <w:t>„Paskaidrojums par ministrijas (citas centrālās valsts iestādes) priekšlikumiem grozījumiem likumā par valsts budžetu kārtējam gadam valsts speciālajā budžetā”</w:t>
            </w:r>
            <w:r w:rsidR="00831D08" w:rsidRPr="00EA5E16">
              <w:rPr>
                <w:rFonts w:eastAsia="Times New Roman" w:cs="Times New Roman"/>
                <w:bCs/>
                <w:szCs w:val="24"/>
                <w:lang w:eastAsia="lv-LV"/>
              </w:rPr>
              <w:t xml:space="preserve"> (37.pielikums)</w:t>
            </w:r>
            <w:r w:rsidRPr="00EA5E16">
              <w:rPr>
                <w:rFonts w:eastAsia="Times New Roman" w:cs="Times New Roman"/>
                <w:bCs/>
                <w:szCs w:val="24"/>
                <w:lang w:eastAsia="lv-LV"/>
              </w:rPr>
              <w:t>.</w:t>
            </w:r>
          </w:p>
          <w:p w:rsidR="00EA5E16" w:rsidRDefault="00C92D39" w:rsidP="00EA5E16">
            <w:pPr>
              <w:tabs>
                <w:tab w:val="left" w:pos="447"/>
              </w:tabs>
              <w:ind w:left="33"/>
              <w:jc w:val="both"/>
              <w:rPr>
                <w:rFonts w:eastAsia="Times New Roman" w:cs="Times New Roman"/>
                <w:bCs/>
                <w:szCs w:val="24"/>
                <w:lang w:eastAsia="lv-LV"/>
              </w:rPr>
            </w:pPr>
            <w:r w:rsidRPr="00913088">
              <w:rPr>
                <w:rFonts w:eastAsia="Times New Roman" w:cs="Times New Roman"/>
                <w:bCs/>
                <w:szCs w:val="24"/>
                <w:lang w:eastAsia="lv-LV"/>
              </w:rPr>
              <w:t>V</w:t>
            </w:r>
            <w:r w:rsidR="00EA5E16" w:rsidRPr="00913088">
              <w:rPr>
                <w:rFonts w:eastAsia="Times New Roman" w:cs="Times New Roman"/>
                <w:bCs/>
                <w:szCs w:val="24"/>
                <w:lang w:eastAsia="lv-LV"/>
              </w:rPr>
              <w:t xml:space="preserve">eidlapas </w:t>
            </w:r>
            <w:r w:rsidRPr="00913088">
              <w:rPr>
                <w:rFonts w:eastAsia="Times New Roman" w:cs="Times New Roman"/>
                <w:bCs/>
                <w:szCs w:val="24"/>
                <w:lang w:eastAsia="lv-LV"/>
              </w:rPr>
              <w:t xml:space="preserve">tiks </w:t>
            </w:r>
            <w:r w:rsidR="00CD295F" w:rsidRPr="00913088">
              <w:rPr>
                <w:rFonts w:eastAsia="Times New Roman" w:cs="Times New Roman"/>
                <w:bCs/>
                <w:szCs w:val="24"/>
                <w:lang w:eastAsia="lv-LV"/>
              </w:rPr>
              <w:t xml:space="preserve">aktualizētas </w:t>
            </w:r>
            <w:r w:rsidR="00EA5E16" w:rsidRPr="00913088">
              <w:rPr>
                <w:rFonts w:eastAsia="Times New Roman" w:cs="Times New Roman"/>
                <w:bCs/>
                <w:szCs w:val="24"/>
                <w:lang w:eastAsia="lv-LV"/>
              </w:rPr>
              <w:t>atbilstoši jaunpieņemtajām budžeta ieņēmumu un izdevumu klasi</w:t>
            </w:r>
            <w:r w:rsidR="00021BE3" w:rsidRPr="00913088">
              <w:rPr>
                <w:rFonts w:eastAsia="Times New Roman" w:cs="Times New Roman"/>
                <w:bCs/>
                <w:szCs w:val="24"/>
                <w:lang w:eastAsia="lv-LV"/>
              </w:rPr>
              <w:t>fikācijām,</w:t>
            </w:r>
            <w:r w:rsidR="00664161" w:rsidRPr="00913088">
              <w:t xml:space="preserve"> </w:t>
            </w:r>
            <w:r w:rsidR="00321C6C" w:rsidRPr="00913088">
              <w:rPr>
                <w:rFonts w:eastAsia="Times New Roman" w:cs="Times New Roman"/>
                <w:bCs/>
                <w:szCs w:val="24"/>
                <w:lang w:eastAsia="lv-LV"/>
              </w:rPr>
              <w:t>attiecīg</w:t>
            </w:r>
            <w:r w:rsidR="00321C6C">
              <w:rPr>
                <w:rFonts w:eastAsia="Times New Roman" w:cs="Times New Roman"/>
                <w:bCs/>
                <w:szCs w:val="24"/>
                <w:lang w:eastAsia="lv-LV"/>
              </w:rPr>
              <w:t>ā</w:t>
            </w:r>
            <w:r w:rsidR="00321C6C" w:rsidRPr="00913088">
              <w:rPr>
                <w:rFonts w:eastAsia="Times New Roman" w:cs="Times New Roman"/>
                <w:bCs/>
                <w:szCs w:val="24"/>
                <w:lang w:eastAsia="lv-LV"/>
              </w:rPr>
              <w:t xml:space="preserve">s </w:t>
            </w:r>
            <w:r w:rsidR="00664161" w:rsidRPr="00913088">
              <w:rPr>
                <w:rFonts w:eastAsia="Times New Roman" w:cs="Times New Roman"/>
                <w:bCs/>
                <w:szCs w:val="24"/>
                <w:lang w:eastAsia="lv-LV"/>
              </w:rPr>
              <w:t>izmaiņas tiks veikt</w:t>
            </w:r>
            <w:r w:rsidR="002429C8">
              <w:rPr>
                <w:rFonts w:eastAsia="Times New Roman" w:cs="Times New Roman"/>
                <w:bCs/>
                <w:szCs w:val="24"/>
                <w:lang w:eastAsia="lv-LV"/>
              </w:rPr>
              <w:t>as</w:t>
            </w:r>
            <w:r w:rsidR="00664161" w:rsidRPr="00913088">
              <w:rPr>
                <w:rFonts w:eastAsia="Times New Roman" w:cs="Times New Roman"/>
                <w:bCs/>
                <w:szCs w:val="24"/>
                <w:lang w:eastAsia="lv-LV"/>
              </w:rPr>
              <w:t xml:space="preserve"> finansiālās bilances aprēķina formulās,</w:t>
            </w:r>
            <w:r w:rsidR="00021BE3" w:rsidRPr="00913088">
              <w:rPr>
                <w:rFonts w:eastAsia="Times New Roman" w:cs="Times New Roman"/>
                <w:bCs/>
                <w:szCs w:val="24"/>
                <w:lang w:eastAsia="lv-LV"/>
              </w:rPr>
              <w:t xml:space="preserve"> kā arī veidlapās tiks</w:t>
            </w:r>
            <w:r w:rsidR="00EA5E16" w:rsidRPr="00913088">
              <w:rPr>
                <w:rFonts w:eastAsia="Times New Roman" w:cs="Times New Roman"/>
                <w:bCs/>
                <w:szCs w:val="24"/>
                <w:lang w:eastAsia="lv-LV"/>
              </w:rPr>
              <w:t xml:space="preserve"> veikti citi precizējumi,</w:t>
            </w:r>
            <w:r w:rsidR="001D1EA4">
              <w:rPr>
                <w:rFonts w:eastAsia="Times New Roman" w:cs="Times New Roman"/>
                <w:bCs/>
                <w:szCs w:val="24"/>
                <w:lang w:eastAsia="lv-LV"/>
              </w:rPr>
              <w:t xml:space="preserve"> tādējādi optimizējot veidlapu struktūru</w:t>
            </w:r>
            <w:r w:rsidR="00EA5E16" w:rsidRPr="00913088">
              <w:rPr>
                <w:rFonts w:eastAsia="Times New Roman" w:cs="Times New Roman"/>
                <w:bCs/>
                <w:szCs w:val="24"/>
                <w:lang w:eastAsia="lv-LV"/>
              </w:rPr>
              <w:t>.</w:t>
            </w:r>
            <w:r w:rsidR="00EA5E16" w:rsidRPr="00EA5E16">
              <w:rPr>
                <w:rFonts w:eastAsia="Times New Roman" w:cs="Times New Roman"/>
                <w:bCs/>
                <w:szCs w:val="24"/>
                <w:lang w:eastAsia="lv-LV"/>
              </w:rPr>
              <w:t xml:space="preserve"> </w:t>
            </w:r>
          </w:p>
          <w:p w:rsidR="00CD295F" w:rsidRPr="00EA5E16" w:rsidRDefault="00CD295F" w:rsidP="00EA5E16">
            <w:pPr>
              <w:tabs>
                <w:tab w:val="left" w:pos="447"/>
              </w:tabs>
              <w:ind w:left="33"/>
              <w:jc w:val="both"/>
              <w:rPr>
                <w:rFonts w:eastAsia="Times New Roman" w:cs="Times New Roman"/>
                <w:bCs/>
                <w:szCs w:val="24"/>
                <w:lang w:eastAsia="lv-LV"/>
              </w:rPr>
            </w:pPr>
            <w:r>
              <w:rPr>
                <w:rFonts w:eastAsia="Times New Roman" w:cs="Times New Roman"/>
                <w:bCs/>
                <w:szCs w:val="24"/>
                <w:lang w:eastAsia="lv-LV"/>
              </w:rPr>
              <w:t xml:space="preserve">Papildus noteikumu projekts paredz, ka </w:t>
            </w:r>
            <w:r w:rsidR="00260744" w:rsidRPr="00260744">
              <w:rPr>
                <w:rFonts w:eastAsia="Times New Roman" w:cs="Times New Roman"/>
                <w:bCs/>
                <w:szCs w:val="24"/>
                <w:lang w:eastAsia="lv-LV"/>
              </w:rPr>
              <w:t>veidlap</w:t>
            </w:r>
            <w:r w:rsidR="00260744">
              <w:rPr>
                <w:rFonts w:eastAsia="Times New Roman" w:cs="Times New Roman"/>
                <w:bCs/>
                <w:szCs w:val="24"/>
                <w:lang w:eastAsia="lv-LV"/>
              </w:rPr>
              <w:t>as</w:t>
            </w:r>
            <w:r w:rsidR="00260744" w:rsidRPr="00260744">
              <w:rPr>
                <w:rFonts w:eastAsia="Times New Roman" w:cs="Times New Roman"/>
                <w:bCs/>
                <w:szCs w:val="24"/>
                <w:lang w:eastAsia="lv-LV"/>
              </w:rPr>
              <w:t xml:space="preserve"> Nr.19(pb) „Valsts pamatbudžeta kopsavilkums” (31.pie</w:t>
            </w:r>
            <w:r w:rsidR="00260744">
              <w:rPr>
                <w:rFonts w:eastAsia="Times New Roman" w:cs="Times New Roman"/>
                <w:bCs/>
                <w:szCs w:val="24"/>
                <w:lang w:eastAsia="lv-LV"/>
              </w:rPr>
              <w:t xml:space="preserve">likums) un </w:t>
            </w:r>
            <w:r w:rsidR="00260744" w:rsidRPr="00260744">
              <w:rPr>
                <w:rFonts w:eastAsia="Times New Roman" w:cs="Times New Roman"/>
                <w:bCs/>
                <w:szCs w:val="24"/>
                <w:lang w:eastAsia="lv-LV"/>
              </w:rPr>
              <w:t>veidlap</w:t>
            </w:r>
            <w:r w:rsidR="00260744">
              <w:rPr>
                <w:rFonts w:eastAsia="Times New Roman" w:cs="Times New Roman"/>
                <w:bCs/>
                <w:szCs w:val="24"/>
                <w:lang w:eastAsia="lv-LV"/>
              </w:rPr>
              <w:t>as</w:t>
            </w:r>
            <w:r w:rsidR="00260744" w:rsidRPr="00260744">
              <w:rPr>
                <w:rFonts w:eastAsia="Times New Roman" w:cs="Times New Roman"/>
                <w:bCs/>
                <w:szCs w:val="24"/>
                <w:lang w:eastAsia="lv-LV"/>
              </w:rPr>
              <w:t xml:space="preserve"> Nr.19(sb) „Valsts speciālā budžeta kopsavilkums” (32</w:t>
            </w:r>
            <w:r w:rsidR="00260744">
              <w:rPr>
                <w:rFonts w:eastAsia="Times New Roman" w:cs="Times New Roman"/>
                <w:bCs/>
                <w:szCs w:val="24"/>
                <w:lang w:eastAsia="lv-LV"/>
              </w:rPr>
              <w:t xml:space="preserve">.pielikums) </w:t>
            </w:r>
            <w:r w:rsidR="00260744" w:rsidRPr="00260744">
              <w:rPr>
                <w:rFonts w:eastAsia="Times New Roman" w:cs="Times New Roman"/>
                <w:bCs/>
                <w:szCs w:val="24"/>
                <w:lang w:eastAsia="lv-LV"/>
              </w:rPr>
              <w:t xml:space="preserve">pārskatu datus </w:t>
            </w:r>
            <w:r w:rsidR="00260744">
              <w:rPr>
                <w:rFonts w:eastAsia="Times New Roman" w:cs="Times New Roman"/>
                <w:bCs/>
                <w:szCs w:val="24"/>
                <w:lang w:eastAsia="lv-LV"/>
              </w:rPr>
              <w:t>ministrija neiesniedz, savukārt</w:t>
            </w:r>
            <w:r w:rsidR="00100344">
              <w:rPr>
                <w:rFonts w:eastAsia="Times New Roman" w:cs="Times New Roman"/>
                <w:bCs/>
                <w:szCs w:val="24"/>
                <w:lang w:eastAsia="lv-LV"/>
              </w:rPr>
              <w:t>,</w:t>
            </w:r>
            <w:r w:rsidR="00260744">
              <w:rPr>
                <w:rFonts w:eastAsia="Times New Roman" w:cs="Times New Roman"/>
                <w:bCs/>
                <w:szCs w:val="24"/>
                <w:lang w:eastAsia="lv-LV"/>
              </w:rPr>
              <w:t xml:space="preserve"> </w:t>
            </w:r>
            <w:r w:rsidR="00260744" w:rsidRPr="00260744">
              <w:rPr>
                <w:rFonts w:eastAsia="Times New Roman" w:cs="Times New Roman"/>
                <w:bCs/>
                <w:szCs w:val="24"/>
                <w:lang w:eastAsia="lv-LV"/>
              </w:rPr>
              <w:t xml:space="preserve">Finanšu ministrija iegūst </w:t>
            </w:r>
            <w:r w:rsidR="00260744">
              <w:rPr>
                <w:rFonts w:eastAsia="Times New Roman" w:cs="Times New Roman"/>
                <w:bCs/>
                <w:szCs w:val="24"/>
                <w:lang w:eastAsia="lv-LV"/>
              </w:rPr>
              <w:t xml:space="preserve">attiecīgas ministrijas pārskatu datus </w:t>
            </w:r>
            <w:r w:rsidR="00260744" w:rsidRPr="00260744">
              <w:rPr>
                <w:rFonts w:eastAsia="Times New Roman" w:cs="Times New Roman"/>
                <w:bCs/>
                <w:szCs w:val="24"/>
                <w:lang w:eastAsia="lv-LV"/>
              </w:rPr>
              <w:t>no SAP sistēmas portāla un elektroniski nosūta tos saskaņošanai ministrijām</w:t>
            </w:r>
            <w:r w:rsidR="00260744">
              <w:rPr>
                <w:rFonts w:eastAsia="Times New Roman" w:cs="Times New Roman"/>
                <w:bCs/>
                <w:szCs w:val="24"/>
                <w:lang w:eastAsia="lv-LV"/>
              </w:rPr>
              <w:t>.</w:t>
            </w:r>
          </w:p>
          <w:p w:rsidR="00EA5E16" w:rsidRPr="00EA5E16" w:rsidRDefault="00EA5E16" w:rsidP="00021BE3">
            <w:pPr>
              <w:numPr>
                <w:ilvl w:val="0"/>
                <w:numId w:val="3"/>
              </w:numPr>
              <w:tabs>
                <w:tab w:val="left" w:pos="447"/>
              </w:tabs>
              <w:ind w:left="33" w:firstLine="0"/>
              <w:jc w:val="both"/>
              <w:rPr>
                <w:rFonts w:eastAsia="Times New Roman" w:cs="Times New Roman"/>
                <w:bCs/>
                <w:szCs w:val="24"/>
                <w:lang w:eastAsia="lv-LV"/>
              </w:rPr>
            </w:pPr>
            <w:r w:rsidRPr="00EA5E16">
              <w:rPr>
                <w:rFonts w:eastAsia="Times New Roman" w:cs="Times New Roman"/>
                <w:bCs/>
                <w:szCs w:val="24"/>
                <w:lang w:eastAsia="lv-LV"/>
              </w:rPr>
              <w:lastRenderedPageBreak/>
              <w:t>Noteikumu projekts paredz, ka SAP sistēmas portāla lietotāju skaitu Finanšu ministrija pārskata vienu reizi gadā un</w:t>
            </w:r>
            <w:r w:rsidRPr="00EA5E16">
              <w:rPr>
                <w:rFonts w:eastAsia="Calibri" w:cs="Times New Roman"/>
                <w:szCs w:val="24"/>
              </w:rPr>
              <w:t xml:space="preserve"> vienas darbdienas laikā anulē SAP lietošanas tiesības, ja </w:t>
            </w:r>
            <w:r w:rsidRPr="00EA5E16">
              <w:rPr>
                <w:rFonts w:eastAsia="Times New Roman" w:cs="Times New Roman"/>
                <w:bCs/>
                <w:szCs w:val="24"/>
                <w:lang w:eastAsia="lv-LV"/>
              </w:rPr>
              <w:t xml:space="preserve">pilnvarotā persona beidz pildīt amata (darba) pienākumus, kuru izpilde saistīta ar SAP sistēmas portāla lietošanu, vai </w:t>
            </w:r>
            <w:r w:rsidR="00937E45" w:rsidRPr="00EA5E16">
              <w:rPr>
                <w:rFonts w:eastAsia="Calibri" w:cs="Times New Roman"/>
                <w:szCs w:val="24"/>
              </w:rPr>
              <w:t>SAP lietošana</w:t>
            </w:r>
            <w:r w:rsidR="00937E45">
              <w:rPr>
                <w:rFonts w:eastAsia="Calibri" w:cs="Times New Roman"/>
                <w:szCs w:val="24"/>
              </w:rPr>
              <w:t>i</w:t>
            </w:r>
            <w:r w:rsidR="00937E45" w:rsidRPr="00EA5E16">
              <w:rPr>
                <w:rFonts w:eastAsia="Calibri" w:cs="Times New Roman"/>
                <w:szCs w:val="24"/>
              </w:rPr>
              <w:t xml:space="preserve"> </w:t>
            </w:r>
            <w:r w:rsidRPr="00EA5E16">
              <w:rPr>
                <w:rFonts w:eastAsia="Times New Roman" w:cs="Times New Roman"/>
                <w:bCs/>
                <w:szCs w:val="24"/>
                <w:lang w:eastAsia="lv-LV"/>
              </w:rPr>
              <w:t xml:space="preserve">pilnvarotā persona atrodas ilgstošā prombūtnē (vienu gadu vai ilgāk). </w:t>
            </w:r>
          </w:p>
          <w:p w:rsidR="003E1C30" w:rsidRDefault="00417898" w:rsidP="00B7116B">
            <w:pPr>
              <w:pStyle w:val="ListParagraph"/>
              <w:numPr>
                <w:ilvl w:val="0"/>
                <w:numId w:val="3"/>
              </w:numPr>
              <w:tabs>
                <w:tab w:val="left" w:pos="447"/>
              </w:tabs>
              <w:ind w:left="33" w:firstLine="0"/>
              <w:jc w:val="both"/>
              <w:rPr>
                <w:rFonts w:eastAsia="Times New Roman" w:cs="Times New Roman"/>
                <w:bCs/>
                <w:szCs w:val="24"/>
                <w:lang w:eastAsia="lv-LV"/>
              </w:rPr>
            </w:pPr>
            <w:r>
              <w:rPr>
                <w:rFonts w:eastAsia="Times New Roman" w:cs="Times New Roman"/>
                <w:bCs/>
                <w:szCs w:val="24"/>
                <w:lang w:eastAsia="lv-LV"/>
              </w:rPr>
              <w:t xml:space="preserve">Noteikumu projekts paredz, ka </w:t>
            </w:r>
            <w:r w:rsidR="00B86F1D">
              <w:rPr>
                <w:rFonts w:eastAsia="Times New Roman" w:cs="Times New Roman"/>
                <w:bCs/>
                <w:szCs w:val="24"/>
                <w:lang w:eastAsia="lv-LV"/>
              </w:rPr>
              <w:t>veidlapās, kuras sagatavo SAP sistēmas portālā,</w:t>
            </w:r>
            <w:r w:rsidRPr="00417898">
              <w:rPr>
                <w:rFonts w:eastAsia="Times New Roman" w:cs="Times New Roman"/>
                <w:bCs/>
                <w:szCs w:val="24"/>
                <w:lang w:eastAsia="lv-LV"/>
              </w:rPr>
              <w:t xml:space="preserve"> ailē „n-1 gada izpilde” ministrija norāda budžeta izpildes datus saskaņā ar</w:t>
            </w:r>
            <w:r w:rsidR="002A0093" w:rsidRPr="002A0093">
              <w:rPr>
                <w:rFonts w:eastAsia="Calibri" w:cs="Times New Roman"/>
                <w:szCs w:val="24"/>
              </w:rPr>
              <w:t xml:space="preserve"> </w:t>
            </w:r>
            <w:r w:rsidR="002A0093" w:rsidRPr="002A0093">
              <w:rPr>
                <w:rFonts w:eastAsia="Times New Roman" w:cs="Times New Roman"/>
                <w:bCs/>
                <w:szCs w:val="24"/>
                <w:lang w:eastAsia="lv-LV"/>
              </w:rPr>
              <w:t>normatīvajā aktā par asignējumu piešķiršanu un izpildi paredzētajā kārtībā</w:t>
            </w:r>
            <w:r w:rsidRPr="00417898">
              <w:rPr>
                <w:rFonts w:eastAsia="Times New Roman" w:cs="Times New Roman"/>
                <w:bCs/>
                <w:szCs w:val="24"/>
                <w:lang w:eastAsia="lv-LV"/>
              </w:rPr>
              <w:t xml:space="preserve"> </w:t>
            </w:r>
            <w:r w:rsidR="002A0093" w:rsidRPr="002A0093">
              <w:rPr>
                <w:rFonts w:eastAsia="Times New Roman" w:cs="Times New Roman"/>
                <w:bCs/>
                <w:szCs w:val="24"/>
                <w:lang w:eastAsia="lv-LV"/>
              </w:rPr>
              <w:t>saskaņoto kopsavilkuma pārskatu par budžeta izpildi</w:t>
            </w:r>
            <w:r w:rsidRPr="00417898">
              <w:rPr>
                <w:rFonts w:eastAsia="Times New Roman" w:cs="Times New Roman"/>
                <w:bCs/>
                <w:szCs w:val="24"/>
                <w:lang w:eastAsia="lv-LV"/>
              </w:rPr>
              <w:t xml:space="preserve">. Veidlapās, kuras </w:t>
            </w:r>
            <w:r w:rsidR="00B86F1D">
              <w:rPr>
                <w:rFonts w:eastAsia="Times New Roman" w:cs="Times New Roman"/>
                <w:bCs/>
                <w:szCs w:val="24"/>
                <w:lang w:eastAsia="lv-LV"/>
              </w:rPr>
              <w:t xml:space="preserve">nesagatavo </w:t>
            </w:r>
            <w:r w:rsidR="00B86F1D" w:rsidRPr="00B86F1D">
              <w:rPr>
                <w:rFonts w:eastAsia="Times New Roman" w:cs="Times New Roman"/>
                <w:bCs/>
                <w:szCs w:val="24"/>
                <w:lang w:eastAsia="lv-LV"/>
              </w:rPr>
              <w:t>SAP sistēmas portālā</w:t>
            </w:r>
            <w:r w:rsidRPr="00417898">
              <w:rPr>
                <w:rFonts w:eastAsia="Times New Roman" w:cs="Times New Roman"/>
                <w:bCs/>
                <w:szCs w:val="24"/>
                <w:lang w:eastAsia="lv-LV"/>
              </w:rPr>
              <w:t>, ailē „n-1 gada izpilde” ministrija norāda budžeta izpildes datus saskaņā ar saimnieciskā gada pārskatu par valsts budžeta izpildi un par pašvaldību budžetiem.</w:t>
            </w:r>
          </w:p>
          <w:p w:rsidR="00733DC2" w:rsidRPr="00417898" w:rsidRDefault="00733DC2" w:rsidP="00733DC2">
            <w:pPr>
              <w:pStyle w:val="ListParagraph"/>
              <w:tabs>
                <w:tab w:val="left" w:pos="447"/>
              </w:tabs>
              <w:ind w:left="33"/>
              <w:jc w:val="both"/>
              <w:rPr>
                <w:rFonts w:eastAsia="Times New Roman" w:cs="Times New Roman"/>
                <w:bCs/>
                <w:szCs w:val="24"/>
                <w:lang w:eastAsia="lv-LV"/>
              </w:rPr>
            </w:pPr>
          </w:p>
          <w:p w:rsidR="00EA5E16" w:rsidRPr="00EA5E16" w:rsidRDefault="00EA5E16" w:rsidP="00D42C80">
            <w:pPr>
              <w:jc w:val="both"/>
              <w:rPr>
                <w:rFonts w:eastAsia="Calibri" w:cs="Times New Roman"/>
                <w:iCs/>
                <w:szCs w:val="24"/>
              </w:rPr>
            </w:pPr>
            <w:r w:rsidRPr="00EA5E16">
              <w:rPr>
                <w:rFonts w:eastAsia="Times New Roman" w:cs="Times New Roman"/>
                <w:szCs w:val="24"/>
                <w:lang w:eastAsia="lv-LV"/>
              </w:rPr>
              <w:t>Noteikumu projektā ietvertie grozījumi par vienotiem valsts pamatbudžeta pamatfunkciju īstenošanas daļas programmu (apakšprogrammu) struktūras veidošanas principi</w:t>
            </w:r>
            <w:r w:rsidR="009C40F2">
              <w:rPr>
                <w:rFonts w:eastAsia="Times New Roman" w:cs="Times New Roman"/>
                <w:szCs w:val="24"/>
                <w:lang w:eastAsia="lv-LV"/>
              </w:rPr>
              <w:t>em</w:t>
            </w:r>
            <w:r w:rsidRPr="00EA5E16">
              <w:rPr>
                <w:rFonts w:eastAsia="Times New Roman" w:cs="Times New Roman"/>
                <w:szCs w:val="24"/>
                <w:lang w:eastAsia="lv-LV"/>
              </w:rPr>
              <w:t xml:space="preserve"> stājas spēkā</w:t>
            </w:r>
            <w:r w:rsidR="000B2718">
              <w:rPr>
                <w:rFonts w:eastAsia="Times New Roman" w:cs="Times New Roman"/>
                <w:szCs w:val="24"/>
                <w:lang w:eastAsia="lv-LV"/>
              </w:rPr>
              <w:t>,</w:t>
            </w:r>
            <w:r w:rsidRPr="00EA5E16">
              <w:rPr>
                <w:rFonts w:eastAsia="Times New Roman" w:cs="Times New Roman"/>
                <w:szCs w:val="24"/>
                <w:lang w:eastAsia="lv-LV"/>
              </w:rPr>
              <w:t xml:space="preserve"> </w:t>
            </w:r>
            <w:r w:rsidRPr="00EA5E16">
              <w:rPr>
                <w:rFonts w:eastAsia="Calibri" w:cs="Times New Roman"/>
                <w:iCs/>
                <w:szCs w:val="24"/>
              </w:rPr>
              <w:t xml:space="preserve">sākot ar likumprojekta par valsts budžetu 2014.gadam izstrādi. </w:t>
            </w:r>
            <w:r w:rsidR="00100344">
              <w:rPr>
                <w:rFonts w:eastAsia="Calibri" w:cs="Times New Roman"/>
                <w:szCs w:val="24"/>
              </w:rPr>
              <w:t>M</w:t>
            </w:r>
            <w:r w:rsidRPr="00EA5E16">
              <w:rPr>
                <w:rFonts w:eastAsia="Calibri" w:cs="Times New Roman"/>
                <w:szCs w:val="24"/>
              </w:rPr>
              <w:t xml:space="preserve">inistrijām </w:t>
            </w:r>
            <w:r w:rsidR="007E5A1A" w:rsidRPr="007E5A1A">
              <w:rPr>
                <w:rFonts w:eastAsia="Calibri" w:cs="Times New Roman"/>
                <w:szCs w:val="24"/>
              </w:rPr>
              <w:t xml:space="preserve">un citām centrālajām valsts iestādēm </w:t>
            </w:r>
            <w:r w:rsidR="00100344">
              <w:rPr>
                <w:rFonts w:eastAsia="Calibri" w:cs="Times New Roman"/>
                <w:szCs w:val="24"/>
              </w:rPr>
              <w:t>pārskatītā</w:t>
            </w:r>
            <w:r w:rsidR="00100344" w:rsidRPr="00EA5E16">
              <w:rPr>
                <w:rFonts w:eastAsia="Calibri" w:cs="Times New Roman"/>
                <w:szCs w:val="24"/>
              </w:rPr>
              <w:t xml:space="preserve"> </w:t>
            </w:r>
            <w:r w:rsidR="007E5A1A" w:rsidRPr="00EA5E16">
              <w:rPr>
                <w:rFonts w:eastAsia="Times New Roman" w:cs="Times New Roman"/>
                <w:szCs w:val="24"/>
                <w:lang w:eastAsia="lv-LV"/>
              </w:rPr>
              <w:t>pamatbudžeta pamatfunkciju</w:t>
            </w:r>
            <w:r w:rsidRPr="00EA5E16">
              <w:rPr>
                <w:rFonts w:eastAsia="Calibri" w:cs="Times New Roman"/>
                <w:szCs w:val="24"/>
              </w:rPr>
              <w:t xml:space="preserve"> programmu (apakšprogrammu) struktūr</w:t>
            </w:r>
            <w:r w:rsidR="00D42C80">
              <w:rPr>
                <w:rFonts w:eastAsia="Calibri" w:cs="Times New Roman"/>
                <w:szCs w:val="24"/>
              </w:rPr>
              <w:t>a</w:t>
            </w:r>
            <w:r w:rsidR="00100344">
              <w:rPr>
                <w:rFonts w:eastAsia="Calibri" w:cs="Times New Roman"/>
                <w:szCs w:val="24"/>
              </w:rPr>
              <w:t xml:space="preserve"> būs</w:t>
            </w:r>
            <w:r w:rsidRPr="00EA5E16">
              <w:rPr>
                <w:rFonts w:eastAsia="Calibri" w:cs="Times New Roman"/>
                <w:szCs w:val="24"/>
              </w:rPr>
              <w:t xml:space="preserve"> jāsaskaņo ar Finanšu ministriju līdz 2013.gada </w:t>
            </w:r>
            <w:r w:rsidR="003E240E">
              <w:rPr>
                <w:rFonts w:eastAsia="Calibri" w:cs="Times New Roman"/>
                <w:szCs w:val="24"/>
              </w:rPr>
              <w:t>30</w:t>
            </w:r>
            <w:r w:rsidRPr="00EA5E16">
              <w:rPr>
                <w:rFonts w:eastAsia="Calibri" w:cs="Times New Roman"/>
                <w:szCs w:val="24"/>
              </w:rPr>
              <w:t>.aprīlim.</w:t>
            </w:r>
          </w:p>
        </w:tc>
      </w:tr>
      <w:tr w:rsidR="00EA5E16" w:rsidRPr="00EA5E16" w:rsidTr="004A187E">
        <w:tc>
          <w:tcPr>
            <w:tcW w:w="64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lastRenderedPageBreak/>
              <w:t>5.</w:t>
            </w:r>
          </w:p>
        </w:tc>
        <w:tc>
          <w:tcPr>
            <w:tcW w:w="3288" w:type="dxa"/>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Projekta izstrādē iesaistītās institūcijas</w:t>
            </w:r>
          </w:p>
        </w:tc>
        <w:tc>
          <w:tcPr>
            <w:tcW w:w="5351" w:type="dxa"/>
          </w:tcPr>
          <w:p w:rsidR="00EA5E16" w:rsidRPr="00EA5E16" w:rsidRDefault="00EA5E16" w:rsidP="000B2718">
            <w:pPr>
              <w:jc w:val="both"/>
              <w:rPr>
                <w:rFonts w:eastAsia="Times New Roman" w:cs="Times New Roman"/>
                <w:szCs w:val="24"/>
                <w:lang w:eastAsia="lv-LV"/>
              </w:rPr>
            </w:pPr>
            <w:r w:rsidRPr="00EA5E16">
              <w:rPr>
                <w:rFonts w:eastAsia="Times New Roman" w:cs="Times New Roman"/>
                <w:szCs w:val="24"/>
                <w:lang w:eastAsia="lv-LV"/>
              </w:rPr>
              <w:t xml:space="preserve">Finanšu ministrija </w:t>
            </w:r>
            <w:r w:rsidR="00A42AFC">
              <w:rPr>
                <w:rFonts w:eastAsia="Times New Roman" w:cs="Times New Roman"/>
                <w:szCs w:val="24"/>
                <w:lang w:eastAsia="lv-LV"/>
              </w:rPr>
              <w:t xml:space="preserve">projekta izstrādē iesaistīja savas </w:t>
            </w:r>
            <w:r w:rsidRPr="00EA5E16">
              <w:rPr>
                <w:rFonts w:eastAsia="Times New Roman" w:cs="Times New Roman"/>
                <w:szCs w:val="24"/>
                <w:lang w:eastAsia="lv-LV"/>
              </w:rPr>
              <w:t>padotības iestā</w:t>
            </w:r>
            <w:r w:rsidR="00A42AFC">
              <w:rPr>
                <w:rFonts w:eastAsia="Times New Roman" w:cs="Times New Roman"/>
                <w:szCs w:val="24"/>
                <w:lang w:eastAsia="lv-LV"/>
              </w:rPr>
              <w:t>des</w:t>
            </w:r>
            <w:r w:rsidRPr="00EA5E16">
              <w:rPr>
                <w:rFonts w:eastAsia="Times New Roman" w:cs="Times New Roman"/>
                <w:szCs w:val="24"/>
                <w:lang w:eastAsia="lv-LV"/>
              </w:rPr>
              <w:t>.</w:t>
            </w:r>
          </w:p>
        </w:tc>
      </w:tr>
      <w:tr w:rsidR="00EA5E16" w:rsidRPr="00EA5E16" w:rsidTr="004A187E">
        <w:tc>
          <w:tcPr>
            <w:tcW w:w="64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6.</w:t>
            </w:r>
          </w:p>
        </w:tc>
        <w:tc>
          <w:tcPr>
            <w:tcW w:w="3288" w:type="dxa"/>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Iemesli, kādēļ netika nodrošināta sabiedrības līdzdalība</w:t>
            </w:r>
          </w:p>
        </w:tc>
        <w:tc>
          <w:tcPr>
            <w:tcW w:w="5351" w:type="dxa"/>
          </w:tcPr>
          <w:p w:rsidR="00EA5E16" w:rsidRPr="00EA5E16" w:rsidRDefault="00EA5E16" w:rsidP="002A0093">
            <w:pPr>
              <w:jc w:val="both"/>
              <w:rPr>
                <w:rFonts w:eastAsia="Times New Roman" w:cs="Times New Roman"/>
                <w:szCs w:val="24"/>
                <w:lang w:eastAsia="lv-LV"/>
              </w:rPr>
            </w:pPr>
            <w:r w:rsidRPr="00EA5E16">
              <w:rPr>
                <w:rFonts w:eastAsia="Times New Roman" w:cs="Times New Roman"/>
                <w:szCs w:val="24"/>
                <w:lang w:eastAsia="lv-LV"/>
              </w:rPr>
              <w:t>Noteikumu projekts attiecas uz ministrij</w:t>
            </w:r>
            <w:r w:rsidR="003B46B5">
              <w:rPr>
                <w:rFonts w:eastAsia="Times New Roman" w:cs="Times New Roman"/>
                <w:szCs w:val="24"/>
                <w:lang w:eastAsia="lv-LV"/>
              </w:rPr>
              <w:t>u</w:t>
            </w:r>
            <w:r w:rsidRPr="00EA5E16">
              <w:rPr>
                <w:rFonts w:eastAsia="Times New Roman" w:cs="Times New Roman"/>
                <w:szCs w:val="24"/>
                <w:lang w:eastAsia="lv-LV"/>
              </w:rPr>
              <w:t xml:space="preserve"> un cit</w:t>
            </w:r>
            <w:r w:rsidR="003B46B5">
              <w:rPr>
                <w:rFonts w:eastAsia="Times New Roman" w:cs="Times New Roman"/>
                <w:szCs w:val="24"/>
                <w:lang w:eastAsia="lv-LV"/>
              </w:rPr>
              <w:t>u</w:t>
            </w:r>
            <w:r w:rsidRPr="00EA5E16">
              <w:rPr>
                <w:rFonts w:eastAsia="Times New Roman" w:cs="Times New Roman"/>
                <w:szCs w:val="24"/>
                <w:lang w:eastAsia="lv-LV"/>
              </w:rPr>
              <w:t xml:space="preserve"> centrāl</w:t>
            </w:r>
            <w:r w:rsidR="003B46B5">
              <w:rPr>
                <w:rFonts w:eastAsia="Times New Roman" w:cs="Times New Roman"/>
                <w:szCs w:val="24"/>
                <w:lang w:eastAsia="lv-LV"/>
              </w:rPr>
              <w:t>o</w:t>
            </w:r>
            <w:r w:rsidRPr="00EA5E16">
              <w:rPr>
                <w:rFonts w:eastAsia="Times New Roman" w:cs="Times New Roman"/>
                <w:szCs w:val="24"/>
                <w:lang w:eastAsia="lv-LV"/>
              </w:rPr>
              <w:t xml:space="preserve"> valsts iestā</w:t>
            </w:r>
            <w:r w:rsidR="003B46B5">
              <w:rPr>
                <w:rFonts w:eastAsia="Times New Roman" w:cs="Times New Roman"/>
                <w:szCs w:val="24"/>
                <w:lang w:eastAsia="lv-LV"/>
              </w:rPr>
              <w:t>žu veicamajām darbībā</w:t>
            </w:r>
            <w:r w:rsidR="002A0093">
              <w:rPr>
                <w:rFonts w:eastAsia="Times New Roman" w:cs="Times New Roman"/>
                <w:szCs w:val="24"/>
                <w:lang w:eastAsia="lv-LV"/>
              </w:rPr>
              <w:t>m</w:t>
            </w:r>
            <w:r w:rsidR="00DB4543">
              <w:rPr>
                <w:rFonts w:eastAsia="Times New Roman" w:cs="Times New Roman"/>
                <w:szCs w:val="24"/>
                <w:lang w:eastAsia="lv-LV"/>
              </w:rPr>
              <w:t xml:space="preserve"> (procedūrām)</w:t>
            </w:r>
            <w:r w:rsidR="003B46B5">
              <w:rPr>
                <w:rFonts w:eastAsia="Times New Roman" w:cs="Times New Roman"/>
                <w:szCs w:val="24"/>
                <w:lang w:eastAsia="lv-LV"/>
              </w:rPr>
              <w:t xml:space="preserve"> budžeta izstrādes gaitā</w:t>
            </w:r>
            <w:r w:rsidRPr="00EA5E16">
              <w:rPr>
                <w:rFonts w:eastAsia="Times New Roman" w:cs="Times New Roman"/>
                <w:szCs w:val="24"/>
                <w:lang w:eastAsia="lv-LV"/>
              </w:rPr>
              <w:t>, tādēļ sabiedrības līdzdalība noteikumu projekta izstrādē nebija nepieciešama.</w:t>
            </w:r>
          </w:p>
        </w:tc>
      </w:tr>
      <w:tr w:rsidR="00EA5E16" w:rsidRPr="00EA5E16" w:rsidTr="004A187E">
        <w:tc>
          <w:tcPr>
            <w:tcW w:w="64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7.</w:t>
            </w:r>
          </w:p>
        </w:tc>
        <w:tc>
          <w:tcPr>
            <w:tcW w:w="328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Cita informācija</w:t>
            </w:r>
          </w:p>
        </w:tc>
        <w:tc>
          <w:tcPr>
            <w:tcW w:w="5351" w:type="dxa"/>
          </w:tcPr>
          <w:p w:rsidR="00EA5E16" w:rsidRPr="00EA5E16" w:rsidRDefault="00F46166" w:rsidP="00EA5E16">
            <w:pPr>
              <w:jc w:val="both"/>
              <w:rPr>
                <w:rFonts w:eastAsia="Times New Roman" w:cs="Times New Roman"/>
                <w:szCs w:val="24"/>
                <w:lang w:eastAsia="lv-LV"/>
              </w:rPr>
            </w:pPr>
            <w:r>
              <w:rPr>
                <w:rFonts w:eastAsia="Times New Roman" w:cs="Times New Roman"/>
                <w:szCs w:val="24"/>
                <w:lang w:eastAsia="lv-LV"/>
              </w:rPr>
              <w:t>N</w:t>
            </w:r>
            <w:r w:rsidR="00EA5E16" w:rsidRPr="00EA5E16">
              <w:rPr>
                <w:rFonts w:eastAsia="Times New Roman" w:cs="Times New Roman"/>
                <w:szCs w:val="24"/>
                <w:lang w:eastAsia="lv-LV"/>
              </w:rPr>
              <w:t>av.</w:t>
            </w:r>
          </w:p>
        </w:tc>
      </w:tr>
    </w:tbl>
    <w:p w:rsidR="00EA5E16" w:rsidRPr="00EA5E16" w:rsidRDefault="00EA5E16" w:rsidP="00EA5E16">
      <w:pPr>
        <w:jc w:val="both"/>
        <w:rPr>
          <w:rFonts w:eastAsia="Times New Roman" w:cs="Times New Roman"/>
          <w:sz w:val="16"/>
          <w:szCs w:val="16"/>
          <w:lang w:eastAsia="lv-LV"/>
        </w:rPr>
      </w:pPr>
    </w:p>
    <w:p w:rsidR="009F302C" w:rsidRDefault="00EA5E16" w:rsidP="00EA5E16">
      <w:pPr>
        <w:jc w:val="both"/>
        <w:rPr>
          <w:rFonts w:eastAsia="Times New Roman" w:cs="Times New Roman"/>
          <w:szCs w:val="16"/>
          <w:lang w:eastAsia="lv-LV"/>
        </w:rPr>
      </w:pPr>
      <w:r w:rsidRPr="00EA5E16">
        <w:rPr>
          <w:rFonts w:eastAsia="Times New Roman" w:cs="Times New Roman"/>
          <w:szCs w:val="16"/>
          <w:lang w:eastAsia="lv-LV"/>
        </w:rPr>
        <w:t>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417"/>
        <w:gridCol w:w="5351"/>
      </w:tblGrid>
      <w:tr w:rsidR="009F302C" w:rsidRPr="009F302C" w:rsidTr="004A187E">
        <w:tc>
          <w:tcPr>
            <w:tcW w:w="9287" w:type="dxa"/>
            <w:gridSpan w:val="3"/>
          </w:tcPr>
          <w:p w:rsidR="009F302C" w:rsidRPr="009F302C" w:rsidRDefault="009F302C" w:rsidP="009F302C">
            <w:pPr>
              <w:jc w:val="center"/>
              <w:rPr>
                <w:rFonts w:eastAsia="Times New Roman" w:cs="Times New Roman"/>
                <w:szCs w:val="24"/>
                <w:lang w:eastAsia="lv-LV"/>
              </w:rPr>
            </w:pPr>
            <w:r w:rsidRPr="009F302C">
              <w:rPr>
                <w:rFonts w:eastAsia="Times New Roman" w:cs="Times New Roman"/>
                <w:b/>
                <w:bCs/>
                <w:szCs w:val="24"/>
                <w:lang w:eastAsia="lv-LV"/>
              </w:rPr>
              <w:t>II. Tiesību akta projekta ietekme uz sabiedrību</w:t>
            </w:r>
          </w:p>
        </w:tc>
      </w:tr>
      <w:tr w:rsidR="009F302C" w:rsidRPr="009F302C" w:rsidTr="00DB6441">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1.</w:t>
            </w:r>
          </w:p>
        </w:tc>
        <w:tc>
          <w:tcPr>
            <w:tcW w:w="3417"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Sabiedrības mērķgrupa</w:t>
            </w:r>
          </w:p>
        </w:tc>
        <w:tc>
          <w:tcPr>
            <w:tcW w:w="5351"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Ministriju un citu centrālo valsts iestāžu darbinieki.</w:t>
            </w:r>
          </w:p>
        </w:tc>
      </w:tr>
      <w:tr w:rsidR="009F302C" w:rsidRPr="009F302C" w:rsidTr="00DB6441">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2.</w:t>
            </w:r>
          </w:p>
        </w:tc>
        <w:tc>
          <w:tcPr>
            <w:tcW w:w="3417"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Citas sabiedrības grupas (bez mērķgrupas), kuras tiesiskais regulējums arī ietekmē vai varētu ietekmēt</w:t>
            </w:r>
          </w:p>
        </w:tc>
        <w:tc>
          <w:tcPr>
            <w:tcW w:w="5351" w:type="dxa"/>
          </w:tcPr>
          <w:p w:rsidR="009F302C" w:rsidRPr="009F302C" w:rsidRDefault="00D51B9D" w:rsidP="009F302C">
            <w:pPr>
              <w:jc w:val="both"/>
              <w:rPr>
                <w:rFonts w:eastAsia="Times New Roman" w:cs="Times New Roman"/>
                <w:szCs w:val="24"/>
                <w:lang w:eastAsia="lv-LV"/>
              </w:rPr>
            </w:pPr>
            <w:r w:rsidRPr="00D51B9D">
              <w:rPr>
                <w:rFonts w:eastAsia="Times New Roman" w:cs="Times New Roman"/>
                <w:szCs w:val="24"/>
                <w:lang w:eastAsia="lv-LV"/>
              </w:rPr>
              <w:t>Projekts šo jomu neskar</w:t>
            </w:r>
            <w:r>
              <w:rPr>
                <w:rFonts w:eastAsia="Times New Roman" w:cs="Times New Roman"/>
                <w:szCs w:val="24"/>
                <w:lang w:eastAsia="lv-LV"/>
              </w:rPr>
              <w:t>.</w:t>
            </w:r>
          </w:p>
        </w:tc>
      </w:tr>
      <w:tr w:rsidR="009F302C" w:rsidRPr="009F302C" w:rsidTr="00DB6441">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3.</w:t>
            </w:r>
          </w:p>
        </w:tc>
        <w:tc>
          <w:tcPr>
            <w:tcW w:w="3417"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Tiesiskā regulējuma finansiālā ietekme</w:t>
            </w:r>
          </w:p>
        </w:tc>
        <w:tc>
          <w:tcPr>
            <w:tcW w:w="5351" w:type="dxa"/>
          </w:tcPr>
          <w:p w:rsidR="009F302C" w:rsidRPr="009F302C" w:rsidRDefault="00D51B9D" w:rsidP="009F302C">
            <w:pPr>
              <w:jc w:val="both"/>
              <w:rPr>
                <w:rFonts w:eastAsia="Times New Roman" w:cs="Times New Roman"/>
                <w:szCs w:val="24"/>
                <w:lang w:eastAsia="lv-LV"/>
              </w:rPr>
            </w:pPr>
            <w:r w:rsidRPr="00D51B9D">
              <w:rPr>
                <w:rFonts w:eastAsia="Times New Roman" w:cs="Times New Roman"/>
                <w:szCs w:val="24"/>
                <w:lang w:eastAsia="lv-LV"/>
              </w:rPr>
              <w:t>Projekts šo jomu neskar</w:t>
            </w:r>
            <w:r>
              <w:rPr>
                <w:rFonts w:eastAsia="Times New Roman" w:cs="Times New Roman"/>
                <w:szCs w:val="24"/>
                <w:lang w:eastAsia="lv-LV"/>
              </w:rPr>
              <w:t>.</w:t>
            </w:r>
          </w:p>
        </w:tc>
      </w:tr>
      <w:tr w:rsidR="009F302C" w:rsidRPr="009F302C" w:rsidTr="00DB6441">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4.</w:t>
            </w:r>
          </w:p>
        </w:tc>
        <w:tc>
          <w:tcPr>
            <w:tcW w:w="3417"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 Tiesiskā regulējuma nefinansiālā ietekme</w:t>
            </w:r>
          </w:p>
        </w:tc>
        <w:tc>
          <w:tcPr>
            <w:tcW w:w="5351" w:type="dxa"/>
          </w:tcPr>
          <w:p w:rsidR="009F302C" w:rsidRPr="009F302C" w:rsidRDefault="00D51B9D" w:rsidP="009F302C">
            <w:pPr>
              <w:jc w:val="both"/>
              <w:rPr>
                <w:rFonts w:eastAsia="Times New Roman" w:cs="Times New Roman"/>
                <w:szCs w:val="24"/>
                <w:lang w:eastAsia="lv-LV"/>
              </w:rPr>
            </w:pPr>
            <w:r w:rsidRPr="00D51B9D">
              <w:rPr>
                <w:rFonts w:eastAsia="Times New Roman" w:cs="Times New Roman"/>
                <w:szCs w:val="24"/>
                <w:lang w:eastAsia="lv-LV"/>
              </w:rPr>
              <w:t>Projekts šo jomu neskar</w:t>
            </w:r>
            <w:r>
              <w:rPr>
                <w:rFonts w:eastAsia="Times New Roman" w:cs="Times New Roman"/>
                <w:szCs w:val="24"/>
                <w:lang w:eastAsia="lv-LV"/>
              </w:rPr>
              <w:t>.</w:t>
            </w:r>
          </w:p>
        </w:tc>
      </w:tr>
      <w:tr w:rsidR="009F302C" w:rsidRPr="009F302C" w:rsidTr="00DB6441">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lastRenderedPageBreak/>
              <w:t>5.</w:t>
            </w:r>
          </w:p>
        </w:tc>
        <w:tc>
          <w:tcPr>
            <w:tcW w:w="3417"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Administratīvās procedūras raksturojums</w:t>
            </w:r>
          </w:p>
        </w:tc>
        <w:tc>
          <w:tcPr>
            <w:tcW w:w="5351" w:type="dxa"/>
          </w:tcPr>
          <w:p w:rsidR="00525191" w:rsidRDefault="00525191" w:rsidP="009F302C">
            <w:pPr>
              <w:jc w:val="both"/>
            </w:pPr>
            <w:r w:rsidRPr="00525191">
              <w:t xml:space="preserve">Noteikumu projekts </w:t>
            </w:r>
            <w:r>
              <w:t>paredz ministrijām</w:t>
            </w:r>
            <w:r w:rsidRPr="00525191">
              <w:t xml:space="preserve"> </w:t>
            </w:r>
            <w:r w:rsidR="007E5A1A">
              <w:t xml:space="preserve">un citām centrālajām valsts iestādēm </w:t>
            </w:r>
            <w:r w:rsidRPr="00525191">
              <w:t xml:space="preserve">līdz 2013.gada </w:t>
            </w:r>
            <w:r w:rsidR="001A5FD9">
              <w:t>30</w:t>
            </w:r>
            <w:r w:rsidRPr="00525191">
              <w:t>.aprīlim saskaņo</w:t>
            </w:r>
            <w:r>
              <w:t>t</w:t>
            </w:r>
            <w:r w:rsidRPr="00525191">
              <w:t xml:space="preserve"> ar Finanšu ministriju plānoto </w:t>
            </w:r>
            <w:r w:rsidR="00B262BC" w:rsidRPr="00B262BC">
              <w:t xml:space="preserve">pamatbudžeta pamatfunkciju </w:t>
            </w:r>
            <w:r w:rsidRPr="00525191">
              <w:t>programmu (apakšprogrammu) struktūru.</w:t>
            </w:r>
          </w:p>
          <w:p w:rsidR="00511610" w:rsidRDefault="00511610" w:rsidP="009F302C">
            <w:pPr>
              <w:jc w:val="both"/>
            </w:pPr>
            <w:r>
              <w:t xml:space="preserve">Noteikumu projektā saglabāta līdzšinējā </w:t>
            </w:r>
            <w:r w:rsidRPr="009F302C">
              <w:rPr>
                <w:rFonts w:eastAsia="Times New Roman" w:cs="Times New Roman"/>
                <w:szCs w:val="24"/>
                <w:lang w:eastAsia="lv-LV"/>
              </w:rPr>
              <w:t>bu</w:t>
            </w:r>
            <w:r w:rsidR="00600459">
              <w:rPr>
                <w:rFonts w:eastAsia="Times New Roman" w:cs="Times New Roman"/>
                <w:szCs w:val="24"/>
                <w:lang w:eastAsia="lv-LV"/>
              </w:rPr>
              <w:t xml:space="preserve">džeta pieprasījuma iesniegšanas </w:t>
            </w:r>
            <w:r>
              <w:t>kārtība, t.i.,</w:t>
            </w:r>
            <w:r w:rsidR="005B7184" w:rsidRPr="005B7184">
              <w:rPr>
                <w:rFonts w:eastAsia="Calibri" w:cs="Times New Roman"/>
                <w:szCs w:val="24"/>
              </w:rPr>
              <w:t xml:space="preserve"> </w:t>
            </w:r>
            <w:r w:rsidR="005B7184">
              <w:t>m</w:t>
            </w:r>
            <w:r w:rsidR="005B7184" w:rsidRPr="005B7184">
              <w:t>inistrija</w:t>
            </w:r>
            <w:r w:rsidR="005B7184">
              <w:t>s un cit</w:t>
            </w:r>
            <w:r w:rsidR="003B70B1">
              <w:t>a</w:t>
            </w:r>
            <w:r w:rsidR="005B7184">
              <w:t>s centrālās valsts iestādes</w:t>
            </w:r>
            <w:r w:rsidR="005B7184" w:rsidRPr="005B7184">
              <w:t xml:space="preserve"> budžeta pieprasījumus un paskaidrojumus sagatavo un iesniedz atbilstoši noteikumu pielikumos noteiktajām veidlapām</w:t>
            </w:r>
            <w:r w:rsidR="005B7184">
              <w:t xml:space="preserve">. </w:t>
            </w:r>
            <w:r w:rsidR="005B7184" w:rsidRPr="005B7184">
              <w:rPr>
                <w:rFonts w:eastAsia="Calibri" w:cs="Times New Roman"/>
                <w:szCs w:val="24"/>
              </w:rPr>
              <w:t>Finanšu ministrijas atbildīgie darbinieki pēc budžeta pieprasījumu izskatīšanas informē ministrijas</w:t>
            </w:r>
            <w:r w:rsidR="000F1718">
              <w:rPr>
                <w:rFonts w:eastAsia="Calibri" w:cs="Times New Roman"/>
                <w:szCs w:val="24"/>
              </w:rPr>
              <w:t xml:space="preserve"> (citas centrālās valsts iestādes) </w:t>
            </w:r>
            <w:r w:rsidR="005B7184" w:rsidRPr="005B7184">
              <w:rPr>
                <w:rFonts w:eastAsia="Calibri" w:cs="Times New Roman"/>
                <w:szCs w:val="24"/>
              </w:rPr>
              <w:t xml:space="preserve"> atbildīgos darbiniekus par nepieciešamajiem precizējumiem un labojumiem</w:t>
            </w:r>
            <w:r w:rsidR="005B7184">
              <w:rPr>
                <w:rFonts w:eastAsia="Calibri" w:cs="Times New Roman"/>
                <w:szCs w:val="24"/>
              </w:rPr>
              <w:t>. P</w:t>
            </w:r>
            <w:r w:rsidR="005B7184" w:rsidRPr="005B7184">
              <w:rPr>
                <w:rFonts w:eastAsia="Calibri" w:cs="Times New Roman"/>
                <w:szCs w:val="24"/>
              </w:rPr>
              <w:t>ēc ministriju</w:t>
            </w:r>
            <w:r w:rsidR="000F1718">
              <w:rPr>
                <w:rFonts w:eastAsia="Calibri" w:cs="Times New Roman"/>
                <w:szCs w:val="24"/>
              </w:rPr>
              <w:t xml:space="preserve"> (citu centrālo valsts iestāžu)</w:t>
            </w:r>
            <w:r w:rsidR="005B7184" w:rsidRPr="005B7184">
              <w:rPr>
                <w:rFonts w:eastAsia="Calibri" w:cs="Times New Roman"/>
                <w:szCs w:val="24"/>
              </w:rPr>
              <w:t xml:space="preserve"> iesniegto budžeta pieprasījumu izskatīšanas </w:t>
            </w:r>
            <w:r w:rsidR="005B7184">
              <w:rPr>
                <w:rFonts w:eastAsia="Calibri" w:cs="Times New Roman"/>
                <w:szCs w:val="24"/>
              </w:rPr>
              <w:t xml:space="preserve">Finanšu ministrija </w:t>
            </w:r>
            <w:r w:rsidR="005B7184" w:rsidRPr="005B7184">
              <w:rPr>
                <w:rFonts w:eastAsia="Calibri" w:cs="Times New Roman"/>
                <w:szCs w:val="24"/>
              </w:rPr>
              <w:t>sagatavo likumprojektu par valsts budžetu n+1 gadam, tā pielikumus un paskaidrojumus</w:t>
            </w:r>
            <w:r w:rsidR="005B7184">
              <w:rPr>
                <w:rFonts w:eastAsia="Calibri" w:cs="Times New Roman"/>
                <w:szCs w:val="24"/>
              </w:rPr>
              <w:t>.</w:t>
            </w:r>
          </w:p>
          <w:p w:rsidR="007E5A1A" w:rsidRDefault="00600459" w:rsidP="009F302C">
            <w:pPr>
              <w:jc w:val="both"/>
              <w:rPr>
                <w:rFonts w:eastAsia="Calibri" w:cs="Times New Roman"/>
                <w:szCs w:val="24"/>
              </w:rPr>
            </w:pPr>
            <w:r>
              <w:t xml:space="preserve">Noteikumu projekts </w:t>
            </w:r>
            <w:r w:rsidR="007E5A1A">
              <w:t xml:space="preserve">paredz, ka </w:t>
            </w:r>
            <w:r w:rsidR="007E5A1A">
              <w:rPr>
                <w:rFonts w:eastAsia="Calibri" w:cs="Times New Roman"/>
                <w:szCs w:val="24"/>
              </w:rPr>
              <w:t>p</w:t>
            </w:r>
            <w:r w:rsidR="007E5A1A" w:rsidRPr="007E5A1A">
              <w:rPr>
                <w:rFonts w:eastAsia="Calibri" w:cs="Times New Roman"/>
                <w:szCs w:val="24"/>
              </w:rPr>
              <w:t>riekšlikumus grozījumiem likumā par valsts budžetu kārtējam gadam ministrija</w:t>
            </w:r>
            <w:r w:rsidR="000F1718">
              <w:rPr>
                <w:rFonts w:eastAsia="Calibri" w:cs="Times New Roman"/>
                <w:szCs w:val="24"/>
              </w:rPr>
              <w:t>s</w:t>
            </w:r>
            <w:r w:rsidR="007E5A1A" w:rsidRPr="007E5A1A">
              <w:rPr>
                <w:rFonts w:eastAsia="Calibri" w:cs="Times New Roman"/>
                <w:szCs w:val="24"/>
              </w:rPr>
              <w:t xml:space="preserve"> </w:t>
            </w:r>
            <w:r w:rsidR="000F1718">
              <w:rPr>
                <w:rFonts w:eastAsia="Calibri" w:cs="Times New Roman"/>
                <w:szCs w:val="24"/>
              </w:rPr>
              <w:t xml:space="preserve">un citas centrālās valsts iestādes </w:t>
            </w:r>
            <w:r w:rsidR="007E5A1A" w:rsidRPr="007E5A1A">
              <w:rPr>
                <w:rFonts w:eastAsia="Calibri" w:cs="Times New Roman"/>
                <w:szCs w:val="24"/>
              </w:rPr>
              <w:t>izstrādā un iesniedz Finanšu ministrijā saskaņā ar pieņemto Ministru kabineta lēmumu par priekšlikumos iekļaujamo informāciju un to iesniegšanas kārtību.</w:t>
            </w:r>
          </w:p>
          <w:p w:rsidR="00600459" w:rsidRDefault="005B7184" w:rsidP="009F302C">
            <w:pPr>
              <w:jc w:val="both"/>
              <w:rPr>
                <w:rFonts w:eastAsia="Calibri" w:cs="Times New Roman"/>
                <w:szCs w:val="24"/>
              </w:rPr>
            </w:pPr>
            <w:r w:rsidRPr="005B7184">
              <w:rPr>
                <w:rFonts w:eastAsia="Calibri" w:cs="Times New Roman"/>
                <w:bCs/>
                <w:szCs w:val="24"/>
              </w:rPr>
              <w:t xml:space="preserve">Papildus noteikumu projekts paredz, ka, ja Ministru kabinets nav lēmis citādi, Finanšu ministrija sadarbībā ar pārējām ministrijām </w:t>
            </w:r>
            <w:r w:rsidR="000F1718">
              <w:rPr>
                <w:rFonts w:eastAsia="Calibri" w:cs="Times New Roman"/>
                <w:bCs/>
                <w:szCs w:val="24"/>
              </w:rPr>
              <w:t xml:space="preserve">un citām centrālajām valsts iestādēm </w:t>
            </w:r>
            <w:r w:rsidRPr="005B7184">
              <w:rPr>
                <w:rFonts w:eastAsia="Calibri" w:cs="Times New Roman"/>
                <w:bCs/>
                <w:szCs w:val="24"/>
              </w:rPr>
              <w:t xml:space="preserve">mēneša laikā pēc gadskārtējā valsts budžeta likuma spēkā stāšanās aktualizē gadskārtējam valsts budžeta likumprojektam pievienotos paskaidrojumus un publicē tos Finanšu ministrijas </w:t>
            </w:r>
            <w:r w:rsidR="002A0093">
              <w:rPr>
                <w:rFonts w:eastAsia="Calibri" w:cs="Times New Roman"/>
                <w:bCs/>
                <w:szCs w:val="24"/>
              </w:rPr>
              <w:t>tīmekļa vietnē</w:t>
            </w:r>
            <w:r>
              <w:rPr>
                <w:rFonts w:eastAsia="Calibri" w:cs="Times New Roman"/>
                <w:bCs/>
                <w:szCs w:val="24"/>
              </w:rPr>
              <w:t>.</w:t>
            </w:r>
          </w:p>
          <w:p w:rsidR="002A1BE9" w:rsidRDefault="002A1BE9" w:rsidP="009F302C">
            <w:pPr>
              <w:jc w:val="both"/>
              <w:rPr>
                <w:rFonts w:eastAsia="Times New Roman" w:cs="Times New Roman"/>
                <w:szCs w:val="24"/>
                <w:lang w:eastAsia="lv-LV"/>
              </w:rPr>
            </w:pPr>
            <w:r>
              <w:t>Noteikumu projektā paredzēta kārtība, kād</w:t>
            </w:r>
            <w:r w:rsidR="002A0093">
              <w:t>ā</w:t>
            </w:r>
            <w:r>
              <w:t xml:space="preserve"> </w:t>
            </w:r>
            <w:r w:rsidR="002A0093">
              <w:t xml:space="preserve">tiks </w:t>
            </w:r>
            <w:r>
              <w:t>sagatav</w:t>
            </w:r>
            <w:r w:rsidR="002A0093">
              <w:t>ota</w:t>
            </w:r>
            <w:r>
              <w:t xml:space="preserve"> </w:t>
            </w:r>
            <w:r w:rsidRPr="002A1BE9">
              <w:rPr>
                <w:rFonts w:eastAsia="Calibri" w:cs="Times New Roman"/>
                <w:szCs w:val="24"/>
              </w:rPr>
              <w:t>veidlap</w:t>
            </w:r>
            <w:r w:rsidR="003B70B1">
              <w:rPr>
                <w:rFonts w:eastAsia="Calibri" w:cs="Times New Roman"/>
                <w:szCs w:val="24"/>
              </w:rPr>
              <w:t>as</w:t>
            </w:r>
            <w:r w:rsidRPr="002A1BE9">
              <w:rPr>
                <w:rFonts w:eastAsia="Calibri" w:cs="Times New Roman"/>
                <w:szCs w:val="24"/>
              </w:rPr>
              <w:t xml:space="preserve"> Nr.19(pb) „Valsts pamatbudžeta kopsavilkums” (31.pielikums)</w:t>
            </w:r>
            <w:r>
              <w:rPr>
                <w:rFonts w:eastAsia="Calibri" w:cs="Times New Roman"/>
                <w:szCs w:val="24"/>
              </w:rPr>
              <w:t xml:space="preserve"> un </w:t>
            </w:r>
            <w:r w:rsidRPr="002A1BE9">
              <w:rPr>
                <w:rFonts w:eastAsia="Calibri" w:cs="Times New Roman"/>
                <w:szCs w:val="24"/>
              </w:rPr>
              <w:t xml:space="preserve"> veidlap</w:t>
            </w:r>
            <w:r w:rsidR="003B70B1">
              <w:rPr>
                <w:rFonts w:eastAsia="Calibri" w:cs="Times New Roman"/>
                <w:szCs w:val="24"/>
              </w:rPr>
              <w:t>as</w:t>
            </w:r>
            <w:r w:rsidRPr="002A1BE9">
              <w:rPr>
                <w:rFonts w:eastAsia="Calibri" w:cs="Times New Roman"/>
                <w:szCs w:val="24"/>
              </w:rPr>
              <w:t xml:space="preserve"> Nr.19(sb) „Valsts speciālā budžeta kopsavilkums” (32.pielikums)</w:t>
            </w:r>
            <w:r>
              <w:rPr>
                <w:rFonts w:eastAsia="Calibri" w:cs="Times New Roman"/>
                <w:szCs w:val="24"/>
              </w:rPr>
              <w:t xml:space="preserve"> informācij</w:t>
            </w:r>
            <w:r w:rsidR="002A0093">
              <w:rPr>
                <w:rFonts w:eastAsia="Calibri" w:cs="Times New Roman"/>
                <w:szCs w:val="24"/>
              </w:rPr>
              <w:t>a</w:t>
            </w:r>
            <w:r>
              <w:rPr>
                <w:rFonts w:eastAsia="Calibri" w:cs="Times New Roman"/>
                <w:szCs w:val="24"/>
              </w:rPr>
              <w:t xml:space="preserve">, t.i. </w:t>
            </w:r>
            <w:r>
              <w:rPr>
                <w:rFonts w:eastAsia="Times New Roman" w:cs="Times New Roman"/>
                <w:szCs w:val="24"/>
                <w:lang w:eastAsia="lv-LV"/>
              </w:rPr>
              <w:t xml:space="preserve"> v</w:t>
            </w:r>
            <w:r w:rsidRPr="002A1BE9">
              <w:rPr>
                <w:rFonts w:eastAsia="Times New Roman" w:cs="Times New Roman"/>
                <w:szCs w:val="24"/>
                <w:lang w:eastAsia="lv-LV"/>
              </w:rPr>
              <w:t>eidlap</w:t>
            </w:r>
            <w:r>
              <w:rPr>
                <w:rFonts w:eastAsia="Times New Roman" w:cs="Times New Roman"/>
                <w:szCs w:val="24"/>
                <w:lang w:eastAsia="lv-LV"/>
              </w:rPr>
              <w:t>u</w:t>
            </w:r>
            <w:r w:rsidRPr="002A1BE9">
              <w:rPr>
                <w:rFonts w:eastAsia="Times New Roman" w:cs="Times New Roman"/>
                <w:szCs w:val="24"/>
                <w:lang w:eastAsia="lv-LV"/>
              </w:rPr>
              <w:t xml:space="preserve"> pārskatu datus Finanšu ministrija iegūst no SAP sistēmas portāla un elektroniski nosūta tos saskaņošanai ministrijām</w:t>
            </w:r>
            <w:r>
              <w:rPr>
                <w:rFonts w:eastAsia="Times New Roman" w:cs="Times New Roman"/>
                <w:szCs w:val="24"/>
                <w:lang w:eastAsia="lv-LV"/>
              </w:rPr>
              <w:t xml:space="preserve"> un citām centrālajām valsts iestādēm. </w:t>
            </w:r>
          </w:p>
          <w:p w:rsidR="009F302C" w:rsidRPr="009F302C" w:rsidRDefault="00D960C0" w:rsidP="0040216B">
            <w:pPr>
              <w:jc w:val="both"/>
              <w:rPr>
                <w:rFonts w:eastAsia="Times New Roman" w:cs="Times New Roman"/>
                <w:szCs w:val="24"/>
                <w:lang w:eastAsia="lv-LV"/>
              </w:rPr>
            </w:pPr>
            <w:r w:rsidRPr="00D960C0">
              <w:rPr>
                <w:rFonts w:eastAsia="Times New Roman" w:cs="Times New Roman"/>
                <w:szCs w:val="24"/>
                <w:lang w:eastAsia="lv-LV"/>
              </w:rPr>
              <w:t>Noteikumu projekts paredz, ka</w:t>
            </w:r>
            <w:r w:rsidR="00254A26">
              <w:rPr>
                <w:rFonts w:eastAsia="Times New Roman" w:cs="Times New Roman"/>
                <w:szCs w:val="24"/>
                <w:lang w:eastAsia="lv-LV"/>
              </w:rPr>
              <w:t>,</w:t>
            </w:r>
            <w:r>
              <w:rPr>
                <w:rFonts w:eastAsia="Times New Roman" w:cs="Times New Roman"/>
                <w:szCs w:val="24"/>
                <w:lang w:eastAsia="lv-LV"/>
              </w:rPr>
              <w:t xml:space="preserve"> ja </w:t>
            </w:r>
            <w:r w:rsidR="00164507" w:rsidRPr="00164507">
              <w:rPr>
                <w:rFonts w:eastAsia="Times New Roman" w:cs="Times New Roman"/>
                <w:szCs w:val="24"/>
                <w:lang w:eastAsia="lv-LV"/>
              </w:rPr>
              <w:t>tiek veikta apropriācijas pārdale saskaņā ar Likuma par budžetu un finanšu vadību 9.panta piecpadsmito daļu</w:t>
            </w:r>
            <w:r>
              <w:rPr>
                <w:rFonts w:eastAsia="Times New Roman" w:cs="Times New Roman"/>
                <w:szCs w:val="24"/>
                <w:lang w:eastAsia="lv-LV"/>
              </w:rPr>
              <w:t xml:space="preserve">, tad ministrija </w:t>
            </w:r>
            <w:r w:rsidR="000F1718">
              <w:rPr>
                <w:rFonts w:eastAsia="Times New Roman" w:cs="Times New Roman"/>
                <w:szCs w:val="24"/>
                <w:lang w:eastAsia="lv-LV"/>
              </w:rPr>
              <w:t xml:space="preserve">(cita centrālā valsts iestāde) </w:t>
            </w:r>
            <w:r w:rsidRPr="00164507">
              <w:rPr>
                <w:rFonts w:eastAsia="Times New Roman" w:cs="Times New Roman"/>
                <w:szCs w:val="24"/>
                <w:lang w:eastAsia="lv-LV"/>
              </w:rPr>
              <w:t>kopā ar pieprasījumu par apropriācijas pārdali</w:t>
            </w:r>
            <w:r>
              <w:rPr>
                <w:rFonts w:eastAsia="Times New Roman" w:cs="Times New Roman"/>
                <w:szCs w:val="24"/>
                <w:lang w:eastAsia="lv-LV"/>
              </w:rPr>
              <w:t xml:space="preserve"> iesniedz </w:t>
            </w:r>
            <w:r w:rsidRPr="00164507">
              <w:rPr>
                <w:rFonts w:eastAsia="Times New Roman" w:cs="Times New Roman"/>
                <w:szCs w:val="24"/>
                <w:lang w:eastAsia="lv-LV"/>
              </w:rPr>
              <w:t>veidlapu</w:t>
            </w:r>
            <w:r w:rsidRPr="00D960C0">
              <w:rPr>
                <w:rFonts w:eastAsia="Calibri" w:cs="Times New Roman"/>
                <w:bCs/>
                <w:szCs w:val="24"/>
              </w:rPr>
              <w:t xml:space="preserve"> </w:t>
            </w:r>
            <w:r w:rsidRPr="00D960C0">
              <w:rPr>
                <w:rFonts w:eastAsia="Times New Roman" w:cs="Times New Roman"/>
                <w:bCs/>
                <w:szCs w:val="24"/>
                <w:lang w:eastAsia="lv-LV"/>
              </w:rPr>
              <w:t>Nr.24 „Paskaidrojums par ministrijas (citas centrālās valsts iestādes) darbības rezultātu un to rezultatīvo rādītāju izmaiņām” (38.pielikums)</w:t>
            </w:r>
            <w:r>
              <w:rPr>
                <w:rFonts w:eastAsia="Times New Roman" w:cs="Times New Roman"/>
                <w:bCs/>
                <w:szCs w:val="24"/>
                <w:lang w:eastAsia="lv-LV"/>
              </w:rPr>
              <w:t>. Š</w:t>
            </w:r>
            <w:r w:rsidR="0040216B">
              <w:rPr>
                <w:rFonts w:eastAsia="Times New Roman" w:cs="Times New Roman"/>
                <w:bCs/>
                <w:szCs w:val="24"/>
                <w:lang w:eastAsia="lv-LV"/>
              </w:rPr>
              <w:t xml:space="preserve">o </w:t>
            </w:r>
            <w:r w:rsidR="0040216B">
              <w:rPr>
                <w:rFonts w:eastAsia="Times New Roman" w:cs="Times New Roman"/>
                <w:bCs/>
                <w:szCs w:val="24"/>
                <w:lang w:eastAsia="lv-LV"/>
              </w:rPr>
              <w:lastRenderedPageBreak/>
              <w:t>veidlapu iesniedz arī gadījumā</w:t>
            </w:r>
            <w:r>
              <w:rPr>
                <w:rFonts w:eastAsia="Times New Roman" w:cs="Times New Roman"/>
                <w:bCs/>
                <w:szCs w:val="24"/>
                <w:lang w:eastAsia="lv-LV"/>
              </w:rPr>
              <w:t xml:space="preserve">, ja </w:t>
            </w:r>
            <w:r w:rsidRPr="00D960C0">
              <w:rPr>
                <w:rFonts w:eastAsia="Times New Roman" w:cs="Times New Roman"/>
                <w:bCs/>
                <w:szCs w:val="24"/>
                <w:lang w:eastAsia="lv-LV"/>
              </w:rPr>
              <w:t>Labklājības ministrija precizējusi attiecīgos rādītājus</w:t>
            </w:r>
            <w:r w:rsidR="005A03D1">
              <w:rPr>
                <w:rFonts w:eastAsia="Times New Roman" w:cs="Times New Roman"/>
                <w:bCs/>
                <w:szCs w:val="24"/>
                <w:lang w:eastAsia="lv-LV"/>
              </w:rPr>
              <w:t xml:space="preserve"> </w:t>
            </w:r>
            <w:r w:rsidR="005A03D1" w:rsidRPr="005A03D1">
              <w:rPr>
                <w:rFonts w:eastAsia="Times New Roman" w:cs="Times New Roman"/>
                <w:bCs/>
                <w:szCs w:val="24"/>
                <w:lang w:eastAsia="lv-LV"/>
              </w:rPr>
              <w:t>veidlap</w:t>
            </w:r>
            <w:r w:rsidR="005A03D1">
              <w:rPr>
                <w:rFonts w:eastAsia="Times New Roman" w:cs="Times New Roman"/>
                <w:bCs/>
                <w:szCs w:val="24"/>
                <w:lang w:eastAsia="lv-LV"/>
              </w:rPr>
              <w:t>ā</w:t>
            </w:r>
            <w:r w:rsidR="005A03D1" w:rsidRPr="005A03D1">
              <w:rPr>
                <w:rFonts w:eastAsia="Times New Roman" w:cs="Times New Roman"/>
                <w:bCs/>
                <w:szCs w:val="24"/>
                <w:lang w:eastAsia="lv-LV"/>
              </w:rPr>
              <w:t xml:space="preserve"> Nr.10(pb) „</w:t>
            </w:r>
            <w:r w:rsidR="005A03D1" w:rsidRPr="005A03D1">
              <w:rPr>
                <w:rFonts w:eastAsia="Times New Roman" w:cs="Times New Roman"/>
                <w:bCs/>
                <w:iCs/>
                <w:szCs w:val="24"/>
                <w:lang w:eastAsia="lv-LV"/>
              </w:rPr>
              <w:t>Valsts sociālo pabalstu, izdienas pensiju un piemaksu pie vecuma un invaliditātes pensijām izdevumu aprēķins</w:t>
            </w:r>
            <w:r w:rsidR="005A03D1" w:rsidRPr="005A03D1">
              <w:rPr>
                <w:rFonts w:eastAsia="Times New Roman" w:cs="Times New Roman"/>
                <w:bCs/>
                <w:szCs w:val="24"/>
                <w:lang w:eastAsia="lv-LV"/>
              </w:rPr>
              <w:t>” (21</w:t>
            </w:r>
            <w:r w:rsidR="005A03D1">
              <w:rPr>
                <w:rFonts w:eastAsia="Times New Roman" w:cs="Times New Roman"/>
                <w:bCs/>
                <w:szCs w:val="24"/>
                <w:lang w:eastAsia="lv-LV"/>
              </w:rPr>
              <w:t xml:space="preserve">.pielikums) un </w:t>
            </w:r>
            <w:r w:rsidR="005A03D1" w:rsidRPr="005A03D1">
              <w:rPr>
                <w:rFonts w:eastAsia="Times New Roman" w:cs="Times New Roman"/>
                <w:bCs/>
                <w:szCs w:val="24"/>
                <w:lang w:eastAsia="lv-LV"/>
              </w:rPr>
              <w:t>veidlap</w:t>
            </w:r>
            <w:r w:rsidR="005A03D1">
              <w:rPr>
                <w:rFonts w:eastAsia="Times New Roman" w:cs="Times New Roman"/>
                <w:bCs/>
                <w:szCs w:val="24"/>
                <w:lang w:eastAsia="lv-LV"/>
              </w:rPr>
              <w:t>ā</w:t>
            </w:r>
            <w:r w:rsidR="005A03D1" w:rsidRPr="005A03D1">
              <w:rPr>
                <w:rFonts w:eastAsia="Times New Roman" w:cs="Times New Roman"/>
                <w:bCs/>
                <w:szCs w:val="24"/>
                <w:lang w:eastAsia="lv-LV"/>
              </w:rPr>
              <w:t xml:space="preserve"> Nr.10(sb) „Valsts pensiju, sociālās apdrošināšanas pabalstu un valsts budžeta maksājumu izdevumu aprēķins” (22</w:t>
            </w:r>
            <w:r w:rsidR="005A03D1">
              <w:rPr>
                <w:rFonts w:eastAsia="Times New Roman" w:cs="Times New Roman"/>
                <w:bCs/>
                <w:szCs w:val="24"/>
                <w:lang w:eastAsia="lv-LV"/>
              </w:rPr>
              <w:t>.pielikums).</w:t>
            </w:r>
          </w:p>
        </w:tc>
      </w:tr>
      <w:tr w:rsidR="009F302C" w:rsidRPr="009F302C" w:rsidTr="00DB6441">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lastRenderedPageBreak/>
              <w:t>6.</w:t>
            </w:r>
          </w:p>
        </w:tc>
        <w:tc>
          <w:tcPr>
            <w:tcW w:w="3417"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Administratīvo izmaksu monetārs novērtējums</w:t>
            </w:r>
          </w:p>
        </w:tc>
        <w:tc>
          <w:tcPr>
            <w:tcW w:w="5351" w:type="dxa"/>
          </w:tcPr>
          <w:p w:rsidR="009F302C" w:rsidRPr="009F302C" w:rsidRDefault="00D51B9D" w:rsidP="009F302C">
            <w:pPr>
              <w:jc w:val="both"/>
              <w:rPr>
                <w:rFonts w:eastAsia="Times New Roman" w:cs="Times New Roman"/>
                <w:szCs w:val="24"/>
                <w:lang w:eastAsia="lv-LV"/>
              </w:rPr>
            </w:pPr>
            <w:r w:rsidRPr="00D51B9D">
              <w:rPr>
                <w:rFonts w:eastAsia="Times New Roman" w:cs="Times New Roman"/>
                <w:szCs w:val="24"/>
                <w:lang w:eastAsia="lv-LV"/>
              </w:rPr>
              <w:t>Projekts šo jomu neskar</w:t>
            </w:r>
            <w:r>
              <w:rPr>
                <w:rFonts w:eastAsia="Times New Roman" w:cs="Times New Roman"/>
                <w:szCs w:val="24"/>
                <w:lang w:eastAsia="lv-LV"/>
              </w:rPr>
              <w:t>.</w:t>
            </w:r>
          </w:p>
        </w:tc>
      </w:tr>
      <w:tr w:rsidR="009F302C" w:rsidRPr="009F302C" w:rsidTr="00DB6441">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7.</w:t>
            </w:r>
          </w:p>
        </w:tc>
        <w:tc>
          <w:tcPr>
            <w:tcW w:w="3417"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Cita informācija</w:t>
            </w:r>
          </w:p>
        </w:tc>
        <w:tc>
          <w:tcPr>
            <w:tcW w:w="5351"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Nav.</w:t>
            </w:r>
          </w:p>
        </w:tc>
      </w:tr>
    </w:tbl>
    <w:p w:rsidR="009F302C" w:rsidRDefault="009F302C" w:rsidP="00EA5E16">
      <w:pPr>
        <w:jc w:val="both"/>
        <w:rPr>
          <w:rFonts w:eastAsia="Times New Roman" w:cs="Times New Roman"/>
          <w:szCs w:val="16"/>
          <w:lang w:eastAsia="lv-LV"/>
        </w:rPr>
      </w:pPr>
    </w:p>
    <w:p w:rsidR="00EA5E16" w:rsidRPr="00EA5E16" w:rsidRDefault="00600459" w:rsidP="00EA5E16">
      <w:pPr>
        <w:jc w:val="both"/>
        <w:rPr>
          <w:rFonts w:eastAsia="Times New Roman" w:cs="Times New Roman"/>
          <w:sz w:val="16"/>
          <w:szCs w:val="16"/>
          <w:lang w:eastAsia="lv-LV"/>
        </w:rPr>
      </w:pPr>
      <w:r>
        <w:rPr>
          <w:rFonts w:eastAsia="Times New Roman" w:cs="Times New Roman"/>
          <w:szCs w:val="16"/>
          <w:lang w:eastAsia="lv-LV"/>
        </w:rPr>
        <w:t>Anotācijas</w:t>
      </w:r>
      <w:r w:rsidR="00EA5E16" w:rsidRPr="00EA5E16">
        <w:rPr>
          <w:rFonts w:eastAsia="Times New Roman" w:cs="Times New Roman"/>
          <w:szCs w:val="16"/>
          <w:lang w:eastAsia="lv-LV"/>
        </w:rPr>
        <w:t xml:space="preserve"> III sadaļa –</w:t>
      </w:r>
      <w:r w:rsidR="00C921CA">
        <w:rPr>
          <w:rFonts w:eastAsia="Times New Roman" w:cs="Times New Roman"/>
          <w:szCs w:val="28"/>
          <w:lang w:eastAsia="lv-LV"/>
        </w:rPr>
        <w:t xml:space="preserve"> </w:t>
      </w:r>
      <w:r w:rsidR="00EA5E16" w:rsidRPr="00EA5E16">
        <w:rPr>
          <w:rFonts w:eastAsia="Times New Roman" w:cs="Times New Roman"/>
          <w:szCs w:val="28"/>
          <w:lang w:eastAsia="lv-LV"/>
        </w:rPr>
        <w:t>projekts šo jomu neskar.</w:t>
      </w:r>
    </w:p>
    <w:p w:rsidR="00EA5E16" w:rsidRDefault="00EA5E16" w:rsidP="00EA5E16">
      <w:pPr>
        <w:jc w:val="both"/>
        <w:rPr>
          <w:rFonts w:eastAsia="Times New Roman" w:cs="Times New Roman"/>
          <w:szCs w:val="28"/>
          <w:lang w:eastAsia="lv-LV"/>
        </w:rPr>
      </w:pPr>
    </w:p>
    <w:tbl>
      <w:tblPr>
        <w:tblStyle w:val="TableGrid"/>
        <w:tblW w:w="9322" w:type="dxa"/>
        <w:tblLook w:val="04A0" w:firstRow="1" w:lastRow="0" w:firstColumn="1" w:lastColumn="0" w:noHBand="0" w:noVBand="1"/>
      </w:tblPr>
      <w:tblGrid>
        <w:gridCol w:w="534"/>
        <w:gridCol w:w="3402"/>
        <w:gridCol w:w="5386"/>
      </w:tblGrid>
      <w:tr w:rsidR="00984DC2" w:rsidRPr="00984DC2" w:rsidTr="003A3F9D">
        <w:tc>
          <w:tcPr>
            <w:tcW w:w="9322" w:type="dxa"/>
            <w:gridSpan w:val="3"/>
          </w:tcPr>
          <w:p w:rsidR="00984DC2" w:rsidRPr="00984DC2" w:rsidRDefault="00984DC2" w:rsidP="00984DC2">
            <w:pPr>
              <w:spacing w:before="150" w:after="150"/>
              <w:jc w:val="center"/>
              <w:rPr>
                <w:rFonts w:eastAsia="Times New Roman" w:cs="Times New Roman"/>
                <w:b/>
                <w:bCs/>
                <w:szCs w:val="24"/>
                <w:lang w:eastAsia="lv-LV"/>
              </w:rPr>
            </w:pPr>
            <w:r w:rsidRPr="00984DC2">
              <w:rPr>
                <w:rFonts w:eastAsia="Times New Roman" w:cs="Times New Roman"/>
                <w:b/>
                <w:bCs/>
                <w:szCs w:val="24"/>
                <w:lang w:eastAsia="lv-LV"/>
              </w:rPr>
              <w:t> IV. Tiesību akta projekta ietekme uz spēkā esošo tiesību normu sistēmu</w:t>
            </w:r>
          </w:p>
        </w:tc>
      </w:tr>
      <w:tr w:rsidR="003A3F9D" w:rsidRPr="00984DC2" w:rsidTr="003A3F9D">
        <w:tc>
          <w:tcPr>
            <w:tcW w:w="534" w:type="dxa"/>
          </w:tcPr>
          <w:p w:rsidR="00984DC2" w:rsidRPr="003A3F9D" w:rsidRDefault="003A3F9D" w:rsidP="003A3F9D">
            <w:pPr>
              <w:rPr>
                <w:rFonts w:eastAsia="Times New Roman" w:cs="Times New Roman"/>
                <w:szCs w:val="24"/>
                <w:lang w:eastAsia="lv-LV"/>
              </w:rPr>
            </w:pPr>
            <w:r>
              <w:rPr>
                <w:rFonts w:eastAsia="Times New Roman" w:cs="Times New Roman"/>
                <w:szCs w:val="24"/>
                <w:lang w:eastAsia="lv-LV"/>
              </w:rPr>
              <w:t>1.</w:t>
            </w:r>
          </w:p>
        </w:tc>
        <w:tc>
          <w:tcPr>
            <w:tcW w:w="3402" w:type="dxa"/>
            <w:hideMark/>
          </w:tcPr>
          <w:p w:rsidR="00984DC2" w:rsidRPr="00984DC2" w:rsidRDefault="00984DC2" w:rsidP="00984DC2">
            <w:pPr>
              <w:spacing w:before="75" w:after="75"/>
              <w:rPr>
                <w:rFonts w:eastAsia="Times New Roman" w:cs="Times New Roman"/>
                <w:szCs w:val="24"/>
                <w:lang w:eastAsia="lv-LV"/>
              </w:rPr>
            </w:pPr>
            <w:r w:rsidRPr="00984DC2">
              <w:rPr>
                <w:rFonts w:eastAsia="Times New Roman" w:cs="Times New Roman"/>
                <w:szCs w:val="24"/>
                <w:lang w:eastAsia="lv-LV"/>
              </w:rPr>
              <w:t> Nepieciešamie saistītie tiesību aktu projekti</w:t>
            </w:r>
          </w:p>
        </w:tc>
        <w:tc>
          <w:tcPr>
            <w:tcW w:w="5386" w:type="dxa"/>
            <w:hideMark/>
          </w:tcPr>
          <w:p w:rsidR="00984DC2" w:rsidRPr="00A313E9" w:rsidRDefault="00A313E9" w:rsidP="00844343">
            <w:pPr>
              <w:spacing w:before="75" w:after="75"/>
              <w:ind w:right="127"/>
              <w:jc w:val="both"/>
              <w:rPr>
                <w:rFonts w:eastAsia="Times New Roman"/>
                <w:lang w:eastAsia="lv-LV"/>
              </w:rPr>
            </w:pPr>
            <w:r>
              <w:rPr>
                <w:rFonts w:eastAsia="Times New Roman" w:cs="Times New Roman"/>
                <w:szCs w:val="24"/>
                <w:lang w:eastAsia="lv-LV"/>
              </w:rPr>
              <w:t xml:space="preserve">Lai </w:t>
            </w:r>
            <w:r w:rsidR="00597978">
              <w:rPr>
                <w:rFonts w:eastAsia="Times New Roman" w:cs="Times New Roman"/>
                <w:szCs w:val="24"/>
                <w:lang w:eastAsia="lv-LV"/>
              </w:rPr>
              <w:t>novērstu</w:t>
            </w:r>
            <w:r>
              <w:rPr>
                <w:rFonts w:eastAsia="Times New Roman" w:cs="Times New Roman"/>
                <w:szCs w:val="24"/>
                <w:lang w:eastAsia="lv-LV"/>
              </w:rPr>
              <w:t xml:space="preserve"> </w:t>
            </w:r>
            <w:r w:rsidR="00A26DE3">
              <w:rPr>
                <w:rFonts w:eastAsia="Times New Roman" w:cs="Times New Roman"/>
                <w:szCs w:val="24"/>
                <w:lang w:eastAsia="lv-LV"/>
              </w:rPr>
              <w:t>normatīv</w:t>
            </w:r>
            <w:r w:rsidR="00844343">
              <w:rPr>
                <w:rFonts w:eastAsia="Times New Roman" w:cs="Times New Roman"/>
                <w:szCs w:val="24"/>
                <w:lang w:eastAsia="lv-LV"/>
              </w:rPr>
              <w:t>o</w:t>
            </w:r>
            <w:r w:rsidR="00A26DE3" w:rsidRPr="00A26DE3">
              <w:rPr>
                <w:rFonts w:eastAsia="Times New Roman" w:cs="Times New Roman"/>
                <w:szCs w:val="24"/>
                <w:lang w:eastAsia="lv-LV"/>
              </w:rPr>
              <w:t xml:space="preserve"> aktu </w:t>
            </w:r>
            <w:r>
              <w:rPr>
                <w:rFonts w:eastAsia="Times New Roman" w:cs="Times New Roman"/>
                <w:szCs w:val="24"/>
                <w:lang w:eastAsia="lv-LV"/>
              </w:rPr>
              <w:t>nor</w:t>
            </w:r>
            <w:r w:rsidR="008F0A0F">
              <w:rPr>
                <w:rFonts w:eastAsia="Times New Roman" w:cs="Times New Roman"/>
                <w:szCs w:val="24"/>
                <w:lang w:eastAsia="lv-LV"/>
              </w:rPr>
              <w:t>m</w:t>
            </w:r>
            <w:r>
              <w:rPr>
                <w:rFonts w:eastAsia="Times New Roman" w:cs="Times New Roman"/>
                <w:szCs w:val="24"/>
                <w:lang w:eastAsia="lv-LV"/>
              </w:rPr>
              <w:t>u dublēšanu,  n</w:t>
            </w:r>
            <w:r w:rsidR="00984DC2" w:rsidRPr="00984DC2">
              <w:rPr>
                <w:rFonts w:eastAsia="Times New Roman" w:cs="Times New Roman"/>
                <w:szCs w:val="24"/>
                <w:lang w:eastAsia="lv-LV"/>
              </w:rPr>
              <w:t xml:space="preserve">epieciešams veikt grozījumus </w:t>
            </w:r>
            <w:r w:rsidR="004F41E9" w:rsidRPr="004F41E9">
              <w:rPr>
                <w:rFonts w:eastAsia="Times New Roman"/>
                <w:bCs/>
                <w:lang w:eastAsia="lv-LV"/>
              </w:rPr>
              <w:t>Ministru kabineta 200</w:t>
            </w:r>
            <w:r w:rsidR="004F41E9">
              <w:rPr>
                <w:rFonts w:eastAsia="Times New Roman"/>
                <w:bCs/>
                <w:lang w:eastAsia="lv-LV"/>
              </w:rPr>
              <w:t>2</w:t>
            </w:r>
            <w:r w:rsidR="004F41E9" w:rsidRPr="004F41E9">
              <w:rPr>
                <w:rFonts w:eastAsia="Times New Roman"/>
                <w:bCs/>
                <w:lang w:eastAsia="lv-LV"/>
              </w:rPr>
              <w:t xml:space="preserve">.gada </w:t>
            </w:r>
            <w:r w:rsidR="004F41E9">
              <w:rPr>
                <w:rFonts w:eastAsia="Times New Roman"/>
                <w:bCs/>
                <w:lang w:eastAsia="lv-LV"/>
              </w:rPr>
              <w:t>6</w:t>
            </w:r>
            <w:r w:rsidR="004F41E9" w:rsidRPr="004F41E9">
              <w:rPr>
                <w:rFonts w:eastAsia="Times New Roman"/>
                <w:bCs/>
                <w:lang w:eastAsia="lv-LV"/>
              </w:rPr>
              <w:t>.</w:t>
            </w:r>
            <w:r w:rsidR="004F41E9">
              <w:rPr>
                <w:rFonts w:eastAsia="Times New Roman"/>
                <w:bCs/>
                <w:lang w:eastAsia="lv-LV"/>
              </w:rPr>
              <w:t>novembra</w:t>
            </w:r>
            <w:r w:rsidR="004F41E9" w:rsidRPr="004F41E9">
              <w:rPr>
                <w:rFonts w:eastAsia="Times New Roman"/>
                <w:bCs/>
                <w:lang w:eastAsia="lv-LV"/>
              </w:rPr>
              <w:t xml:space="preserve"> rīkojum</w:t>
            </w:r>
            <w:r w:rsidR="004F41E9">
              <w:rPr>
                <w:rFonts w:eastAsia="Times New Roman"/>
                <w:bCs/>
                <w:lang w:eastAsia="lv-LV"/>
              </w:rPr>
              <w:t>ā</w:t>
            </w:r>
            <w:r w:rsidR="004F41E9" w:rsidRPr="004F41E9">
              <w:rPr>
                <w:rFonts w:eastAsia="Times New Roman"/>
                <w:bCs/>
                <w:lang w:eastAsia="lv-LV"/>
              </w:rPr>
              <w:t xml:space="preserve"> Nr.635</w:t>
            </w:r>
            <w:r w:rsidR="004F41E9">
              <w:rPr>
                <w:rFonts w:eastAsia="Times New Roman"/>
                <w:lang w:eastAsia="lv-LV"/>
              </w:rPr>
              <w:t xml:space="preserve"> </w:t>
            </w:r>
            <w:r w:rsidR="004F41E9">
              <w:rPr>
                <w:rFonts w:eastAsia="Times New Roman" w:cs="Times New Roman"/>
                <w:szCs w:val="24"/>
                <w:lang w:eastAsia="lv-LV"/>
              </w:rPr>
              <w:t>„Par informatīvo ziņojumu „</w:t>
            </w:r>
            <w:r w:rsidR="004F41E9" w:rsidRPr="004F41E9">
              <w:rPr>
                <w:rFonts w:eastAsia="Times New Roman" w:cs="Times New Roman"/>
                <w:szCs w:val="24"/>
                <w:lang w:eastAsia="lv-LV"/>
              </w:rPr>
              <w:t xml:space="preserve">Par valsts budžeta </w:t>
            </w:r>
            <w:r w:rsidR="004F41E9">
              <w:rPr>
                <w:rFonts w:eastAsia="Times New Roman" w:cs="Times New Roman"/>
                <w:szCs w:val="24"/>
                <w:lang w:eastAsia="lv-LV"/>
              </w:rPr>
              <w:t xml:space="preserve">prioritāšu īstenošanu 2001.gadā””, </w:t>
            </w:r>
            <w:r w:rsidR="000B6199">
              <w:rPr>
                <w:rFonts w:eastAsia="Times New Roman" w:cs="Times New Roman"/>
                <w:szCs w:val="24"/>
                <w:lang w:eastAsia="lv-LV"/>
              </w:rPr>
              <w:t xml:space="preserve">svītrojot </w:t>
            </w:r>
            <w:r w:rsidR="006728DF">
              <w:rPr>
                <w:rFonts w:eastAsia="Times New Roman" w:cs="Times New Roman"/>
                <w:szCs w:val="24"/>
                <w:lang w:eastAsia="lv-LV"/>
              </w:rPr>
              <w:t>minēt</w:t>
            </w:r>
            <w:r>
              <w:rPr>
                <w:rFonts w:eastAsia="Times New Roman" w:cs="Times New Roman"/>
                <w:szCs w:val="24"/>
                <w:lang w:eastAsia="lv-LV"/>
              </w:rPr>
              <w:t>ajā</w:t>
            </w:r>
            <w:r w:rsidR="006728DF">
              <w:rPr>
                <w:rFonts w:eastAsia="Times New Roman" w:cs="Times New Roman"/>
                <w:szCs w:val="24"/>
                <w:lang w:eastAsia="lv-LV"/>
              </w:rPr>
              <w:t xml:space="preserve"> </w:t>
            </w:r>
            <w:r w:rsidR="000B6199">
              <w:rPr>
                <w:rFonts w:eastAsia="Times New Roman" w:cs="Times New Roman"/>
                <w:szCs w:val="24"/>
                <w:lang w:eastAsia="lv-LV"/>
              </w:rPr>
              <w:t xml:space="preserve">rīkojuma 3.punktu, kas paredz </w:t>
            </w:r>
            <w:r w:rsidR="001C65D6">
              <w:rPr>
                <w:rFonts w:eastAsia="Times New Roman" w:cs="Times New Roman"/>
                <w:szCs w:val="24"/>
                <w:lang w:eastAsia="lv-LV"/>
              </w:rPr>
              <w:t>Finanš</w:t>
            </w:r>
            <w:r w:rsidR="000B6199" w:rsidRPr="000B6199">
              <w:rPr>
                <w:rFonts w:eastAsia="Times New Roman" w:cs="Times New Roman"/>
                <w:szCs w:val="24"/>
                <w:lang w:eastAsia="lv-LV"/>
              </w:rPr>
              <w:t>u ministrijai kopīgi ar pārējām ministrijām mēneša laikā pēc likuma par valsts budžetu kārtējam gadam izsludināšanas aktualizēt likumam pievienotos paskaidrojumus un</w:t>
            </w:r>
            <w:r w:rsidR="000B6199">
              <w:rPr>
                <w:rFonts w:eastAsia="Times New Roman" w:cs="Times New Roman"/>
                <w:szCs w:val="24"/>
                <w:lang w:eastAsia="lv-LV"/>
              </w:rPr>
              <w:t xml:space="preserve"> iesniegt tos Ministru kabinetā, </w:t>
            </w:r>
            <w:r w:rsidR="004F41E9">
              <w:rPr>
                <w:rFonts w:eastAsia="Times New Roman" w:cs="Times New Roman"/>
                <w:szCs w:val="24"/>
                <w:lang w:eastAsia="lv-LV"/>
              </w:rPr>
              <w:t xml:space="preserve">jo noteikumu projekts </w:t>
            </w:r>
            <w:r w:rsidR="006728DF">
              <w:rPr>
                <w:rFonts w:eastAsia="Times New Roman" w:cs="Times New Roman"/>
                <w:szCs w:val="24"/>
                <w:lang w:eastAsia="lv-LV"/>
              </w:rPr>
              <w:t>paredz</w:t>
            </w:r>
            <w:r>
              <w:rPr>
                <w:rFonts w:eastAsia="Times New Roman" w:cs="Times New Roman"/>
                <w:szCs w:val="24"/>
                <w:lang w:eastAsia="lv-LV"/>
              </w:rPr>
              <w:t>, ka, j</w:t>
            </w:r>
            <w:r w:rsidRPr="00A313E9">
              <w:rPr>
                <w:rFonts w:eastAsia="Times New Roman" w:cs="Times New Roman"/>
                <w:szCs w:val="24"/>
                <w:lang w:eastAsia="lv-LV"/>
              </w:rPr>
              <w:t xml:space="preserve">a Ministru kabinets nav lēmis citādi, Finanšu ministrija sadarbībā ar pārējām ministrijām mēneša laikā pēc gadskārtējā valsts budžeta likuma (grozījumu gadskārtējā valsts budžeta likumā) spēkā stāšanās aktualizē gadskārtējam valsts budžeta likumprojektam (grozījumiem gadskārtējā valsts budžeta likumā) pievienotos paskaidrojumus un publicē tos Finanšu ministrijas </w:t>
            </w:r>
            <w:r w:rsidRPr="00A313E9">
              <w:rPr>
                <w:rFonts w:eastAsia="Times New Roman" w:cs="Times New Roman"/>
                <w:bCs/>
                <w:szCs w:val="24"/>
                <w:lang w:eastAsia="lv-LV"/>
              </w:rPr>
              <w:t>tīmekļa vietnē</w:t>
            </w:r>
            <w:r w:rsidRPr="00A313E9">
              <w:rPr>
                <w:rFonts w:eastAsia="Times New Roman" w:cs="Times New Roman"/>
                <w:szCs w:val="24"/>
                <w:lang w:eastAsia="lv-LV"/>
              </w:rPr>
              <w:t>.</w:t>
            </w:r>
            <w:r w:rsidR="00984DC2" w:rsidRPr="00984DC2">
              <w:rPr>
                <w:rFonts w:eastAsia="Times New Roman" w:cs="Times New Roman"/>
                <w:szCs w:val="24"/>
                <w:lang w:eastAsia="lv-LV"/>
              </w:rPr>
              <w:t xml:space="preserve"> </w:t>
            </w:r>
          </w:p>
        </w:tc>
      </w:tr>
      <w:tr w:rsidR="003A3F9D" w:rsidRPr="00984DC2" w:rsidTr="003A3F9D">
        <w:tc>
          <w:tcPr>
            <w:tcW w:w="534" w:type="dxa"/>
          </w:tcPr>
          <w:p w:rsidR="00984DC2" w:rsidRPr="00984DC2" w:rsidRDefault="003A3F9D" w:rsidP="003A3F9D">
            <w:pPr>
              <w:spacing w:before="75" w:after="75"/>
              <w:rPr>
                <w:rFonts w:eastAsia="Times New Roman" w:cs="Times New Roman"/>
                <w:szCs w:val="24"/>
                <w:lang w:eastAsia="lv-LV"/>
              </w:rPr>
            </w:pPr>
            <w:r>
              <w:rPr>
                <w:rFonts w:eastAsia="Times New Roman" w:cs="Times New Roman"/>
                <w:szCs w:val="24"/>
                <w:lang w:eastAsia="lv-LV"/>
              </w:rPr>
              <w:t xml:space="preserve">2. </w:t>
            </w:r>
          </w:p>
        </w:tc>
        <w:tc>
          <w:tcPr>
            <w:tcW w:w="3402" w:type="dxa"/>
            <w:hideMark/>
          </w:tcPr>
          <w:p w:rsidR="00984DC2" w:rsidRPr="00984DC2" w:rsidRDefault="00984DC2" w:rsidP="00984DC2">
            <w:pPr>
              <w:spacing w:before="75" w:after="75"/>
              <w:rPr>
                <w:rFonts w:eastAsia="Times New Roman" w:cs="Times New Roman"/>
                <w:szCs w:val="24"/>
                <w:lang w:eastAsia="lv-LV"/>
              </w:rPr>
            </w:pPr>
            <w:r w:rsidRPr="00984DC2">
              <w:rPr>
                <w:rFonts w:eastAsia="Times New Roman" w:cs="Times New Roman"/>
                <w:szCs w:val="24"/>
                <w:lang w:eastAsia="lv-LV"/>
              </w:rPr>
              <w:t> Cita informācija</w:t>
            </w:r>
          </w:p>
        </w:tc>
        <w:tc>
          <w:tcPr>
            <w:tcW w:w="5386" w:type="dxa"/>
            <w:hideMark/>
          </w:tcPr>
          <w:p w:rsidR="00984DC2" w:rsidRPr="00984DC2" w:rsidRDefault="00984DC2" w:rsidP="00984DC2">
            <w:pPr>
              <w:spacing w:before="75" w:after="75"/>
              <w:ind w:left="127" w:right="127"/>
              <w:jc w:val="both"/>
              <w:rPr>
                <w:rFonts w:eastAsia="Times New Roman" w:cs="Times New Roman"/>
                <w:szCs w:val="24"/>
                <w:lang w:eastAsia="lv-LV"/>
              </w:rPr>
            </w:pPr>
            <w:r w:rsidRPr="00984DC2">
              <w:rPr>
                <w:rFonts w:eastAsia="Times New Roman" w:cs="Times New Roman"/>
                <w:szCs w:val="24"/>
                <w:lang w:eastAsia="lv-LV"/>
              </w:rPr>
              <w:t>Nav</w:t>
            </w:r>
          </w:p>
        </w:tc>
      </w:tr>
    </w:tbl>
    <w:p w:rsidR="00984DC2" w:rsidRDefault="00984DC2" w:rsidP="00EA5E16">
      <w:pPr>
        <w:jc w:val="both"/>
        <w:rPr>
          <w:rFonts w:eastAsia="Times New Roman" w:cs="Times New Roman"/>
          <w:szCs w:val="28"/>
          <w:lang w:eastAsia="lv-LV"/>
        </w:rPr>
      </w:pPr>
    </w:p>
    <w:p w:rsidR="00984DC2" w:rsidRDefault="00984DC2" w:rsidP="00EA5E16">
      <w:pPr>
        <w:jc w:val="both"/>
        <w:rPr>
          <w:rFonts w:eastAsia="Times New Roman" w:cs="Times New Roman"/>
          <w:szCs w:val="28"/>
          <w:lang w:eastAsia="lv-LV"/>
        </w:rPr>
      </w:pPr>
      <w:r w:rsidRPr="00984DC2">
        <w:rPr>
          <w:rFonts w:eastAsia="Times New Roman" w:cs="Times New Roman"/>
          <w:szCs w:val="28"/>
          <w:lang w:eastAsia="lv-LV"/>
        </w:rPr>
        <w:t>Anotācijas V un VI sadaļa – projekts šo jomu neskar.</w:t>
      </w:r>
    </w:p>
    <w:p w:rsidR="00984DC2" w:rsidRPr="00EA5E16" w:rsidRDefault="00984DC2" w:rsidP="00EA5E16">
      <w:pPr>
        <w:jc w:val="both"/>
        <w:rPr>
          <w:rFonts w:eastAsia="Times New Roman" w:cs="Times New Roman"/>
          <w:szCs w:val="28"/>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5386"/>
      </w:tblGrid>
      <w:tr w:rsidR="00EA5E16" w:rsidRPr="00EA5E16" w:rsidTr="004A187E">
        <w:tc>
          <w:tcPr>
            <w:tcW w:w="9322" w:type="dxa"/>
            <w:gridSpan w:val="3"/>
            <w:shd w:val="clear" w:color="auto" w:fill="auto"/>
          </w:tcPr>
          <w:p w:rsidR="00EA5E16" w:rsidRPr="00EA5E16" w:rsidRDefault="00EA5E16" w:rsidP="00EA5E16">
            <w:pPr>
              <w:spacing w:before="75" w:after="75"/>
              <w:jc w:val="center"/>
              <w:rPr>
                <w:rFonts w:eastAsia="Times New Roman" w:cs="Times New Roman"/>
                <w:szCs w:val="24"/>
                <w:lang w:eastAsia="lv-LV"/>
              </w:rPr>
            </w:pPr>
            <w:r w:rsidRPr="00EA5E16">
              <w:rPr>
                <w:rFonts w:eastAsia="Times New Roman" w:cs="Times New Roman"/>
                <w:b/>
                <w:bCs/>
                <w:szCs w:val="24"/>
                <w:lang w:eastAsia="lv-LV"/>
              </w:rPr>
              <w:t> VII. Tiesību akta projekta izpildes nodrošināšana un tās ietekme uz institūcijām</w:t>
            </w:r>
          </w:p>
        </w:tc>
      </w:tr>
      <w:tr w:rsidR="00EA5E16" w:rsidRPr="00EA5E16" w:rsidTr="004A187E">
        <w:trPr>
          <w:trHeight w:val="427"/>
        </w:trPr>
        <w:tc>
          <w:tcPr>
            <w:tcW w:w="675" w:type="dxa"/>
            <w:shd w:val="clear" w:color="auto" w:fill="auto"/>
          </w:tcPr>
          <w:p w:rsidR="00EA5E16" w:rsidRPr="00EA5E16" w:rsidRDefault="00EA5E16" w:rsidP="00EA5E16">
            <w:pPr>
              <w:numPr>
                <w:ilvl w:val="0"/>
                <w:numId w:val="1"/>
              </w:numPr>
              <w:tabs>
                <w:tab w:val="left" w:pos="57"/>
                <w:tab w:val="left" w:pos="225"/>
              </w:tabs>
              <w:jc w:val="both"/>
              <w:rPr>
                <w:rFonts w:eastAsia="Times New Roman" w:cs="Times New Roman"/>
                <w:szCs w:val="24"/>
                <w:lang w:eastAsia="lv-LV"/>
              </w:rPr>
            </w:pPr>
          </w:p>
        </w:tc>
        <w:tc>
          <w:tcPr>
            <w:tcW w:w="3261" w:type="dxa"/>
            <w:shd w:val="clear" w:color="auto" w:fill="auto"/>
            <w:hideMark/>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Projekta izpildē iesaistītās institūcijas</w:t>
            </w:r>
          </w:p>
        </w:tc>
        <w:tc>
          <w:tcPr>
            <w:tcW w:w="5386" w:type="dxa"/>
            <w:shd w:val="clear" w:color="auto" w:fill="auto"/>
            <w:hideMark/>
          </w:tcPr>
          <w:p w:rsidR="00EA5E16" w:rsidRPr="00EA5E16" w:rsidRDefault="00EA5E16" w:rsidP="003601CD">
            <w:pPr>
              <w:ind w:right="127"/>
              <w:jc w:val="both"/>
              <w:rPr>
                <w:rFonts w:eastAsia="Times New Roman" w:cs="Times New Roman"/>
                <w:szCs w:val="24"/>
                <w:lang w:eastAsia="lv-LV"/>
              </w:rPr>
            </w:pPr>
            <w:r w:rsidRPr="00EA5E16">
              <w:rPr>
                <w:rFonts w:eastAsia="Times New Roman" w:cs="Times New Roman"/>
                <w:szCs w:val="24"/>
                <w:lang w:eastAsia="lv-LV"/>
              </w:rPr>
              <w:t>Ministrijas un citas centrālās valsts iestādes, kas izstrādā un iesniedz Finanšu ministrijā budžeta pieprasījumu vidējam termiņam.</w:t>
            </w:r>
          </w:p>
        </w:tc>
      </w:tr>
      <w:tr w:rsidR="00EA5E16" w:rsidRPr="00EA5E16" w:rsidTr="004A187E">
        <w:trPr>
          <w:trHeight w:val="463"/>
        </w:trPr>
        <w:tc>
          <w:tcPr>
            <w:tcW w:w="675" w:type="dxa"/>
            <w:shd w:val="clear" w:color="auto" w:fill="auto"/>
          </w:tcPr>
          <w:p w:rsidR="00EA5E16" w:rsidRPr="00EA5E16" w:rsidRDefault="00EA5E16" w:rsidP="00EA5E16">
            <w:pPr>
              <w:numPr>
                <w:ilvl w:val="0"/>
                <w:numId w:val="1"/>
              </w:numPr>
              <w:rPr>
                <w:rFonts w:eastAsia="Times New Roman" w:cs="Times New Roman"/>
                <w:szCs w:val="24"/>
                <w:lang w:eastAsia="lv-LV"/>
              </w:rPr>
            </w:pPr>
          </w:p>
        </w:tc>
        <w:tc>
          <w:tcPr>
            <w:tcW w:w="3261" w:type="dxa"/>
            <w:shd w:val="clear" w:color="auto" w:fill="auto"/>
            <w:hideMark/>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Projekta izpildes ietekme uz pārvaldes funkcijām</w:t>
            </w:r>
          </w:p>
        </w:tc>
        <w:tc>
          <w:tcPr>
            <w:tcW w:w="5386" w:type="dxa"/>
            <w:shd w:val="clear" w:color="auto" w:fill="auto"/>
            <w:hideMark/>
          </w:tcPr>
          <w:p w:rsidR="00EA5E16" w:rsidRPr="00EA5E16" w:rsidRDefault="005C3FF0" w:rsidP="00BE7F78">
            <w:pPr>
              <w:ind w:right="127"/>
              <w:jc w:val="both"/>
              <w:rPr>
                <w:rFonts w:eastAsia="Times New Roman" w:cs="Times New Roman"/>
                <w:szCs w:val="24"/>
                <w:lang w:eastAsia="lv-LV"/>
              </w:rPr>
            </w:pPr>
            <w:r>
              <w:t>Noteikumu projekta</w:t>
            </w:r>
            <w:r w:rsidRPr="00E61B65">
              <w:t xml:space="preserve"> izpilde tiks nodrošināta </w:t>
            </w:r>
            <w:r w:rsidR="00BE7F78">
              <w:t>m</w:t>
            </w:r>
            <w:r w:rsidR="00BE7F78" w:rsidRPr="00BE7F78">
              <w:t>inistrij</w:t>
            </w:r>
            <w:r w:rsidR="00BE7F78">
              <w:t>u</w:t>
            </w:r>
            <w:r w:rsidR="00BE7F78" w:rsidRPr="00BE7F78">
              <w:t xml:space="preserve"> un citu centrālo valsts iestāžu </w:t>
            </w:r>
            <w:r w:rsidRPr="00E61B65">
              <w:t>līdzšinējo funkciju ietvaros.</w:t>
            </w:r>
          </w:p>
        </w:tc>
      </w:tr>
      <w:tr w:rsidR="00EA5E16" w:rsidRPr="00EA5E16" w:rsidTr="004A187E">
        <w:trPr>
          <w:trHeight w:val="725"/>
        </w:trPr>
        <w:tc>
          <w:tcPr>
            <w:tcW w:w="675" w:type="dxa"/>
            <w:shd w:val="clear" w:color="auto" w:fill="auto"/>
          </w:tcPr>
          <w:p w:rsidR="00EA5E16" w:rsidRPr="00EA5E16" w:rsidRDefault="00EA5E16" w:rsidP="00EA5E16">
            <w:pPr>
              <w:numPr>
                <w:ilvl w:val="0"/>
                <w:numId w:val="1"/>
              </w:numPr>
              <w:rPr>
                <w:rFonts w:eastAsia="Times New Roman" w:cs="Times New Roman"/>
                <w:szCs w:val="24"/>
                <w:lang w:eastAsia="lv-LV"/>
              </w:rPr>
            </w:pPr>
          </w:p>
        </w:tc>
        <w:tc>
          <w:tcPr>
            <w:tcW w:w="3261" w:type="dxa"/>
            <w:shd w:val="clear" w:color="auto" w:fill="auto"/>
            <w:hideMark/>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Projekta izpildes ietekme uz pārvaldes institucionālo struktūru.</w:t>
            </w:r>
          </w:p>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Jaunu institūciju izveide</w:t>
            </w:r>
          </w:p>
        </w:tc>
        <w:tc>
          <w:tcPr>
            <w:tcW w:w="5386" w:type="dxa"/>
            <w:shd w:val="clear" w:color="auto" w:fill="auto"/>
            <w:hideMark/>
          </w:tcPr>
          <w:p w:rsidR="00EA5E16" w:rsidRPr="00EA5E16" w:rsidRDefault="004A187E" w:rsidP="00EA5E16">
            <w:pPr>
              <w:ind w:right="127"/>
              <w:jc w:val="both"/>
              <w:rPr>
                <w:rFonts w:eastAsia="Times New Roman" w:cs="Times New Roman"/>
                <w:szCs w:val="24"/>
                <w:lang w:eastAsia="lv-LV"/>
              </w:rPr>
            </w:pPr>
            <w:r w:rsidRPr="00512DEF">
              <w:t>Projekts šo jomu neskar.</w:t>
            </w:r>
          </w:p>
        </w:tc>
      </w:tr>
      <w:tr w:rsidR="00EA5E16" w:rsidRPr="00EA5E16" w:rsidTr="004A187E">
        <w:trPr>
          <w:trHeight w:val="780"/>
        </w:trPr>
        <w:tc>
          <w:tcPr>
            <w:tcW w:w="675" w:type="dxa"/>
            <w:shd w:val="clear" w:color="auto" w:fill="auto"/>
          </w:tcPr>
          <w:p w:rsidR="00EA5E16" w:rsidRPr="00EA5E16" w:rsidRDefault="00EA5E16" w:rsidP="00EA5E16">
            <w:pPr>
              <w:numPr>
                <w:ilvl w:val="0"/>
                <w:numId w:val="1"/>
              </w:numPr>
              <w:rPr>
                <w:rFonts w:eastAsia="Times New Roman" w:cs="Times New Roman"/>
                <w:szCs w:val="24"/>
                <w:lang w:eastAsia="lv-LV"/>
              </w:rPr>
            </w:pPr>
          </w:p>
        </w:tc>
        <w:tc>
          <w:tcPr>
            <w:tcW w:w="3261" w:type="dxa"/>
            <w:shd w:val="clear" w:color="auto" w:fill="auto"/>
            <w:hideMark/>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Projekta izpildes ietekme uz pārvaldes institucionālo struktūru.</w:t>
            </w:r>
          </w:p>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Esošu institūciju likvidācija</w:t>
            </w:r>
          </w:p>
        </w:tc>
        <w:tc>
          <w:tcPr>
            <w:tcW w:w="5386" w:type="dxa"/>
            <w:shd w:val="clear" w:color="auto" w:fill="auto"/>
            <w:hideMark/>
          </w:tcPr>
          <w:p w:rsidR="00EA5E16" w:rsidRPr="00EA5E16" w:rsidRDefault="004A187E" w:rsidP="00D51B9D">
            <w:pPr>
              <w:ind w:right="127"/>
              <w:rPr>
                <w:rFonts w:eastAsia="Times New Roman" w:cs="Times New Roman"/>
                <w:szCs w:val="24"/>
                <w:highlight w:val="green"/>
                <w:lang w:eastAsia="lv-LV"/>
              </w:rPr>
            </w:pPr>
            <w:r w:rsidRPr="00512DEF">
              <w:t>Projekts šo jomu neskar.</w:t>
            </w:r>
          </w:p>
        </w:tc>
      </w:tr>
      <w:tr w:rsidR="00EA5E16" w:rsidRPr="00EA5E16" w:rsidTr="004A187E">
        <w:trPr>
          <w:trHeight w:val="703"/>
        </w:trPr>
        <w:tc>
          <w:tcPr>
            <w:tcW w:w="675" w:type="dxa"/>
            <w:shd w:val="clear" w:color="auto" w:fill="auto"/>
          </w:tcPr>
          <w:p w:rsidR="00EA5E16" w:rsidRPr="00EA5E16" w:rsidRDefault="00EA5E16" w:rsidP="00EA5E16">
            <w:pPr>
              <w:numPr>
                <w:ilvl w:val="0"/>
                <w:numId w:val="1"/>
              </w:numPr>
              <w:rPr>
                <w:rFonts w:eastAsia="Times New Roman" w:cs="Times New Roman"/>
                <w:szCs w:val="24"/>
                <w:lang w:eastAsia="lv-LV"/>
              </w:rPr>
            </w:pPr>
          </w:p>
        </w:tc>
        <w:tc>
          <w:tcPr>
            <w:tcW w:w="3261" w:type="dxa"/>
            <w:shd w:val="clear" w:color="auto" w:fill="auto"/>
            <w:hideMark/>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Projekta izpildes ietekme uz pārvaldes institucionālo struktūru.</w:t>
            </w:r>
          </w:p>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Esošu institūciju reorganizācija</w:t>
            </w:r>
          </w:p>
        </w:tc>
        <w:tc>
          <w:tcPr>
            <w:tcW w:w="5386" w:type="dxa"/>
            <w:shd w:val="clear" w:color="auto" w:fill="auto"/>
            <w:hideMark/>
          </w:tcPr>
          <w:p w:rsidR="00EA5E16" w:rsidRPr="00EA5E16" w:rsidRDefault="004A187E" w:rsidP="00D51B9D">
            <w:pPr>
              <w:ind w:right="127"/>
              <w:rPr>
                <w:rFonts w:eastAsia="Times New Roman" w:cs="Times New Roman"/>
                <w:szCs w:val="24"/>
                <w:lang w:eastAsia="lv-LV"/>
              </w:rPr>
            </w:pPr>
            <w:r w:rsidRPr="00512DEF">
              <w:t>Projekts šo jomu neskar.</w:t>
            </w:r>
          </w:p>
        </w:tc>
      </w:tr>
      <w:tr w:rsidR="00EA5E16" w:rsidRPr="00EA5E16" w:rsidTr="004A187E">
        <w:trPr>
          <w:trHeight w:val="267"/>
        </w:trPr>
        <w:tc>
          <w:tcPr>
            <w:tcW w:w="675" w:type="dxa"/>
            <w:shd w:val="clear" w:color="auto" w:fill="auto"/>
          </w:tcPr>
          <w:p w:rsidR="00EA5E16" w:rsidRPr="00EA5E16" w:rsidRDefault="00EA5E16" w:rsidP="00EA5E16">
            <w:pPr>
              <w:numPr>
                <w:ilvl w:val="0"/>
                <w:numId w:val="1"/>
              </w:numPr>
              <w:rPr>
                <w:rFonts w:eastAsia="Times New Roman" w:cs="Times New Roman"/>
                <w:szCs w:val="24"/>
                <w:lang w:eastAsia="lv-LV"/>
              </w:rPr>
            </w:pPr>
          </w:p>
        </w:tc>
        <w:tc>
          <w:tcPr>
            <w:tcW w:w="3261" w:type="dxa"/>
            <w:shd w:val="clear" w:color="auto" w:fill="auto"/>
            <w:hideMark/>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 Cita informācija</w:t>
            </w:r>
          </w:p>
        </w:tc>
        <w:tc>
          <w:tcPr>
            <w:tcW w:w="5386" w:type="dxa"/>
            <w:shd w:val="clear" w:color="auto" w:fill="auto"/>
            <w:hideMark/>
          </w:tcPr>
          <w:p w:rsidR="00EA5E16" w:rsidRPr="00EA5E16" w:rsidRDefault="003601CD" w:rsidP="000463EB">
            <w:pPr>
              <w:ind w:right="127"/>
              <w:jc w:val="both"/>
              <w:rPr>
                <w:rFonts w:eastAsia="Times New Roman" w:cs="Times New Roman"/>
                <w:szCs w:val="24"/>
                <w:lang w:eastAsia="lv-LV"/>
              </w:rPr>
            </w:pPr>
            <w:r w:rsidRPr="003601CD">
              <w:rPr>
                <w:rFonts w:eastAsia="Times New Roman" w:cs="Times New Roman"/>
                <w:szCs w:val="24"/>
                <w:lang w:eastAsia="lv-LV"/>
              </w:rPr>
              <w:t xml:space="preserve">Ministru kabineta </w:t>
            </w:r>
            <w:r>
              <w:rPr>
                <w:rFonts w:eastAsia="Times New Roman" w:cs="Times New Roman"/>
                <w:szCs w:val="24"/>
                <w:lang w:eastAsia="lv-LV"/>
              </w:rPr>
              <w:t>noteikumi tiks publicēti</w:t>
            </w:r>
            <w:r w:rsidRPr="003601CD">
              <w:rPr>
                <w:rFonts w:eastAsia="Times New Roman" w:cs="Times New Roman"/>
                <w:szCs w:val="24"/>
                <w:lang w:eastAsia="lv-LV"/>
              </w:rPr>
              <w:t xml:space="preserve"> Latvijas Republikas oficiālajā l</w:t>
            </w:r>
            <w:r w:rsidR="00600459">
              <w:rPr>
                <w:rFonts w:eastAsia="Times New Roman" w:cs="Times New Roman"/>
                <w:szCs w:val="24"/>
                <w:lang w:eastAsia="lv-LV"/>
              </w:rPr>
              <w:t xml:space="preserve">aikrakstā „Latvijas Vēstnesis”, </w:t>
            </w:r>
            <w:r w:rsidRPr="003601CD">
              <w:rPr>
                <w:rFonts w:eastAsia="Times New Roman" w:cs="Times New Roman"/>
                <w:szCs w:val="24"/>
                <w:lang w:eastAsia="lv-LV"/>
              </w:rPr>
              <w:t xml:space="preserve">kā arī būs pieejams bezmaksas normatīvo aktu bāzē </w:t>
            </w:r>
            <w:hyperlink r:id="rId9" w:history="1">
              <w:r w:rsidRPr="003601CD">
                <w:rPr>
                  <w:rFonts w:eastAsia="Times New Roman" w:cs="Times New Roman"/>
                  <w:szCs w:val="24"/>
                  <w:lang w:eastAsia="lv-LV"/>
                </w:rPr>
                <w:t>www.likumi.lv</w:t>
              </w:r>
            </w:hyperlink>
            <w:r w:rsidRPr="003601CD">
              <w:rPr>
                <w:rFonts w:eastAsia="Times New Roman" w:cs="Times New Roman"/>
                <w:szCs w:val="24"/>
                <w:lang w:eastAsia="lv-LV"/>
              </w:rPr>
              <w:t>.</w:t>
            </w:r>
            <w:r w:rsidR="00954AE5">
              <w:rPr>
                <w:rFonts w:eastAsia="Times New Roman" w:cs="Times New Roman"/>
                <w:szCs w:val="24"/>
                <w:lang w:eastAsia="lv-LV"/>
              </w:rPr>
              <w:t xml:space="preserve"> Atbilstoši noteikumu </w:t>
            </w:r>
            <w:r w:rsidR="00110A2B">
              <w:rPr>
                <w:rFonts w:eastAsia="Times New Roman" w:cs="Times New Roman"/>
                <w:szCs w:val="24"/>
                <w:lang w:eastAsia="lv-LV"/>
              </w:rPr>
              <w:t xml:space="preserve">projekta </w:t>
            </w:r>
            <w:r w:rsidR="00954AE5">
              <w:rPr>
                <w:rFonts w:eastAsia="Times New Roman" w:cs="Times New Roman"/>
                <w:szCs w:val="24"/>
                <w:lang w:eastAsia="lv-LV"/>
              </w:rPr>
              <w:t xml:space="preserve">normām, </w:t>
            </w:r>
            <w:r w:rsidR="00954AE5" w:rsidRPr="00954AE5">
              <w:rPr>
                <w:rFonts w:eastAsia="Times New Roman" w:cs="Times New Roman"/>
                <w:szCs w:val="24"/>
                <w:lang w:eastAsia="lv-LV"/>
              </w:rPr>
              <w:t>Ministru kabineta noteikumi tiks publicēti</w:t>
            </w:r>
            <w:r w:rsidR="00954AE5" w:rsidRPr="00954AE5">
              <w:rPr>
                <w:rFonts w:eastAsia="Calibri" w:cs="Times New Roman"/>
                <w:bCs/>
                <w:szCs w:val="24"/>
              </w:rPr>
              <w:t xml:space="preserve"> </w:t>
            </w:r>
            <w:r w:rsidR="00954AE5" w:rsidRPr="00954AE5">
              <w:rPr>
                <w:rFonts w:eastAsia="Times New Roman" w:cs="Times New Roman"/>
                <w:bCs/>
                <w:szCs w:val="24"/>
                <w:lang w:eastAsia="lv-LV"/>
              </w:rPr>
              <w:t xml:space="preserve">Finanšu ministrijas </w:t>
            </w:r>
            <w:r w:rsidR="000463EB">
              <w:rPr>
                <w:rFonts w:eastAsia="Times New Roman" w:cs="Times New Roman"/>
                <w:bCs/>
                <w:szCs w:val="24"/>
                <w:lang w:eastAsia="lv-LV"/>
              </w:rPr>
              <w:t>tīmekļa vietnē</w:t>
            </w:r>
            <w:r w:rsidR="00954AE5">
              <w:rPr>
                <w:rFonts w:eastAsia="Times New Roman" w:cs="Times New Roman"/>
                <w:bCs/>
                <w:szCs w:val="24"/>
                <w:lang w:eastAsia="lv-LV"/>
              </w:rPr>
              <w:t>.</w:t>
            </w:r>
          </w:p>
        </w:tc>
      </w:tr>
    </w:tbl>
    <w:p w:rsidR="00EA5E16" w:rsidRPr="00EA5E16" w:rsidRDefault="00EA5E16" w:rsidP="00EA5E16">
      <w:pPr>
        <w:jc w:val="both"/>
        <w:rPr>
          <w:rFonts w:eastAsia="Times New Roman" w:cs="Times New Roman"/>
          <w:sz w:val="28"/>
          <w:szCs w:val="28"/>
          <w:lang w:eastAsia="lv-LV"/>
        </w:rPr>
      </w:pPr>
    </w:p>
    <w:p w:rsidR="00EA5E16" w:rsidRDefault="00EA5E16" w:rsidP="00EA5E16">
      <w:pPr>
        <w:jc w:val="both"/>
        <w:rPr>
          <w:rFonts w:eastAsia="Times New Roman" w:cs="Times New Roman"/>
          <w:sz w:val="28"/>
          <w:szCs w:val="28"/>
          <w:lang w:eastAsia="lv-LV"/>
        </w:rPr>
      </w:pPr>
    </w:p>
    <w:p w:rsidR="00860229" w:rsidRDefault="00860229" w:rsidP="00EA5E16">
      <w:pPr>
        <w:jc w:val="both"/>
        <w:rPr>
          <w:rFonts w:eastAsia="Times New Roman" w:cs="Times New Roman"/>
          <w:sz w:val="28"/>
          <w:szCs w:val="28"/>
          <w:lang w:eastAsia="lv-LV"/>
        </w:rPr>
      </w:pPr>
    </w:p>
    <w:p w:rsidR="00CC0107" w:rsidRDefault="00CC0107" w:rsidP="00EA5E16">
      <w:pPr>
        <w:jc w:val="both"/>
        <w:rPr>
          <w:rFonts w:eastAsia="Times New Roman" w:cs="Times New Roman"/>
          <w:sz w:val="28"/>
          <w:szCs w:val="28"/>
          <w:lang w:eastAsia="lv-LV"/>
        </w:rPr>
      </w:pPr>
    </w:p>
    <w:p w:rsidR="00CC0107" w:rsidRDefault="00CC0107" w:rsidP="00EA5E16">
      <w:pPr>
        <w:jc w:val="both"/>
        <w:rPr>
          <w:rFonts w:eastAsia="Times New Roman" w:cs="Times New Roman"/>
          <w:sz w:val="28"/>
          <w:szCs w:val="28"/>
          <w:lang w:eastAsia="lv-LV"/>
        </w:rPr>
      </w:pPr>
    </w:p>
    <w:p w:rsidR="00860229" w:rsidRDefault="00860229" w:rsidP="00EA5E16">
      <w:pPr>
        <w:jc w:val="both"/>
        <w:rPr>
          <w:rFonts w:eastAsia="Times New Roman" w:cs="Times New Roman"/>
          <w:sz w:val="28"/>
          <w:szCs w:val="28"/>
          <w:lang w:eastAsia="lv-LV"/>
        </w:rPr>
      </w:pPr>
    </w:p>
    <w:p w:rsidR="00D61D12" w:rsidRDefault="00D61D12" w:rsidP="00EA5E16">
      <w:pPr>
        <w:jc w:val="both"/>
        <w:rPr>
          <w:rFonts w:eastAsia="Times New Roman" w:cs="Times New Roman"/>
          <w:sz w:val="28"/>
          <w:szCs w:val="28"/>
          <w:lang w:eastAsia="lv-LV"/>
        </w:rPr>
      </w:pPr>
    </w:p>
    <w:p w:rsidR="00715B16" w:rsidRDefault="00715B16" w:rsidP="00EA5E16">
      <w:pPr>
        <w:jc w:val="both"/>
        <w:rPr>
          <w:rFonts w:eastAsia="Times New Roman" w:cs="Times New Roman"/>
          <w:sz w:val="28"/>
          <w:szCs w:val="28"/>
          <w:lang w:eastAsia="lv-LV"/>
        </w:rPr>
      </w:pPr>
    </w:p>
    <w:p w:rsidR="00EA5E16" w:rsidRPr="00EA5E16" w:rsidRDefault="00ED3624" w:rsidP="00EA5E16">
      <w:pPr>
        <w:jc w:val="both"/>
        <w:rPr>
          <w:rFonts w:eastAsia="Times New Roman" w:cs="Times New Roman"/>
          <w:sz w:val="28"/>
          <w:szCs w:val="28"/>
          <w:lang w:eastAsia="lv-LV"/>
        </w:rPr>
      </w:pPr>
      <w:r>
        <w:rPr>
          <w:rFonts w:eastAsia="Times New Roman" w:cs="Times New Roman"/>
          <w:sz w:val="28"/>
          <w:szCs w:val="28"/>
          <w:lang w:eastAsia="lv-LV"/>
        </w:rPr>
        <w:t xml:space="preserve">              </w:t>
      </w:r>
      <w:r w:rsidR="00EA5E16" w:rsidRPr="00EA5E16">
        <w:rPr>
          <w:rFonts w:eastAsia="Times New Roman" w:cs="Times New Roman"/>
          <w:sz w:val="28"/>
          <w:szCs w:val="28"/>
          <w:lang w:eastAsia="lv-LV"/>
        </w:rPr>
        <w:t>Finanšu ministrs</w:t>
      </w:r>
      <w:r w:rsidR="00EA5E16" w:rsidRPr="00EA5E16">
        <w:rPr>
          <w:rFonts w:eastAsia="Times New Roman" w:cs="Times New Roman"/>
          <w:sz w:val="28"/>
          <w:szCs w:val="28"/>
          <w:lang w:eastAsia="lv-LV"/>
        </w:rPr>
        <w:tab/>
      </w:r>
      <w:r w:rsidR="00EA5E16" w:rsidRPr="00EA5E16">
        <w:rPr>
          <w:rFonts w:eastAsia="Times New Roman" w:cs="Times New Roman"/>
          <w:sz w:val="28"/>
          <w:szCs w:val="28"/>
          <w:lang w:eastAsia="lv-LV"/>
        </w:rPr>
        <w:tab/>
      </w:r>
      <w:r w:rsidR="00EA5E16" w:rsidRPr="00EA5E16">
        <w:rPr>
          <w:rFonts w:eastAsia="Times New Roman" w:cs="Times New Roman"/>
          <w:sz w:val="28"/>
          <w:szCs w:val="28"/>
          <w:lang w:eastAsia="lv-LV"/>
        </w:rPr>
        <w:tab/>
      </w:r>
      <w:r w:rsidR="00EA5E16" w:rsidRPr="00EA5E16">
        <w:rPr>
          <w:rFonts w:eastAsia="Times New Roman" w:cs="Times New Roman"/>
          <w:sz w:val="28"/>
          <w:szCs w:val="28"/>
          <w:lang w:eastAsia="lv-LV"/>
        </w:rPr>
        <w:tab/>
      </w:r>
      <w:r w:rsidR="00EA5E16" w:rsidRPr="00EA5E16">
        <w:rPr>
          <w:rFonts w:eastAsia="Times New Roman" w:cs="Times New Roman"/>
          <w:sz w:val="28"/>
          <w:szCs w:val="28"/>
          <w:lang w:eastAsia="lv-LV"/>
        </w:rPr>
        <w:tab/>
      </w:r>
      <w:r w:rsidR="00EA5E16" w:rsidRPr="00EA5E16">
        <w:rPr>
          <w:rFonts w:eastAsia="Times New Roman" w:cs="Times New Roman"/>
          <w:sz w:val="28"/>
          <w:szCs w:val="28"/>
          <w:lang w:eastAsia="lv-LV"/>
        </w:rPr>
        <w:tab/>
        <w:t xml:space="preserve">     </w:t>
      </w:r>
      <w:r w:rsidR="00EA5E16" w:rsidRPr="00EA5E16">
        <w:rPr>
          <w:rFonts w:eastAsia="Times New Roman" w:cs="Times New Roman"/>
          <w:bCs/>
          <w:sz w:val="28"/>
          <w:szCs w:val="28"/>
          <w:lang w:eastAsia="lv-LV"/>
        </w:rPr>
        <w:t>A.Vilks</w:t>
      </w:r>
    </w:p>
    <w:p w:rsidR="00EA5E16" w:rsidRDefault="00EA5E16" w:rsidP="00EA5E16">
      <w:pPr>
        <w:rPr>
          <w:rFonts w:eastAsia="Times New Roman" w:cs="Times New Roman"/>
          <w:sz w:val="28"/>
          <w:szCs w:val="28"/>
          <w:lang w:eastAsia="lv-LV"/>
        </w:rPr>
      </w:pPr>
    </w:p>
    <w:p w:rsidR="00860229" w:rsidRDefault="00860229" w:rsidP="00EA5E16">
      <w:pPr>
        <w:tabs>
          <w:tab w:val="center" w:pos="4153"/>
          <w:tab w:val="right" w:pos="8306"/>
        </w:tabs>
        <w:rPr>
          <w:rFonts w:eastAsia="Times New Roman" w:cs="Times New Roman"/>
          <w:sz w:val="18"/>
          <w:szCs w:val="24"/>
          <w:lang w:eastAsia="lv-LV"/>
        </w:rPr>
      </w:pPr>
    </w:p>
    <w:p w:rsidR="00860229" w:rsidRDefault="00860229" w:rsidP="00EA5E16">
      <w:pPr>
        <w:tabs>
          <w:tab w:val="center" w:pos="4153"/>
          <w:tab w:val="right" w:pos="8306"/>
        </w:tabs>
        <w:rPr>
          <w:rFonts w:eastAsia="Times New Roman" w:cs="Times New Roman"/>
          <w:sz w:val="18"/>
          <w:szCs w:val="24"/>
          <w:lang w:eastAsia="lv-LV"/>
        </w:rPr>
      </w:pPr>
    </w:p>
    <w:p w:rsidR="0097117B" w:rsidRDefault="0097117B" w:rsidP="00EA5E16">
      <w:pPr>
        <w:tabs>
          <w:tab w:val="center" w:pos="4153"/>
          <w:tab w:val="right" w:pos="8306"/>
        </w:tabs>
        <w:rPr>
          <w:rFonts w:eastAsia="Times New Roman" w:cs="Times New Roman"/>
          <w:sz w:val="18"/>
          <w:szCs w:val="24"/>
          <w:lang w:eastAsia="lv-LV"/>
        </w:rPr>
      </w:pPr>
    </w:p>
    <w:p w:rsidR="0097117B" w:rsidRDefault="0097117B" w:rsidP="00EA5E16">
      <w:pPr>
        <w:tabs>
          <w:tab w:val="center" w:pos="4153"/>
          <w:tab w:val="right" w:pos="8306"/>
        </w:tabs>
        <w:rPr>
          <w:rFonts w:eastAsia="Times New Roman" w:cs="Times New Roman"/>
          <w:sz w:val="18"/>
          <w:szCs w:val="24"/>
          <w:lang w:eastAsia="lv-LV"/>
        </w:rPr>
      </w:pPr>
    </w:p>
    <w:p w:rsidR="0097117B" w:rsidRDefault="0097117B" w:rsidP="00EA5E16">
      <w:pPr>
        <w:tabs>
          <w:tab w:val="center" w:pos="4153"/>
          <w:tab w:val="right" w:pos="8306"/>
        </w:tabs>
        <w:rPr>
          <w:rFonts w:eastAsia="Times New Roman" w:cs="Times New Roman"/>
          <w:sz w:val="18"/>
          <w:szCs w:val="24"/>
          <w:lang w:eastAsia="lv-LV"/>
        </w:rPr>
      </w:pPr>
    </w:p>
    <w:p w:rsidR="0097117B" w:rsidRDefault="0097117B" w:rsidP="00EA5E16">
      <w:pPr>
        <w:tabs>
          <w:tab w:val="center" w:pos="4153"/>
          <w:tab w:val="right" w:pos="8306"/>
        </w:tabs>
        <w:rPr>
          <w:rFonts w:eastAsia="Times New Roman" w:cs="Times New Roman"/>
          <w:sz w:val="18"/>
          <w:szCs w:val="24"/>
          <w:lang w:eastAsia="lv-LV"/>
        </w:rPr>
      </w:pPr>
    </w:p>
    <w:p w:rsidR="00CC0107" w:rsidRDefault="00CC0107" w:rsidP="00EA5E16">
      <w:pPr>
        <w:tabs>
          <w:tab w:val="center" w:pos="4153"/>
          <w:tab w:val="right" w:pos="8306"/>
        </w:tabs>
        <w:rPr>
          <w:rFonts w:eastAsia="Times New Roman" w:cs="Times New Roman"/>
          <w:sz w:val="18"/>
          <w:szCs w:val="24"/>
          <w:lang w:eastAsia="lv-LV"/>
        </w:rPr>
      </w:pPr>
    </w:p>
    <w:p w:rsidR="00CC0107" w:rsidRDefault="00CC0107" w:rsidP="00EA5E16">
      <w:pPr>
        <w:tabs>
          <w:tab w:val="center" w:pos="4153"/>
          <w:tab w:val="right" w:pos="8306"/>
        </w:tabs>
        <w:rPr>
          <w:rFonts w:eastAsia="Times New Roman" w:cs="Times New Roman"/>
          <w:sz w:val="18"/>
          <w:szCs w:val="24"/>
          <w:lang w:eastAsia="lv-LV"/>
        </w:rPr>
      </w:pPr>
    </w:p>
    <w:p w:rsidR="00CC0107" w:rsidRDefault="00CC0107" w:rsidP="00EA5E16">
      <w:pPr>
        <w:tabs>
          <w:tab w:val="center" w:pos="4153"/>
          <w:tab w:val="right" w:pos="8306"/>
        </w:tabs>
        <w:rPr>
          <w:rFonts w:eastAsia="Times New Roman" w:cs="Times New Roman"/>
          <w:sz w:val="18"/>
          <w:szCs w:val="24"/>
          <w:lang w:eastAsia="lv-LV"/>
        </w:rPr>
      </w:pPr>
    </w:p>
    <w:p w:rsidR="00CC0107" w:rsidRDefault="00CC0107" w:rsidP="00EA5E16">
      <w:pPr>
        <w:tabs>
          <w:tab w:val="center" w:pos="4153"/>
          <w:tab w:val="right" w:pos="8306"/>
        </w:tabs>
        <w:rPr>
          <w:rFonts w:eastAsia="Times New Roman" w:cs="Times New Roman"/>
          <w:sz w:val="18"/>
          <w:szCs w:val="24"/>
          <w:lang w:eastAsia="lv-LV"/>
        </w:rPr>
      </w:pPr>
    </w:p>
    <w:p w:rsidR="00CC0107" w:rsidRDefault="00CC0107" w:rsidP="00EA5E16">
      <w:pPr>
        <w:tabs>
          <w:tab w:val="center" w:pos="4153"/>
          <w:tab w:val="right" w:pos="8306"/>
        </w:tabs>
        <w:rPr>
          <w:rFonts w:eastAsia="Times New Roman" w:cs="Times New Roman"/>
          <w:sz w:val="18"/>
          <w:szCs w:val="24"/>
          <w:lang w:eastAsia="lv-LV"/>
        </w:rPr>
      </w:pPr>
    </w:p>
    <w:p w:rsidR="00CC0107" w:rsidRDefault="00CC0107" w:rsidP="00EA5E16">
      <w:pPr>
        <w:tabs>
          <w:tab w:val="center" w:pos="4153"/>
          <w:tab w:val="right" w:pos="8306"/>
        </w:tabs>
        <w:rPr>
          <w:rFonts w:eastAsia="Times New Roman" w:cs="Times New Roman"/>
          <w:sz w:val="18"/>
          <w:szCs w:val="24"/>
          <w:lang w:eastAsia="lv-LV"/>
        </w:rPr>
      </w:pPr>
    </w:p>
    <w:p w:rsidR="00CC0107" w:rsidRDefault="00CC0107" w:rsidP="00EA5E16">
      <w:pPr>
        <w:tabs>
          <w:tab w:val="center" w:pos="4153"/>
          <w:tab w:val="right" w:pos="8306"/>
        </w:tabs>
        <w:rPr>
          <w:rFonts w:eastAsia="Times New Roman" w:cs="Times New Roman"/>
          <w:sz w:val="18"/>
          <w:szCs w:val="24"/>
          <w:lang w:eastAsia="lv-LV"/>
        </w:rPr>
      </w:pPr>
    </w:p>
    <w:p w:rsidR="00CC0107" w:rsidRDefault="00CC0107" w:rsidP="00EA5E16">
      <w:pPr>
        <w:tabs>
          <w:tab w:val="center" w:pos="4153"/>
          <w:tab w:val="right" w:pos="8306"/>
        </w:tabs>
        <w:rPr>
          <w:rFonts w:eastAsia="Times New Roman" w:cs="Times New Roman"/>
          <w:sz w:val="18"/>
          <w:szCs w:val="24"/>
          <w:lang w:eastAsia="lv-LV"/>
        </w:rPr>
      </w:pPr>
    </w:p>
    <w:p w:rsidR="00EA5E16" w:rsidRPr="00EA5E16" w:rsidRDefault="00B55577" w:rsidP="00EA5E16">
      <w:pPr>
        <w:tabs>
          <w:tab w:val="center" w:pos="4153"/>
          <w:tab w:val="right" w:pos="8306"/>
        </w:tabs>
        <w:rPr>
          <w:rFonts w:eastAsia="Times New Roman" w:cs="Times New Roman"/>
          <w:sz w:val="18"/>
          <w:szCs w:val="24"/>
          <w:lang w:eastAsia="lv-LV"/>
        </w:rPr>
      </w:pPr>
      <w:r>
        <w:rPr>
          <w:rFonts w:eastAsia="Times New Roman" w:cs="Times New Roman"/>
          <w:sz w:val="18"/>
          <w:szCs w:val="24"/>
          <w:lang w:eastAsia="lv-LV"/>
        </w:rPr>
        <w:t>22</w:t>
      </w:r>
      <w:r w:rsidR="00EA5E16" w:rsidRPr="00EA5E16">
        <w:rPr>
          <w:rFonts w:eastAsia="Times New Roman" w:cs="Times New Roman"/>
          <w:sz w:val="18"/>
          <w:szCs w:val="24"/>
          <w:lang w:eastAsia="lv-LV"/>
        </w:rPr>
        <w:t>.</w:t>
      </w:r>
      <w:r w:rsidR="003E3776" w:rsidRPr="00EA5E16">
        <w:rPr>
          <w:rFonts w:eastAsia="Times New Roman" w:cs="Times New Roman"/>
          <w:sz w:val="18"/>
          <w:szCs w:val="24"/>
          <w:lang w:eastAsia="lv-LV"/>
        </w:rPr>
        <w:t>0</w:t>
      </w:r>
      <w:r w:rsidR="00550AFC">
        <w:rPr>
          <w:rFonts w:eastAsia="Times New Roman" w:cs="Times New Roman"/>
          <w:sz w:val="18"/>
          <w:szCs w:val="24"/>
          <w:lang w:eastAsia="lv-LV"/>
        </w:rPr>
        <w:t>6</w:t>
      </w:r>
      <w:r w:rsidR="00EA5E16" w:rsidRPr="00EA5E16">
        <w:rPr>
          <w:rFonts w:eastAsia="Times New Roman" w:cs="Times New Roman"/>
          <w:sz w:val="18"/>
          <w:szCs w:val="24"/>
          <w:lang w:eastAsia="lv-LV"/>
        </w:rPr>
        <w:t>.2012.</w:t>
      </w:r>
    </w:p>
    <w:p w:rsidR="00EA5E16" w:rsidRDefault="00EA5E16" w:rsidP="00EA5E16">
      <w:pPr>
        <w:tabs>
          <w:tab w:val="center" w:pos="4153"/>
          <w:tab w:val="right" w:pos="8306"/>
        </w:tabs>
        <w:rPr>
          <w:rFonts w:eastAsia="Times New Roman" w:cs="Times New Roman"/>
          <w:sz w:val="18"/>
          <w:lang w:eastAsia="lv-LV"/>
        </w:rPr>
      </w:pPr>
      <w:r w:rsidRPr="00EA5E16">
        <w:rPr>
          <w:rFonts w:eastAsia="Times New Roman" w:cs="Times New Roman"/>
          <w:sz w:val="18"/>
          <w:lang w:eastAsia="lv-LV"/>
        </w:rPr>
        <w:fldChar w:fldCharType="begin"/>
      </w:r>
      <w:r w:rsidRPr="00EA5E16">
        <w:rPr>
          <w:rFonts w:eastAsia="Times New Roman" w:cs="Times New Roman"/>
          <w:sz w:val="18"/>
          <w:lang w:eastAsia="lv-LV"/>
        </w:rPr>
        <w:instrText xml:space="preserve"> NUMWORDS   \* MERGEFORMAT </w:instrText>
      </w:r>
      <w:r w:rsidRPr="00EA5E16">
        <w:rPr>
          <w:rFonts w:eastAsia="Times New Roman" w:cs="Times New Roman"/>
          <w:sz w:val="18"/>
          <w:lang w:eastAsia="lv-LV"/>
        </w:rPr>
        <w:fldChar w:fldCharType="separate"/>
      </w:r>
      <w:r w:rsidR="005305AA">
        <w:rPr>
          <w:rFonts w:eastAsia="Times New Roman" w:cs="Times New Roman"/>
          <w:noProof/>
          <w:sz w:val="18"/>
          <w:lang w:eastAsia="lv-LV"/>
        </w:rPr>
        <w:t>2706</w:t>
      </w:r>
      <w:r w:rsidRPr="00EA5E16">
        <w:rPr>
          <w:rFonts w:eastAsia="Times New Roman" w:cs="Times New Roman"/>
          <w:sz w:val="18"/>
          <w:lang w:eastAsia="lv-LV"/>
        </w:rPr>
        <w:fldChar w:fldCharType="end"/>
      </w:r>
    </w:p>
    <w:p w:rsidR="00CC05C9" w:rsidRPr="00CC05C9" w:rsidRDefault="00CC05C9" w:rsidP="00CC05C9">
      <w:pPr>
        <w:tabs>
          <w:tab w:val="center" w:pos="4153"/>
          <w:tab w:val="right" w:pos="8306"/>
        </w:tabs>
        <w:rPr>
          <w:rFonts w:eastAsia="Times New Roman" w:cs="Times New Roman"/>
          <w:bCs/>
          <w:sz w:val="18"/>
          <w:lang w:eastAsia="lv-LV"/>
        </w:rPr>
      </w:pPr>
      <w:r w:rsidRPr="00CC05C9">
        <w:rPr>
          <w:rFonts w:eastAsia="Times New Roman" w:cs="Times New Roman"/>
          <w:bCs/>
          <w:sz w:val="18"/>
          <w:lang w:eastAsia="lv-LV"/>
        </w:rPr>
        <w:t>A.Baumanis</w:t>
      </w:r>
    </w:p>
    <w:p w:rsidR="00CC05C9" w:rsidRPr="00EA5E16" w:rsidRDefault="00CC05C9" w:rsidP="00EA5E16">
      <w:pPr>
        <w:tabs>
          <w:tab w:val="center" w:pos="4153"/>
          <w:tab w:val="right" w:pos="8306"/>
        </w:tabs>
        <w:rPr>
          <w:rFonts w:eastAsia="Times New Roman" w:cs="Times New Roman"/>
          <w:sz w:val="18"/>
          <w:lang w:eastAsia="lv-LV"/>
        </w:rPr>
      </w:pPr>
      <w:r w:rsidRPr="00CC05C9">
        <w:rPr>
          <w:rFonts w:eastAsia="Times New Roman" w:cs="Times New Roman"/>
          <w:sz w:val="18"/>
          <w:lang w:eastAsia="lv-LV"/>
        </w:rPr>
        <w:t xml:space="preserve">t.67083981; </w:t>
      </w:r>
      <w:hyperlink r:id="rId10" w:history="1">
        <w:r w:rsidRPr="00CC05C9">
          <w:rPr>
            <w:rStyle w:val="Hyperlink"/>
            <w:rFonts w:eastAsia="Times New Roman" w:cs="Times New Roman"/>
            <w:color w:val="auto"/>
            <w:sz w:val="18"/>
            <w:u w:val="none"/>
            <w:lang w:eastAsia="lv-LV"/>
          </w:rPr>
          <w:t>andris.baumanis@fm.gov.lv</w:t>
        </w:r>
      </w:hyperlink>
    </w:p>
    <w:p w:rsidR="00EA5E16" w:rsidRPr="00EA5E16" w:rsidRDefault="00EA5E16" w:rsidP="00EA5E16">
      <w:pPr>
        <w:jc w:val="both"/>
        <w:rPr>
          <w:rFonts w:eastAsia="Times New Roman" w:cs="Times New Roman"/>
          <w:sz w:val="18"/>
          <w:szCs w:val="24"/>
          <w:lang w:eastAsia="lv-LV"/>
        </w:rPr>
      </w:pPr>
      <w:r w:rsidRPr="00EA5E16">
        <w:rPr>
          <w:rFonts w:eastAsia="Times New Roman" w:cs="Times New Roman"/>
          <w:sz w:val="18"/>
          <w:szCs w:val="24"/>
          <w:lang w:eastAsia="lv-LV"/>
        </w:rPr>
        <w:t>A.Osipova</w:t>
      </w:r>
    </w:p>
    <w:p w:rsidR="00C15FC1" w:rsidRPr="00860229" w:rsidRDefault="00EA5E16">
      <w:pPr>
        <w:rPr>
          <w:rFonts w:eastAsia="Times New Roman" w:cs="Times New Roman"/>
          <w:color w:val="000000"/>
          <w:sz w:val="18"/>
          <w:szCs w:val="24"/>
          <w:lang w:eastAsia="lv-LV"/>
        </w:rPr>
      </w:pPr>
      <w:r w:rsidRPr="00EA5E16">
        <w:rPr>
          <w:rFonts w:eastAsia="Times New Roman" w:cs="Times New Roman"/>
          <w:sz w:val="18"/>
          <w:szCs w:val="24"/>
          <w:lang w:eastAsia="lv-LV"/>
        </w:rPr>
        <w:t xml:space="preserve">t.67083802; </w:t>
      </w:r>
      <w:hyperlink r:id="rId11" w:history="1">
        <w:r w:rsidRPr="00EA5E16">
          <w:rPr>
            <w:rFonts w:eastAsia="Times New Roman" w:cs="Times New Roman"/>
            <w:color w:val="000000"/>
            <w:sz w:val="18"/>
            <w:szCs w:val="24"/>
            <w:lang w:eastAsia="lv-LV"/>
          </w:rPr>
          <w:t>anzelika.osipova@fm.gov.lv</w:t>
        </w:r>
      </w:hyperlink>
      <w:r w:rsidRPr="00EA5E16">
        <w:rPr>
          <w:rFonts w:eastAsia="Times New Roman" w:cs="Times New Roman"/>
          <w:color w:val="000000"/>
          <w:sz w:val="18"/>
          <w:szCs w:val="24"/>
          <w:lang w:eastAsia="lv-LV"/>
        </w:rPr>
        <w:t xml:space="preserve"> </w:t>
      </w:r>
    </w:p>
    <w:sectPr w:rsidR="00C15FC1" w:rsidRPr="00860229" w:rsidSect="00715B16">
      <w:headerReference w:type="default" r:id="rId12"/>
      <w:footerReference w:type="default" r:id="rId13"/>
      <w:footerReference w:type="first" r:id="rId14"/>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140" w:rsidRDefault="00E81140">
      <w:r>
        <w:separator/>
      </w:r>
    </w:p>
  </w:endnote>
  <w:endnote w:type="continuationSeparator" w:id="0">
    <w:p w:rsidR="00E81140" w:rsidRDefault="00E8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7E" w:rsidRPr="007D21D7" w:rsidRDefault="00EA5E16" w:rsidP="004A187E">
    <w:pPr>
      <w:jc w:val="both"/>
      <w:rPr>
        <w:b/>
        <w:bCs/>
        <w:sz w:val="18"/>
        <w:szCs w:val="20"/>
      </w:rPr>
    </w:pPr>
    <w:r w:rsidRPr="001935B2">
      <w:rPr>
        <w:sz w:val="18"/>
        <w:szCs w:val="20"/>
      </w:rPr>
      <w:fldChar w:fldCharType="begin"/>
    </w:r>
    <w:r w:rsidRPr="001935B2">
      <w:rPr>
        <w:sz w:val="18"/>
        <w:szCs w:val="20"/>
      </w:rPr>
      <w:instrText xml:space="preserve"> FILENAME   \* MERGEFORMAT </w:instrText>
    </w:r>
    <w:r w:rsidRPr="001935B2">
      <w:rPr>
        <w:sz w:val="18"/>
        <w:szCs w:val="20"/>
      </w:rPr>
      <w:fldChar w:fldCharType="separate"/>
    </w:r>
    <w:r w:rsidR="00512911">
      <w:rPr>
        <w:noProof/>
        <w:sz w:val="18"/>
        <w:szCs w:val="20"/>
      </w:rPr>
      <w:t>FM</w:t>
    </w:r>
    <w:r w:rsidR="00550AFC">
      <w:rPr>
        <w:noProof/>
        <w:sz w:val="18"/>
        <w:szCs w:val="20"/>
      </w:rPr>
      <w:t>Anot_</w:t>
    </w:r>
    <w:r w:rsidR="00B55577">
      <w:rPr>
        <w:noProof/>
        <w:sz w:val="18"/>
        <w:szCs w:val="20"/>
      </w:rPr>
      <w:t>22</w:t>
    </w:r>
    <w:r>
      <w:rPr>
        <w:noProof/>
        <w:sz w:val="18"/>
        <w:szCs w:val="20"/>
      </w:rPr>
      <w:t>0</w:t>
    </w:r>
    <w:r w:rsidR="00550AFC">
      <w:rPr>
        <w:noProof/>
        <w:sz w:val="18"/>
        <w:szCs w:val="20"/>
      </w:rPr>
      <w:t>6</w:t>
    </w:r>
    <w:r>
      <w:rPr>
        <w:noProof/>
        <w:sz w:val="18"/>
        <w:szCs w:val="20"/>
      </w:rPr>
      <w:t>12_doc</w:t>
    </w:r>
    <w:r w:rsidRPr="001935B2">
      <w:rPr>
        <w:sz w:val="18"/>
        <w:szCs w:val="20"/>
      </w:rPr>
      <w:fldChar w:fldCharType="end"/>
    </w:r>
    <w:r w:rsidRPr="00474780">
      <w:rPr>
        <w:sz w:val="18"/>
        <w:szCs w:val="20"/>
      </w:rPr>
      <w:t xml:space="preserve">; </w:t>
    </w:r>
    <w:r w:rsidRPr="007D21D7">
      <w:rPr>
        <w:sz w:val="18"/>
        <w:szCs w:val="20"/>
      </w:rPr>
      <w:t>Ministru kabineta noteikumu projekta</w:t>
    </w:r>
    <w:r w:rsidRPr="007D21D7">
      <w:rPr>
        <w:bCs/>
        <w:sz w:val="18"/>
        <w:szCs w:val="20"/>
      </w:rPr>
      <w:t xml:space="preserve"> „Noteikumi par budžetu pieprasījumu izstrādāšanas un iesniegšanas pamatprincipiem” sākotnējās ietekmes novērtējuma ziņojums (anotācija)</w:t>
    </w:r>
  </w:p>
  <w:p w:rsidR="004A187E" w:rsidRPr="00474780" w:rsidRDefault="004A187E" w:rsidP="004A187E">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7E" w:rsidRPr="007D21D7" w:rsidRDefault="00EA5E16" w:rsidP="004A187E">
    <w:pPr>
      <w:jc w:val="both"/>
      <w:rPr>
        <w:b/>
        <w:bCs/>
        <w:sz w:val="18"/>
        <w:szCs w:val="20"/>
      </w:rPr>
    </w:pPr>
    <w:r w:rsidRPr="00474780">
      <w:rPr>
        <w:sz w:val="18"/>
        <w:szCs w:val="20"/>
      </w:rPr>
      <w:fldChar w:fldCharType="begin"/>
    </w:r>
    <w:r w:rsidRPr="00474780">
      <w:rPr>
        <w:sz w:val="18"/>
        <w:szCs w:val="20"/>
      </w:rPr>
      <w:instrText xml:space="preserve"> FILENAME   \* MERGEFORMAT </w:instrText>
    </w:r>
    <w:r w:rsidRPr="00474780">
      <w:rPr>
        <w:sz w:val="18"/>
        <w:szCs w:val="20"/>
      </w:rPr>
      <w:fldChar w:fldCharType="separate"/>
    </w:r>
    <w:r w:rsidR="00512911">
      <w:rPr>
        <w:noProof/>
        <w:sz w:val="18"/>
        <w:szCs w:val="20"/>
      </w:rPr>
      <w:t>FM</w:t>
    </w:r>
    <w:r w:rsidR="00550AFC">
      <w:rPr>
        <w:noProof/>
        <w:sz w:val="18"/>
        <w:szCs w:val="20"/>
      </w:rPr>
      <w:t>Anot_</w:t>
    </w:r>
    <w:r w:rsidR="00B55577">
      <w:rPr>
        <w:noProof/>
        <w:sz w:val="18"/>
        <w:szCs w:val="20"/>
      </w:rPr>
      <w:t>22</w:t>
    </w:r>
    <w:r>
      <w:rPr>
        <w:noProof/>
        <w:sz w:val="18"/>
        <w:szCs w:val="20"/>
      </w:rPr>
      <w:t>0</w:t>
    </w:r>
    <w:r w:rsidR="00550AFC">
      <w:rPr>
        <w:noProof/>
        <w:sz w:val="18"/>
        <w:szCs w:val="20"/>
      </w:rPr>
      <w:t>6</w:t>
    </w:r>
    <w:r>
      <w:rPr>
        <w:noProof/>
        <w:sz w:val="18"/>
        <w:szCs w:val="20"/>
      </w:rPr>
      <w:t>12_doc</w:t>
    </w:r>
    <w:r w:rsidRPr="00474780">
      <w:rPr>
        <w:sz w:val="18"/>
        <w:szCs w:val="20"/>
      </w:rPr>
      <w:fldChar w:fldCharType="end"/>
    </w:r>
    <w:r w:rsidRPr="00474780">
      <w:rPr>
        <w:sz w:val="18"/>
        <w:szCs w:val="20"/>
      </w:rPr>
      <w:t xml:space="preserve">; </w:t>
    </w:r>
    <w:r w:rsidRPr="007D21D7">
      <w:rPr>
        <w:sz w:val="18"/>
        <w:szCs w:val="20"/>
      </w:rPr>
      <w:t>Ministru kabineta noteikumu projekta</w:t>
    </w:r>
    <w:r w:rsidRPr="007D21D7">
      <w:rPr>
        <w:bCs/>
        <w:sz w:val="18"/>
        <w:szCs w:val="20"/>
      </w:rPr>
      <w:t xml:space="preserve"> „Noteikumi par budžetu pieprasījumu izstrādāšanas un iesniegšanas pamatprincipiem” sākotnējās ietekmes novērtējuma ziņojums (anotācija)</w:t>
    </w:r>
  </w:p>
  <w:p w:rsidR="004A187E" w:rsidRPr="00474780" w:rsidRDefault="004A187E" w:rsidP="004A187E">
    <w:pPr>
      <w:jc w:val="both"/>
      <w:rPr>
        <w:bCs/>
        <w:sz w:val="18"/>
        <w:szCs w:val="20"/>
      </w:rPr>
    </w:pPr>
  </w:p>
  <w:p w:rsidR="004A187E" w:rsidRPr="00E2650F" w:rsidRDefault="004A187E" w:rsidP="004A187E">
    <w:pPr>
      <w:jc w:val="both"/>
      <w:rPr>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140" w:rsidRDefault="00E81140">
      <w:r>
        <w:separator/>
      </w:r>
    </w:p>
  </w:footnote>
  <w:footnote w:type="continuationSeparator" w:id="0">
    <w:p w:rsidR="00E81140" w:rsidRDefault="00E81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7E" w:rsidRDefault="00EA5E16" w:rsidP="004A187E">
    <w:pPr>
      <w:pStyle w:val="Header"/>
      <w:jc w:val="center"/>
    </w:pPr>
    <w:r>
      <w:rPr>
        <w:rStyle w:val="PageNumber"/>
      </w:rPr>
      <w:fldChar w:fldCharType="begin"/>
    </w:r>
    <w:r>
      <w:rPr>
        <w:rStyle w:val="PageNumber"/>
      </w:rPr>
      <w:instrText xml:space="preserve"> PAGE </w:instrText>
    </w:r>
    <w:r>
      <w:rPr>
        <w:rStyle w:val="PageNumber"/>
      </w:rPr>
      <w:fldChar w:fldCharType="separate"/>
    </w:r>
    <w:r w:rsidR="00B14DB5">
      <w:rPr>
        <w:rStyle w:val="PageNumber"/>
        <w:noProof/>
      </w:rPr>
      <w:t>11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F2702"/>
    <w:multiLevelType w:val="hybridMultilevel"/>
    <w:tmpl w:val="4642DD5C"/>
    <w:lvl w:ilvl="0" w:tplc="0426000F">
      <w:start w:val="1"/>
      <w:numFmt w:val="decimal"/>
      <w:lvlText w:val="%1."/>
      <w:lvlJc w:val="left"/>
      <w:pPr>
        <w:ind w:left="753" w:hanging="360"/>
      </w:p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1">
    <w:nsid w:val="3FF6743A"/>
    <w:multiLevelType w:val="multilevel"/>
    <w:tmpl w:val="9C3C233E"/>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5865A89"/>
    <w:multiLevelType w:val="hybridMultilevel"/>
    <w:tmpl w:val="C95ED88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48A81ADD"/>
    <w:multiLevelType w:val="hybridMultilevel"/>
    <w:tmpl w:val="0E6CA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16"/>
    <w:rsid w:val="00007999"/>
    <w:rsid w:val="000164FB"/>
    <w:rsid w:val="00021BE3"/>
    <w:rsid w:val="00025849"/>
    <w:rsid w:val="00035696"/>
    <w:rsid w:val="000369DD"/>
    <w:rsid w:val="000406A1"/>
    <w:rsid w:val="000437A2"/>
    <w:rsid w:val="000463EB"/>
    <w:rsid w:val="000678EE"/>
    <w:rsid w:val="000756E1"/>
    <w:rsid w:val="00083613"/>
    <w:rsid w:val="000B05F6"/>
    <w:rsid w:val="000B2718"/>
    <w:rsid w:val="000B6199"/>
    <w:rsid w:val="000F1718"/>
    <w:rsid w:val="000F685A"/>
    <w:rsid w:val="00100344"/>
    <w:rsid w:val="00110A2B"/>
    <w:rsid w:val="001122F1"/>
    <w:rsid w:val="00127343"/>
    <w:rsid w:val="00161A29"/>
    <w:rsid w:val="00163276"/>
    <w:rsid w:val="00164507"/>
    <w:rsid w:val="0017108B"/>
    <w:rsid w:val="00172CA8"/>
    <w:rsid w:val="00191AB6"/>
    <w:rsid w:val="001A49DD"/>
    <w:rsid w:val="001A5FD9"/>
    <w:rsid w:val="001B400C"/>
    <w:rsid w:val="001B5851"/>
    <w:rsid w:val="001B7820"/>
    <w:rsid w:val="001C023A"/>
    <w:rsid w:val="001C351D"/>
    <w:rsid w:val="001C3CA9"/>
    <w:rsid w:val="001C6325"/>
    <w:rsid w:val="001C65D6"/>
    <w:rsid w:val="001D093D"/>
    <w:rsid w:val="001D1EA4"/>
    <w:rsid w:val="001D20C9"/>
    <w:rsid w:val="001D40CF"/>
    <w:rsid w:val="001D48A5"/>
    <w:rsid w:val="001E67BC"/>
    <w:rsid w:val="001F0DD5"/>
    <w:rsid w:val="001F4FD1"/>
    <w:rsid w:val="001F504A"/>
    <w:rsid w:val="002129A8"/>
    <w:rsid w:val="00226422"/>
    <w:rsid w:val="002429C8"/>
    <w:rsid w:val="002523B2"/>
    <w:rsid w:val="00252C35"/>
    <w:rsid w:val="00254A26"/>
    <w:rsid w:val="00260744"/>
    <w:rsid w:val="002729C6"/>
    <w:rsid w:val="00296361"/>
    <w:rsid w:val="002A0093"/>
    <w:rsid w:val="002A1BE9"/>
    <w:rsid w:val="002A4CDC"/>
    <w:rsid w:val="002A7404"/>
    <w:rsid w:val="002B47D3"/>
    <w:rsid w:val="002C4AD1"/>
    <w:rsid w:val="002D1738"/>
    <w:rsid w:val="002E12CA"/>
    <w:rsid w:val="002E226E"/>
    <w:rsid w:val="002E3E2E"/>
    <w:rsid w:val="002E5EDD"/>
    <w:rsid w:val="002F031A"/>
    <w:rsid w:val="002F66C0"/>
    <w:rsid w:val="003064E1"/>
    <w:rsid w:val="00321C6C"/>
    <w:rsid w:val="0032567F"/>
    <w:rsid w:val="0032585E"/>
    <w:rsid w:val="00331D35"/>
    <w:rsid w:val="00334C53"/>
    <w:rsid w:val="00357674"/>
    <w:rsid w:val="003601CD"/>
    <w:rsid w:val="00365793"/>
    <w:rsid w:val="00366F6C"/>
    <w:rsid w:val="00376D22"/>
    <w:rsid w:val="0038798E"/>
    <w:rsid w:val="003A3F9D"/>
    <w:rsid w:val="003B09DF"/>
    <w:rsid w:val="003B1D4B"/>
    <w:rsid w:val="003B46B5"/>
    <w:rsid w:val="003B5386"/>
    <w:rsid w:val="003B70B1"/>
    <w:rsid w:val="003B7153"/>
    <w:rsid w:val="003C20A2"/>
    <w:rsid w:val="003C783D"/>
    <w:rsid w:val="003D370D"/>
    <w:rsid w:val="003E0678"/>
    <w:rsid w:val="003E144D"/>
    <w:rsid w:val="003E1C30"/>
    <w:rsid w:val="003E240E"/>
    <w:rsid w:val="003E3211"/>
    <w:rsid w:val="003E3776"/>
    <w:rsid w:val="003E7ED6"/>
    <w:rsid w:val="0040216B"/>
    <w:rsid w:val="0041460D"/>
    <w:rsid w:val="00415A68"/>
    <w:rsid w:val="00417898"/>
    <w:rsid w:val="00420D2F"/>
    <w:rsid w:val="004308E8"/>
    <w:rsid w:val="0046394E"/>
    <w:rsid w:val="00484458"/>
    <w:rsid w:val="004A187E"/>
    <w:rsid w:val="004B477A"/>
    <w:rsid w:val="004C3813"/>
    <w:rsid w:val="004C62AB"/>
    <w:rsid w:val="004D262A"/>
    <w:rsid w:val="004D4016"/>
    <w:rsid w:val="004D5C1B"/>
    <w:rsid w:val="004F41E9"/>
    <w:rsid w:val="00503798"/>
    <w:rsid w:val="00511610"/>
    <w:rsid w:val="00512911"/>
    <w:rsid w:val="00525191"/>
    <w:rsid w:val="005305AA"/>
    <w:rsid w:val="005318C1"/>
    <w:rsid w:val="00533F4F"/>
    <w:rsid w:val="00542BED"/>
    <w:rsid w:val="005432EB"/>
    <w:rsid w:val="00550AFC"/>
    <w:rsid w:val="005836E4"/>
    <w:rsid w:val="00590FDF"/>
    <w:rsid w:val="00597978"/>
    <w:rsid w:val="005A03D1"/>
    <w:rsid w:val="005A102B"/>
    <w:rsid w:val="005B0BEC"/>
    <w:rsid w:val="005B2851"/>
    <w:rsid w:val="005B624D"/>
    <w:rsid w:val="005B7184"/>
    <w:rsid w:val="005C3FF0"/>
    <w:rsid w:val="005C7132"/>
    <w:rsid w:val="00600459"/>
    <w:rsid w:val="00627FD8"/>
    <w:rsid w:val="00652A13"/>
    <w:rsid w:val="00654BCB"/>
    <w:rsid w:val="00664161"/>
    <w:rsid w:val="00671616"/>
    <w:rsid w:val="006728DF"/>
    <w:rsid w:val="00691C52"/>
    <w:rsid w:val="006B5A76"/>
    <w:rsid w:val="006B7E5B"/>
    <w:rsid w:val="006C174E"/>
    <w:rsid w:val="006D576B"/>
    <w:rsid w:val="006D670E"/>
    <w:rsid w:val="00700FFA"/>
    <w:rsid w:val="00710AC0"/>
    <w:rsid w:val="00715B16"/>
    <w:rsid w:val="0072479F"/>
    <w:rsid w:val="0073079A"/>
    <w:rsid w:val="00733DC2"/>
    <w:rsid w:val="0074712F"/>
    <w:rsid w:val="007578E7"/>
    <w:rsid w:val="00762754"/>
    <w:rsid w:val="00776D40"/>
    <w:rsid w:val="00791416"/>
    <w:rsid w:val="00792380"/>
    <w:rsid w:val="007A03F7"/>
    <w:rsid w:val="007A2C09"/>
    <w:rsid w:val="007B7616"/>
    <w:rsid w:val="007C0F29"/>
    <w:rsid w:val="007E5020"/>
    <w:rsid w:val="007E5A1A"/>
    <w:rsid w:val="007E64FF"/>
    <w:rsid w:val="00802917"/>
    <w:rsid w:val="00811D9A"/>
    <w:rsid w:val="00815A80"/>
    <w:rsid w:val="00831D08"/>
    <w:rsid w:val="00844343"/>
    <w:rsid w:val="00860229"/>
    <w:rsid w:val="008773D5"/>
    <w:rsid w:val="008826B6"/>
    <w:rsid w:val="00882F90"/>
    <w:rsid w:val="00895148"/>
    <w:rsid w:val="008A459D"/>
    <w:rsid w:val="008B1821"/>
    <w:rsid w:val="008B1D7C"/>
    <w:rsid w:val="008B2DE0"/>
    <w:rsid w:val="008C2A7B"/>
    <w:rsid w:val="008C5BC8"/>
    <w:rsid w:val="008C74EF"/>
    <w:rsid w:val="008D03E3"/>
    <w:rsid w:val="008D7DA0"/>
    <w:rsid w:val="008E0887"/>
    <w:rsid w:val="008E0A88"/>
    <w:rsid w:val="008F0A0F"/>
    <w:rsid w:val="008F4B19"/>
    <w:rsid w:val="00901A63"/>
    <w:rsid w:val="00902B59"/>
    <w:rsid w:val="00910783"/>
    <w:rsid w:val="00913088"/>
    <w:rsid w:val="009221A4"/>
    <w:rsid w:val="009275FF"/>
    <w:rsid w:val="009306DA"/>
    <w:rsid w:val="0093466E"/>
    <w:rsid w:val="00937E45"/>
    <w:rsid w:val="009414D5"/>
    <w:rsid w:val="00954AE5"/>
    <w:rsid w:val="0097117B"/>
    <w:rsid w:val="00974E9A"/>
    <w:rsid w:val="00976909"/>
    <w:rsid w:val="009771B7"/>
    <w:rsid w:val="00984432"/>
    <w:rsid w:val="00984DC2"/>
    <w:rsid w:val="00985DD0"/>
    <w:rsid w:val="00997FDD"/>
    <w:rsid w:val="009A52A7"/>
    <w:rsid w:val="009B25D3"/>
    <w:rsid w:val="009B2F51"/>
    <w:rsid w:val="009B59E9"/>
    <w:rsid w:val="009C40F2"/>
    <w:rsid w:val="009F302C"/>
    <w:rsid w:val="00A11AE2"/>
    <w:rsid w:val="00A17093"/>
    <w:rsid w:val="00A2128C"/>
    <w:rsid w:val="00A21760"/>
    <w:rsid w:val="00A23E30"/>
    <w:rsid w:val="00A26DE3"/>
    <w:rsid w:val="00A313E9"/>
    <w:rsid w:val="00A42AFC"/>
    <w:rsid w:val="00A463AA"/>
    <w:rsid w:val="00A56351"/>
    <w:rsid w:val="00A72252"/>
    <w:rsid w:val="00A7285D"/>
    <w:rsid w:val="00A82528"/>
    <w:rsid w:val="00A839E4"/>
    <w:rsid w:val="00A93E45"/>
    <w:rsid w:val="00A96168"/>
    <w:rsid w:val="00AC1CB2"/>
    <w:rsid w:val="00AF2378"/>
    <w:rsid w:val="00AF2B3A"/>
    <w:rsid w:val="00B02248"/>
    <w:rsid w:val="00B12851"/>
    <w:rsid w:val="00B14DB5"/>
    <w:rsid w:val="00B20B06"/>
    <w:rsid w:val="00B22212"/>
    <w:rsid w:val="00B262BC"/>
    <w:rsid w:val="00B522F1"/>
    <w:rsid w:val="00B55577"/>
    <w:rsid w:val="00B63E2C"/>
    <w:rsid w:val="00B7116B"/>
    <w:rsid w:val="00B81E0E"/>
    <w:rsid w:val="00B86F1D"/>
    <w:rsid w:val="00B92722"/>
    <w:rsid w:val="00B93B3F"/>
    <w:rsid w:val="00B950BC"/>
    <w:rsid w:val="00B96E3B"/>
    <w:rsid w:val="00BA44DE"/>
    <w:rsid w:val="00BC2298"/>
    <w:rsid w:val="00BD11F6"/>
    <w:rsid w:val="00BD68FE"/>
    <w:rsid w:val="00BE017A"/>
    <w:rsid w:val="00BE0B7B"/>
    <w:rsid w:val="00BE7F78"/>
    <w:rsid w:val="00BF0602"/>
    <w:rsid w:val="00C0231E"/>
    <w:rsid w:val="00C06C40"/>
    <w:rsid w:val="00C15FC1"/>
    <w:rsid w:val="00C2046E"/>
    <w:rsid w:val="00C238F2"/>
    <w:rsid w:val="00C40E57"/>
    <w:rsid w:val="00C51EED"/>
    <w:rsid w:val="00C921CA"/>
    <w:rsid w:val="00C92D39"/>
    <w:rsid w:val="00C93418"/>
    <w:rsid w:val="00C938DD"/>
    <w:rsid w:val="00C96C2B"/>
    <w:rsid w:val="00CB25C0"/>
    <w:rsid w:val="00CB57B0"/>
    <w:rsid w:val="00CC0107"/>
    <w:rsid w:val="00CC05C9"/>
    <w:rsid w:val="00CC55CC"/>
    <w:rsid w:val="00CD13B8"/>
    <w:rsid w:val="00CD295F"/>
    <w:rsid w:val="00CF0B15"/>
    <w:rsid w:val="00CF27A1"/>
    <w:rsid w:val="00D01E05"/>
    <w:rsid w:val="00D04947"/>
    <w:rsid w:val="00D16C1A"/>
    <w:rsid w:val="00D17578"/>
    <w:rsid w:val="00D22384"/>
    <w:rsid w:val="00D42C80"/>
    <w:rsid w:val="00D44D16"/>
    <w:rsid w:val="00D46160"/>
    <w:rsid w:val="00D51B9D"/>
    <w:rsid w:val="00D52581"/>
    <w:rsid w:val="00D528B1"/>
    <w:rsid w:val="00D529CE"/>
    <w:rsid w:val="00D536E7"/>
    <w:rsid w:val="00D61D12"/>
    <w:rsid w:val="00D72353"/>
    <w:rsid w:val="00D92916"/>
    <w:rsid w:val="00D960C0"/>
    <w:rsid w:val="00DA0881"/>
    <w:rsid w:val="00DA1B02"/>
    <w:rsid w:val="00DA501C"/>
    <w:rsid w:val="00DA57F3"/>
    <w:rsid w:val="00DB2CAD"/>
    <w:rsid w:val="00DB4543"/>
    <w:rsid w:val="00DB6441"/>
    <w:rsid w:val="00DC2804"/>
    <w:rsid w:val="00DD01AA"/>
    <w:rsid w:val="00DD08D9"/>
    <w:rsid w:val="00DE2051"/>
    <w:rsid w:val="00DF1523"/>
    <w:rsid w:val="00E140E9"/>
    <w:rsid w:val="00E24EB3"/>
    <w:rsid w:val="00E315D2"/>
    <w:rsid w:val="00E422EB"/>
    <w:rsid w:val="00E44253"/>
    <w:rsid w:val="00E63D9E"/>
    <w:rsid w:val="00E66763"/>
    <w:rsid w:val="00E67951"/>
    <w:rsid w:val="00E716C6"/>
    <w:rsid w:val="00E72AA8"/>
    <w:rsid w:val="00E81140"/>
    <w:rsid w:val="00E82CD8"/>
    <w:rsid w:val="00EA45C0"/>
    <w:rsid w:val="00EA5E16"/>
    <w:rsid w:val="00EB6A01"/>
    <w:rsid w:val="00EC0850"/>
    <w:rsid w:val="00ED1AA0"/>
    <w:rsid w:val="00ED3624"/>
    <w:rsid w:val="00EE0136"/>
    <w:rsid w:val="00F11DB5"/>
    <w:rsid w:val="00F20A7C"/>
    <w:rsid w:val="00F46166"/>
    <w:rsid w:val="00F46446"/>
    <w:rsid w:val="00F70963"/>
    <w:rsid w:val="00F7103F"/>
    <w:rsid w:val="00F86645"/>
    <w:rsid w:val="00F91AFC"/>
    <w:rsid w:val="00FA6E8B"/>
    <w:rsid w:val="00FB11C4"/>
    <w:rsid w:val="00FB4517"/>
    <w:rsid w:val="00FB7179"/>
    <w:rsid w:val="00FC73A6"/>
    <w:rsid w:val="00FF4A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5E16"/>
    <w:pPr>
      <w:tabs>
        <w:tab w:val="center" w:pos="4153"/>
        <w:tab w:val="right" w:pos="8306"/>
      </w:tabs>
    </w:pPr>
    <w:rPr>
      <w:rFonts w:eastAsia="Times New Roman" w:cs="Times New Roman"/>
      <w:szCs w:val="24"/>
      <w:lang w:eastAsia="lv-LV"/>
    </w:rPr>
  </w:style>
  <w:style w:type="character" w:customStyle="1" w:styleId="HeaderChar">
    <w:name w:val="Header Char"/>
    <w:basedOn w:val="DefaultParagraphFont"/>
    <w:link w:val="Header"/>
    <w:rsid w:val="00EA5E16"/>
    <w:rPr>
      <w:rFonts w:eastAsia="Times New Roman" w:cs="Times New Roman"/>
      <w:szCs w:val="24"/>
      <w:lang w:eastAsia="lv-LV"/>
    </w:rPr>
  </w:style>
  <w:style w:type="character" w:styleId="PageNumber">
    <w:name w:val="page number"/>
    <w:basedOn w:val="DefaultParagraphFont"/>
    <w:rsid w:val="00EA5E16"/>
  </w:style>
  <w:style w:type="paragraph" w:styleId="ListParagraph">
    <w:name w:val="List Paragraph"/>
    <w:basedOn w:val="Normal"/>
    <w:uiPriority w:val="34"/>
    <w:qFormat/>
    <w:rsid w:val="00910783"/>
    <w:pPr>
      <w:ind w:left="720"/>
      <w:contextualSpacing/>
    </w:pPr>
  </w:style>
  <w:style w:type="paragraph" w:styleId="Footer">
    <w:name w:val="footer"/>
    <w:basedOn w:val="Normal"/>
    <w:link w:val="FooterChar"/>
    <w:uiPriority w:val="99"/>
    <w:unhideWhenUsed/>
    <w:rsid w:val="00512911"/>
    <w:pPr>
      <w:tabs>
        <w:tab w:val="center" w:pos="4153"/>
        <w:tab w:val="right" w:pos="8306"/>
      </w:tabs>
    </w:pPr>
  </w:style>
  <w:style w:type="character" w:customStyle="1" w:styleId="FooterChar">
    <w:name w:val="Footer Char"/>
    <w:basedOn w:val="DefaultParagraphFont"/>
    <w:link w:val="Footer"/>
    <w:uiPriority w:val="99"/>
    <w:rsid w:val="00512911"/>
  </w:style>
  <w:style w:type="character" w:styleId="CommentReference">
    <w:name w:val="annotation reference"/>
    <w:basedOn w:val="DefaultParagraphFont"/>
    <w:uiPriority w:val="99"/>
    <w:semiHidden/>
    <w:unhideWhenUsed/>
    <w:rsid w:val="00F46166"/>
    <w:rPr>
      <w:sz w:val="16"/>
      <w:szCs w:val="16"/>
    </w:rPr>
  </w:style>
  <w:style w:type="paragraph" w:styleId="CommentText">
    <w:name w:val="annotation text"/>
    <w:basedOn w:val="Normal"/>
    <w:link w:val="CommentTextChar"/>
    <w:uiPriority w:val="99"/>
    <w:semiHidden/>
    <w:unhideWhenUsed/>
    <w:rsid w:val="00F46166"/>
    <w:rPr>
      <w:sz w:val="20"/>
      <w:szCs w:val="20"/>
    </w:rPr>
  </w:style>
  <w:style w:type="character" w:customStyle="1" w:styleId="CommentTextChar">
    <w:name w:val="Comment Text Char"/>
    <w:basedOn w:val="DefaultParagraphFont"/>
    <w:link w:val="CommentText"/>
    <w:uiPriority w:val="99"/>
    <w:semiHidden/>
    <w:rsid w:val="00F46166"/>
    <w:rPr>
      <w:sz w:val="20"/>
      <w:szCs w:val="20"/>
    </w:rPr>
  </w:style>
  <w:style w:type="paragraph" w:styleId="CommentSubject">
    <w:name w:val="annotation subject"/>
    <w:basedOn w:val="CommentText"/>
    <w:next w:val="CommentText"/>
    <w:link w:val="CommentSubjectChar"/>
    <w:uiPriority w:val="99"/>
    <w:semiHidden/>
    <w:unhideWhenUsed/>
    <w:rsid w:val="00F46166"/>
    <w:rPr>
      <w:b/>
      <w:bCs/>
    </w:rPr>
  </w:style>
  <w:style w:type="character" w:customStyle="1" w:styleId="CommentSubjectChar">
    <w:name w:val="Comment Subject Char"/>
    <w:basedOn w:val="CommentTextChar"/>
    <w:link w:val="CommentSubject"/>
    <w:uiPriority w:val="99"/>
    <w:semiHidden/>
    <w:rsid w:val="00F46166"/>
    <w:rPr>
      <w:b/>
      <w:bCs/>
      <w:sz w:val="20"/>
      <w:szCs w:val="20"/>
    </w:rPr>
  </w:style>
  <w:style w:type="paragraph" w:styleId="BalloonText">
    <w:name w:val="Balloon Text"/>
    <w:basedOn w:val="Normal"/>
    <w:link w:val="BalloonTextChar"/>
    <w:uiPriority w:val="99"/>
    <w:semiHidden/>
    <w:unhideWhenUsed/>
    <w:rsid w:val="00F46166"/>
    <w:rPr>
      <w:rFonts w:ascii="Tahoma" w:hAnsi="Tahoma" w:cs="Tahoma"/>
      <w:sz w:val="16"/>
      <w:szCs w:val="16"/>
    </w:rPr>
  </w:style>
  <w:style w:type="character" w:customStyle="1" w:styleId="BalloonTextChar">
    <w:name w:val="Balloon Text Char"/>
    <w:basedOn w:val="DefaultParagraphFont"/>
    <w:link w:val="BalloonText"/>
    <w:uiPriority w:val="99"/>
    <w:semiHidden/>
    <w:rsid w:val="00F46166"/>
    <w:rPr>
      <w:rFonts w:ascii="Tahoma" w:hAnsi="Tahoma" w:cs="Tahoma"/>
      <w:sz w:val="16"/>
      <w:szCs w:val="16"/>
    </w:rPr>
  </w:style>
  <w:style w:type="table" w:styleId="TableGrid">
    <w:name w:val="Table Grid"/>
    <w:basedOn w:val="TableNormal"/>
    <w:uiPriority w:val="59"/>
    <w:rsid w:val="00984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F41E9"/>
    <w:rPr>
      <w:rFonts w:cs="Times New Roman"/>
      <w:szCs w:val="24"/>
    </w:rPr>
  </w:style>
  <w:style w:type="character" w:styleId="Hyperlink">
    <w:name w:val="Hyperlink"/>
    <w:basedOn w:val="DefaultParagraphFont"/>
    <w:uiPriority w:val="99"/>
    <w:unhideWhenUsed/>
    <w:rsid w:val="00CC05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5E16"/>
    <w:pPr>
      <w:tabs>
        <w:tab w:val="center" w:pos="4153"/>
        <w:tab w:val="right" w:pos="8306"/>
      </w:tabs>
    </w:pPr>
    <w:rPr>
      <w:rFonts w:eastAsia="Times New Roman" w:cs="Times New Roman"/>
      <w:szCs w:val="24"/>
      <w:lang w:eastAsia="lv-LV"/>
    </w:rPr>
  </w:style>
  <w:style w:type="character" w:customStyle="1" w:styleId="HeaderChar">
    <w:name w:val="Header Char"/>
    <w:basedOn w:val="DefaultParagraphFont"/>
    <w:link w:val="Header"/>
    <w:rsid w:val="00EA5E16"/>
    <w:rPr>
      <w:rFonts w:eastAsia="Times New Roman" w:cs="Times New Roman"/>
      <w:szCs w:val="24"/>
      <w:lang w:eastAsia="lv-LV"/>
    </w:rPr>
  </w:style>
  <w:style w:type="character" w:styleId="PageNumber">
    <w:name w:val="page number"/>
    <w:basedOn w:val="DefaultParagraphFont"/>
    <w:rsid w:val="00EA5E16"/>
  </w:style>
  <w:style w:type="paragraph" w:styleId="ListParagraph">
    <w:name w:val="List Paragraph"/>
    <w:basedOn w:val="Normal"/>
    <w:uiPriority w:val="34"/>
    <w:qFormat/>
    <w:rsid w:val="00910783"/>
    <w:pPr>
      <w:ind w:left="720"/>
      <w:contextualSpacing/>
    </w:pPr>
  </w:style>
  <w:style w:type="paragraph" w:styleId="Footer">
    <w:name w:val="footer"/>
    <w:basedOn w:val="Normal"/>
    <w:link w:val="FooterChar"/>
    <w:uiPriority w:val="99"/>
    <w:unhideWhenUsed/>
    <w:rsid w:val="00512911"/>
    <w:pPr>
      <w:tabs>
        <w:tab w:val="center" w:pos="4153"/>
        <w:tab w:val="right" w:pos="8306"/>
      </w:tabs>
    </w:pPr>
  </w:style>
  <w:style w:type="character" w:customStyle="1" w:styleId="FooterChar">
    <w:name w:val="Footer Char"/>
    <w:basedOn w:val="DefaultParagraphFont"/>
    <w:link w:val="Footer"/>
    <w:uiPriority w:val="99"/>
    <w:rsid w:val="00512911"/>
  </w:style>
  <w:style w:type="character" w:styleId="CommentReference">
    <w:name w:val="annotation reference"/>
    <w:basedOn w:val="DefaultParagraphFont"/>
    <w:uiPriority w:val="99"/>
    <w:semiHidden/>
    <w:unhideWhenUsed/>
    <w:rsid w:val="00F46166"/>
    <w:rPr>
      <w:sz w:val="16"/>
      <w:szCs w:val="16"/>
    </w:rPr>
  </w:style>
  <w:style w:type="paragraph" w:styleId="CommentText">
    <w:name w:val="annotation text"/>
    <w:basedOn w:val="Normal"/>
    <w:link w:val="CommentTextChar"/>
    <w:uiPriority w:val="99"/>
    <w:semiHidden/>
    <w:unhideWhenUsed/>
    <w:rsid w:val="00F46166"/>
    <w:rPr>
      <w:sz w:val="20"/>
      <w:szCs w:val="20"/>
    </w:rPr>
  </w:style>
  <w:style w:type="character" w:customStyle="1" w:styleId="CommentTextChar">
    <w:name w:val="Comment Text Char"/>
    <w:basedOn w:val="DefaultParagraphFont"/>
    <w:link w:val="CommentText"/>
    <w:uiPriority w:val="99"/>
    <w:semiHidden/>
    <w:rsid w:val="00F46166"/>
    <w:rPr>
      <w:sz w:val="20"/>
      <w:szCs w:val="20"/>
    </w:rPr>
  </w:style>
  <w:style w:type="paragraph" w:styleId="CommentSubject">
    <w:name w:val="annotation subject"/>
    <w:basedOn w:val="CommentText"/>
    <w:next w:val="CommentText"/>
    <w:link w:val="CommentSubjectChar"/>
    <w:uiPriority w:val="99"/>
    <w:semiHidden/>
    <w:unhideWhenUsed/>
    <w:rsid w:val="00F46166"/>
    <w:rPr>
      <w:b/>
      <w:bCs/>
    </w:rPr>
  </w:style>
  <w:style w:type="character" w:customStyle="1" w:styleId="CommentSubjectChar">
    <w:name w:val="Comment Subject Char"/>
    <w:basedOn w:val="CommentTextChar"/>
    <w:link w:val="CommentSubject"/>
    <w:uiPriority w:val="99"/>
    <w:semiHidden/>
    <w:rsid w:val="00F46166"/>
    <w:rPr>
      <w:b/>
      <w:bCs/>
      <w:sz w:val="20"/>
      <w:szCs w:val="20"/>
    </w:rPr>
  </w:style>
  <w:style w:type="paragraph" w:styleId="BalloonText">
    <w:name w:val="Balloon Text"/>
    <w:basedOn w:val="Normal"/>
    <w:link w:val="BalloonTextChar"/>
    <w:uiPriority w:val="99"/>
    <w:semiHidden/>
    <w:unhideWhenUsed/>
    <w:rsid w:val="00F46166"/>
    <w:rPr>
      <w:rFonts w:ascii="Tahoma" w:hAnsi="Tahoma" w:cs="Tahoma"/>
      <w:sz w:val="16"/>
      <w:szCs w:val="16"/>
    </w:rPr>
  </w:style>
  <w:style w:type="character" w:customStyle="1" w:styleId="BalloonTextChar">
    <w:name w:val="Balloon Text Char"/>
    <w:basedOn w:val="DefaultParagraphFont"/>
    <w:link w:val="BalloonText"/>
    <w:uiPriority w:val="99"/>
    <w:semiHidden/>
    <w:rsid w:val="00F46166"/>
    <w:rPr>
      <w:rFonts w:ascii="Tahoma" w:hAnsi="Tahoma" w:cs="Tahoma"/>
      <w:sz w:val="16"/>
      <w:szCs w:val="16"/>
    </w:rPr>
  </w:style>
  <w:style w:type="table" w:styleId="TableGrid">
    <w:name w:val="Table Grid"/>
    <w:basedOn w:val="TableNormal"/>
    <w:uiPriority w:val="59"/>
    <w:rsid w:val="00984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F41E9"/>
    <w:rPr>
      <w:rFonts w:cs="Times New Roman"/>
      <w:szCs w:val="24"/>
    </w:rPr>
  </w:style>
  <w:style w:type="character" w:styleId="Hyperlink">
    <w:name w:val="Hyperlink"/>
    <w:basedOn w:val="DefaultParagraphFont"/>
    <w:uiPriority w:val="99"/>
    <w:unhideWhenUsed/>
    <w:rsid w:val="00CC05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8150">
      <w:bodyDiv w:val="1"/>
      <w:marLeft w:val="45"/>
      <w:marRight w:val="45"/>
      <w:marTop w:val="90"/>
      <w:marBottom w:val="90"/>
      <w:divBdr>
        <w:top w:val="none" w:sz="0" w:space="0" w:color="auto"/>
        <w:left w:val="none" w:sz="0" w:space="0" w:color="auto"/>
        <w:bottom w:val="none" w:sz="0" w:space="0" w:color="auto"/>
        <w:right w:val="none" w:sz="0" w:space="0" w:color="auto"/>
      </w:divBdr>
      <w:divsChild>
        <w:div w:id="1272515342">
          <w:marLeft w:val="0"/>
          <w:marRight w:val="0"/>
          <w:marTop w:val="0"/>
          <w:marBottom w:val="567"/>
          <w:divBdr>
            <w:top w:val="none" w:sz="0" w:space="0" w:color="auto"/>
            <w:left w:val="none" w:sz="0" w:space="0" w:color="auto"/>
            <w:bottom w:val="none" w:sz="0" w:space="0" w:color="auto"/>
            <w:right w:val="none" w:sz="0" w:space="0" w:color="auto"/>
          </w:divBdr>
        </w:div>
      </w:divsChild>
    </w:div>
    <w:div w:id="128256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zelika.osipova@f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dris.baumanis@fm.gov.lv" TargetMode="External"/><Relationship Id="rId4" Type="http://schemas.microsoft.com/office/2007/relationships/stylesWithEffects" Target="stylesWithEffects.xml"/><Relationship Id="rId9" Type="http://schemas.openxmlformats.org/officeDocument/2006/relationships/hyperlink" Target="http://www.likum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DF367-369D-49CC-9560-A1DFA4DA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11</Pages>
  <Words>14952</Words>
  <Characters>8524</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Ministru kabineta noteikumu projekts „Noteikumi par budžeta pieprasījumu izstrādāšanas un iesniegšanas pamatprincipiem” (VSS-276) </vt:lpstr>
    </vt:vector>
  </TitlesOfParts>
  <Company>Finanšu ministrija</Company>
  <LinksUpToDate>false</LinksUpToDate>
  <CharactersWithSpaces>23430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budžeta pieprasījumu izstrādāšanas un iesniegšanas pamatprincipiem” (VSS-276) </dc:title>
  <dc:subject>Anotācija</dc:subject>
  <dc:creator>Andris Baumanis, Anželika Osipova</dc:creator>
  <cp:keywords/>
  <dc:description>A.Baumanis
t.67083981; andris.baumanis@fm.gov.lv
A.Osipova
t.67083802; anzelika.osipova@fm.gov.lv </dc:description>
  <cp:lastModifiedBy>Windows User</cp:lastModifiedBy>
  <cp:revision>480</cp:revision>
  <dcterms:created xsi:type="dcterms:W3CDTF">2012-02-15T08:39:00Z</dcterms:created>
  <dcterms:modified xsi:type="dcterms:W3CDTF">2012-06-26T06:03:00Z</dcterms:modified>
</cp:coreProperties>
</file>