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B6" w:rsidRPr="006059B6" w:rsidRDefault="003F4905" w:rsidP="006059B6">
      <w:pPr>
        <w:spacing w:before="75" w:after="75"/>
        <w:jc w:val="center"/>
        <w:rPr>
          <w:rFonts w:ascii="Times New Roman" w:eastAsia="Times New Roman" w:hAnsi="Times New Roman"/>
          <w:sz w:val="28"/>
          <w:szCs w:val="28"/>
          <w:lang w:eastAsia="lv-LV"/>
        </w:rPr>
      </w:pPr>
      <w:bookmarkStart w:id="0" w:name="OLE_LINK1"/>
      <w:bookmarkStart w:id="1" w:name="OLE_LINK2"/>
      <w:r w:rsidRPr="006059B6">
        <w:rPr>
          <w:rFonts w:ascii="Times New Roman" w:eastAsia="Times New Roman" w:hAnsi="Times New Roman"/>
          <w:b/>
          <w:bCs/>
          <w:sz w:val="28"/>
          <w:szCs w:val="28"/>
          <w:lang w:eastAsia="lv-LV"/>
        </w:rPr>
        <w:t xml:space="preserve">Noteikumu projekta </w:t>
      </w:r>
      <w:bookmarkStart w:id="2" w:name="OLE_LINK5"/>
      <w:bookmarkStart w:id="3" w:name="OLE_LINK6"/>
      <w:r w:rsidR="003D2040" w:rsidRPr="006059B6">
        <w:rPr>
          <w:rFonts w:ascii="Times New Roman" w:eastAsia="Times New Roman" w:hAnsi="Times New Roman"/>
          <w:b/>
          <w:bCs/>
          <w:sz w:val="28"/>
          <w:szCs w:val="28"/>
          <w:lang w:eastAsia="lv-LV"/>
        </w:rPr>
        <w:t>„</w:t>
      </w:r>
      <w:r w:rsidR="006059B6" w:rsidRPr="006059B6">
        <w:rPr>
          <w:rFonts w:ascii="Times New Roman" w:eastAsia="Times New Roman" w:hAnsi="Times New Roman"/>
          <w:b/>
          <w:bCs/>
          <w:sz w:val="28"/>
          <w:szCs w:val="28"/>
          <w:lang w:eastAsia="lv-LV"/>
        </w:rPr>
        <w:t>Noteikumi par nodokļu parāda galvojumu preču muitošanai</w:t>
      </w:r>
      <w:r w:rsidR="006059B6">
        <w:rPr>
          <w:rFonts w:ascii="Times New Roman" w:eastAsia="Times New Roman" w:hAnsi="Times New Roman"/>
          <w:b/>
          <w:bCs/>
          <w:sz w:val="28"/>
          <w:szCs w:val="28"/>
          <w:lang w:eastAsia="lv-LV"/>
        </w:rPr>
        <w:t>”</w:t>
      </w:r>
    </w:p>
    <w:p w:rsidR="00C26070" w:rsidRPr="006059B6" w:rsidRDefault="003D2040" w:rsidP="003D2040">
      <w:pPr>
        <w:ind w:left="0"/>
        <w:jc w:val="center"/>
        <w:rPr>
          <w:rFonts w:ascii="Times New Roman" w:eastAsia="Times New Roman" w:hAnsi="Times New Roman"/>
          <w:sz w:val="28"/>
          <w:szCs w:val="28"/>
          <w:lang w:eastAsia="lv-LV"/>
        </w:rPr>
      </w:pPr>
      <w:r w:rsidRPr="006059B6">
        <w:rPr>
          <w:rFonts w:ascii="Times New Roman" w:eastAsia="Times New Roman" w:hAnsi="Times New Roman"/>
          <w:b/>
          <w:bCs/>
          <w:sz w:val="28"/>
          <w:szCs w:val="28"/>
          <w:lang w:eastAsia="lv-LV"/>
        </w:rPr>
        <w:t xml:space="preserve"> </w:t>
      </w:r>
      <w:bookmarkEnd w:id="0"/>
      <w:bookmarkEnd w:id="1"/>
      <w:bookmarkEnd w:id="2"/>
      <w:bookmarkEnd w:id="3"/>
      <w:r w:rsidR="00C26070" w:rsidRPr="006059B6">
        <w:rPr>
          <w:rFonts w:ascii="Times New Roman" w:eastAsia="Times New Roman" w:hAnsi="Times New Roman"/>
          <w:b/>
          <w:bCs/>
          <w:sz w:val="28"/>
          <w:szCs w:val="28"/>
          <w:lang w:eastAsia="lv-LV"/>
        </w:rPr>
        <w:t>sākotnējās ietekmes novērtējuma ziņojums (anotācija)</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37"/>
        <w:gridCol w:w="575"/>
        <w:gridCol w:w="1444"/>
        <w:gridCol w:w="716"/>
        <w:gridCol w:w="369"/>
        <w:gridCol w:w="551"/>
        <w:gridCol w:w="45"/>
        <w:gridCol w:w="33"/>
        <w:gridCol w:w="261"/>
        <w:gridCol w:w="1396"/>
        <w:gridCol w:w="490"/>
        <w:gridCol w:w="2121"/>
      </w:tblGrid>
      <w:tr w:rsidR="00C26070" w:rsidRPr="00D8196B" w:rsidTr="0031698A">
        <w:trPr>
          <w:tblCellSpacing w:w="0" w:type="dxa"/>
        </w:trPr>
        <w:tc>
          <w:tcPr>
            <w:tcW w:w="8520" w:type="dxa"/>
            <w:gridSpan w:val="13"/>
            <w:tcBorders>
              <w:top w:val="outset" w:sz="6" w:space="0" w:color="auto"/>
              <w:left w:val="outset" w:sz="6" w:space="0" w:color="auto"/>
              <w:bottom w:val="outset" w:sz="6" w:space="0" w:color="auto"/>
              <w:right w:val="outset" w:sz="6" w:space="0" w:color="auto"/>
            </w:tcBorders>
            <w:vAlign w:val="center"/>
            <w:hideMark/>
          </w:tcPr>
          <w:p w:rsidR="00C26070" w:rsidRPr="00D8196B" w:rsidRDefault="00C26070" w:rsidP="00EA54B4">
            <w:pPr>
              <w:spacing w:before="100" w:beforeAutospacing="1" w:after="100" w:afterAutospacing="1"/>
              <w:ind w:left="0"/>
              <w:jc w:val="center"/>
              <w:rPr>
                <w:rFonts w:ascii="Times New Roman" w:eastAsia="Times New Roman" w:hAnsi="Times New Roman"/>
                <w:sz w:val="26"/>
                <w:szCs w:val="26"/>
                <w:lang w:eastAsia="lv-LV"/>
              </w:rPr>
            </w:pPr>
            <w:r w:rsidRPr="00D8196B">
              <w:rPr>
                <w:rFonts w:ascii="Times New Roman" w:eastAsia="Times New Roman" w:hAnsi="Times New Roman"/>
                <w:b/>
                <w:bCs/>
                <w:sz w:val="26"/>
                <w:szCs w:val="26"/>
                <w:lang w:eastAsia="lv-LV"/>
              </w:rPr>
              <w:t>I. Tiesību akta projekta izstrādes nepieciešamība</w:t>
            </w:r>
          </w:p>
        </w:tc>
      </w:tr>
      <w:tr w:rsidR="00C26070" w:rsidRPr="00D8196B" w:rsidTr="0031698A">
        <w:trPr>
          <w:trHeight w:val="294"/>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C26070" w:rsidRPr="00D8196B" w:rsidRDefault="00C26070"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1.</w:t>
            </w:r>
          </w:p>
        </w:tc>
        <w:tc>
          <w:tcPr>
            <w:tcW w:w="2772" w:type="dxa"/>
            <w:gridSpan w:val="4"/>
            <w:tcBorders>
              <w:top w:val="outset" w:sz="6" w:space="0" w:color="auto"/>
              <w:left w:val="outset" w:sz="6" w:space="0" w:color="auto"/>
              <w:bottom w:val="outset" w:sz="6" w:space="0" w:color="auto"/>
              <w:right w:val="outset" w:sz="6" w:space="0" w:color="auto"/>
            </w:tcBorders>
            <w:hideMark/>
          </w:tcPr>
          <w:p w:rsidR="00C26070" w:rsidRPr="00D8196B" w:rsidRDefault="00C26070" w:rsidP="006F3A2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Pamatojums</w:t>
            </w:r>
          </w:p>
        </w:tc>
        <w:tc>
          <w:tcPr>
            <w:tcW w:w="5266" w:type="dxa"/>
            <w:gridSpan w:val="8"/>
            <w:tcBorders>
              <w:top w:val="outset" w:sz="6" w:space="0" w:color="auto"/>
              <w:left w:val="outset" w:sz="6" w:space="0" w:color="auto"/>
              <w:bottom w:val="outset" w:sz="6" w:space="0" w:color="auto"/>
              <w:right w:val="outset" w:sz="6" w:space="0" w:color="auto"/>
            </w:tcBorders>
            <w:hideMark/>
          </w:tcPr>
          <w:p w:rsidR="007A1C39" w:rsidRPr="000D53AA" w:rsidRDefault="00D76C70" w:rsidP="00A54A66">
            <w:pPr>
              <w:ind w:left="127" w:right="146"/>
              <w:rPr>
                <w:rFonts w:ascii="Times New Roman" w:hAnsi="Times New Roman"/>
                <w:sz w:val="26"/>
                <w:szCs w:val="26"/>
              </w:rPr>
            </w:pPr>
            <w:r w:rsidRPr="00D76C70">
              <w:rPr>
                <w:rFonts w:ascii="Times New Roman" w:hAnsi="Times New Roman"/>
                <w:sz w:val="26"/>
                <w:szCs w:val="26"/>
                <w:u w:val="single"/>
              </w:rPr>
              <w:t>L</w:t>
            </w:r>
            <w:r w:rsidR="00663F69" w:rsidRPr="004E610A">
              <w:rPr>
                <w:rFonts w:ascii="Times New Roman" w:hAnsi="Times New Roman"/>
                <w:sz w:val="26"/>
                <w:szCs w:val="26"/>
                <w:u w:val="single"/>
              </w:rPr>
              <w:t>ikumprojektā „Grozījumi Muitas likumā</w:t>
            </w:r>
            <w:r w:rsidR="004E610A" w:rsidRPr="004E610A">
              <w:rPr>
                <w:rFonts w:ascii="Times New Roman" w:hAnsi="Times New Roman"/>
                <w:sz w:val="26"/>
                <w:szCs w:val="26"/>
                <w:u w:val="single"/>
              </w:rPr>
              <w:t>”</w:t>
            </w:r>
            <w:r w:rsidR="00BA33B7">
              <w:rPr>
                <w:rFonts w:ascii="Times New Roman" w:hAnsi="Times New Roman"/>
                <w:sz w:val="26"/>
                <w:szCs w:val="26"/>
                <w:u w:val="single"/>
              </w:rPr>
              <w:t>,</w:t>
            </w:r>
            <w:r w:rsidR="00BA33B7" w:rsidRPr="000C4684">
              <w:rPr>
                <w:rFonts w:ascii="Times New Roman" w:hAnsi="Times New Roman"/>
                <w:sz w:val="26"/>
                <w:szCs w:val="26"/>
              </w:rPr>
              <w:t xml:space="preserve"> kas </w:t>
            </w:r>
            <w:r w:rsidR="00A54A66" w:rsidRPr="00683615">
              <w:rPr>
                <w:rFonts w:ascii="Times New Roman" w:hAnsi="Times New Roman"/>
                <w:sz w:val="26"/>
                <w:szCs w:val="26"/>
              </w:rPr>
              <w:t>stājās spēkā 2011.gada 1.jūlijā,</w:t>
            </w:r>
            <w:r w:rsidR="00663F69" w:rsidRPr="00683615">
              <w:rPr>
                <w:rFonts w:ascii="Times New Roman" w:hAnsi="Times New Roman"/>
                <w:sz w:val="26"/>
                <w:szCs w:val="26"/>
              </w:rPr>
              <w:t xml:space="preserve"> ir</w:t>
            </w:r>
            <w:r w:rsidR="00663F69">
              <w:rPr>
                <w:rFonts w:ascii="Times New Roman" w:hAnsi="Times New Roman"/>
                <w:sz w:val="26"/>
                <w:szCs w:val="26"/>
              </w:rPr>
              <w:t xml:space="preserve"> noteikti grozījumi likuma 12.pantā, uz kurā noteiktā deleģējuma pamata ir izdoti Ministru kabineta 2010.gada 21.decembra noteikumi Nr. 1134 „Noteikumi par nodokļu parāda galvojumu preču muitošanai”</w:t>
            </w:r>
            <w:r w:rsidR="00BA33B7">
              <w:rPr>
                <w:rFonts w:ascii="Times New Roman" w:hAnsi="Times New Roman"/>
                <w:sz w:val="26"/>
                <w:szCs w:val="26"/>
              </w:rPr>
              <w:t xml:space="preserve"> (turpmāk – noteikumi Nr. 1134)</w:t>
            </w:r>
            <w:r w:rsidR="00663F69">
              <w:rPr>
                <w:rFonts w:ascii="Times New Roman" w:hAnsi="Times New Roman"/>
                <w:sz w:val="26"/>
                <w:szCs w:val="26"/>
              </w:rPr>
              <w:t xml:space="preserve">.  </w:t>
            </w:r>
          </w:p>
        </w:tc>
      </w:tr>
      <w:tr w:rsidR="002D7DCA" w:rsidRPr="00D8196B" w:rsidTr="0031698A">
        <w:trPr>
          <w:trHeight w:val="411"/>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D8196B"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2.</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D8196B" w:rsidRDefault="002D7DCA" w:rsidP="006F3A2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Pašreizējā situācija un problēmas</w:t>
            </w:r>
          </w:p>
        </w:tc>
        <w:tc>
          <w:tcPr>
            <w:tcW w:w="5266" w:type="dxa"/>
            <w:gridSpan w:val="8"/>
            <w:tcBorders>
              <w:top w:val="outset" w:sz="6" w:space="0" w:color="auto"/>
              <w:left w:val="outset" w:sz="6" w:space="0" w:color="auto"/>
              <w:bottom w:val="outset" w:sz="6" w:space="0" w:color="auto"/>
              <w:right w:val="outset" w:sz="6" w:space="0" w:color="auto"/>
            </w:tcBorders>
            <w:hideMark/>
          </w:tcPr>
          <w:p w:rsidR="00663F69" w:rsidRDefault="00663F69" w:rsidP="00663F69">
            <w:pPr>
              <w:spacing w:after="75"/>
              <w:ind w:left="127" w:right="146"/>
              <w:rPr>
                <w:rFonts w:ascii="Times New Roman" w:hAnsi="Times New Roman"/>
                <w:sz w:val="26"/>
                <w:szCs w:val="26"/>
              </w:rPr>
            </w:pPr>
            <w:r w:rsidRPr="004E610A">
              <w:rPr>
                <w:rFonts w:ascii="Times New Roman" w:hAnsi="Times New Roman"/>
                <w:sz w:val="26"/>
                <w:szCs w:val="26"/>
              </w:rPr>
              <w:t xml:space="preserve">Pamatojoties uz </w:t>
            </w:r>
            <w:r w:rsidR="00BA33B7">
              <w:rPr>
                <w:rFonts w:ascii="Times New Roman" w:hAnsi="Times New Roman"/>
                <w:sz w:val="26"/>
                <w:szCs w:val="26"/>
              </w:rPr>
              <w:t xml:space="preserve">Muitas likuma 12.panta otro daļu un </w:t>
            </w:r>
            <w:r w:rsidR="007B38A8">
              <w:rPr>
                <w:rFonts w:ascii="Times New Roman" w:hAnsi="Times New Roman"/>
                <w:sz w:val="26"/>
                <w:szCs w:val="26"/>
              </w:rPr>
              <w:t>n</w:t>
            </w:r>
            <w:r w:rsidRPr="004E610A">
              <w:rPr>
                <w:rFonts w:ascii="Times New Roman" w:hAnsi="Times New Roman"/>
                <w:sz w:val="26"/>
                <w:szCs w:val="26"/>
              </w:rPr>
              <w:t xml:space="preserve">oteikumiem Nr. 1134 Valsts ieņēmumu dienests (turpmāk – VID) slēdz līgumus ar kredītiestādēm un apdrošināšanas sabiedrībām, kam </w:t>
            </w:r>
            <w:r w:rsidR="00BA33B7">
              <w:rPr>
                <w:rFonts w:ascii="Times New Roman" w:hAnsi="Times New Roman"/>
                <w:sz w:val="26"/>
                <w:szCs w:val="26"/>
              </w:rPr>
              <w:t>tiek</w:t>
            </w:r>
            <w:r w:rsidRPr="004E610A">
              <w:rPr>
                <w:rFonts w:ascii="Times New Roman" w:hAnsi="Times New Roman"/>
                <w:sz w:val="26"/>
                <w:szCs w:val="26"/>
              </w:rPr>
              <w:t xml:space="preserve"> piešķirts galvotāja statuss. Tā kā šie līgumi skar arī trešās personas, tad līgumos noteiktie nosacījumi ir iekļaujami ārējā normatīvā aktā</w:t>
            </w:r>
            <w:r w:rsidR="00690227">
              <w:rPr>
                <w:rFonts w:ascii="Times New Roman" w:hAnsi="Times New Roman"/>
                <w:sz w:val="26"/>
                <w:szCs w:val="26"/>
              </w:rPr>
              <w:t xml:space="preserve">. </w:t>
            </w:r>
            <w:r w:rsidRPr="004E610A">
              <w:rPr>
                <w:rFonts w:ascii="Times New Roman" w:hAnsi="Times New Roman"/>
                <w:sz w:val="26"/>
                <w:szCs w:val="26"/>
              </w:rPr>
              <w:t xml:space="preserve">Ar likumprojektu „Grozījumi Muitas likumā” ir </w:t>
            </w:r>
            <w:r w:rsidRPr="004E610A">
              <w:rPr>
                <w:rFonts w:ascii="Times New Roman" w:hAnsi="Times New Roman"/>
                <w:sz w:val="26"/>
                <w:szCs w:val="26"/>
                <w:u w:val="single"/>
              </w:rPr>
              <w:t>svītrota prasība slēgt šādu līgumu</w:t>
            </w:r>
            <w:r w:rsidR="00690227">
              <w:rPr>
                <w:rFonts w:ascii="Times New Roman" w:hAnsi="Times New Roman"/>
                <w:sz w:val="26"/>
                <w:szCs w:val="26"/>
              </w:rPr>
              <w:t xml:space="preserve"> un</w:t>
            </w:r>
            <w:r w:rsidR="006F2DF7">
              <w:rPr>
                <w:rFonts w:ascii="Times New Roman" w:hAnsi="Times New Roman"/>
                <w:sz w:val="26"/>
                <w:szCs w:val="26"/>
              </w:rPr>
              <w:t xml:space="preserve"> līgumā noteiktās prasības jau ir noteiktas noteikum</w:t>
            </w:r>
            <w:r w:rsidR="00690227">
              <w:rPr>
                <w:rFonts w:ascii="Times New Roman" w:hAnsi="Times New Roman"/>
                <w:sz w:val="26"/>
                <w:szCs w:val="26"/>
              </w:rPr>
              <w:t>u</w:t>
            </w:r>
            <w:r w:rsidR="006F2DF7">
              <w:rPr>
                <w:rFonts w:ascii="Times New Roman" w:hAnsi="Times New Roman"/>
                <w:sz w:val="26"/>
                <w:szCs w:val="26"/>
              </w:rPr>
              <w:t xml:space="preserve"> Nr. 1134</w:t>
            </w:r>
            <w:r w:rsidR="00690227">
              <w:rPr>
                <w:rFonts w:ascii="Times New Roman" w:hAnsi="Times New Roman"/>
                <w:sz w:val="26"/>
                <w:szCs w:val="26"/>
              </w:rPr>
              <w:t xml:space="preserve"> II nodaļā</w:t>
            </w:r>
            <w:r w:rsidR="006F2DF7">
              <w:rPr>
                <w:rFonts w:ascii="Times New Roman" w:hAnsi="Times New Roman"/>
                <w:sz w:val="26"/>
                <w:szCs w:val="26"/>
              </w:rPr>
              <w:t xml:space="preserve">, </w:t>
            </w:r>
            <w:r w:rsidRPr="004E610A">
              <w:rPr>
                <w:rFonts w:ascii="Times New Roman" w:hAnsi="Times New Roman"/>
                <w:sz w:val="26"/>
                <w:szCs w:val="26"/>
              </w:rPr>
              <w:t xml:space="preserve">līdz ar to šī prasība vairs </w:t>
            </w:r>
            <w:r w:rsidR="004E610A">
              <w:rPr>
                <w:rFonts w:ascii="Times New Roman" w:hAnsi="Times New Roman"/>
                <w:sz w:val="26"/>
                <w:szCs w:val="26"/>
              </w:rPr>
              <w:t>nav jānosaka</w:t>
            </w:r>
            <w:r w:rsidRPr="004E610A">
              <w:rPr>
                <w:rFonts w:ascii="Times New Roman" w:hAnsi="Times New Roman"/>
                <w:sz w:val="26"/>
                <w:szCs w:val="26"/>
              </w:rPr>
              <w:t xml:space="preserve"> </w:t>
            </w:r>
            <w:r w:rsidR="00BA33B7">
              <w:rPr>
                <w:rFonts w:ascii="Times New Roman" w:hAnsi="Times New Roman"/>
                <w:sz w:val="26"/>
                <w:szCs w:val="26"/>
              </w:rPr>
              <w:t>Ministru kabineta noteikumos</w:t>
            </w:r>
            <w:r w:rsidR="004E610A" w:rsidRPr="004E610A">
              <w:rPr>
                <w:rFonts w:ascii="Times New Roman" w:hAnsi="Times New Roman"/>
                <w:sz w:val="26"/>
                <w:szCs w:val="26"/>
              </w:rPr>
              <w:t>.</w:t>
            </w:r>
            <w:r w:rsidR="00BA33B7">
              <w:rPr>
                <w:rFonts w:ascii="Times New Roman" w:hAnsi="Times New Roman"/>
                <w:sz w:val="26"/>
                <w:szCs w:val="26"/>
              </w:rPr>
              <w:t xml:space="preserve"> </w:t>
            </w:r>
          </w:p>
          <w:p w:rsidR="00984BE0" w:rsidRPr="004E610A" w:rsidRDefault="00984BE0" w:rsidP="00663F69">
            <w:pPr>
              <w:spacing w:after="75"/>
              <w:ind w:left="127" w:right="146"/>
              <w:rPr>
                <w:rFonts w:ascii="Times New Roman" w:hAnsi="Times New Roman"/>
                <w:sz w:val="26"/>
                <w:szCs w:val="26"/>
              </w:rPr>
            </w:pPr>
            <w:r w:rsidRPr="004E610A">
              <w:rPr>
                <w:rFonts w:ascii="Times New Roman" w:hAnsi="Times New Roman"/>
                <w:sz w:val="26"/>
                <w:szCs w:val="26"/>
              </w:rPr>
              <w:t xml:space="preserve">Kopš stājās spēkā </w:t>
            </w:r>
            <w:r>
              <w:rPr>
                <w:rFonts w:ascii="Times New Roman" w:hAnsi="Times New Roman"/>
                <w:sz w:val="26"/>
                <w:szCs w:val="26"/>
              </w:rPr>
              <w:t>noteikumi Nr. 1134,</w:t>
            </w:r>
            <w:r w:rsidRPr="004E610A">
              <w:rPr>
                <w:rFonts w:ascii="Times New Roman" w:hAnsi="Times New Roman"/>
                <w:sz w:val="26"/>
                <w:szCs w:val="26"/>
              </w:rPr>
              <w:t xml:space="preserve"> personas saskaņā ar šo noteikumu 12.1. un 13.4. punktiem ir atbrīvotas no galvojuma iesniegšanas par parādu, kas var rasties. Šāds </w:t>
            </w:r>
            <w:r w:rsidRPr="00520239">
              <w:rPr>
                <w:rFonts w:ascii="Times New Roman" w:hAnsi="Times New Roman"/>
                <w:sz w:val="26"/>
                <w:szCs w:val="26"/>
                <w:u w:val="single"/>
              </w:rPr>
              <w:t xml:space="preserve">regulējums </w:t>
            </w:r>
            <w:r>
              <w:rPr>
                <w:rFonts w:ascii="Times New Roman" w:hAnsi="Times New Roman"/>
                <w:sz w:val="26"/>
                <w:szCs w:val="26"/>
                <w:u w:val="single"/>
              </w:rPr>
              <w:t xml:space="preserve">tomēr </w:t>
            </w:r>
            <w:r w:rsidRPr="00520239">
              <w:rPr>
                <w:rFonts w:ascii="Times New Roman" w:hAnsi="Times New Roman"/>
                <w:sz w:val="26"/>
                <w:szCs w:val="26"/>
                <w:u w:val="single"/>
              </w:rPr>
              <w:t>neatbilst</w:t>
            </w:r>
            <w:r w:rsidRPr="00690227">
              <w:rPr>
                <w:rFonts w:ascii="Times New Roman" w:hAnsi="Times New Roman"/>
                <w:sz w:val="26"/>
                <w:szCs w:val="26"/>
              </w:rPr>
              <w:t xml:space="preserve"> </w:t>
            </w:r>
            <w:r w:rsidRPr="004E610A">
              <w:rPr>
                <w:rFonts w:ascii="Times New Roman" w:hAnsi="Times New Roman"/>
                <w:sz w:val="26"/>
                <w:szCs w:val="26"/>
              </w:rPr>
              <w:t>Komisijas 1993.gada 2.jūlija Regulas (EEK) Nr.</w:t>
            </w:r>
            <w:hyperlink r:id="rId9" w:tgtFrame="_blank" w:tooltip="REGULA" w:history="1">
              <w:r w:rsidRPr="004E610A">
                <w:rPr>
                  <w:rFonts w:ascii="Times New Roman" w:hAnsi="Times New Roman"/>
                  <w:sz w:val="26"/>
                  <w:szCs w:val="26"/>
                </w:rPr>
                <w:t>2454/93</w:t>
              </w:r>
            </w:hyperlink>
            <w:r w:rsidRPr="004E610A">
              <w:rPr>
                <w:rFonts w:ascii="Times New Roman" w:hAnsi="Times New Roman"/>
                <w:sz w:val="26"/>
                <w:szCs w:val="26"/>
              </w:rPr>
              <w:t>, ar ko nosaka īstenošanas noteikumus Padomes Regulai (EEK) Nr.</w:t>
            </w:r>
            <w:hyperlink r:id="rId10" w:tgtFrame="_blank" w:tooltip="REGULA" w:history="1">
              <w:r w:rsidRPr="004E610A">
                <w:rPr>
                  <w:rFonts w:ascii="Times New Roman" w:hAnsi="Times New Roman"/>
                  <w:sz w:val="26"/>
                  <w:szCs w:val="26"/>
                </w:rPr>
                <w:t>2913/92</w:t>
              </w:r>
            </w:hyperlink>
            <w:r w:rsidRPr="004E610A">
              <w:rPr>
                <w:rFonts w:ascii="Times New Roman" w:hAnsi="Times New Roman"/>
                <w:sz w:val="26"/>
                <w:szCs w:val="26"/>
              </w:rPr>
              <w:t xml:space="preserve"> (turpmāk – regula Nr. </w:t>
            </w:r>
            <w:r w:rsidRPr="00520239">
              <w:rPr>
                <w:rFonts w:ascii="Times New Roman" w:hAnsi="Times New Roman"/>
                <w:sz w:val="26"/>
                <w:szCs w:val="26"/>
                <w:u w:val="single"/>
              </w:rPr>
              <w:t>2454/93) 380.pantam</w:t>
            </w:r>
            <w:r w:rsidRPr="004E610A">
              <w:rPr>
                <w:rFonts w:ascii="Times New Roman" w:hAnsi="Times New Roman"/>
                <w:sz w:val="26"/>
                <w:szCs w:val="26"/>
              </w:rPr>
              <w:t xml:space="preserve">, kas nosaka kā persona var saņemt atbrīvojumu iesniegt galvojumu </w:t>
            </w:r>
            <w:r w:rsidRPr="00690227">
              <w:rPr>
                <w:rFonts w:ascii="Times New Roman" w:hAnsi="Times New Roman"/>
                <w:sz w:val="26"/>
                <w:szCs w:val="26"/>
                <w:u w:val="single"/>
              </w:rPr>
              <w:t>tranzīta procedūras</w:t>
            </w:r>
            <w:r w:rsidRPr="004E610A">
              <w:rPr>
                <w:rFonts w:ascii="Times New Roman" w:hAnsi="Times New Roman"/>
                <w:sz w:val="26"/>
                <w:szCs w:val="26"/>
              </w:rPr>
              <w:t xml:space="preserve"> nodrošināšanai. Tas nozīmē, ka 12.1. un 13.4. punktos minēt</w:t>
            </w:r>
            <w:r>
              <w:rPr>
                <w:rFonts w:ascii="Times New Roman" w:hAnsi="Times New Roman"/>
                <w:sz w:val="26"/>
                <w:szCs w:val="26"/>
              </w:rPr>
              <w:t>o</w:t>
            </w:r>
            <w:r w:rsidRPr="004E610A">
              <w:rPr>
                <w:rFonts w:ascii="Times New Roman" w:hAnsi="Times New Roman"/>
                <w:sz w:val="26"/>
                <w:szCs w:val="26"/>
              </w:rPr>
              <w:t xml:space="preserve"> atvieglojum</w:t>
            </w:r>
            <w:r>
              <w:rPr>
                <w:rFonts w:ascii="Times New Roman" w:hAnsi="Times New Roman"/>
                <w:sz w:val="26"/>
                <w:szCs w:val="26"/>
              </w:rPr>
              <w:t xml:space="preserve">u nevar piemērot tranzīta </w:t>
            </w:r>
            <w:r w:rsidRPr="004E610A">
              <w:rPr>
                <w:rFonts w:ascii="Times New Roman" w:hAnsi="Times New Roman"/>
                <w:sz w:val="26"/>
                <w:szCs w:val="26"/>
              </w:rPr>
              <w:t>procedūr</w:t>
            </w:r>
            <w:r>
              <w:rPr>
                <w:rFonts w:ascii="Times New Roman" w:hAnsi="Times New Roman"/>
                <w:sz w:val="26"/>
                <w:szCs w:val="26"/>
              </w:rPr>
              <w:t>ā.</w:t>
            </w:r>
          </w:p>
          <w:p w:rsidR="00327290" w:rsidRPr="00327290" w:rsidRDefault="00327290" w:rsidP="00E53AA8">
            <w:pPr>
              <w:pStyle w:val="considrant"/>
              <w:spacing w:before="0"/>
              <w:ind w:left="127" w:right="84"/>
              <w:rPr>
                <w:sz w:val="26"/>
                <w:szCs w:val="26"/>
              </w:rPr>
            </w:pPr>
            <w:r>
              <w:rPr>
                <w:sz w:val="26"/>
                <w:szCs w:val="26"/>
              </w:rPr>
              <w:t xml:space="preserve">Noteikumu Nr. 1134 </w:t>
            </w:r>
            <w:r w:rsidRPr="00C06D4B">
              <w:rPr>
                <w:sz w:val="26"/>
                <w:szCs w:val="26"/>
              </w:rPr>
              <w:t>18.1.</w:t>
            </w:r>
            <w:r w:rsidR="006F2DF7" w:rsidRPr="00C06D4B">
              <w:rPr>
                <w:sz w:val="26"/>
                <w:szCs w:val="26"/>
              </w:rPr>
              <w:t xml:space="preserve">, </w:t>
            </w:r>
            <w:r w:rsidR="00C06D4B" w:rsidRPr="00C06D4B">
              <w:rPr>
                <w:sz w:val="26"/>
                <w:szCs w:val="26"/>
              </w:rPr>
              <w:t>2</w:t>
            </w:r>
            <w:r w:rsidR="006F2DF7" w:rsidRPr="00C06D4B">
              <w:rPr>
                <w:sz w:val="26"/>
                <w:szCs w:val="26"/>
              </w:rPr>
              <w:t>3.1.</w:t>
            </w:r>
            <w:r w:rsidRPr="00C06D4B">
              <w:rPr>
                <w:sz w:val="26"/>
                <w:szCs w:val="26"/>
              </w:rPr>
              <w:t xml:space="preserve"> un </w:t>
            </w:r>
            <w:r w:rsidR="006F2DF7" w:rsidRPr="00C06D4B">
              <w:rPr>
                <w:sz w:val="26"/>
                <w:szCs w:val="26"/>
              </w:rPr>
              <w:t xml:space="preserve"> 50.3.</w:t>
            </w:r>
            <w:r w:rsidRPr="00C06D4B">
              <w:rPr>
                <w:sz w:val="26"/>
                <w:szCs w:val="26"/>
              </w:rPr>
              <w:t xml:space="preserve"> </w:t>
            </w:r>
            <w:r w:rsidR="007B38A8" w:rsidRPr="00C06D4B">
              <w:rPr>
                <w:sz w:val="26"/>
                <w:szCs w:val="26"/>
              </w:rPr>
              <w:t>p</w:t>
            </w:r>
            <w:r w:rsidRPr="00C06D4B">
              <w:rPr>
                <w:sz w:val="26"/>
                <w:szCs w:val="26"/>
              </w:rPr>
              <w:t>unktos ir lietots</w:t>
            </w:r>
            <w:r>
              <w:rPr>
                <w:sz w:val="26"/>
                <w:szCs w:val="26"/>
              </w:rPr>
              <w:t xml:space="preserve"> termins „valsts nodokļi”, t.i., likumā „Par nodokļiem un nodevām noteiktie nodokļi”. </w:t>
            </w:r>
            <w:r w:rsidRPr="00520239">
              <w:rPr>
                <w:sz w:val="26"/>
                <w:szCs w:val="26"/>
                <w:u w:val="single"/>
              </w:rPr>
              <w:t>Termins izslēdz</w:t>
            </w:r>
            <w:r>
              <w:rPr>
                <w:sz w:val="26"/>
                <w:szCs w:val="26"/>
              </w:rPr>
              <w:t xml:space="preserve"> </w:t>
            </w:r>
            <w:r w:rsidR="00520239">
              <w:rPr>
                <w:sz w:val="26"/>
                <w:szCs w:val="26"/>
              </w:rPr>
              <w:t>situācijas</w:t>
            </w:r>
            <w:r>
              <w:rPr>
                <w:sz w:val="26"/>
                <w:szCs w:val="26"/>
              </w:rPr>
              <w:t xml:space="preserve">, ka persona </w:t>
            </w:r>
            <w:r>
              <w:rPr>
                <w:sz w:val="26"/>
                <w:szCs w:val="26"/>
              </w:rPr>
              <w:lastRenderedPageBreak/>
              <w:t xml:space="preserve">ir parādā </w:t>
            </w:r>
            <w:r w:rsidRPr="00520239">
              <w:rPr>
                <w:sz w:val="26"/>
                <w:szCs w:val="26"/>
                <w:u w:val="single"/>
              </w:rPr>
              <w:t>soda naudu, nokavējuma naudu vai no</w:t>
            </w:r>
            <w:r w:rsidR="006F2DF7">
              <w:rPr>
                <w:sz w:val="26"/>
                <w:szCs w:val="26"/>
                <w:u w:val="single"/>
              </w:rPr>
              <w:t>devas</w:t>
            </w:r>
            <w:r>
              <w:rPr>
                <w:sz w:val="26"/>
                <w:szCs w:val="26"/>
              </w:rPr>
              <w:t xml:space="preserve">. </w:t>
            </w:r>
            <w:r w:rsidRPr="00327290">
              <w:rPr>
                <w:sz w:val="26"/>
                <w:szCs w:val="26"/>
              </w:rPr>
              <w:t>Termi</w:t>
            </w:r>
            <w:r w:rsidR="00BA33B7">
              <w:rPr>
                <w:sz w:val="26"/>
                <w:szCs w:val="26"/>
              </w:rPr>
              <w:t>ns ir jāizsaka jaunā redakcijā.</w:t>
            </w:r>
          </w:p>
          <w:p w:rsidR="00327290" w:rsidRDefault="00327290" w:rsidP="00E53AA8">
            <w:pPr>
              <w:pStyle w:val="considrant"/>
              <w:spacing w:before="0"/>
              <w:ind w:left="127" w:right="84"/>
              <w:rPr>
                <w:sz w:val="26"/>
                <w:szCs w:val="26"/>
              </w:rPr>
            </w:pPr>
            <w:r>
              <w:rPr>
                <w:sz w:val="26"/>
                <w:szCs w:val="26"/>
              </w:rPr>
              <w:t>Noteikumu Nr. 1134 30</w:t>
            </w:r>
            <w:r w:rsidR="007B38A8">
              <w:rPr>
                <w:sz w:val="26"/>
                <w:szCs w:val="26"/>
              </w:rPr>
              <w:t>.</w:t>
            </w:r>
            <w:r>
              <w:rPr>
                <w:sz w:val="26"/>
                <w:szCs w:val="26"/>
              </w:rPr>
              <w:t xml:space="preserve"> punktā </w:t>
            </w:r>
            <w:r w:rsidR="00690227">
              <w:rPr>
                <w:sz w:val="26"/>
                <w:szCs w:val="26"/>
              </w:rPr>
              <w:t>ir</w:t>
            </w:r>
            <w:r>
              <w:rPr>
                <w:sz w:val="26"/>
                <w:szCs w:val="26"/>
              </w:rPr>
              <w:t xml:space="preserve"> noteikta </w:t>
            </w:r>
            <w:r w:rsidRPr="00520239">
              <w:rPr>
                <w:sz w:val="26"/>
                <w:szCs w:val="26"/>
                <w:u w:val="single"/>
              </w:rPr>
              <w:t>kārtība tikai muitas nodokļa drošības naudas  aprēķinam, bet nav pievienotās vērtības nodokļa</w:t>
            </w:r>
            <w:r w:rsidR="006F2DF7" w:rsidRPr="006F2DF7">
              <w:rPr>
                <w:sz w:val="26"/>
                <w:szCs w:val="26"/>
                <w:u w:val="single"/>
              </w:rPr>
              <w:t xml:space="preserve"> </w:t>
            </w:r>
            <w:r w:rsidRPr="00520239">
              <w:rPr>
                <w:sz w:val="26"/>
                <w:szCs w:val="26"/>
                <w:u w:val="single"/>
              </w:rPr>
              <w:t>drošības naudas aprēķinam</w:t>
            </w:r>
            <w:r>
              <w:rPr>
                <w:sz w:val="26"/>
                <w:szCs w:val="26"/>
              </w:rPr>
              <w:t>, līdz ar to punkts ir jāprecizē.</w:t>
            </w:r>
          </w:p>
          <w:p w:rsidR="00686344" w:rsidRDefault="00520239" w:rsidP="00E53AA8">
            <w:pPr>
              <w:pStyle w:val="considrant"/>
              <w:spacing w:before="0"/>
              <w:ind w:left="127" w:right="84"/>
              <w:rPr>
                <w:sz w:val="26"/>
                <w:szCs w:val="26"/>
              </w:rPr>
            </w:pPr>
            <w:r>
              <w:rPr>
                <w:sz w:val="26"/>
                <w:szCs w:val="26"/>
              </w:rPr>
              <w:t>Noteikumos Nr. 11</w:t>
            </w:r>
            <w:r w:rsidR="007B38A8">
              <w:rPr>
                <w:sz w:val="26"/>
                <w:szCs w:val="26"/>
              </w:rPr>
              <w:t>3</w:t>
            </w:r>
            <w:r>
              <w:rPr>
                <w:sz w:val="26"/>
                <w:szCs w:val="26"/>
              </w:rPr>
              <w:t>4 nav skaidri noteikts vai vispārējo galvojumu var izsniegt uzņēmuma</w:t>
            </w:r>
            <w:r w:rsidR="00A31592">
              <w:rPr>
                <w:sz w:val="26"/>
                <w:szCs w:val="26"/>
              </w:rPr>
              <w:t>m</w:t>
            </w:r>
            <w:r>
              <w:rPr>
                <w:sz w:val="26"/>
                <w:szCs w:val="26"/>
              </w:rPr>
              <w:t xml:space="preserve">, kas nav reģistrēts Latvijā. Interpretējot noteikumu 50.punktā noteiktos nosacījumus vispārējā galvojuma piešķiršanai, ja persona var pierādīt visu prasību izpildi, tā var saņemt vispārējā galvojuma apliecību.  </w:t>
            </w:r>
            <w:r w:rsidR="00A31592">
              <w:rPr>
                <w:sz w:val="26"/>
                <w:szCs w:val="26"/>
              </w:rPr>
              <w:t>T</w:t>
            </w:r>
            <w:r>
              <w:rPr>
                <w:sz w:val="26"/>
                <w:szCs w:val="26"/>
              </w:rPr>
              <w:t xml:space="preserve">omēr nav skaidrs kā </w:t>
            </w:r>
            <w:r w:rsidR="00690227">
              <w:rPr>
                <w:sz w:val="26"/>
                <w:szCs w:val="26"/>
              </w:rPr>
              <w:t>ārvalstīs reģistrēts uzņēmums varētu atbilst prasībām, ja tas</w:t>
            </w:r>
            <w:r w:rsidR="006F2DF7">
              <w:rPr>
                <w:sz w:val="26"/>
                <w:szCs w:val="26"/>
              </w:rPr>
              <w:t xml:space="preserve"> darbības Latvijā nebūtu vei</w:t>
            </w:r>
            <w:r w:rsidR="00A03FE3">
              <w:rPr>
                <w:sz w:val="26"/>
                <w:szCs w:val="26"/>
              </w:rPr>
              <w:t>cis</w:t>
            </w:r>
            <w:r w:rsidR="00A31592">
              <w:rPr>
                <w:sz w:val="26"/>
                <w:szCs w:val="26"/>
              </w:rPr>
              <w:t>. Ņemot vērā, ka atļauja izmantot vispārējo galvojumu ir priekšrocība un tā ir saistīta ar nodokļu nomaksu Latvijas budžetā</w:t>
            </w:r>
            <w:r w:rsidR="00686344">
              <w:rPr>
                <w:sz w:val="26"/>
                <w:szCs w:val="26"/>
              </w:rPr>
              <w:t xml:space="preserve">, kā arī </w:t>
            </w:r>
            <w:r w:rsidR="00A31592">
              <w:rPr>
                <w:sz w:val="26"/>
                <w:szCs w:val="26"/>
              </w:rPr>
              <w:t>personas, kas regulāri veic muitas darbības Latvijā</w:t>
            </w:r>
            <w:r w:rsidR="00686344">
              <w:rPr>
                <w:sz w:val="26"/>
                <w:szCs w:val="26"/>
              </w:rPr>
              <w:t xml:space="preserve"> pārsvarā gadījumu ir nodokļu maksātāji, tad skaidrības labad kā kritērijs vispārējā galvojuma apliecības saņemšanai ir jānosaka reģistrācija </w:t>
            </w:r>
            <w:r w:rsidR="00690227">
              <w:rPr>
                <w:sz w:val="26"/>
                <w:szCs w:val="26"/>
              </w:rPr>
              <w:t xml:space="preserve">Latvijas Republikas </w:t>
            </w:r>
            <w:r w:rsidR="00686344">
              <w:rPr>
                <w:sz w:val="26"/>
                <w:szCs w:val="26"/>
              </w:rPr>
              <w:t>nodokļu maksātāju reģistrā. Šajā reģistrā tiek reģistrēti arī ārvalstīs dibinātie uzņēmumi, kas veic saimniecisko darbību Latvijā.</w:t>
            </w:r>
          </w:p>
          <w:p w:rsidR="00604B1E" w:rsidRPr="004C372F" w:rsidRDefault="00690227" w:rsidP="00E53AA8">
            <w:pPr>
              <w:pStyle w:val="considrant"/>
              <w:spacing w:before="0"/>
              <w:ind w:left="127" w:right="146"/>
              <w:rPr>
                <w:sz w:val="26"/>
                <w:szCs w:val="26"/>
              </w:rPr>
            </w:pPr>
            <w:r>
              <w:rPr>
                <w:sz w:val="26"/>
                <w:szCs w:val="26"/>
              </w:rPr>
              <w:t xml:space="preserve">Piemērojot </w:t>
            </w:r>
            <w:r w:rsidR="00686344">
              <w:rPr>
                <w:sz w:val="26"/>
                <w:szCs w:val="26"/>
              </w:rPr>
              <w:t xml:space="preserve">Noteikumos Nr.1134 nav </w:t>
            </w:r>
            <w:r>
              <w:rPr>
                <w:sz w:val="26"/>
                <w:szCs w:val="26"/>
              </w:rPr>
              <w:t xml:space="preserve">saprotams </w:t>
            </w:r>
            <w:r w:rsidR="00686344">
              <w:rPr>
                <w:sz w:val="26"/>
                <w:szCs w:val="26"/>
              </w:rPr>
              <w:t xml:space="preserve">vai gadījumā, ja personai saskaņā ar </w:t>
            </w:r>
            <w:r>
              <w:rPr>
                <w:sz w:val="26"/>
                <w:szCs w:val="26"/>
              </w:rPr>
              <w:t xml:space="preserve">Valsts ieņēmumu dienests (turpmāk – </w:t>
            </w:r>
            <w:r w:rsidR="00686344">
              <w:rPr>
                <w:sz w:val="26"/>
                <w:szCs w:val="26"/>
              </w:rPr>
              <w:t>VID</w:t>
            </w:r>
            <w:r>
              <w:rPr>
                <w:sz w:val="26"/>
                <w:szCs w:val="26"/>
              </w:rPr>
              <w:t>)</w:t>
            </w:r>
            <w:r w:rsidR="00686344">
              <w:rPr>
                <w:sz w:val="26"/>
                <w:szCs w:val="26"/>
              </w:rPr>
              <w:t xml:space="preserve"> lēmumu ir papildus uzrēķināti nodokļi, </w:t>
            </w:r>
            <w:r w:rsidR="00941723">
              <w:rPr>
                <w:sz w:val="26"/>
                <w:szCs w:val="26"/>
              </w:rPr>
              <w:t xml:space="preserve">nodevas, </w:t>
            </w:r>
            <w:r w:rsidR="00686344">
              <w:rPr>
                <w:sz w:val="26"/>
                <w:szCs w:val="26"/>
              </w:rPr>
              <w:t>soda nauda un nokavējuma nauda, bet lēmums ir apstrīdēts, šīs summas ir uzskatāmas par parādu budžetā</w:t>
            </w:r>
            <w:r w:rsidR="00BA33B7">
              <w:rPr>
                <w:sz w:val="26"/>
                <w:szCs w:val="26"/>
              </w:rPr>
              <w:t xml:space="preserve">. Saskaņā ar </w:t>
            </w:r>
            <w:r w:rsidR="00BA33B7" w:rsidRPr="00F47027">
              <w:rPr>
                <w:sz w:val="26"/>
                <w:szCs w:val="26"/>
              </w:rPr>
              <w:t>likum</w:t>
            </w:r>
            <w:r w:rsidR="00F47027" w:rsidRPr="00F47027">
              <w:rPr>
                <w:sz w:val="26"/>
                <w:szCs w:val="26"/>
              </w:rPr>
              <w:t>a</w:t>
            </w:r>
            <w:r w:rsidR="00BA33B7" w:rsidRPr="00F47027">
              <w:rPr>
                <w:sz w:val="26"/>
                <w:szCs w:val="26"/>
              </w:rPr>
              <w:t xml:space="preserve"> „Par nodokļiem un nodevām”</w:t>
            </w:r>
            <w:r w:rsidR="00F47027" w:rsidRPr="00F47027">
              <w:rPr>
                <w:sz w:val="26"/>
                <w:szCs w:val="26"/>
              </w:rPr>
              <w:t xml:space="preserve"> 40.pantu</w:t>
            </w:r>
            <w:r w:rsidR="00F47027">
              <w:rPr>
                <w:sz w:val="26"/>
                <w:szCs w:val="26"/>
              </w:rPr>
              <w:t>, ja</w:t>
            </w:r>
            <w:r w:rsidR="00F47027" w:rsidRPr="00F47027">
              <w:rPr>
                <w:sz w:val="26"/>
                <w:szCs w:val="26"/>
              </w:rPr>
              <w:t xml:space="preserve"> </w:t>
            </w:r>
            <w:bookmarkStart w:id="4" w:name="bkm289"/>
            <w:r w:rsidR="00F47027" w:rsidRPr="00F47027">
              <w:rPr>
                <w:sz w:val="26"/>
                <w:szCs w:val="26"/>
              </w:rPr>
              <w:t>nodokļu administrācijas kontroles (pārbaudes, revīzijas) rezultātā pieņemt</w:t>
            </w:r>
            <w:r w:rsidR="00F47027">
              <w:rPr>
                <w:sz w:val="26"/>
                <w:szCs w:val="26"/>
              </w:rPr>
              <w:t xml:space="preserve">ais </w:t>
            </w:r>
            <w:r w:rsidR="00F47027" w:rsidRPr="00F47027">
              <w:rPr>
                <w:sz w:val="26"/>
                <w:szCs w:val="26"/>
              </w:rPr>
              <w:t>lēmum</w:t>
            </w:r>
            <w:r w:rsidR="00F47027">
              <w:rPr>
                <w:sz w:val="26"/>
                <w:szCs w:val="26"/>
              </w:rPr>
              <w:t xml:space="preserve">s tiek apstrīdēts, tad </w:t>
            </w:r>
            <w:r w:rsidR="00F47027" w:rsidRPr="00F47027">
              <w:rPr>
                <w:sz w:val="26"/>
                <w:szCs w:val="26"/>
              </w:rPr>
              <w:t>nodokļu administrācijas amatpersonas lēmuma izpilde tiek apturēta uz pirmstiesas izskatīšanas laiku.</w:t>
            </w:r>
            <w:bookmarkEnd w:id="4"/>
            <w:r w:rsidR="00F47027">
              <w:rPr>
                <w:sz w:val="26"/>
                <w:szCs w:val="26"/>
              </w:rPr>
              <w:t xml:space="preserve"> Pēc analoģijas, kā arī skaidrības  labad ir jānosaka, k</w:t>
            </w:r>
            <w:bookmarkStart w:id="5" w:name="_GoBack"/>
            <w:bookmarkEnd w:id="5"/>
            <w:r w:rsidR="00F47027">
              <w:rPr>
                <w:sz w:val="26"/>
                <w:szCs w:val="26"/>
              </w:rPr>
              <w:t xml:space="preserve">a izsniedzot vispārējā galvojuma apliecību papildus uzrēķinātie nodokļi, </w:t>
            </w:r>
            <w:r w:rsidR="00941723">
              <w:rPr>
                <w:sz w:val="26"/>
                <w:szCs w:val="26"/>
              </w:rPr>
              <w:t xml:space="preserve">nodevas un citi budžetā ieskaitāmie maksājumi </w:t>
            </w:r>
            <w:r w:rsidR="00F47027">
              <w:rPr>
                <w:sz w:val="26"/>
                <w:szCs w:val="26"/>
              </w:rPr>
              <w:t>nav uzskatāmi par parādu</w:t>
            </w:r>
            <w:r w:rsidR="00941723">
              <w:rPr>
                <w:sz w:val="26"/>
                <w:szCs w:val="26"/>
              </w:rPr>
              <w:t xml:space="preserve">, ja nodokļu </w:t>
            </w:r>
            <w:r w:rsidR="00941723">
              <w:rPr>
                <w:sz w:val="26"/>
                <w:szCs w:val="26"/>
              </w:rPr>
              <w:lastRenderedPageBreak/>
              <w:t xml:space="preserve">administrācijas lēmums ir </w:t>
            </w:r>
            <w:r w:rsidR="00C06D4B" w:rsidRPr="00F47027">
              <w:rPr>
                <w:sz w:val="26"/>
                <w:szCs w:val="26"/>
              </w:rPr>
              <w:t>apturēt</w:t>
            </w:r>
            <w:r>
              <w:rPr>
                <w:sz w:val="26"/>
                <w:szCs w:val="26"/>
              </w:rPr>
              <w:t>s</w:t>
            </w:r>
            <w:r w:rsidR="00C06D4B" w:rsidRPr="00F47027">
              <w:rPr>
                <w:sz w:val="26"/>
                <w:szCs w:val="26"/>
              </w:rPr>
              <w:t xml:space="preserve"> uz pirmstiesas izskatīšanas laiku</w:t>
            </w:r>
            <w:r w:rsidR="00F47027">
              <w:rPr>
                <w:sz w:val="26"/>
                <w:szCs w:val="26"/>
              </w:rPr>
              <w:t>.</w:t>
            </w:r>
          </w:p>
        </w:tc>
      </w:tr>
      <w:tr w:rsidR="002D7DCA" w:rsidRPr="004556E4" w:rsidTr="0031698A">
        <w:trPr>
          <w:trHeight w:val="552"/>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E84915"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E84915">
              <w:rPr>
                <w:rFonts w:ascii="Times New Roman" w:eastAsia="Times New Roman" w:hAnsi="Times New Roman"/>
                <w:sz w:val="26"/>
                <w:szCs w:val="26"/>
                <w:lang w:eastAsia="lv-LV"/>
              </w:rPr>
              <w:lastRenderedPageBreak/>
              <w:t> 3.</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E84915" w:rsidRDefault="002D7DCA" w:rsidP="006F3A2A">
            <w:pPr>
              <w:spacing w:before="100" w:beforeAutospacing="1" w:after="100" w:afterAutospacing="1"/>
              <w:ind w:left="126"/>
              <w:jc w:val="left"/>
              <w:rPr>
                <w:rFonts w:ascii="Times New Roman" w:eastAsia="Times New Roman" w:hAnsi="Times New Roman"/>
                <w:sz w:val="26"/>
                <w:szCs w:val="26"/>
                <w:lang w:eastAsia="lv-LV"/>
              </w:rPr>
            </w:pPr>
            <w:r w:rsidRPr="00E84915">
              <w:rPr>
                <w:rFonts w:ascii="Times New Roman" w:eastAsia="Times New Roman" w:hAnsi="Times New Roman"/>
                <w:sz w:val="26"/>
                <w:szCs w:val="26"/>
                <w:lang w:eastAsia="lv-LV"/>
              </w:rPr>
              <w:t>Saistītie politikas ietekmes novērtējumi un pētījumi</w:t>
            </w:r>
          </w:p>
        </w:tc>
        <w:tc>
          <w:tcPr>
            <w:tcW w:w="5266" w:type="dxa"/>
            <w:gridSpan w:val="8"/>
            <w:tcBorders>
              <w:top w:val="outset" w:sz="6" w:space="0" w:color="auto"/>
              <w:left w:val="outset" w:sz="6" w:space="0" w:color="auto"/>
              <w:bottom w:val="outset" w:sz="6" w:space="0" w:color="auto"/>
              <w:right w:val="outset" w:sz="6" w:space="0" w:color="auto"/>
            </w:tcBorders>
            <w:hideMark/>
          </w:tcPr>
          <w:p w:rsidR="002D7DCA" w:rsidRPr="00E84915" w:rsidRDefault="006F3A2A" w:rsidP="003053AB">
            <w:pPr>
              <w:spacing w:before="100" w:beforeAutospacing="1" w:after="100" w:afterAutospacing="1"/>
              <w:ind w:left="0"/>
              <w:jc w:val="left"/>
              <w:rPr>
                <w:rFonts w:ascii="Times New Roman" w:eastAsia="Times New Roman" w:hAnsi="Times New Roman"/>
                <w:sz w:val="26"/>
                <w:szCs w:val="26"/>
                <w:lang w:eastAsia="lv-LV"/>
              </w:rPr>
            </w:pPr>
            <w:r w:rsidRPr="00E84915">
              <w:rPr>
                <w:rFonts w:ascii="Times New Roman" w:eastAsia="Times New Roman" w:hAnsi="Times New Roman"/>
                <w:sz w:val="26"/>
                <w:szCs w:val="26"/>
                <w:lang w:eastAsia="lv-LV"/>
              </w:rPr>
              <w:t xml:space="preserve">  </w:t>
            </w:r>
            <w:r w:rsidR="003053AB">
              <w:rPr>
                <w:rFonts w:ascii="Times New Roman" w:eastAsia="Times New Roman" w:hAnsi="Times New Roman"/>
                <w:sz w:val="26"/>
                <w:szCs w:val="26"/>
                <w:lang w:eastAsia="lv-LV"/>
              </w:rPr>
              <w:t>Šo jomu neskar</w:t>
            </w:r>
            <w:r w:rsidR="00A6553E" w:rsidRPr="00E84915">
              <w:rPr>
                <w:rFonts w:ascii="Times New Roman" w:eastAsia="Times New Roman" w:hAnsi="Times New Roman"/>
                <w:sz w:val="26"/>
                <w:szCs w:val="26"/>
                <w:lang w:eastAsia="lv-LV"/>
              </w:rPr>
              <w:t>.</w:t>
            </w:r>
          </w:p>
        </w:tc>
      </w:tr>
      <w:tr w:rsidR="002D7DCA" w:rsidRPr="00D8196B" w:rsidTr="0031698A">
        <w:trPr>
          <w:trHeight w:val="694"/>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D8196B"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4.</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D8196B" w:rsidRDefault="002D7DCA" w:rsidP="006F3A2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Tiesiskā regulējuma mērķis un būtība</w:t>
            </w:r>
          </w:p>
        </w:tc>
        <w:tc>
          <w:tcPr>
            <w:tcW w:w="5266" w:type="dxa"/>
            <w:gridSpan w:val="8"/>
            <w:tcBorders>
              <w:top w:val="outset" w:sz="6" w:space="0" w:color="auto"/>
              <w:left w:val="outset" w:sz="6" w:space="0" w:color="auto"/>
              <w:bottom w:val="outset" w:sz="6" w:space="0" w:color="auto"/>
              <w:right w:val="outset" w:sz="6" w:space="0" w:color="auto"/>
            </w:tcBorders>
            <w:hideMark/>
          </w:tcPr>
          <w:p w:rsidR="004C372F" w:rsidRDefault="00941723" w:rsidP="004C372F">
            <w:pPr>
              <w:spacing w:after="75"/>
              <w:ind w:left="127" w:right="146"/>
              <w:rPr>
                <w:rFonts w:ascii="Times New Roman" w:hAnsi="Times New Roman"/>
                <w:sz w:val="26"/>
                <w:szCs w:val="26"/>
              </w:rPr>
            </w:pPr>
            <w:r>
              <w:rPr>
                <w:rFonts w:ascii="Times New Roman" w:hAnsi="Times New Roman"/>
                <w:sz w:val="26"/>
                <w:szCs w:val="26"/>
                <w:u w:val="single"/>
              </w:rPr>
              <w:t>P</w:t>
            </w:r>
            <w:r w:rsidR="004C372F" w:rsidRPr="007B38A8">
              <w:rPr>
                <w:rFonts w:ascii="Times New Roman" w:hAnsi="Times New Roman"/>
                <w:sz w:val="26"/>
                <w:szCs w:val="26"/>
                <w:u w:val="single"/>
              </w:rPr>
              <w:t xml:space="preserve">rojektā ir iekļautas </w:t>
            </w:r>
            <w:r w:rsidR="007B38A8">
              <w:rPr>
                <w:rFonts w:ascii="Times New Roman" w:hAnsi="Times New Roman"/>
                <w:sz w:val="26"/>
                <w:szCs w:val="26"/>
                <w:u w:val="single"/>
              </w:rPr>
              <w:t>n</w:t>
            </w:r>
            <w:r w:rsidR="004C372F" w:rsidRPr="007B38A8">
              <w:rPr>
                <w:rFonts w:ascii="Times New Roman" w:hAnsi="Times New Roman"/>
                <w:sz w:val="26"/>
                <w:szCs w:val="26"/>
                <w:u w:val="single"/>
              </w:rPr>
              <w:t>oteikumu Nr. 1134 normas ar dažiem redakcionāliem precizējumiem un šādām izmaiņām</w:t>
            </w:r>
            <w:r w:rsidR="004C372F">
              <w:rPr>
                <w:rFonts w:ascii="Times New Roman" w:hAnsi="Times New Roman"/>
                <w:sz w:val="26"/>
                <w:szCs w:val="26"/>
              </w:rPr>
              <w:t>:</w:t>
            </w:r>
          </w:p>
          <w:p w:rsidR="004C372F" w:rsidRDefault="004C372F" w:rsidP="00277EA2">
            <w:pPr>
              <w:ind w:left="127" w:right="146"/>
              <w:rPr>
                <w:rFonts w:ascii="Times New Roman" w:hAnsi="Times New Roman"/>
                <w:sz w:val="26"/>
                <w:szCs w:val="26"/>
              </w:rPr>
            </w:pPr>
            <w:r w:rsidRPr="00690227">
              <w:rPr>
                <w:rFonts w:ascii="Times New Roman" w:hAnsi="Times New Roman"/>
                <w:sz w:val="26"/>
                <w:szCs w:val="26"/>
              </w:rPr>
              <w:t xml:space="preserve">Ar likumprojektu „Grozījumi Muitas likumā” no likuma ir </w:t>
            </w:r>
            <w:r w:rsidRPr="00F001CA">
              <w:rPr>
                <w:rFonts w:ascii="Times New Roman" w:hAnsi="Times New Roman"/>
                <w:sz w:val="26"/>
                <w:szCs w:val="26"/>
                <w:u w:val="single"/>
              </w:rPr>
              <w:t>izslēgta prasība VID slēgt līgumu ar galvotāju</w:t>
            </w:r>
            <w:r w:rsidRPr="00690227">
              <w:rPr>
                <w:rFonts w:ascii="Times New Roman" w:hAnsi="Times New Roman"/>
                <w:sz w:val="26"/>
                <w:szCs w:val="26"/>
              </w:rPr>
              <w:t xml:space="preserve">, līdz ar to </w:t>
            </w:r>
            <w:r w:rsidR="00C11928" w:rsidRPr="00690227">
              <w:rPr>
                <w:rFonts w:ascii="Times New Roman" w:hAnsi="Times New Roman"/>
                <w:sz w:val="26"/>
                <w:szCs w:val="26"/>
              </w:rPr>
              <w:t xml:space="preserve">arī projektā nav vairs noteikta prasība </w:t>
            </w:r>
            <w:r w:rsidRPr="00690227">
              <w:rPr>
                <w:rFonts w:ascii="Times New Roman" w:hAnsi="Times New Roman"/>
                <w:sz w:val="26"/>
                <w:szCs w:val="26"/>
              </w:rPr>
              <w:t>sl</w:t>
            </w:r>
            <w:r w:rsidR="00690227" w:rsidRPr="00690227">
              <w:rPr>
                <w:rFonts w:ascii="Times New Roman" w:hAnsi="Times New Roman"/>
                <w:sz w:val="26"/>
                <w:szCs w:val="26"/>
              </w:rPr>
              <w:t xml:space="preserve">ēgt minēto līgumu. Līgumos ietvertie nosacījumi jau ir iekļauti Noteikumu Nr.1134 II nodaļā, kā arī noteikumu projekta 21., 23., 24. un 25. punktā. </w:t>
            </w:r>
          </w:p>
          <w:p w:rsidR="00520AC5" w:rsidRPr="002E187F" w:rsidRDefault="00984BE0" w:rsidP="00277EA2">
            <w:pPr>
              <w:spacing w:after="0"/>
              <w:ind w:left="127" w:right="126"/>
              <w:rPr>
                <w:rFonts w:ascii="Times New Roman" w:eastAsia="Times New Roman" w:hAnsi="Times New Roman"/>
                <w:sz w:val="26"/>
                <w:szCs w:val="26"/>
                <w:lang w:eastAsia="lv-LV"/>
              </w:rPr>
            </w:pPr>
            <w:r w:rsidRPr="00520AC5">
              <w:rPr>
                <w:rFonts w:ascii="Times New Roman" w:hAnsi="Times New Roman"/>
                <w:sz w:val="26"/>
                <w:szCs w:val="26"/>
              </w:rPr>
              <w:t xml:space="preserve">Projekta 12.1. un 13.4. apakšpunktā ir noteikts, ka gadījumi, kad personas, kas ir saņēmušas </w:t>
            </w:r>
            <w:r w:rsidRPr="00520AC5">
              <w:rPr>
                <w:rFonts w:ascii="Times New Roman" w:eastAsia="Times New Roman" w:hAnsi="Times New Roman"/>
                <w:sz w:val="26"/>
                <w:szCs w:val="26"/>
                <w:lang w:eastAsia="lv-LV"/>
              </w:rPr>
              <w:t>atzītā komersanta (turpmāk – AEO) statusu saskaņā ar r</w:t>
            </w:r>
            <w:r w:rsidRPr="00520AC5">
              <w:rPr>
                <w:rFonts w:ascii="Times New Roman" w:hAnsi="Times New Roman"/>
                <w:sz w:val="26"/>
                <w:szCs w:val="26"/>
              </w:rPr>
              <w:t xml:space="preserve">egulas Padomes 1992.gada 12.oktobra Regulas (EEK) Nr.2913/92 par Kopienas Muitas kodeksa izveidi (turpmāk regula - Nr.2913/92) </w:t>
            </w:r>
            <w:r w:rsidRPr="00520AC5">
              <w:rPr>
                <w:rFonts w:ascii="Times New Roman" w:eastAsia="Times New Roman" w:hAnsi="Times New Roman"/>
                <w:sz w:val="26"/>
                <w:szCs w:val="26"/>
                <w:lang w:eastAsia="lv-LV"/>
              </w:rPr>
              <w:t xml:space="preserve">un </w:t>
            </w:r>
            <w:r w:rsidRPr="00520AC5">
              <w:rPr>
                <w:rFonts w:ascii="Times New Roman" w:hAnsi="Times New Roman"/>
                <w:sz w:val="26"/>
                <w:szCs w:val="26"/>
              </w:rPr>
              <w:t xml:space="preserve">regulas Nr. 2454/93 </w:t>
            </w:r>
            <w:r w:rsidRPr="00520AC5">
              <w:rPr>
                <w:rFonts w:ascii="Times New Roman" w:eastAsia="Times New Roman" w:hAnsi="Times New Roman"/>
                <w:sz w:val="26"/>
                <w:szCs w:val="26"/>
                <w:lang w:eastAsia="lv-LV"/>
              </w:rPr>
              <w:t xml:space="preserve">nosacījumiem, un ir atbrīvotas no </w:t>
            </w:r>
            <w:r w:rsidRPr="00520AC5">
              <w:rPr>
                <w:rFonts w:ascii="Times New Roman" w:hAnsi="Times New Roman"/>
                <w:sz w:val="26"/>
                <w:szCs w:val="26"/>
              </w:rPr>
              <w:t xml:space="preserve">muitas nodokļa un akcīzes nodokļa galvojumu iesniegšanas, </w:t>
            </w:r>
            <w:r w:rsidRPr="00520AC5">
              <w:rPr>
                <w:rFonts w:ascii="Times New Roman" w:hAnsi="Times New Roman"/>
                <w:sz w:val="26"/>
                <w:szCs w:val="26"/>
                <w:u w:val="single"/>
              </w:rPr>
              <w:t>tomēr neattiecās uz tranzīta procedūras piemērošanu</w:t>
            </w:r>
            <w:r w:rsidRPr="00520AC5">
              <w:rPr>
                <w:rFonts w:ascii="Times New Roman" w:hAnsi="Times New Roman"/>
                <w:sz w:val="26"/>
                <w:szCs w:val="26"/>
              </w:rPr>
              <w:t>. Jo atbrīvojums no galvojuma iesniegšanas tranzīta procedūrā ir noteikts regulas Nr. 2454/93 380.pantā.</w:t>
            </w:r>
            <w:r w:rsidR="00520AC5" w:rsidRPr="00520AC5">
              <w:rPr>
                <w:rFonts w:ascii="Times New Roman" w:hAnsi="Times New Roman"/>
                <w:sz w:val="26"/>
                <w:szCs w:val="26"/>
              </w:rPr>
              <w:t xml:space="preserve"> </w:t>
            </w:r>
            <w:r w:rsidR="00520AC5" w:rsidRPr="002E187F">
              <w:rPr>
                <w:rFonts w:ascii="Times New Roman" w:eastAsia="Times New Roman" w:hAnsi="Times New Roman"/>
                <w:sz w:val="26"/>
                <w:szCs w:val="26"/>
                <w:lang w:eastAsia="lv-LV"/>
              </w:rPr>
              <w:t>Regulas Nr.2454/93 14.a. panta 1.punktā ir minēts: „neskarot citu muitas noteikumos paredzēto vienkāršojumu izmantošanu, pēc komersanta pieteikuma (..) var izsniegt atzītā komersanta sertifikātus”. Šie vienkāršojumi ir vienkāršotās deklarācijas procedūras, kas noteiktas regulas 282.-287.pantā.</w:t>
            </w:r>
          </w:p>
          <w:p w:rsidR="00984BE0" w:rsidRPr="002E187F" w:rsidRDefault="00520AC5" w:rsidP="00277EA2">
            <w:pPr>
              <w:spacing w:after="0"/>
              <w:ind w:left="127" w:right="126"/>
              <w:rPr>
                <w:rFonts w:ascii="Times New Roman" w:hAnsi="Times New Roman"/>
                <w:sz w:val="26"/>
                <w:szCs w:val="26"/>
              </w:rPr>
            </w:pPr>
            <w:r w:rsidRPr="002E187F">
              <w:rPr>
                <w:rFonts w:ascii="Times New Roman" w:eastAsia="Times New Roman" w:hAnsi="Times New Roman"/>
                <w:sz w:val="26"/>
                <w:szCs w:val="26"/>
                <w:lang w:eastAsia="lv-LV"/>
              </w:rPr>
              <w:t>Tranzīta deklarāciju tehniski nevar noformēt bez galvojuma apliecības ievadīšanas datorizētajā tranzīta sistēmā</w:t>
            </w:r>
            <w:r w:rsidRPr="00520AC5">
              <w:rPr>
                <w:rFonts w:ascii="Times New Roman" w:eastAsia="Times New Roman" w:hAnsi="Times New Roman"/>
                <w:b/>
                <w:sz w:val="26"/>
                <w:szCs w:val="26"/>
                <w:lang w:eastAsia="lv-LV"/>
              </w:rPr>
              <w:t xml:space="preserve"> </w:t>
            </w:r>
            <w:r w:rsidRPr="002E187F">
              <w:rPr>
                <w:rFonts w:ascii="Times New Roman" w:eastAsia="Times New Roman" w:hAnsi="Times New Roman"/>
                <w:sz w:val="26"/>
                <w:szCs w:val="26"/>
                <w:lang w:eastAsia="lv-LV"/>
              </w:rPr>
              <w:t>NCTS (šī sistēma ir vienota visā ES).</w:t>
            </w:r>
          </w:p>
          <w:p w:rsidR="00984BE0" w:rsidRPr="002E187F" w:rsidRDefault="00984BE0" w:rsidP="00984BE0">
            <w:pPr>
              <w:spacing w:after="0"/>
              <w:ind w:left="127" w:right="84"/>
              <w:rPr>
                <w:rFonts w:ascii="Times New Roman" w:hAnsi="Times New Roman"/>
                <w:sz w:val="26"/>
                <w:szCs w:val="26"/>
              </w:rPr>
            </w:pPr>
          </w:p>
          <w:p w:rsidR="004C372F" w:rsidRPr="00F001CA" w:rsidRDefault="00490D0A" w:rsidP="00E53AA8">
            <w:pPr>
              <w:pStyle w:val="considrant"/>
              <w:spacing w:before="0"/>
              <w:ind w:left="127" w:right="84"/>
              <w:rPr>
                <w:sz w:val="26"/>
                <w:szCs w:val="26"/>
                <w:u w:val="single"/>
              </w:rPr>
            </w:pPr>
            <w:r>
              <w:rPr>
                <w:sz w:val="26"/>
                <w:szCs w:val="26"/>
              </w:rPr>
              <w:t xml:space="preserve">Projekta </w:t>
            </w:r>
            <w:r>
              <w:rPr>
                <w:rFonts w:eastAsia="Times New Roman"/>
                <w:sz w:val="26"/>
                <w:szCs w:val="26"/>
              </w:rPr>
              <w:t>1</w:t>
            </w:r>
            <w:r w:rsidR="00B42784">
              <w:rPr>
                <w:rFonts w:eastAsia="Times New Roman"/>
                <w:sz w:val="26"/>
                <w:szCs w:val="26"/>
              </w:rPr>
              <w:t>9</w:t>
            </w:r>
            <w:r>
              <w:rPr>
                <w:rFonts w:eastAsia="Times New Roman"/>
                <w:sz w:val="26"/>
                <w:szCs w:val="26"/>
              </w:rPr>
              <w:t>.1., 2</w:t>
            </w:r>
            <w:r w:rsidR="00B42784">
              <w:rPr>
                <w:rFonts w:eastAsia="Times New Roman"/>
                <w:sz w:val="26"/>
                <w:szCs w:val="26"/>
              </w:rPr>
              <w:t>6</w:t>
            </w:r>
            <w:r>
              <w:rPr>
                <w:rFonts w:eastAsia="Times New Roman"/>
                <w:sz w:val="26"/>
                <w:szCs w:val="26"/>
              </w:rPr>
              <w:t>.1. un 5</w:t>
            </w:r>
            <w:r w:rsidR="00B42784">
              <w:rPr>
                <w:rFonts w:eastAsia="Times New Roman"/>
                <w:sz w:val="26"/>
                <w:szCs w:val="26"/>
              </w:rPr>
              <w:t>5</w:t>
            </w:r>
            <w:r>
              <w:rPr>
                <w:rFonts w:eastAsia="Times New Roman"/>
                <w:sz w:val="26"/>
                <w:szCs w:val="26"/>
              </w:rPr>
              <w:t xml:space="preserve">.3. apakšpunktā ir lietots termins </w:t>
            </w:r>
            <w:r w:rsidRPr="00C57ED3">
              <w:rPr>
                <w:sz w:val="26"/>
                <w:szCs w:val="26"/>
              </w:rPr>
              <w:t>„</w:t>
            </w:r>
            <w:r>
              <w:rPr>
                <w:rFonts w:eastAsia="Times New Roman"/>
                <w:sz w:val="26"/>
                <w:szCs w:val="26"/>
              </w:rPr>
              <w:t>nodokļu, nodevu un citi</w:t>
            </w:r>
            <w:r w:rsidRPr="00C57ED3">
              <w:rPr>
                <w:rFonts w:eastAsia="Times New Roman"/>
                <w:sz w:val="26"/>
                <w:szCs w:val="26"/>
              </w:rPr>
              <w:t xml:space="preserve"> </w:t>
            </w:r>
            <w:r>
              <w:rPr>
                <w:rFonts w:eastAsia="Times New Roman"/>
                <w:sz w:val="26"/>
                <w:szCs w:val="26"/>
              </w:rPr>
              <w:t>obligātie</w:t>
            </w:r>
            <w:r w:rsidRPr="00C57ED3">
              <w:rPr>
                <w:rFonts w:eastAsia="Times New Roman"/>
                <w:sz w:val="26"/>
                <w:szCs w:val="26"/>
              </w:rPr>
              <w:t xml:space="preserve"> maksājum</w:t>
            </w:r>
            <w:r w:rsidR="00690227">
              <w:rPr>
                <w:rFonts w:eastAsia="Times New Roman"/>
                <w:sz w:val="26"/>
                <w:szCs w:val="26"/>
              </w:rPr>
              <w:t xml:space="preserve">i budžetā” pamatojoties uz </w:t>
            </w:r>
            <w:r w:rsidR="004C372F" w:rsidRPr="00C06D4B">
              <w:rPr>
                <w:sz w:val="26"/>
                <w:szCs w:val="26"/>
              </w:rPr>
              <w:t>likumā</w:t>
            </w:r>
            <w:r w:rsidR="004C372F">
              <w:rPr>
                <w:sz w:val="26"/>
                <w:szCs w:val="26"/>
              </w:rPr>
              <w:t xml:space="preserve"> „Par nodokļiem</w:t>
            </w:r>
            <w:r w:rsidR="00690227">
              <w:rPr>
                <w:sz w:val="26"/>
                <w:szCs w:val="26"/>
              </w:rPr>
              <w:t xml:space="preserve">” lietoto terminaloģiju. </w:t>
            </w:r>
            <w:r w:rsidR="00690227">
              <w:rPr>
                <w:sz w:val="26"/>
                <w:szCs w:val="26"/>
              </w:rPr>
              <w:lastRenderedPageBreak/>
              <w:t xml:space="preserve">Šādā veidā </w:t>
            </w:r>
            <w:r w:rsidR="004C372F">
              <w:rPr>
                <w:sz w:val="26"/>
                <w:szCs w:val="26"/>
              </w:rPr>
              <w:t xml:space="preserve"> </w:t>
            </w:r>
            <w:r w:rsidR="00690227">
              <w:rPr>
                <w:sz w:val="26"/>
                <w:szCs w:val="26"/>
              </w:rPr>
              <w:t xml:space="preserve">tiks </w:t>
            </w:r>
            <w:r w:rsidR="00F001CA" w:rsidRPr="00F001CA">
              <w:rPr>
                <w:sz w:val="26"/>
                <w:szCs w:val="26"/>
                <w:u w:val="single"/>
              </w:rPr>
              <w:t>novērsts</w:t>
            </w:r>
            <w:r w:rsidR="004C372F" w:rsidRPr="00F001CA">
              <w:rPr>
                <w:sz w:val="26"/>
                <w:szCs w:val="26"/>
                <w:u w:val="single"/>
              </w:rPr>
              <w:t>, ka persona ir parādā soda naudu, nokavējuma naudu vai nod</w:t>
            </w:r>
            <w:r w:rsidR="00C57ED3" w:rsidRPr="00F001CA">
              <w:rPr>
                <w:sz w:val="26"/>
                <w:szCs w:val="26"/>
                <w:u w:val="single"/>
              </w:rPr>
              <w:t>ev</w:t>
            </w:r>
            <w:r w:rsidR="004C372F" w:rsidRPr="00F001CA">
              <w:rPr>
                <w:sz w:val="26"/>
                <w:szCs w:val="26"/>
                <w:u w:val="single"/>
              </w:rPr>
              <w:t>as</w:t>
            </w:r>
            <w:r w:rsidR="00F001CA" w:rsidRPr="00F001CA">
              <w:rPr>
                <w:sz w:val="26"/>
                <w:szCs w:val="26"/>
                <w:u w:val="single"/>
              </w:rPr>
              <w:t>, bet to neuzskata par parādu budžetā.</w:t>
            </w:r>
            <w:r w:rsidR="004C372F" w:rsidRPr="00F001CA">
              <w:rPr>
                <w:sz w:val="26"/>
                <w:szCs w:val="26"/>
                <w:u w:val="single"/>
              </w:rPr>
              <w:t xml:space="preserve"> </w:t>
            </w:r>
          </w:p>
          <w:p w:rsidR="004C372F" w:rsidRDefault="00490D0A" w:rsidP="00E53AA8">
            <w:pPr>
              <w:pStyle w:val="considrant"/>
              <w:spacing w:before="0"/>
              <w:ind w:left="127" w:right="84"/>
              <w:rPr>
                <w:sz w:val="26"/>
                <w:szCs w:val="26"/>
              </w:rPr>
            </w:pPr>
            <w:r>
              <w:rPr>
                <w:sz w:val="26"/>
                <w:szCs w:val="26"/>
              </w:rPr>
              <w:t>Projekta 3</w:t>
            </w:r>
            <w:r w:rsidR="00B42784">
              <w:rPr>
                <w:sz w:val="26"/>
                <w:szCs w:val="26"/>
              </w:rPr>
              <w:t>4</w:t>
            </w:r>
            <w:r>
              <w:rPr>
                <w:sz w:val="26"/>
                <w:szCs w:val="26"/>
              </w:rPr>
              <w:t>.punktā ir p</w:t>
            </w:r>
            <w:r w:rsidR="00690227">
              <w:rPr>
                <w:sz w:val="26"/>
                <w:szCs w:val="26"/>
              </w:rPr>
              <w:t>recizēta</w:t>
            </w:r>
            <w:r>
              <w:rPr>
                <w:sz w:val="26"/>
                <w:szCs w:val="26"/>
              </w:rPr>
              <w:t xml:space="preserve"> </w:t>
            </w:r>
            <w:r w:rsidR="004C372F">
              <w:rPr>
                <w:sz w:val="26"/>
                <w:szCs w:val="26"/>
              </w:rPr>
              <w:t>Noteikumu Nr. 1134 30</w:t>
            </w:r>
            <w:r w:rsidR="00C57ED3">
              <w:rPr>
                <w:sz w:val="26"/>
                <w:szCs w:val="26"/>
              </w:rPr>
              <w:t>.</w:t>
            </w:r>
            <w:r w:rsidR="004C372F">
              <w:rPr>
                <w:sz w:val="26"/>
                <w:szCs w:val="26"/>
              </w:rPr>
              <w:t xml:space="preserve"> punktā noteikt</w:t>
            </w:r>
            <w:r>
              <w:rPr>
                <w:sz w:val="26"/>
                <w:szCs w:val="26"/>
              </w:rPr>
              <w:t>ā</w:t>
            </w:r>
            <w:r w:rsidR="004C372F">
              <w:rPr>
                <w:sz w:val="26"/>
                <w:szCs w:val="26"/>
              </w:rPr>
              <w:t xml:space="preserve"> </w:t>
            </w:r>
            <w:r w:rsidR="004C372F" w:rsidRPr="00690227">
              <w:rPr>
                <w:sz w:val="26"/>
                <w:szCs w:val="26"/>
              </w:rPr>
              <w:t xml:space="preserve">drošības </w:t>
            </w:r>
            <w:r w:rsidRPr="00690227">
              <w:rPr>
                <w:sz w:val="26"/>
                <w:szCs w:val="26"/>
              </w:rPr>
              <w:t>naudas  aprēķina kārtība</w:t>
            </w:r>
            <w:r w:rsidR="00690227" w:rsidRPr="00690227">
              <w:rPr>
                <w:sz w:val="26"/>
                <w:szCs w:val="26"/>
              </w:rPr>
              <w:t xml:space="preserve">, tā kā tā ir jāattiecina ne tikai uz </w:t>
            </w:r>
            <w:r w:rsidR="00690227">
              <w:rPr>
                <w:sz w:val="26"/>
                <w:szCs w:val="26"/>
                <w:u w:val="single"/>
              </w:rPr>
              <w:t xml:space="preserve">muitas nodokļa, bet arī uz </w:t>
            </w:r>
            <w:r>
              <w:rPr>
                <w:sz w:val="26"/>
                <w:szCs w:val="26"/>
                <w:u w:val="single"/>
              </w:rPr>
              <w:t>p</w:t>
            </w:r>
            <w:r w:rsidR="004C372F" w:rsidRPr="00520239">
              <w:rPr>
                <w:sz w:val="26"/>
                <w:szCs w:val="26"/>
                <w:u w:val="single"/>
              </w:rPr>
              <w:t>ievienotās vērtības nodokļa</w:t>
            </w:r>
            <w:r w:rsidR="004C372F" w:rsidRPr="00F001CA">
              <w:rPr>
                <w:sz w:val="26"/>
                <w:szCs w:val="26"/>
                <w:u w:val="single"/>
              </w:rPr>
              <w:t xml:space="preserve"> </w:t>
            </w:r>
            <w:r>
              <w:rPr>
                <w:sz w:val="26"/>
                <w:szCs w:val="26"/>
                <w:u w:val="single"/>
              </w:rPr>
              <w:t>drošības naudas aprēķin</w:t>
            </w:r>
            <w:r w:rsidR="00690227">
              <w:rPr>
                <w:sz w:val="26"/>
                <w:szCs w:val="26"/>
                <w:u w:val="single"/>
              </w:rPr>
              <w:t>u</w:t>
            </w:r>
            <w:r w:rsidR="004C372F">
              <w:rPr>
                <w:sz w:val="26"/>
                <w:szCs w:val="26"/>
              </w:rPr>
              <w:t>.</w:t>
            </w:r>
          </w:p>
          <w:p w:rsidR="00766FBA" w:rsidRPr="002E187F" w:rsidRDefault="00B42784" w:rsidP="00E53AA8">
            <w:pPr>
              <w:pStyle w:val="considrant"/>
              <w:spacing w:before="0"/>
              <w:ind w:left="127" w:right="84"/>
              <w:rPr>
                <w:sz w:val="26"/>
                <w:szCs w:val="26"/>
              </w:rPr>
            </w:pPr>
            <w:r>
              <w:rPr>
                <w:sz w:val="26"/>
                <w:szCs w:val="26"/>
              </w:rPr>
              <w:t>Projekta 35</w:t>
            </w:r>
            <w:r w:rsidR="00766FBA" w:rsidRPr="002E187F">
              <w:rPr>
                <w:sz w:val="26"/>
                <w:szCs w:val="26"/>
              </w:rPr>
              <w:t>. un 3</w:t>
            </w:r>
            <w:r>
              <w:rPr>
                <w:sz w:val="26"/>
                <w:szCs w:val="26"/>
              </w:rPr>
              <w:t>6.</w:t>
            </w:r>
            <w:r w:rsidR="00766FBA" w:rsidRPr="002E187F">
              <w:rPr>
                <w:sz w:val="26"/>
                <w:szCs w:val="26"/>
              </w:rPr>
              <w:t xml:space="preserve"> punktā ir noteikta VID rīcība gadījumā, ja </w:t>
            </w:r>
            <w:r w:rsidR="00766FBA" w:rsidRPr="002E187F">
              <w:rPr>
                <w:rFonts w:eastAsia="Times New Roman"/>
                <w:sz w:val="26"/>
                <w:szCs w:val="26"/>
              </w:rPr>
              <w:t xml:space="preserve">deklarētājs muitas iestādes noteiktajā termiņā ir vai nav iesniedzis visas ziņas vai dokumentus, kas nepieciešami preču muitas vērtības galīgai noteikšanai. Muitas iestāžu tiesības lūgt papildus ziņas ir noteiktas regulas Nr. 2913/92 </w:t>
            </w:r>
            <w:r w:rsidR="00AC7CA0" w:rsidRPr="002E187F">
              <w:rPr>
                <w:rFonts w:eastAsia="Times New Roman"/>
                <w:sz w:val="26"/>
                <w:szCs w:val="26"/>
              </w:rPr>
              <w:t xml:space="preserve">14. </w:t>
            </w:r>
            <w:r w:rsidR="00766FBA" w:rsidRPr="002E187F">
              <w:rPr>
                <w:rFonts w:eastAsia="Times New Roman"/>
                <w:sz w:val="26"/>
                <w:szCs w:val="26"/>
              </w:rPr>
              <w:t xml:space="preserve">pantā. Papildus ziņu sniegšanas termiņu muitas iestāde nosaka atbilstoši Administratīvā procesa likumam. </w:t>
            </w:r>
          </w:p>
          <w:p w:rsidR="004C372F" w:rsidRDefault="00490D0A" w:rsidP="00E53AA8">
            <w:pPr>
              <w:pStyle w:val="considrant"/>
              <w:spacing w:before="0"/>
              <w:ind w:left="127" w:right="84"/>
              <w:rPr>
                <w:sz w:val="26"/>
                <w:szCs w:val="26"/>
              </w:rPr>
            </w:pPr>
            <w:r>
              <w:rPr>
                <w:sz w:val="26"/>
                <w:szCs w:val="26"/>
              </w:rPr>
              <w:t xml:space="preserve">Projekta </w:t>
            </w:r>
            <w:r w:rsidR="00E2497D">
              <w:rPr>
                <w:sz w:val="26"/>
                <w:szCs w:val="26"/>
              </w:rPr>
              <w:t>5</w:t>
            </w:r>
            <w:r w:rsidR="00B42784">
              <w:rPr>
                <w:sz w:val="26"/>
                <w:szCs w:val="26"/>
              </w:rPr>
              <w:t>5</w:t>
            </w:r>
            <w:r w:rsidR="00E2497D">
              <w:rPr>
                <w:sz w:val="26"/>
                <w:szCs w:val="26"/>
              </w:rPr>
              <w:t xml:space="preserve">.1. </w:t>
            </w:r>
            <w:r w:rsidR="00F001CA">
              <w:rPr>
                <w:sz w:val="26"/>
                <w:szCs w:val="26"/>
              </w:rPr>
              <w:t>apakš</w:t>
            </w:r>
            <w:r w:rsidR="00E2497D">
              <w:rPr>
                <w:sz w:val="26"/>
                <w:szCs w:val="26"/>
              </w:rPr>
              <w:t xml:space="preserve">punktā skaidrības labad ir noteikts </w:t>
            </w:r>
            <w:r w:rsidR="00E2497D" w:rsidRPr="00F001CA">
              <w:rPr>
                <w:sz w:val="26"/>
                <w:szCs w:val="26"/>
                <w:u w:val="single"/>
              </w:rPr>
              <w:t xml:space="preserve">kritērijs vispārējā galvojuma apliecības saņemšanai - </w:t>
            </w:r>
            <w:r w:rsidR="00E2497D" w:rsidRPr="00F001CA">
              <w:rPr>
                <w:rFonts w:eastAsia="Times New Roman"/>
                <w:sz w:val="26"/>
                <w:szCs w:val="26"/>
                <w:u w:val="single"/>
              </w:rPr>
              <w:t>atbildīgā persona ir reģistrēta Latvijas Republikā kā nodokļu maksātājs</w:t>
            </w:r>
            <w:r w:rsidR="00E2497D">
              <w:rPr>
                <w:sz w:val="26"/>
                <w:szCs w:val="26"/>
              </w:rPr>
              <w:t xml:space="preserve">, jo </w:t>
            </w:r>
            <w:r w:rsidR="004C372F">
              <w:rPr>
                <w:sz w:val="26"/>
                <w:szCs w:val="26"/>
              </w:rPr>
              <w:t>Noteikumos Nr.</w:t>
            </w:r>
            <w:r w:rsidR="00F001CA">
              <w:rPr>
                <w:sz w:val="26"/>
                <w:szCs w:val="26"/>
              </w:rPr>
              <w:t>113</w:t>
            </w:r>
            <w:r w:rsidR="004C372F">
              <w:rPr>
                <w:sz w:val="26"/>
                <w:szCs w:val="26"/>
              </w:rPr>
              <w:t xml:space="preserve">4 nav skaidri noteikts vai vispārējo galvojumu var izsniegt uzņēmumam, kas nav reģistrēts Latvijā. Interpretējot </w:t>
            </w:r>
            <w:r w:rsidR="00E2497D">
              <w:rPr>
                <w:sz w:val="26"/>
                <w:szCs w:val="26"/>
              </w:rPr>
              <w:t>N</w:t>
            </w:r>
            <w:r w:rsidR="004C372F">
              <w:rPr>
                <w:sz w:val="26"/>
                <w:szCs w:val="26"/>
              </w:rPr>
              <w:t xml:space="preserve">oteikumu </w:t>
            </w:r>
            <w:r w:rsidR="00B42784">
              <w:rPr>
                <w:sz w:val="26"/>
                <w:szCs w:val="26"/>
              </w:rPr>
              <w:t>53</w:t>
            </w:r>
            <w:r w:rsidR="004C372F">
              <w:rPr>
                <w:sz w:val="26"/>
                <w:szCs w:val="26"/>
              </w:rPr>
              <w:t xml:space="preserve">.punktā noteiktos nosacījumus vispārējā galvojuma piešķiršanai, ja persona var pierādīt visu prasību izpildi, tā var saņemt vispārējā galvojuma apliecību.  Tomēr nav skaidrs kā </w:t>
            </w:r>
            <w:r w:rsidR="00690227">
              <w:rPr>
                <w:sz w:val="26"/>
                <w:szCs w:val="26"/>
              </w:rPr>
              <w:t>ārvalstīs reģistrēts uzņēmums varētu izpildīt prasības</w:t>
            </w:r>
            <w:r w:rsidR="004C372F">
              <w:rPr>
                <w:sz w:val="26"/>
                <w:szCs w:val="26"/>
              </w:rPr>
              <w:t xml:space="preserve">, ja </w:t>
            </w:r>
            <w:r w:rsidR="00690227">
              <w:rPr>
                <w:sz w:val="26"/>
                <w:szCs w:val="26"/>
              </w:rPr>
              <w:t>tas</w:t>
            </w:r>
            <w:r w:rsidR="004C372F">
              <w:rPr>
                <w:sz w:val="26"/>
                <w:szCs w:val="26"/>
              </w:rPr>
              <w:t xml:space="preserve"> </w:t>
            </w:r>
            <w:r w:rsidR="00C57ED3">
              <w:rPr>
                <w:sz w:val="26"/>
                <w:szCs w:val="26"/>
              </w:rPr>
              <w:t xml:space="preserve">nebūtu līdz šim veicis saimniecisko darbību Latvijā un </w:t>
            </w:r>
            <w:r w:rsidR="00690227">
              <w:rPr>
                <w:sz w:val="26"/>
                <w:szCs w:val="26"/>
              </w:rPr>
              <w:t xml:space="preserve">nebūtu </w:t>
            </w:r>
            <w:r w:rsidR="00C57ED3">
              <w:rPr>
                <w:sz w:val="26"/>
                <w:szCs w:val="26"/>
              </w:rPr>
              <w:t>maksājis nodokļus Latvijas budžetā</w:t>
            </w:r>
            <w:r w:rsidR="004C372F">
              <w:rPr>
                <w:sz w:val="26"/>
                <w:szCs w:val="26"/>
              </w:rPr>
              <w:t xml:space="preserve">. </w:t>
            </w:r>
            <w:r w:rsidR="00E2497D">
              <w:rPr>
                <w:sz w:val="26"/>
                <w:szCs w:val="26"/>
              </w:rPr>
              <w:t>A</w:t>
            </w:r>
            <w:r w:rsidR="004C372F">
              <w:rPr>
                <w:sz w:val="26"/>
                <w:szCs w:val="26"/>
              </w:rPr>
              <w:t>tļauja izmantot vispārējo galvojumu ir priekšrocība un tā ir saistīta ar nodokļu nomaksu Latvijas budžetā, kā arī personas, kas regulāri veic muitas darbības Latvijā pārsvarā</w:t>
            </w:r>
            <w:r w:rsidR="00E2497D">
              <w:rPr>
                <w:sz w:val="26"/>
                <w:szCs w:val="26"/>
              </w:rPr>
              <w:t xml:space="preserve"> gadījumu ir nodokļu maksātāji. </w:t>
            </w:r>
            <w:r w:rsidR="004C372F">
              <w:rPr>
                <w:sz w:val="26"/>
                <w:szCs w:val="26"/>
              </w:rPr>
              <w:t>Šajā reģistrā tiek reģistrēti arī ārvalstīs dibinātie uzņēmumi, kas ve</w:t>
            </w:r>
            <w:r>
              <w:rPr>
                <w:sz w:val="26"/>
                <w:szCs w:val="26"/>
              </w:rPr>
              <w:t>ic saimniecisko darbību Latvijā</w:t>
            </w:r>
            <w:r w:rsidR="00F001CA">
              <w:rPr>
                <w:sz w:val="26"/>
                <w:szCs w:val="26"/>
              </w:rPr>
              <w:t>.</w:t>
            </w:r>
          </w:p>
          <w:p w:rsidR="004C372F" w:rsidRDefault="00E2497D" w:rsidP="00E53AA8">
            <w:pPr>
              <w:pStyle w:val="considrant"/>
              <w:spacing w:before="0"/>
              <w:ind w:left="127" w:right="146"/>
              <w:rPr>
                <w:sz w:val="26"/>
                <w:szCs w:val="26"/>
              </w:rPr>
            </w:pPr>
            <w:r>
              <w:rPr>
                <w:sz w:val="26"/>
                <w:szCs w:val="26"/>
              </w:rPr>
              <w:t>Projekt</w:t>
            </w:r>
            <w:r w:rsidR="00690227">
              <w:rPr>
                <w:sz w:val="26"/>
                <w:szCs w:val="26"/>
              </w:rPr>
              <w:t>ā</w:t>
            </w:r>
            <w:r>
              <w:rPr>
                <w:sz w:val="26"/>
                <w:szCs w:val="26"/>
              </w:rPr>
              <w:t xml:space="preserve"> ir iekļauts jauns punkts (5</w:t>
            </w:r>
            <w:r w:rsidR="00B42784">
              <w:rPr>
                <w:sz w:val="26"/>
                <w:szCs w:val="26"/>
              </w:rPr>
              <w:t>6</w:t>
            </w:r>
            <w:r>
              <w:rPr>
                <w:sz w:val="26"/>
                <w:szCs w:val="26"/>
              </w:rPr>
              <w:t xml:space="preserve">.), </w:t>
            </w:r>
            <w:r w:rsidR="00690227">
              <w:rPr>
                <w:sz w:val="26"/>
                <w:szCs w:val="26"/>
              </w:rPr>
              <w:t>kurā ir noteikts</w:t>
            </w:r>
            <w:r>
              <w:rPr>
                <w:sz w:val="26"/>
                <w:szCs w:val="26"/>
              </w:rPr>
              <w:t xml:space="preserve">, ka </w:t>
            </w:r>
            <w:r w:rsidR="004C372F">
              <w:rPr>
                <w:sz w:val="26"/>
                <w:szCs w:val="26"/>
              </w:rPr>
              <w:t xml:space="preserve">gadījumā, ja personai saskaņā ar VID lēmumu ir papildus uzrēķināti nodokļi, </w:t>
            </w:r>
            <w:r w:rsidR="00C57ED3">
              <w:rPr>
                <w:sz w:val="26"/>
                <w:szCs w:val="26"/>
              </w:rPr>
              <w:t xml:space="preserve">nodevas, </w:t>
            </w:r>
            <w:r w:rsidR="004C372F">
              <w:rPr>
                <w:sz w:val="26"/>
                <w:szCs w:val="26"/>
              </w:rPr>
              <w:t xml:space="preserve">soda nauda un nokavējuma nauda, bet </w:t>
            </w:r>
            <w:r w:rsidR="004C372F" w:rsidRPr="00F001CA">
              <w:rPr>
                <w:sz w:val="26"/>
                <w:szCs w:val="26"/>
                <w:u w:val="single"/>
              </w:rPr>
              <w:t xml:space="preserve">lēmums ir apstrīdēts, šīs summas </w:t>
            </w:r>
            <w:r w:rsidR="00F001CA" w:rsidRPr="00F001CA">
              <w:rPr>
                <w:sz w:val="26"/>
                <w:szCs w:val="26"/>
                <w:u w:val="single"/>
              </w:rPr>
              <w:t>nav</w:t>
            </w:r>
            <w:r w:rsidR="004C372F" w:rsidRPr="00F001CA">
              <w:rPr>
                <w:sz w:val="26"/>
                <w:szCs w:val="26"/>
                <w:u w:val="single"/>
              </w:rPr>
              <w:t xml:space="preserve"> </w:t>
            </w:r>
            <w:r w:rsidR="004C372F" w:rsidRPr="00F001CA">
              <w:rPr>
                <w:sz w:val="26"/>
                <w:szCs w:val="26"/>
                <w:u w:val="single"/>
              </w:rPr>
              <w:lastRenderedPageBreak/>
              <w:t>uzskatāmas par parādu budžetā</w:t>
            </w:r>
            <w:r w:rsidR="00C57ED3" w:rsidRPr="00F001CA">
              <w:rPr>
                <w:sz w:val="26"/>
                <w:szCs w:val="26"/>
                <w:u w:val="single"/>
              </w:rPr>
              <w:t>.</w:t>
            </w:r>
            <w:r w:rsidR="00C57ED3">
              <w:rPr>
                <w:sz w:val="26"/>
                <w:szCs w:val="26"/>
              </w:rPr>
              <w:t xml:space="preserve"> Saskaņā ar </w:t>
            </w:r>
            <w:r w:rsidR="00C57ED3" w:rsidRPr="00F47027">
              <w:rPr>
                <w:sz w:val="26"/>
                <w:szCs w:val="26"/>
              </w:rPr>
              <w:t>likuma „Par nodokļiem un nodevām” 40.pantu</w:t>
            </w:r>
            <w:r w:rsidR="00C57ED3">
              <w:rPr>
                <w:sz w:val="26"/>
                <w:szCs w:val="26"/>
              </w:rPr>
              <w:t>, ja</w:t>
            </w:r>
            <w:r w:rsidR="00C57ED3" w:rsidRPr="00F47027">
              <w:rPr>
                <w:sz w:val="26"/>
                <w:szCs w:val="26"/>
              </w:rPr>
              <w:t xml:space="preserve"> nodokļu administrācijas kontroles (pārbaudes, revīzijas) rezultātā pieņemt</w:t>
            </w:r>
            <w:r w:rsidR="00C57ED3">
              <w:rPr>
                <w:sz w:val="26"/>
                <w:szCs w:val="26"/>
              </w:rPr>
              <w:t xml:space="preserve">ais </w:t>
            </w:r>
            <w:r w:rsidR="00C57ED3" w:rsidRPr="00F47027">
              <w:rPr>
                <w:sz w:val="26"/>
                <w:szCs w:val="26"/>
              </w:rPr>
              <w:t>lēmum</w:t>
            </w:r>
            <w:r w:rsidR="00C57ED3">
              <w:rPr>
                <w:sz w:val="26"/>
                <w:szCs w:val="26"/>
              </w:rPr>
              <w:t xml:space="preserve">s tiek apstrīdēts, tad </w:t>
            </w:r>
            <w:r w:rsidR="00C57ED3" w:rsidRPr="00F47027">
              <w:rPr>
                <w:sz w:val="26"/>
                <w:szCs w:val="26"/>
              </w:rPr>
              <w:t>nodokļu administrācijas amatpersonas lēmuma izpilde tiek apturēta uz iesnieguma pirmstiesas izskatīšanas laiku.</w:t>
            </w:r>
            <w:r w:rsidR="00C57ED3">
              <w:rPr>
                <w:sz w:val="26"/>
                <w:szCs w:val="26"/>
              </w:rPr>
              <w:t xml:space="preserve"> </w:t>
            </w:r>
          </w:p>
          <w:p w:rsidR="00A6553E" w:rsidRDefault="002B0771" w:rsidP="00445985">
            <w:pPr>
              <w:ind w:left="127" w:right="126"/>
              <w:rPr>
                <w:rFonts w:ascii="Times New Roman" w:eastAsia="Times New Roman" w:hAnsi="Times New Roman"/>
                <w:sz w:val="26"/>
                <w:szCs w:val="26"/>
                <w:lang w:eastAsia="lv-LV"/>
              </w:rPr>
            </w:pPr>
            <w:r>
              <w:rPr>
                <w:rFonts w:ascii="Times New Roman" w:eastAsia="Times New Roman" w:hAnsi="Times New Roman"/>
                <w:sz w:val="26"/>
                <w:szCs w:val="26"/>
                <w:lang w:eastAsia="lv-LV"/>
              </w:rPr>
              <w:t>P</w:t>
            </w:r>
            <w:r w:rsidR="003551C7" w:rsidRPr="003551C7">
              <w:rPr>
                <w:rFonts w:ascii="Times New Roman" w:eastAsia="Times New Roman" w:hAnsi="Times New Roman"/>
                <w:sz w:val="26"/>
                <w:szCs w:val="26"/>
                <w:lang w:eastAsia="lv-LV"/>
              </w:rPr>
              <w:t xml:space="preserve">rojektā tāpat kā noteikumos Nr.1134 </w:t>
            </w:r>
            <w:r w:rsidR="003551C7" w:rsidRPr="00C57ED3">
              <w:rPr>
                <w:rFonts w:ascii="Times New Roman" w:eastAsia="Times New Roman" w:hAnsi="Times New Roman"/>
                <w:sz w:val="26"/>
                <w:szCs w:val="26"/>
                <w:u w:val="single"/>
                <w:lang w:eastAsia="lv-LV"/>
              </w:rPr>
              <w:t>skaidras naudas iemaksa tiek uzskatīta par galvojumu</w:t>
            </w:r>
            <w:r w:rsidR="003551C7" w:rsidRPr="003551C7">
              <w:rPr>
                <w:rFonts w:ascii="Times New Roman" w:eastAsia="Times New Roman" w:hAnsi="Times New Roman"/>
                <w:sz w:val="26"/>
                <w:szCs w:val="26"/>
                <w:lang w:eastAsia="lv-LV"/>
              </w:rPr>
              <w:t xml:space="preserve">, jo </w:t>
            </w:r>
            <w:r w:rsidR="00A03FE3">
              <w:rPr>
                <w:rFonts w:ascii="Times New Roman" w:eastAsia="Times New Roman" w:hAnsi="Times New Roman"/>
                <w:sz w:val="26"/>
                <w:szCs w:val="26"/>
                <w:lang w:eastAsia="lv-LV"/>
              </w:rPr>
              <w:t>k</w:t>
            </w:r>
            <w:r w:rsidR="003551C7" w:rsidRPr="003551C7">
              <w:rPr>
                <w:rFonts w:ascii="Times New Roman" w:eastAsia="Times New Roman" w:hAnsi="Times New Roman"/>
                <w:sz w:val="26"/>
                <w:szCs w:val="26"/>
                <w:lang w:eastAsia="lv-LV"/>
              </w:rPr>
              <w:t>opš Latvijā 1998.gadā tika izveidota galvojumu sistēma muitas jomā, kā viens no galvojuma veidiem, ir drošības nauda jeb skaidras naudas iemaksa. Kā arī Eiropas Parlamenta un Padomes 2008.gada 23.aprīļa regulas (EK) Nr. 450/2008 ar ko izveido Kopienas Muitas kodeksu (Modernizētais muitas kodekss), kas būs piemērojams no 2013.gada 24.jūnija 59.pantā skaidras naudas iemaksa ir noteikta par vienu no galvojuma veidiem. Līdz ar to nav lietderīgi uz nelielu laika periodu (apmēram 2.3 gadi) mainīt izveidoto sistēmu un skaidras naudas iemaksu neuzskatīt par galvojuma veidu. Vienošanās par šādas terminoloģijas lietošanu noteikumos Nr.1134 tika panākta Ministru kabineta komite</w:t>
            </w:r>
            <w:r w:rsidR="00A03FE3">
              <w:rPr>
                <w:rFonts w:ascii="Times New Roman" w:eastAsia="Times New Roman" w:hAnsi="Times New Roman"/>
                <w:sz w:val="26"/>
                <w:szCs w:val="26"/>
                <w:lang w:eastAsia="lv-LV"/>
              </w:rPr>
              <w:t>jas 2010.gada 29.novembra sēdē.</w:t>
            </w:r>
          </w:p>
          <w:p w:rsidR="00024C37" w:rsidRPr="0031698A" w:rsidRDefault="00DD3541" w:rsidP="0031698A">
            <w:pPr>
              <w:ind w:left="127" w:right="126"/>
              <w:rPr>
                <w:rFonts w:ascii="Times New Roman" w:eastAsia="Times New Roman" w:hAnsi="Times New Roman"/>
                <w:sz w:val="26"/>
                <w:szCs w:val="26"/>
                <w:lang w:eastAsia="lv-LV"/>
              </w:rPr>
            </w:pPr>
            <w:r w:rsidRPr="00A14FAE">
              <w:rPr>
                <w:rFonts w:ascii="Times New Roman" w:eastAsia="Times New Roman" w:hAnsi="Times New Roman"/>
                <w:sz w:val="26"/>
                <w:szCs w:val="26"/>
                <w:lang w:eastAsia="lv-LV"/>
              </w:rPr>
              <w:t xml:space="preserve">Galvojumu administrēšanas procesa </w:t>
            </w:r>
            <w:r w:rsidR="00A42E2C" w:rsidRPr="00A14FAE">
              <w:rPr>
                <w:rFonts w:ascii="Times New Roman" w:eastAsia="Times New Roman" w:hAnsi="Times New Roman"/>
                <w:sz w:val="26"/>
                <w:szCs w:val="26"/>
                <w:lang w:eastAsia="lv-LV"/>
              </w:rPr>
              <w:t>pilnveid</w:t>
            </w:r>
            <w:r w:rsidR="00B6469A" w:rsidRPr="00A14FAE">
              <w:rPr>
                <w:rFonts w:ascii="Times New Roman" w:eastAsia="Times New Roman" w:hAnsi="Times New Roman"/>
                <w:sz w:val="26"/>
                <w:szCs w:val="26"/>
                <w:lang w:eastAsia="lv-LV"/>
              </w:rPr>
              <w:t>i</w:t>
            </w:r>
            <w:r w:rsidR="00E357C3" w:rsidRPr="00A14FAE">
              <w:rPr>
                <w:rFonts w:ascii="Times New Roman" w:eastAsia="Times New Roman" w:hAnsi="Times New Roman"/>
                <w:sz w:val="26"/>
                <w:szCs w:val="26"/>
                <w:lang w:eastAsia="lv-LV"/>
              </w:rPr>
              <w:t>,</w:t>
            </w:r>
            <w:r w:rsidR="00B6469A" w:rsidRPr="00A14FAE">
              <w:rPr>
                <w:rFonts w:ascii="Times New Roman" w:eastAsia="Times New Roman" w:hAnsi="Times New Roman"/>
                <w:sz w:val="26"/>
                <w:szCs w:val="26"/>
                <w:lang w:eastAsia="lv-LV"/>
              </w:rPr>
              <w:t xml:space="preserve"> </w:t>
            </w:r>
            <w:r w:rsidR="00E357C3" w:rsidRPr="00A14FAE">
              <w:rPr>
                <w:rFonts w:ascii="Times New Roman" w:hAnsi="Times New Roman"/>
                <w:sz w:val="26"/>
                <w:szCs w:val="26"/>
              </w:rPr>
              <w:t xml:space="preserve">nodrošinot elektronisku informācijas par izsniegtajiem  galvojumiem apmaiņu starp </w:t>
            </w:r>
            <w:r w:rsidR="00466C31" w:rsidRPr="00A14FAE">
              <w:rPr>
                <w:rFonts w:ascii="Times New Roman" w:hAnsi="Times New Roman"/>
                <w:sz w:val="26"/>
                <w:szCs w:val="26"/>
              </w:rPr>
              <w:t xml:space="preserve">Muitas pārvaldi un muitas punktiem nepastarpināti, neiesaistot privātpersonas, </w:t>
            </w:r>
            <w:r w:rsidR="00B6469A" w:rsidRPr="00A14FAE">
              <w:rPr>
                <w:rFonts w:ascii="Times New Roman" w:eastAsia="Times New Roman" w:hAnsi="Times New Roman"/>
                <w:sz w:val="26"/>
                <w:szCs w:val="26"/>
                <w:lang w:eastAsia="lv-LV"/>
              </w:rPr>
              <w:t>paredzēts realizēt</w:t>
            </w:r>
            <w:r w:rsidR="00A42E2C" w:rsidRPr="00A14FAE">
              <w:rPr>
                <w:rFonts w:ascii="Times New Roman" w:eastAsia="Times New Roman" w:hAnsi="Times New Roman"/>
                <w:sz w:val="26"/>
                <w:szCs w:val="26"/>
                <w:lang w:eastAsia="lv-LV"/>
              </w:rPr>
              <w:t>,</w:t>
            </w:r>
            <w:r w:rsidR="00B6469A" w:rsidRPr="00A14FAE">
              <w:rPr>
                <w:rFonts w:ascii="Times New Roman" w:eastAsia="Times New Roman" w:hAnsi="Times New Roman"/>
                <w:sz w:val="26"/>
                <w:szCs w:val="26"/>
                <w:lang w:eastAsia="lv-LV"/>
              </w:rPr>
              <w:t xml:space="preserve"> ieviešot Importa kontroles sistēmu</w:t>
            </w:r>
            <w:r w:rsidR="00E357C3" w:rsidRPr="00A14FAE">
              <w:rPr>
                <w:rFonts w:ascii="Times New Roman" w:eastAsia="Times New Roman" w:hAnsi="Times New Roman"/>
                <w:sz w:val="26"/>
                <w:szCs w:val="26"/>
                <w:lang w:eastAsia="lv-LV"/>
              </w:rPr>
              <w:t xml:space="preserve"> </w:t>
            </w:r>
            <w:r w:rsidR="00A42E2C" w:rsidRPr="00A14FAE">
              <w:rPr>
                <w:rFonts w:ascii="Times New Roman" w:hAnsi="Times New Roman"/>
                <w:iCs/>
                <w:sz w:val="26"/>
                <w:szCs w:val="26"/>
              </w:rPr>
              <w:t>saskaņā ar ERAF p</w:t>
            </w:r>
            <w:r w:rsidRPr="00A14FAE">
              <w:rPr>
                <w:rFonts w:ascii="Times New Roman" w:hAnsi="Times New Roman"/>
                <w:iCs/>
                <w:sz w:val="26"/>
                <w:szCs w:val="26"/>
              </w:rPr>
              <w:t>rojekt</w:t>
            </w:r>
            <w:r w:rsidR="00B6469A" w:rsidRPr="00A14FAE">
              <w:rPr>
                <w:rFonts w:ascii="Times New Roman" w:hAnsi="Times New Roman"/>
                <w:iCs/>
                <w:sz w:val="26"/>
                <w:szCs w:val="26"/>
              </w:rPr>
              <w:t>u</w:t>
            </w:r>
            <w:r w:rsidRPr="00A14FAE">
              <w:rPr>
                <w:rFonts w:ascii="Times New Roman" w:hAnsi="Times New Roman"/>
                <w:iCs/>
                <w:sz w:val="26"/>
                <w:szCs w:val="26"/>
              </w:rPr>
              <w:t xml:space="preserve"> Nr.3DP/3.2.2.1.1/11/IPIA/CFLA/001</w:t>
            </w:r>
            <w:r w:rsidRPr="00A14FAE">
              <w:rPr>
                <w:rFonts w:ascii="Times New Roman" w:hAnsi="Times New Roman"/>
                <w:i/>
                <w:iCs/>
                <w:sz w:val="26"/>
                <w:szCs w:val="26"/>
              </w:rPr>
              <w:t xml:space="preserve"> „Elektroniskās muitas datu apstrādes sistēmas izstrāde, pilnveidošana un uzturēšana”</w:t>
            </w:r>
            <w:r w:rsidR="00B6469A" w:rsidRPr="00A14FAE">
              <w:rPr>
                <w:rFonts w:ascii="Times New Roman" w:hAnsi="Times New Roman"/>
                <w:i/>
                <w:iCs/>
                <w:sz w:val="26"/>
                <w:szCs w:val="26"/>
              </w:rPr>
              <w:t>.</w:t>
            </w:r>
            <w:r w:rsidR="00B6469A" w:rsidRPr="00A14FAE">
              <w:rPr>
                <w:rFonts w:ascii="Times New Roman" w:eastAsia="Times New Roman" w:hAnsi="Times New Roman"/>
                <w:sz w:val="26"/>
                <w:szCs w:val="26"/>
                <w:lang w:eastAsia="lv-LV"/>
              </w:rPr>
              <w:t xml:space="preserve"> Saskaņā ar provizoriskām aplēsēm I</w:t>
            </w:r>
            <w:r w:rsidR="00E357C3" w:rsidRPr="00A14FAE">
              <w:rPr>
                <w:rFonts w:ascii="Times New Roman" w:eastAsia="Times New Roman" w:hAnsi="Times New Roman"/>
                <w:sz w:val="26"/>
                <w:szCs w:val="26"/>
                <w:lang w:eastAsia="lv-LV"/>
              </w:rPr>
              <w:t>mporta kontroles sistēmas</w:t>
            </w:r>
            <w:r w:rsidR="00B6469A" w:rsidRPr="00A14FAE">
              <w:rPr>
                <w:rFonts w:ascii="Times New Roman" w:eastAsia="Times New Roman" w:hAnsi="Times New Roman"/>
                <w:sz w:val="26"/>
                <w:szCs w:val="26"/>
                <w:lang w:eastAsia="lv-LV"/>
              </w:rPr>
              <w:t xml:space="preserve"> izmantošanu varētu uzsākt 2013.gada beigās.</w:t>
            </w:r>
          </w:p>
        </w:tc>
      </w:tr>
      <w:tr w:rsidR="002D7DCA" w:rsidRPr="00D8196B" w:rsidTr="0031698A">
        <w:trPr>
          <w:trHeight w:val="1755"/>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D8196B"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 5.</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D8196B" w:rsidRDefault="002D7DCA" w:rsidP="006F3A2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izstrādē iesaistītās institūcijas</w:t>
            </w:r>
          </w:p>
        </w:tc>
        <w:tc>
          <w:tcPr>
            <w:tcW w:w="5266" w:type="dxa"/>
            <w:gridSpan w:val="8"/>
            <w:tcBorders>
              <w:top w:val="outset" w:sz="6" w:space="0" w:color="auto"/>
              <w:left w:val="outset" w:sz="6" w:space="0" w:color="auto"/>
              <w:bottom w:val="outset" w:sz="6" w:space="0" w:color="auto"/>
              <w:right w:val="outset" w:sz="6" w:space="0" w:color="auto"/>
            </w:tcBorders>
            <w:hideMark/>
          </w:tcPr>
          <w:p w:rsidR="00AD02FF" w:rsidRPr="00D8196B" w:rsidRDefault="002D7DCA" w:rsidP="00AD02FF">
            <w:pPr>
              <w:spacing w:after="0"/>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sidR="000B29AA" w:rsidRPr="00D8196B">
              <w:rPr>
                <w:rFonts w:ascii="Times New Roman" w:eastAsia="Times New Roman" w:hAnsi="Times New Roman"/>
                <w:sz w:val="26"/>
                <w:szCs w:val="26"/>
                <w:lang w:eastAsia="lv-LV"/>
              </w:rPr>
              <w:t>Valsts ieņēmumu dienests</w:t>
            </w:r>
            <w:r w:rsidR="00AD02FF" w:rsidRPr="00D8196B">
              <w:rPr>
                <w:rFonts w:ascii="Times New Roman" w:eastAsia="Times New Roman" w:hAnsi="Times New Roman"/>
                <w:sz w:val="26"/>
                <w:szCs w:val="26"/>
                <w:lang w:eastAsia="lv-LV"/>
              </w:rPr>
              <w:t xml:space="preserve"> </w:t>
            </w:r>
          </w:p>
          <w:p w:rsidR="00867918" w:rsidRPr="00D8196B" w:rsidRDefault="00867918" w:rsidP="00396C5E">
            <w:pPr>
              <w:spacing w:after="0"/>
              <w:ind w:left="127"/>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Latvija loģistikas asociācija</w:t>
            </w:r>
            <w:r w:rsidR="002E2EAC">
              <w:rPr>
                <w:rFonts w:ascii="Times New Roman" w:eastAsia="Times New Roman" w:hAnsi="Times New Roman"/>
                <w:sz w:val="26"/>
                <w:szCs w:val="26"/>
                <w:lang w:eastAsia="lv-LV"/>
              </w:rPr>
              <w:t xml:space="preserve"> (turpmāk – LLA)</w:t>
            </w:r>
          </w:p>
          <w:p w:rsidR="00867918" w:rsidRPr="00D8196B" w:rsidRDefault="00867918" w:rsidP="00396C5E">
            <w:pPr>
              <w:spacing w:after="0"/>
              <w:ind w:left="127"/>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Latvijas tranzīta biznesa asociācija</w:t>
            </w:r>
            <w:r w:rsidR="002E2EAC">
              <w:rPr>
                <w:rFonts w:ascii="Times New Roman" w:eastAsia="Times New Roman" w:hAnsi="Times New Roman"/>
                <w:sz w:val="26"/>
                <w:szCs w:val="26"/>
                <w:lang w:eastAsia="lv-LV"/>
              </w:rPr>
              <w:t xml:space="preserve"> (turpmāk – LTBA)</w:t>
            </w:r>
          </w:p>
          <w:p w:rsidR="002D7DCA" w:rsidRPr="00D8196B" w:rsidRDefault="00867918" w:rsidP="00396C5E">
            <w:pPr>
              <w:spacing w:after="0"/>
              <w:ind w:left="127"/>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Latvijas Nacionālā kravas ekspeditoru un loģistikas asociācija</w:t>
            </w:r>
            <w:r w:rsidR="002E2EAC">
              <w:rPr>
                <w:rFonts w:ascii="Times New Roman" w:eastAsia="Times New Roman" w:hAnsi="Times New Roman"/>
                <w:sz w:val="26"/>
                <w:szCs w:val="26"/>
                <w:lang w:eastAsia="lv-LV"/>
              </w:rPr>
              <w:t xml:space="preserve"> (turpmāk – LAFF)</w:t>
            </w:r>
            <w:r w:rsidRPr="00D8196B">
              <w:rPr>
                <w:rFonts w:ascii="Times New Roman" w:eastAsia="Times New Roman" w:hAnsi="Times New Roman"/>
                <w:sz w:val="26"/>
                <w:szCs w:val="26"/>
                <w:lang w:eastAsia="lv-LV"/>
              </w:rPr>
              <w:tab/>
            </w:r>
          </w:p>
          <w:p w:rsidR="00A745B8" w:rsidRPr="00D8196B" w:rsidRDefault="00A745B8" w:rsidP="00A745B8">
            <w:pPr>
              <w:spacing w:after="0"/>
              <w:ind w:left="127"/>
              <w:jc w:val="left"/>
              <w:rPr>
                <w:rFonts w:ascii="Times New Roman" w:eastAsia="Times New Roman" w:hAnsi="Times New Roman"/>
                <w:sz w:val="26"/>
                <w:szCs w:val="26"/>
                <w:lang w:eastAsia="lv-LV"/>
              </w:rPr>
            </w:pPr>
            <w:r w:rsidRPr="00D8196B">
              <w:rPr>
                <w:rFonts w:ascii="Times New Roman" w:hAnsi="Times New Roman"/>
                <w:bCs/>
                <w:sz w:val="26"/>
                <w:szCs w:val="26"/>
              </w:rPr>
              <w:t>Latvijas Komercbanku asociācija Latvijas Apdrošinātāju asociācija</w:t>
            </w:r>
          </w:p>
        </w:tc>
      </w:tr>
      <w:tr w:rsidR="002D7DCA" w:rsidRPr="00D8196B" w:rsidTr="0031698A">
        <w:trPr>
          <w:trHeight w:val="411"/>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D8196B"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6.</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D8196B" w:rsidRDefault="002D7DCA" w:rsidP="009667F7">
            <w:pPr>
              <w:spacing w:after="0"/>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Iemesli, kādēļ netika nodrošināta sabiedrības līdzdalība</w:t>
            </w:r>
          </w:p>
        </w:tc>
        <w:tc>
          <w:tcPr>
            <w:tcW w:w="5266" w:type="dxa"/>
            <w:gridSpan w:val="8"/>
            <w:tcBorders>
              <w:top w:val="outset" w:sz="6" w:space="0" w:color="auto"/>
              <w:left w:val="outset" w:sz="6" w:space="0" w:color="auto"/>
              <w:bottom w:val="outset" w:sz="6" w:space="0" w:color="auto"/>
              <w:right w:val="outset" w:sz="6" w:space="0" w:color="auto"/>
            </w:tcBorders>
            <w:hideMark/>
          </w:tcPr>
          <w:p w:rsidR="002D7DCA" w:rsidRPr="00D8196B" w:rsidRDefault="00AD02FF" w:rsidP="003053AB">
            <w:pPr>
              <w:spacing w:after="0"/>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 </w:t>
            </w:r>
            <w:r w:rsidR="003053AB">
              <w:rPr>
                <w:rFonts w:ascii="Times New Roman" w:eastAsia="Times New Roman" w:hAnsi="Times New Roman"/>
                <w:sz w:val="26"/>
                <w:szCs w:val="26"/>
                <w:lang w:eastAsia="lv-LV"/>
              </w:rPr>
              <w:t>Šo jomu neskar.</w:t>
            </w:r>
          </w:p>
        </w:tc>
      </w:tr>
      <w:tr w:rsidR="002D7DCA" w:rsidRPr="00D8196B" w:rsidTr="0031698A">
        <w:trPr>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D7DCA" w:rsidRPr="00D8196B" w:rsidRDefault="002D7DCA" w:rsidP="00C26070">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7.</w:t>
            </w:r>
          </w:p>
        </w:tc>
        <w:tc>
          <w:tcPr>
            <w:tcW w:w="2772" w:type="dxa"/>
            <w:gridSpan w:val="4"/>
            <w:tcBorders>
              <w:top w:val="outset" w:sz="6" w:space="0" w:color="auto"/>
              <w:left w:val="outset" w:sz="6" w:space="0" w:color="auto"/>
              <w:bottom w:val="outset" w:sz="6" w:space="0" w:color="auto"/>
              <w:right w:val="outset" w:sz="6" w:space="0" w:color="auto"/>
            </w:tcBorders>
            <w:hideMark/>
          </w:tcPr>
          <w:p w:rsidR="002D7DCA" w:rsidRPr="00D8196B" w:rsidRDefault="002D7DCA" w:rsidP="006F3A2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Cita informācija</w:t>
            </w:r>
          </w:p>
        </w:tc>
        <w:tc>
          <w:tcPr>
            <w:tcW w:w="5266" w:type="dxa"/>
            <w:gridSpan w:val="8"/>
            <w:tcBorders>
              <w:top w:val="outset" w:sz="6" w:space="0" w:color="auto"/>
              <w:left w:val="outset" w:sz="6" w:space="0" w:color="auto"/>
              <w:bottom w:val="outset" w:sz="6" w:space="0" w:color="auto"/>
              <w:right w:val="outset" w:sz="6" w:space="0" w:color="auto"/>
            </w:tcBorders>
            <w:hideMark/>
          </w:tcPr>
          <w:p w:rsidR="002D7DCA" w:rsidRPr="00D8196B" w:rsidRDefault="002D7DCA" w:rsidP="000B29AA">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sidR="000B29AA" w:rsidRPr="00D8196B">
              <w:rPr>
                <w:rFonts w:ascii="Times New Roman" w:eastAsia="Times New Roman" w:hAnsi="Times New Roman"/>
                <w:sz w:val="26"/>
                <w:szCs w:val="26"/>
                <w:lang w:eastAsia="lv-LV"/>
              </w:rPr>
              <w:t>Nav</w:t>
            </w:r>
            <w:r w:rsidR="0096204E" w:rsidRPr="00D8196B">
              <w:rPr>
                <w:rFonts w:ascii="Times New Roman" w:eastAsia="Times New Roman" w:hAnsi="Times New Roman"/>
                <w:sz w:val="26"/>
                <w:szCs w:val="26"/>
                <w:lang w:eastAsia="lv-LV"/>
              </w:rPr>
              <w:t>.</w:t>
            </w:r>
          </w:p>
        </w:tc>
      </w:tr>
      <w:tr w:rsidR="00EF6565" w:rsidRPr="00D8196B" w:rsidTr="0031698A">
        <w:trPr>
          <w:tblCellSpacing w:w="0" w:type="dxa"/>
        </w:trPr>
        <w:tc>
          <w:tcPr>
            <w:tcW w:w="8520" w:type="dxa"/>
            <w:gridSpan w:val="13"/>
            <w:tcBorders>
              <w:top w:val="outset" w:sz="6" w:space="0" w:color="auto"/>
              <w:left w:val="outset" w:sz="6" w:space="0" w:color="auto"/>
              <w:bottom w:val="outset" w:sz="6" w:space="0" w:color="auto"/>
              <w:right w:val="outset" w:sz="6" w:space="0" w:color="auto"/>
            </w:tcBorders>
            <w:vAlign w:val="center"/>
            <w:hideMark/>
          </w:tcPr>
          <w:p w:rsidR="00EF6565" w:rsidRPr="00D8196B" w:rsidRDefault="00EF6565" w:rsidP="00EF6565">
            <w:pPr>
              <w:spacing w:before="100" w:beforeAutospacing="1" w:after="100" w:afterAutospacing="1"/>
              <w:rPr>
                <w:rFonts w:ascii="Times New Roman" w:eastAsia="Times New Roman" w:hAnsi="Times New Roman"/>
                <w:b/>
                <w:sz w:val="26"/>
                <w:szCs w:val="26"/>
                <w:lang w:eastAsia="lv-LV"/>
              </w:rPr>
            </w:pPr>
            <w:r w:rsidRPr="00D8196B">
              <w:rPr>
                <w:rFonts w:ascii="Times New Roman" w:eastAsia="Times New Roman" w:hAnsi="Times New Roman"/>
                <w:b/>
                <w:sz w:val="26"/>
                <w:szCs w:val="26"/>
                <w:lang w:eastAsia="lv-LV"/>
              </w:rPr>
              <w:t> II. Tiesību akta projekta ietekme uz sabiedrību</w:t>
            </w:r>
          </w:p>
        </w:tc>
      </w:tr>
      <w:tr w:rsidR="00EF6565" w:rsidRPr="00D8196B" w:rsidTr="0031698A">
        <w:trPr>
          <w:trHeight w:val="46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1.</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Sabiedrības mērķgrupa</w:t>
            </w:r>
          </w:p>
        </w:tc>
        <w:tc>
          <w:tcPr>
            <w:tcW w:w="5266" w:type="dxa"/>
            <w:gridSpan w:val="8"/>
            <w:tcBorders>
              <w:top w:val="outset" w:sz="6" w:space="0" w:color="auto"/>
              <w:left w:val="outset" w:sz="6" w:space="0" w:color="auto"/>
              <w:bottom w:val="outset" w:sz="6" w:space="0" w:color="auto"/>
              <w:right w:val="outset" w:sz="6" w:space="0" w:color="auto"/>
            </w:tcBorders>
            <w:hideMark/>
          </w:tcPr>
          <w:p w:rsidR="004F459C" w:rsidRPr="00D8196B" w:rsidRDefault="00EF6565" w:rsidP="00B7561D">
            <w:pPr>
              <w:spacing w:after="0"/>
              <w:ind w:left="125" w:right="85"/>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mērķgrupa ir komer</w:t>
            </w:r>
            <w:r w:rsidR="004F459C" w:rsidRPr="00D8196B">
              <w:rPr>
                <w:rFonts w:ascii="Times New Roman" w:eastAsia="Times New Roman" w:hAnsi="Times New Roman"/>
                <w:sz w:val="26"/>
                <w:szCs w:val="26"/>
                <w:lang w:eastAsia="lv-LV"/>
              </w:rPr>
              <w:t>santi:</w:t>
            </w:r>
          </w:p>
          <w:p w:rsidR="008B2C2C" w:rsidRPr="00E2497D" w:rsidRDefault="00EF6565" w:rsidP="00916298">
            <w:pPr>
              <w:numPr>
                <w:ilvl w:val="0"/>
                <w:numId w:val="4"/>
              </w:numPr>
              <w:spacing w:after="0"/>
              <w:ind w:left="127" w:right="85" w:hanging="2"/>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kas </w:t>
            </w:r>
            <w:r w:rsidR="00867918" w:rsidRPr="00D8196B">
              <w:rPr>
                <w:rFonts w:ascii="Times New Roman" w:eastAsia="Times New Roman" w:hAnsi="Times New Roman"/>
                <w:sz w:val="26"/>
                <w:szCs w:val="26"/>
                <w:lang w:eastAsia="lv-LV"/>
              </w:rPr>
              <w:t>izmantos galvojumus preču muitošanas procesā, prec</w:t>
            </w:r>
            <w:r w:rsidR="004F459C" w:rsidRPr="00D8196B">
              <w:rPr>
                <w:rFonts w:ascii="Times New Roman" w:eastAsia="Times New Roman" w:hAnsi="Times New Roman"/>
                <w:sz w:val="26"/>
                <w:szCs w:val="26"/>
                <w:lang w:eastAsia="lv-LV"/>
              </w:rPr>
              <w:t xml:space="preserve">īzu skaitu noteikt nevar, jo tie ir gan komersanti, kas šobrīd </w:t>
            </w:r>
            <w:r w:rsidR="00867918" w:rsidRPr="00D8196B">
              <w:rPr>
                <w:rFonts w:ascii="Times New Roman" w:eastAsia="Times New Roman" w:hAnsi="Times New Roman"/>
                <w:sz w:val="26"/>
                <w:szCs w:val="26"/>
                <w:lang w:eastAsia="lv-LV"/>
              </w:rPr>
              <w:t xml:space="preserve">izmanto galvojumus preču muitošanas procesā </w:t>
            </w:r>
            <w:r w:rsidR="004F459C" w:rsidRPr="00D8196B">
              <w:rPr>
                <w:rFonts w:ascii="Times New Roman" w:eastAsia="Times New Roman" w:hAnsi="Times New Roman"/>
                <w:sz w:val="26"/>
                <w:szCs w:val="26"/>
                <w:lang w:eastAsia="lv-LV"/>
              </w:rPr>
              <w:t>jomā (</w:t>
            </w:r>
            <w:r w:rsidR="008B2C2C" w:rsidRPr="00D8196B">
              <w:rPr>
                <w:rFonts w:ascii="Times New Roman" w:eastAsia="Times New Roman" w:hAnsi="Times New Roman"/>
                <w:sz w:val="26"/>
                <w:szCs w:val="26"/>
                <w:lang w:eastAsia="lv-LV"/>
              </w:rPr>
              <w:t xml:space="preserve">vispārējo galvojumu </w:t>
            </w:r>
            <w:r w:rsidR="008B2C2C" w:rsidRPr="00E2497D">
              <w:rPr>
                <w:rFonts w:ascii="Times New Roman" w:eastAsia="Times New Roman" w:hAnsi="Times New Roman"/>
                <w:sz w:val="26"/>
                <w:szCs w:val="26"/>
                <w:lang w:eastAsia="lv-LV"/>
              </w:rPr>
              <w:t>izmanto</w:t>
            </w:r>
            <w:r w:rsidR="00396C5E" w:rsidRPr="00E2497D">
              <w:rPr>
                <w:rFonts w:ascii="Times New Roman" w:eastAsia="Times New Roman" w:hAnsi="Times New Roman"/>
                <w:sz w:val="26"/>
                <w:szCs w:val="26"/>
                <w:lang w:eastAsia="lv-LV"/>
              </w:rPr>
              <w:t xml:space="preserve"> 234 komersanti</w:t>
            </w:r>
            <w:r w:rsidR="008B2C2C" w:rsidRPr="00E2497D">
              <w:rPr>
                <w:rFonts w:ascii="Times New Roman" w:eastAsia="Times New Roman" w:hAnsi="Times New Roman"/>
                <w:sz w:val="26"/>
                <w:szCs w:val="26"/>
                <w:lang w:eastAsia="lv-LV"/>
              </w:rPr>
              <w:t xml:space="preserve">, skaitu, kas </w:t>
            </w:r>
            <w:r w:rsidR="00013E1E" w:rsidRPr="00E2497D">
              <w:rPr>
                <w:rFonts w:ascii="Times New Roman" w:eastAsia="Times New Roman" w:hAnsi="Times New Roman"/>
                <w:sz w:val="26"/>
                <w:szCs w:val="26"/>
                <w:lang w:eastAsia="lv-LV"/>
              </w:rPr>
              <w:t xml:space="preserve">izmanto </w:t>
            </w:r>
            <w:r w:rsidR="008B2C2C" w:rsidRPr="00E2497D">
              <w:rPr>
                <w:rFonts w:ascii="Times New Roman" w:eastAsia="Times New Roman" w:hAnsi="Times New Roman"/>
                <w:sz w:val="26"/>
                <w:szCs w:val="26"/>
                <w:lang w:eastAsia="lv-LV"/>
              </w:rPr>
              <w:t>vienreizējo galvojumu un skaidras  naudas iemaksu precīzi noteikt nevar, jo šis skaits ir mainīgs)</w:t>
            </w:r>
            <w:r w:rsidR="004F459C" w:rsidRPr="00E2497D">
              <w:rPr>
                <w:rFonts w:ascii="Times New Roman" w:eastAsia="Times New Roman" w:hAnsi="Times New Roman"/>
                <w:sz w:val="26"/>
                <w:szCs w:val="26"/>
                <w:lang w:eastAsia="lv-LV"/>
              </w:rPr>
              <w:t>,</w:t>
            </w:r>
          </w:p>
          <w:p w:rsidR="008B2C2C" w:rsidRPr="00E2497D" w:rsidRDefault="004F459C" w:rsidP="00916298">
            <w:pPr>
              <w:numPr>
                <w:ilvl w:val="0"/>
                <w:numId w:val="4"/>
              </w:numPr>
              <w:spacing w:after="0"/>
              <w:ind w:left="127" w:right="85" w:hanging="2"/>
              <w:rPr>
                <w:rFonts w:ascii="Times New Roman" w:eastAsia="Times New Roman" w:hAnsi="Times New Roman"/>
                <w:sz w:val="26"/>
                <w:szCs w:val="26"/>
                <w:lang w:eastAsia="lv-LV"/>
              </w:rPr>
            </w:pPr>
            <w:r w:rsidRPr="00E2497D">
              <w:rPr>
                <w:rFonts w:ascii="Times New Roman" w:eastAsia="Times New Roman" w:hAnsi="Times New Roman"/>
                <w:sz w:val="26"/>
                <w:szCs w:val="26"/>
                <w:lang w:eastAsia="lv-LV"/>
              </w:rPr>
              <w:t xml:space="preserve">komersanti, kas </w:t>
            </w:r>
            <w:r w:rsidR="008B2C2C" w:rsidRPr="00E2497D">
              <w:rPr>
                <w:rFonts w:ascii="Times New Roman" w:eastAsia="Times New Roman" w:hAnsi="Times New Roman"/>
                <w:sz w:val="26"/>
                <w:szCs w:val="26"/>
                <w:lang w:eastAsia="lv-LV"/>
              </w:rPr>
              <w:t xml:space="preserve">ir saņēmuši </w:t>
            </w:r>
            <w:r w:rsidR="00DF4131" w:rsidRPr="00E2497D">
              <w:rPr>
                <w:rFonts w:ascii="Times New Roman" w:eastAsia="Times New Roman" w:hAnsi="Times New Roman"/>
                <w:sz w:val="26"/>
                <w:szCs w:val="26"/>
                <w:lang w:eastAsia="lv-LV"/>
              </w:rPr>
              <w:t>AEO</w:t>
            </w:r>
            <w:r w:rsidR="008B2C2C" w:rsidRPr="00E2497D">
              <w:rPr>
                <w:rFonts w:ascii="Times New Roman" w:eastAsia="Times New Roman" w:hAnsi="Times New Roman"/>
                <w:sz w:val="26"/>
                <w:szCs w:val="26"/>
                <w:lang w:eastAsia="lv-LV"/>
              </w:rPr>
              <w:t xml:space="preserve"> statusu – </w:t>
            </w:r>
            <w:r w:rsidR="003551C7" w:rsidRPr="00E2497D">
              <w:rPr>
                <w:rFonts w:ascii="Times New Roman" w:eastAsia="Times New Roman" w:hAnsi="Times New Roman"/>
                <w:sz w:val="26"/>
                <w:szCs w:val="26"/>
                <w:lang w:eastAsia="lv-LV"/>
              </w:rPr>
              <w:t>10</w:t>
            </w:r>
            <w:r w:rsidR="008B2C2C" w:rsidRPr="00E2497D">
              <w:rPr>
                <w:rFonts w:ascii="Times New Roman" w:eastAsia="Times New Roman" w:hAnsi="Times New Roman"/>
                <w:sz w:val="26"/>
                <w:szCs w:val="26"/>
                <w:lang w:eastAsia="lv-LV"/>
              </w:rPr>
              <w:t xml:space="preserve"> komersanti;</w:t>
            </w:r>
          </w:p>
          <w:p w:rsidR="008B2C2C" w:rsidRPr="00E2497D" w:rsidRDefault="008B2C2C" w:rsidP="00916298">
            <w:pPr>
              <w:numPr>
                <w:ilvl w:val="0"/>
                <w:numId w:val="4"/>
              </w:numPr>
              <w:spacing w:after="0"/>
              <w:ind w:left="127" w:right="85" w:hanging="2"/>
              <w:rPr>
                <w:rFonts w:ascii="Times New Roman" w:eastAsia="Times New Roman" w:hAnsi="Times New Roman"/>
                <w:sz w:val="26"/>
                <w:szCs w:val="26"/>
                <w:lang w:eastAsia="lv-LV"/>
              </w:rPr>
            </w:pPr>
            <w:r w:rsidRPr="00E2497D">
              <w:rPr>
                <w:rFonts w:ascii="Times New Roman" w:eastAsia="Times New Roman" w:hAnsi="Times New Roman"/>
                <w:sz w:val="26"/>
                <w:szCs w:val="26"/>
                <w:lang w:eastAsia="lv-LV"/>
              </w:rPr>
              <w:t xml:space="preserve">komersanti, kas ir saņēmuši atļauju īpašā PVN režīma piemērošanai </w:t>
            </w:r>
            <w:r w:rsidR="00396C5E" w:rsidRPr="00E2497D">
              <w:rPr>
                <w:rFonts w:ascii="Times New Roman" w:eastAsia="Times New Roman" w:hAnsi="Times New Roman"/>
                <w:sz w:val="26"/>
                <w:szCs w:val="26"/>
                <w:lang w:eastAsia="lv-LV"/>
              </w:rPr>
              <w:t>– 973 komersanti</w:t>
            </w:r>
            <w:r w:rsidR="004F459C" w:rsidRPr="00E2497D">
              <w:rPr>
                <w:rFonts w:ascii="Times New Roman" w:eastAsia="Times New Roman" w:hAnsi="Times New Roman"/>
                <w:sz w:val="26"/>
                <w:szCs w:val="26"/>
                <w:lang w:eastAsia="lv-LV"/>
              </w:rPr>
              <w:t>;</w:t>
            </w:r>
          </w:p>
          <w:p w:rsidR="00EF6565" w:rsidRPr="00000FB6" w:rsidRDefault="008B2C2C" w:rsidP="00916298">
            <w:pPr>
              <w:numPr>
                <w:ilvl w:val="0"/>
                <w:numId w:val="4"/>
              </w:numPr>
              <w:spacing w:after="0"/>
              <w:ind w:left="127" w:right="85" w:firstLine="0"/>
              <w:rPr>
                <w:rFonts w:ascii="Times New Roman" w:eastAsia="Times New Roman" w:hAnsi="Times New Roman"/>
                <w:sz w:val="26"/>
                <w:szCs w:val="26"/>
                <w:lang w:eastAsia="lv-LV"/>
              </w:rPr>
            </w:pPr>
            <w:r w:rsidRPr="00E2497D">
              <w:rPr>
                <w:rFonts w:ascii="Times New Roman" w:eastAsia="Times New Roman" w:hAnsi="Times New Roman"/>
                <w:sz w:val="26"/>
                <w:szCs w:val="26"/>
                <w:lang w:eastAsia="lv-LV"/>
              </w:rPr>
              <w:t>personas, kas ir saņēmušas galvotāja statusu -</w:t>
            </w:r>
            <w:r w:rsidR="004F459C" w:rsidRPr="00E2497D">
              <w:rPr>
                <w:rFonts w:ascii="Times New Roman" w:eastAsia="Times New Roman" w:hAnsi="Times New Roman"/>
                <w:sz w:val="26"/>
                <w:szCs w:val="26"/>
                <w:lang w:eastAsia="lv-LV"/>
              </w:rPr>
              <w:t xml:space="preserve"> šobrīd tie ir </w:t>
            </w:r>
            <w:r w:rsidR="00F37502" w:rsidRPr="00E2497D">
              <w:rPr>
                <w:rFonts w:ascii="Times New Roman" w:eastAsia="Times New Roman" w:hAnsi="Times New Roman"/>
                <w:sz w:val="26"/>
                <w:szCs w:val="26"/>
                <w:lang w:eastAsia="lv-LV"/>
              </w:rPr>
              <w:t>23</w:t>
            </w:r>
            <w:r w:rsidRPr="00D8196B">
              <w:rPr>
                <w:rFonts w:ascii="Times New Roman" w:eastAsia="Times New Roman" w:hAnsi="Times New Roman"/>
                <w:sz w:val="26"/>
                <w:szCs w:val="26"/>
                <w:lang w:eastAsia="lv-LV"/>
              </w:rPr>
              <w:t xml:space="preserve"> komersanti.</w:t>
            </w:r>
          </w:p>
        </w:tc>
      </w:tr>
      <w:tr w:rsidR="00EF6565" w:rsidRPr="00D8196B" w:rsidTr="0031698A">
        <w:trPr>
          <w:trHeight w:val="523"/>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2.</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Citas sabiedrības grupas (bez mērķgrupas), kuras tiesiskais regulējums arī ietekmē vai varētu ietekmēt</w:t>
            </w:r>
          </w:p>
        </w:tc>
        <w:tc>
          <w:tcPr>
            <w:tcW w:w="5266" w:type="dxa"/>
            <w:gridSpan w:val="8"/>
            <w:tcBorders>
              <w:top w:val="outset" w:sz="6" w:space="0" w:color="auto"/>
              <w:left w:val="outset" w:sz="6" w:space="0" w:color="auto"/>
              <w:bottom w:val="outset" w:sz="6" w:space="0" w:color="auto"/>
              <w:right w:val="outset" w:sz="6" w:space="0" w:color="auto"/>
            </w:tcBorders>
            <w:hideMark/>
          </w:tcPr>
          <w:p w:rsidR="00EF6565" w:rsidRPr="00D8196B" w:rsidRDefault="003053AB" w:rsidP="00EF6565">
            <w:pPr>
              <w:spacing w:before="100" w:beforeAutospacing="1" w:after="100" w:afterAutospacing="1"/>
              <w:ind w:left="127" w:right="84"/>
              <w:rPr>
                <w:rFonts w:ascii="Times New Roman" w:eastAsia="Times New Roman" w:hAnsi="Times New Roman"/>
                <w:sz w:val="26"/>
                <w:szCs w:val="26"/>
                <w:lang w:eastAsia="lv-LV"/>
              </w:rPr>
            </w:pPr>
            <w:r>
              <w:rPr>
                <w:rFonts w:ascii="Times New Roman" w:eastAsia="Times New Roman" w:hAnsi="Times New Roman"/>
                <w:sz w:val="26"/>
                <w:szCs w:val="26"/>
                <w:lang w:eastAsia="lv-LV"/>
              </w:rPr>
              <w:t>Šo jomu neskar.</w:t>
            </w:r>
          </w:p>
        </w:tc>
      </w:tr>
      <w:tr w:rsidR="00EF6565" w:rsidRPr="00D8196B" w:rsidTr="0031698A">
        <w:trPr>
          <w:trHeight w:val="51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3.</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Tiesiskā regulējuma finansiālā ietekme</w:t>
            </w:r>
          </w:p>
        </w:tc>
        <w:tc>
          <w:tcPr>
            <w:tcW w:w="5266" w:type="dxa"/>
            <w:gridSpan w:val="8"/>
            <w:tcBorders>
              <w:top w:val="outset" w:sz="6" w:space="0" w:color="auto"/>
              <w:left w:val="outset" w:sz="6" w:space="0" w:color="auto"/>
              <w:bottom w:val="outset" w:sz="6" w:space="0" w:color="auto"/>
              <w:right w:val="outset" w:sz="6" w:space="0" w:color="auto"/>
            </w:tcBorders>
            <w:hideMark/>
          </w:tcPr>
          <w:p w:rsidR="00EF6565" w:rsidRPr="00D8196B" w:rsidRDefault="003053AB" w:rsidP="00EF6565">
            <w:pPr>
              <w:spacing w:before="100" w:beforeAutospacing="1" w:after="100" w:afterAutospacing="1"/>
              <w:ind w:left="127" w:right="84"/>
              <w:rPr>
                <w:rFonts w:ascii="Times New Roman" w:eastAsia="Times New Roman" w:hAnsi="Times New Roman"/>
                <w:sz w:val="26"/>
                <w:szCs w:val="26"/>
                <w:lang w:eastAsia="lv-LV"/>
              </w:rPr>
            </w:pPr>
            <w:r>
              <w:rPr>
                <w:rFonts w:ascii="Times New Roman" w:eastAsia="Times New Roman" w:hAnsi="Times New Roman"/>
                <w:sz w:val="26"/>
                <w:szCs w:val="26"/>
                <w:lang w:eastAsia="lv-LV"/>
              </w:rPr>
              <w:t>Šo jomu neskar.</w:t>
            </w:r>
          </w:p>
        </w:tc>
      </w:tr>
      <w:tr w:rsidR="00EF6565" w:rsidRPr="00D8196B" w:rsidTr="0031698A">
        <w:trPr>
          <w:trHeight w:val="51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4.</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Tiesiskā regulējuma nefinansiālā ietekme</w:t>
            </w:r>
          </w:p>
        </w:tc>
        <w:tc>
          <w:tcPr>
            <w:tcW w:w="5266" w:type="dxa"/>
            <w:gridSpan w:val="8"/>
            <w:tcBorders>
              <w:top w:val="outset" w:sz="6" w:space="0" w:color="auto"/>
              <w:left w:val="outset" w:sz="6" w:space="0" w:color="auto"/>
              <w:bottom w:val="outset" w:sz="6" w:space="0" w:color="auto"/>
              <w:right w:val="outset" w:sz="6" w:space="0" w:color="auto"/>
            </w:tcBorders>
            <w:hideMark/>
          </w:tcPr>
          <w:p w:rsidR="00EF6565" w:rsidRPr="00D8196B" w:rsidRDefault="003053AB" w:rsidP="00EF6565">
            <w:pPr>
              <w:spacing w:before="100" w:beforeAutospacing="1" w:after="100" w:afterAutospacing="1"/>
              <w:ind w:left="127" w:right="84"/>
              <w:rPr>
                <w:rFonts w:ascii="Times New Roman" w:eastAsia="Times New Roman" w:hAnsi="Times New Roman"/>
                <w:sz w:val="26"/>
                <w:szCs w:val="26"/>
                <w:lang w:eastAsia="lv-LV"/>
              </w:rPr>
            </w:pPr>
            <w:r>
              <w:rPr>
                <w:rFonts w:ascii="Times New Roman" w:eastAsia="Times New Roman" w:hAnsi="Times New Roman"/>
                <w:sz w:val="26"/>
                <w:szCs w:val="26"/>
                <w:lang w:eastAsia="lv-LV"/>
              </w:rPr>
              <w:t>Šo jomu neskar.</w:t>
            </w:r>
          </w:p>
        </w:tc>
      </w:tr>
      <w:tr w:rsidR="00EF6565" w:rsidRPr="00D8196B" w:rsidTr="0031698A">
        <w:trPr>
          <w:trHeight w:val="531"/>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5.</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Administratīvās procedūras raksturojums</w:t>
            </w:r>
          </w:p>
        </w:tc>
        <w:tc>
          <w:tcPr>
            <w:tcW w:w="5266" w:type="dxa"/>
            <w:gridSpan w:val="8"/>
            <w:tcBorders>
              <w:top w:val="outset" w:sz="6" w:space="0" w:color="auto"/>
              <w:left w:val="outset" w:sz="6" w:space="0" w:color="auto"/>
              <w:bottom w:val="outset" w:sz="6" w:space="0" w:color="auto"/>
              <w:right w:val="outset" w:sz="6" w:space="0" w:color="auto"/>
            </w:tcBorders>
            <w:hideMark/>
          </w:tcPr>
          <w:p w:rsidR="00DF4131" w:rsidRDefault="00DF4131" w:rsidP="00E53AA8">
            <w:pPr>
              <w:ind w:left="125" w:right="85"/>
              <w:rPr>
                <w:rFonts w:ascii="Times New Roman" w:eastAsia="Times New Roman" w:hAnsi="Times New Roman"/>
                <w:sz w:val="26"/>
                <w:szCs w:val="26"/>
                <w:lang w:eastAsia="lv-LV"/>
              </w:rPr>
            </w:pPr>
            <w:r>
              <w:rPr>
                <w:rFonts w:ascii="Times New Roman" w:eastAsia="Times New Roman" w:hAnsi="Times New Roman"/>
                <w:sz w:val="26"/>
                <w:szCs w:val="26"/>
                <w:lang w:eastAsia="lv-LV"/>
              </w:rPr>
              <w:t>A</w:t>
            </w:r>
            <w:r w:rsidR="004556E4" w:rsidRPr="00D8196B">
              <w:rPr>
                <w:rFonts w:ascii="Times New Roman" w:eastAsia="Times New Roman" w:hAnsi="Times New Roman"/>
                <w:sz w:val="26"/>
                <w:szCs w:val="26"/>
                <w:lang w:eastAsia="lv-LV"/>
              </w:rPr>
              <w:t xml:space="preserve">pstiprinot šo projektu </w:t>
            </w:r>
            <w:r>
              <w:rPr>
                <w:rFonts w:ascii="Times New Roman" w:eastAsia="Times New Roman" w:hAnsi="Times New Roman"/>
                <w:sz w:val="26"/>
                <w:szCs w:val="26"/>
                <w:lang w:eastAsia="lv-LV"/>
              </w:rPr>
              <w:t xml:space="preserve">samazināsies </w:t>
            </w:r>
            <w:r w:rsidR="00EF6565" w:rsidRPr="00D8196B">
              <w:rPr>
                <w:rFonts w:ascii="Times New Roman" w:eastAsia="Times New Roman" w:hAnsi="Times New Roman"/>
                <w:sz w:val="26"/>
                <w:szCs w:val="26"/>
                <w:lang w:eastAsia="lv-LV"/>
              </w:rPr>
              <w:t xml:space="preserve">administratīvais slogs </w:t>
            </w:r>
            <w:r>
              <w:rPr>
                <w:rFonts w:ascii="Times New Roman" w:eastAsia="Times New Roman" w:hAnsi="Times New Roman"/>
                <w:sz w:val="26"/>
                <w:szCs w:val="26"/>
                <w:lang w:eastAsia="lv-LV"/>
              </w:rPr>
              <w:t xml:space="preserve">personām, kurām VID papildus ir uzrēķinājis nodokļus, </w:t>
            </w:r>
            <w:r w:rsidR="00F1692A">
              <w:rPr>
                <w:rFonts w:ascii="Times New Roman" w:eastAsia="Times New Roman" w:hAnsi="Times New Roman"/>
                <w:sz w:val="26"/>
                <w:szCs w:val="26"/>
                <w:lang w:eastAsia="lv-LV"/>
              </w:rPr>
              <w:t xml:space="preserve">nodevas, </w:t>
            </w:r>
            <w:r>
              <w:rPr>
                <w:rFonts w:ascii="Times New Roman" w:eastAsia="Times New Roman" w:hAnsi="Times New Roman"/>
                <w:sz w:val="26"/>
                <w:szCs w:val="26"/>
                <w:lang w:eastAsia="lv-LV"/>
              </w:rPr>
              <w:t xml:space="preserve">soda naudu un nokavējuma naudu, bet VID lēmumu persona ir apstrīdējusi. </w:t>
            </w:r>
          </w:p>
          <w:p w:rsidR="00F1692A" w:rsidRDefault="00F1692A" w:rsidP="00E53AA8">
            <w:pPr>
              <w:ind w:left="125" w:right="85"/>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Administratīvais slogs samazināsies kredītiestādēm, apdrošināšanas sabiedrībām un </w:t>
            </w:r>
            <w:r>
              <w:rPr>
                <w:rFonts w:ascii="Times New Roman" w:eastAsia="Times New Roman" w:hAnsi="Times New Roman"/>
                <w:sz w:val="26"/>
                <w:szCs w:val="26"/>
                <w:lang w:eastAsia="lv-LV"/>
              </w:rPr>
              <w:lastRenderedPageBreak/>
              <w:t>VID, jo nebūs jāslēdz līgums par galvotāja statusa piešķiršanu.</w:t>
            </w:r>
          </w:p>
          <w:p w:rsidR="00DF4131" w:rsidRDefault="00DF4131" w:rsidP="00E53AA8">
            <w:pPr>
              <w:ind w:left="125" w:right="85"/>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Administratīvais slogs palielināsies personām, kas ir saņēmušas AEO statusu un piemēro tranzīta procedūru, jo </w:t>
            </w:r>
            <w:r w:rsidR="00F1692A">
              <w:rPr>
                <w:rFonts w:ascii="Times New Roman" w:eastAsia="Times New Roman" w:hAnsi="Times New Roman"/>
                <w:sz w:val="26"/>
                <w:szCs w:val="26"/>
                <w:lang w:eastAsia="lv-LV"/>
              </w:rPr>
              <w:t xml:space="preserve">VID būs jāsaņem </w:t>
            </w:r>
            <w:r>
              <w:rPr>
                <w:rFonts w:ascii="Times New Roman" w:eastAsia="Times New Roman" w:hAnsi="Times New Roman"/>
                <w:sz w:val="26"/>
                <w:szCs w:val="26"/>
                <w:lang w:eastAsia="lv-LV"/>
              </w:rPr>
              <w:t xml:space="preserve">tiesības neiesniegt galvojumu. </w:t>
            </w:r>
          </w:p>
          <w:p w:rsidR="00396C5E" w:rsidRPr="00D8196B" w:rsidRDefault="00DF4131" w:rsidP="00E53AA8">
            <w:pPr>
              <w:ind w:left="125" w:right="85"/>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Kopumā administratīvais slogs nepalielināsies, jo </w:t>
            </w:r>
            <w:r w:rsidR="004556E4" w:rsidRPr="00D8196B">
              <w:rPr>
                <w:rFonts w:ascii="Times New Roman" w:eastAsia="Times New Roman" w:hAnsi="Times New Roman"/>
                <w:sz w:val="26"/>
                <w:szCs w:val="26"/>
                <w:lang w:eastAsia="lv-LV"/>
              </w:rPr>
              <w:t>visas projektā iekļautās normas ir jau ieviestas iepriekš ar citiem normatīviem aktiem</w:t>
            </w:r>
            <w:r>
              <w:rPr>
                <w:rFonts w:ascii="Times New Roman" w:eastAsia="Times New Roman" w:hAnsi="Times New Roman"/>
                <w:sz w:val="26"/>
                <w:szCs w:val="26"/>
                <w:lang w:eastAsia="lv-LV"/>
              </w:rPr>
              <w:t>.</w:t>
            </w:r>
          </w:p>
        </w:tc>
      </w:tr>
      <w:tr w:rsidR="00EF6565" w:rsidRPr="00D8196B" w:rsidTr="0031698A">
        <w:trPr>
          <w:trHeight w:val="35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 xml:space="preserve"> 6.</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Administratīvo izmaksu monetārs novērtējums</w:t>
            </w:r>
          </w:p>
        </w:tc>
        <w:tc>
          <w:tcPr>
            <w:tcW w:w="5266" w:type="dxa"/>
            <w:gridSpan w:val="8"/>
            <w:tcBorders>
              <w:top w:val="outset" w:sz="6" w:space="0" w:color="auto"/>
              <w:left w:val="outset" w:sz="6" w:space="0" w:color="auto"/>
              <w:bottom w:val="outset" w:sz="6" w:space="0" w:color="auto"/>
              <w:right w:val="outset" w:sz="6" w:space="0" w:color="auto"/>
            </w:tcBorders>
            <w:hideMark/>
          </w:tcPr>
          <w:p w:rsidR="00EF6565" w:rsidRPr="00D8196B" w:rsidRDefault="003053AB" w:rsidP="00EF6565">
            <w:pPr>
              <w:spacing w:before="100" w:beforeAutospacing="1" w:after="100" w:afterAutospacing="1"/>
              <w:ind w:left="127" w:right="84"/>
              <w:rPr>
                <w:rFonts w:ascii="Times New Roman" w:eastAsia="Times New Roman" w:hAnsi="Times New Roman"/>
                <w:sz w:val="26"/>
                <w:szCs w:val="26"/>
                <w:lang w:eastAsia="lv-LV"/>
              </w:rPr>
            </w:pPr>
            <w:r>
              <w:rPr>
                <w:rFonts w:ascii="Times New Roman" w:eastAsia="Times New Roman" w:hAnsi="Times New Roman"/>
                <w:sz w:val="26"/>
                <w:szCs w:val="26"/>
                <w:lang w:eastAsia="lv-LV"/>
              </w:rPr>
              <w:t>Šo jomu neskar.</w:t>
            </w:r>
          </w:p>
        </w:tc>
      </w:tr>
      <w:tr w:rsidR="00EF6565" w:rsidRPr="00D8196B" w:rsidTr="0031698A">
        <w:trPr>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7.</w:t>
            </w:r>
          </w:p>
        </w:tc>
        <w:tc>
          <w:tcPr>
            <w:tcW w:w="2772" w:type="dxa"/>
            <w:gridSpan w:val="4"/>
            <w:tcBorders>
              <w:top w:val="outset" w:sz="6" w:space="0" w:color="auto"/>
              <w:left w:val="outset" w:sz="6" w:space="0" w:color="auto"/>
              <w:bottom w:val="outset" w:sz="6" w:space="0" w:color="auto"/>
              <w:right w:val="outset" w:sz="6" w:space="0" w:color="auto"/>
            </w:tcBorders>
            <w:hideMark/>
          </w:tcPr>
          <w:p w:rsidR="00EF6565" w:rsidRPr="00D8196B" w:rsidRDefault="00EF6565" w:rsidP="00EF6565">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Cita informācija</w:t>
            </w:r>
          </w:p>
        </w:tc>
        <w:tc>
          <w:tcPr>
            <w:tcW w:w="5266" w:type="dxa"/>
            <w:gridSpan w:val="8"/>
            <w:tcBorders>
              <w:top w:val="outset" w:sz="6" w:space="0" w:color="auto"/>
              <w:left w:val="outset" w:sz="6" w:space="0" w:color="auto"/>
              <w:bottom w:val="outset" w:sz="6" w:space="0" w:color="auto"/>
              <w:right w:val="outset" w:sz="6" w:space="0" w:color="auto"/>
            </w:tcBorders>
            <w:hideMark/>
          </w:tcPr>
          <w:p w:rsidR="00EF6565" w:rsidRPr="00D8196B" w:rsidRDefault="00EF6565" w:rsidP="005F57C3">
            <w:pPr>
              <w:spacing w:before="100" w:beforeAutospacing="1" w:after="100" w:afterAutospacing="1"/>
              <w:ind w:left="127" w:right="84"/>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Nav</w:t>
            </w:r>
          </w:p>
        </w:tc>
      </w:tr>
      <w:tr w:rsidR="001478A8" w:rsidRPr="00D8196B" w:rsidTr="0031698A">
        <w:trPr>
          <w:tblCellSpacing w:w="0" w:type="dxa"/>
        </w:trPr>
        <w:tc>
          <w:tcPr>
            <w:tcW w:w="482" w:type="dxa"/>
            <w:tcBorders>
              <w:top w:val="outset" w:sz="6" w:space="0" w:color="auto"/>
              <w:left w:val="outset" w:sz="6" w:space="0" w:color="auto"/>
              <w:bottom w:val="outset" w:sz="6" w:space="0" w:color="auto"/>
              <w:right w:val="outset" w:sz="6" w:space="0" w:color="auto"/>
            </w:tcBorders>
          </w:tcPr>
          <w:p w:rsidR="001478A8" w:rsidRPr="00D8196B" w:rsidRDefault="001478A8" w:rsidP="00EF6565">
            <w:pPr>
              <w:spacing w:before="100" w:beforeAutospacing="1" w:after="100" w:afterAutospacing="1"/>
              <w:ind w:left="0"/>
              <w:rPr>
                <w:rFonts w:ascii="Times New Roman" w:eastAsia="Times New Roman" w:hAnsi="Times New Roman"/>
                <w:sz w:val="26"/>
                <w:szCs w:val="26"/>
                <w:lang w:eastAsia="lv-LV"/>
              </w:rPr>
            </w:pPr>
          </w:p>
        </w:tc>
        <w:tc>
          <w:tcPr>
            <w:tcW w:w="2772" w:type="dxa"/>
            <w:gridSpan w:val="4"/>
            <w:tcBorders>
              <w:top w:val="outset" w:sz="6" w:space="0" w:color="auto"/>
              <w:left w:val="outset" w:sz="6" w:space="0" w:color="auto"/>
              <w:bottom w:val="outset" w:sz="6" w:space="0" w:color="auto"/>
              <w:right w:val="outset" w:sz="6" w:space="0" w:color="auto"/>
            </w:tcBorders>
          </w:tcPr>
          <w:p w:rsidR="001478A8" w:rsidRPr="00D8196B" w:rsidRDefault="001478A8" w:rsidP="00EF6565">
            <w:pPr>
              <w:spacing w:before="100" w:beforeAutospacing="1" w:after="100" w:afterAutospacing="1"/>
              <w:ind w:left="126"/>
              <w:jc w:val="left"/>
              <w:rPr>
                <w:rFonts w:ascii="Times New Roman" w:eastAsia="Times New Roman" w:hAnsi="Times New Roman"/>
                <w:sz w:val="26"/>
                <w:szCs w:val="26"/>
                <w:lang w:eastAsia="lv-LV"/>
              </w:rPr>
            </w:pPr>
          </w:p>
        </w:tc>
        <w:tc>
          <w:tcPr>
            <w:tcW w:w="5266" w:type="dxa"/>
            <w:gridSpan w:val="8"/>
            <w:tcBorders>
              <w:top w:val="outset" w:sz="6" w:space="0" w:color="auto"/>
              <w:left w:val="outset" w:sz="6" w:space="0" w:color="auto"/>
              <w:bottom w:val="outset" w:sz="6" w:space="0" w:color="auto"/>
              <w:right w:val="outset" w:sz="6" w:space="0" w:color="auto"/>
            </w:tcBorders>
          </w:tcPr>
          <w:p w:rsidR="001478A8" w:rsidRPr="00D8196B" w:rsidRDefault="001478A8" w:rsidP="005F57C3">
            <w:pPr>
              <w:spacing w:before="100" w:beforeAutospacing="1" w:after="100" w:afterAutospacing="1"/>
              <w:ind w:left="127" w:right="84"/>
              <w:rPr>
                <w:rFonts w:ascii="Times New Roman" w:eastAsia="Times New Roman" w:hAnsi="Times New Roman"/>
                <w:sz w:val="26"/>
                <w:szCs w:val="26"/>
                <w:lang w:eastAsia="lv-LV"/>
              </w:rPr>
            </w:pPr>
          </w:p>
        </w:tc>
      </w:tr>
      <w:tr w:rsidR="00252A6A" w:rsidRPr="00D8196B" w:rsidTr="0031698A">
        <w:trPr>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252A6A" w:rsidRPr="00D8196B" w:rsidRDefault="00252A6A" w:rsidP="00EF6565">
            <w:pPr>
              <w:spacing w:before="100" w:beforeAutospacing="1" w:after="100" w:afterAutospacing="1"/>
              <w:ind w:left="0"/>
              <w:rPr>
                <w:rFonts w:ascii="Times New Roman" w:eastAsia="Times New Roman" w:hAnsi="Times New Roman"/>
                <w:sz w:val="26"/>
                <w:szCs w:val="26"/>
                <w:lang w:eastAsia="lv-LV"/>
              </w:rPr>
            </w:pPr>
          </w:p>
        </w:tc>
        <w:tc>
          <w:tcPr>
            <w:tcW w:w="2772" w:type="dxa"/>
            <w:gridSpan w:val="4"/>
            <w:tcBorders>
              <w:top w:val="outset" w:sz="6" w:space="0" w:color="auto"/>
              <w:left w:val="outset" w:sz="6" w:space="0" w:color="auto"/>
              <w:bottom w:val="outset" w:sz="6" w:space="0" w:color="auto"/>
              <w:right w:val="outset" w:sz="6" w:space="0" w:color="auto"/>
            </w:tcBorders>
            <w:hideMark/>
          </w:tcPr>
          <w:p w:rsidR="00252A6A" w:rsidRPr="00D8196B" w:rsidRDefault="00252A6A" w:rsidP="00EF6565">
            <w:pPr>
              <w:spacing w:before="100" w:beforeAutospacing="1" w:after="100" w:afterAutospacing="1"/>
              <w:ind w:left="126"/>
              <w:jc w:val="left"/>
              <w:rPr>
                <w:rFonts w:ascii="Times New Roman" w:eastAsia="Times New Roman" w:hAnsi="Times New Roman"/>
                <w:sz w:val="26"/>
                <w:szCs w:val="26"/>
                <w:lang w:eastAsia="lv-LV"/>
              </w:rPr>
            </w:pPr>
          </w:p>
        </w:tc>
        <w:tc>
          <w:tcPr>
            <w:tcW w:w="5266" w:type="dxa"/>
            <w:gridSpan w:val="8"/>
            <w:tcBorders>
              <w:top w:val="outset" w:sz="6" w:space="0" w:color="auto"/>
              <w:left w:val="outset" w:sz="6" w:space="0" w:color="auto"/>
              <w:bottom w:val="outset" w:sz="6" w:space="0" w:color="auto"/>
              <w:right w:val="outset" w:sz="6" w:space="0" w:color="auto"/>
            </w:tcBorders>
            <w:hideMark/>
          </w:tcPr>
          <w:p w:rsidR="00252A6A" w:rsidRPr="00D8196B" w:rsidRDefault="00252A6A" w:rsidP="005F57C3">
            <w:pPr>
              <w:spacing w:before="100" w:beforeAutospacing="1" w:after="100" w:afterAutospacing="1"/>
              <w:ind w:left="127" w:right="84"/>
              <w:rPr>
                <w:rFonts w:ascii="Times New Roman" w:eastAsia="Times New Roman" w:hAnsi="Times New Roman"/>
                <w:sz w:val="26"/>
                <w:szCs w:val="26"/>
                <w:lang w:eastAsia="lv-LV"/>
              </w:rPr>
            </w:pPr>
          </w:p>
        </w:tc>
      </w:tr>
      <w:tr w:rsidR="00F44C5B" w:rsidRPr="00D8196B" w:rsidTr="0031698A">
        <w:trPr>
          <w:tblCellSpacing w:w="0" w:type="dxa"/>
        </w:trPr>
        <w:tc>
          <w:tcPr>
            <w:tcW w:w="8520" w:type="dxa"/>
            <w:gridSpan w:val="13"/>
            <w:tcBorders>
              <w:top w:val="outset" w:sz="6" w:space="0" w:color="auto"/>
              <w:left w:val="outset" w:sz="6" w:space="0" w:color="auto"/>
              <w:bottom w:val="outset" w:sz="6" w:space="0" w:color="auto"/>
              <w:right w:val="outset" w:sz="6" w:space="0" w:color="auto"/>
            </w:tcBorders>
            <w:hideMark/>
          </w:tcPr>
          <w:p w:rsidR="00F44C5B" w:rsidRPr="00D8196B" w:rsidRDefault="005A2614" w:rsidP="00F44C5B">
            <w:pPr>
              <w:spacing w:before="100" w:beforeAutospacing="1" w:after="100" w:afterAutospacing="1"/>
              <w:ind w:left="0"/>
              <w:jc w:val="center"/>
              <w:rPr>
                <w:rFonts w:ascii="Times New Roman" w:eastAsia="Times New Roman" w:hAnsi="Times New Roman"/>
                <w:b/>
                <w:sz w:val="26"/>
                <w:szCs w:val="26"/>
                <w:lang w:eastAsia="lv-LV"/>
              </w:rPr>
            </w:pPr>
            <w:r w:rsidRPr="00D8196B">
              <w:rPr>
                <w:rFonts w:ascii="Times New Roman" w:eastAsia="Times New Roman" w:hAnsi="Times New Roman"/>
                <w:b/>
                <w:bCs/>
                <w:sz w:val="26"/>
                <w:szCs w:val="26"/>
                <w:lang w:eastAsia="lv-LV"/>
              </w:rPr>
              <w:t> </w:t>
            </w:r>
            <w:r w:rsidR="00F44C5B" w:rsidRPr="00D8196B">
              <w:rPr>
                <w:rFonts w:ascii="Times New Roman" w:eastAsia="Times New Roman" w:hAnsi="Times New Roman"/>
                <w:b/>
                <w:sz w:val="26"/>
                <w:szCs w:val="26"/>
                <w:lang w:eastAsia="lv-LV"/>
              </w:rPr>
              <w:t>V. Tiesību akta projekta atbilstība Latvijas Republikas starptautiskajām saistībām</w:t>
            </w:r>
          </w:p>
        </w:tc>
      </w:tr>
      <w:tr w:rsidR="00F44C5B" w:rsidRPr="00D8196B" w:rsidTr="0031698A">
        <w:trPr>
          <w:tblCellSpacing w:w="0" w:type="dxa"/>
        </w:trPr>
        <w:tc>
          <w:tcPr>
            <w:tcW w:w="1094" w:type="dxa"/>
            <w:gridSpan w:val="3"/>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1.</w:t>
            </w:r>
          </w:p>
        </w:tc>
        <w:tc>
          <w:tcPr>
            <w:tcW w:w="3080" w:type="dxa"/>
            <w:gridSpan w:val="4"/>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Saistības pret Eiropas Savienību</w:t>
            </w:r>
          </w:p>
        </w:tc>
        <w:tc>
          <w:tcPr>
            <w:tcW w:w="4346" w:type="dxa"/>
            <w:gridSpan w:val="6"/>
            <w:tcBorders>
              <w:top w:val="outset" w:sz="6" w:space="0" w:color="auto"/>
              <w:left w:val="outset" w:sz="6" w:space="0" w:color="auto"/>
              <w:bottom w:val="outset" w:sz="6" w:space="0" w:color="auto"/>
              <w:right w:val="outset" w:sz="6" w:space="0" w:color="auto"/>
            </w:tcBorders>
            <w:hideMark/>
          </w:tcPr>
          <w:p w:rsidR="00277EA2" w:rsidRPr="00A14FAE" w:rsidRDefault="00277EA2" w:rsidP="00A12228">
            <w:pPr>
              <w:spacing w:after="100" w:afterAutospacing="1"/>
              <w:ind w:left="0" w:firstLine="127"/>
              <w:jc w:val="left"/>
              <w:rPr>
                <w:rFonts w:ascii="Times New Roman" w:hAnsi="Times New Roman"/>
                <w:sz w:val="26"/>
                <w:szCs w:val="26"/>
              </w:rPr>
            </w:pPr>
            <w:r w:rsidRPr="00A14FAE">
              <w:rPr>
                <w:rFonts w:ascii="Times New Roman" w:hAnsi="Times New Roman"/>
                <w:sz w:val="26"/>
                <w:szCs w:val="26"/>
              </w:rPr>
              <w:t xml:space="preserve">Padomes 1992.gada 12.oktobra regula (EEK) Nr.2913/92 par Kopienas Muitas kodeksa izveidi </w:t>
            </w:r>
          </w:p>
          <w:p w:rsidR="00277EA2" w:rsidRPr="00A14FAE" w:rsidRDefault="00277EA2" w:rsidP="00A12228">
            <w:pPr>
              <w:spacing w:after="100" w:afterAutospacing="1"/>
              <w:ind w:left="0" w:firstLine="127"/>
              <w:jc w:val="left"/>
              <w:rPr>
                <w:rFonts w:ascii="Times New Roman" w:hAnsi="Times New Roman"/>
                <w:sz w:val="26"/>
                <w:szCs w:val="26"/>
              </w:rPr>
            </w:pPr>
            <w:r w:rsidRPr="00A14FAE">
              <w:rPr>
                <w:rFonts w:ascii="Times New Roman" w:hAnsi="Times New Roman"/>
                <w:sz w:val="26"/>
                <w:szCs w:val="26"/>
              </w:rPr>
              <w:t>Komisijas 1993.gada 2.jūlija regula (EEK) Nr.</w:t>
            </w:r>
            <w:hyperlink r:id="rId11" w:tgtFrame="_blank" w:tooltip="REGULA" w:history="1">
              <w:r w:rsidRPr="00A14FAE">
                <w:rPr>
                  <w:rFonts w:ascii="Times New Roman" w:hAnsi="Times New Roman"/>
                  <w:sz w:val="26"/>
                  <w:szCs w:val="26"/>
                </w:rPr>
                <w:t>2454/93</w:t>
              </w:r>
            </w:hyperlink>
            <w:r w:rsidRPr="00A14FAE">
              <w:rPr>
                <w:rFonts w:ascii="Times New Roman" w:hAnsi="Times New Roman"/>
                <w:sz w:val="26"/>
                <w:szCs w:val="26"/>
              </w:rPr>
              <w:t>, ar ko nosaka īstenošanas noteikumus Padomes Regulai (EEK) Nr.</w:t>
            </w:r>
            <w:hyperlink r:id="rId12" w:tgtFrame="_blank" w:tooltip="REGULA" w:history="1">
              <w:r w:rsidRPr="00A14FAE">
                <w:rPr>
                  <w:rFonts w:ascii="Times New Roman" w:hAnsi="Times New Roman"/>
                  <w:sz w:val="26"/>
                  <w:szCs w:val="26"/>
                </w:rPr>
                <w:t>2913/92</w:t>
              </w:r>
            </w:hyperlink>
            <w:r w:rsidRPr="00A14FAE">
              <w:rPr>
                <w:rFonts w:ascii="Times New Roman" w:hAnsi="Times New Roman"/>
                <w:sz w:val="26"/>
                <w:szCs w:val="26"/>
              </w:rPr>
              <w:t xml:space="preserve"> </w:t>
            </w:r>
          </w:p>
          <w:p w:rsidR="006805AB" w:rsidRPr="00916298" w:rsidRDefault="00277EA2" w:rsidP="00277EA2">
            <w:pPr>
              <w:spacing w:after="100" w:afterAutospacing="1"/>
              <w:ind w:left="0" w:firstLine="127"/>
              <w:jc w:val="left"/>
              <w:rPr>
                <w:rFonts w:ascii="Times New Roman" w:eastAsia="Times New Roman" w:hAnsi="Times New Roman"/>
                <w:sz w:val="26"/>
                <w:szCs w:val="26"/>
                <w:lang w:eastAsia="lv-LV"/>
              </w:rPr>
            </w:pPr>
            <w:r w:rsidRPr="00A14FAE">
              <w:rPr>
                <w:rFonts w:ascii="Times New Roman" w:eastAsia="Times New Roman" w:hAnsi="Times New Roman"/>
                <w:sz w:val="26"/>
                <w:szCs w:val="26"/>
                <w:lang w:eastAsia="lv-LV"/>
              </w:rPr>
              <w:t xml:space="preserve">Eiropas Parlamenta un Padomes 2008.gada 23.aprīļa regula (EK) </w:t>
            </w:r>
            <w:r w:rsidR="006805AB" w:rsidRPr="00A14FAE">
              <w:rPr>
                <w:rFonts w:ascii="Times New Roman" w:eastAsia="Times New Roman" w:hAnsi="Times New Roman"/>
                <w:sz w:val="26"/>
                <w:szCs w:val="26"/>
                <w:lang w:eastAsia="lv-LV"/>
              </w:rPr>
              <w:t>Nr.450/2008</w:t>
            </w:r>
            <w:r w:rsidRPr="00A14FAE">
              <w:rPr>
                <w:rFonts w:ascii="Times New Roman" w:eastAsia="Times New Roman" w:hAnsi="Times New Roman"/>
                <w:sz w:val="26"/>
                <w:szCs w:val="26"/>
                <w:lang w:eastAsia="lv-LV"/>
              </w:rPr>
              <w:t>, ar ko izveido Kopienas muitas kodeksu</w:t>
            </w:r>
          </w:p>
        </w:tc>
      </w:tr>
      <w:tr w:rsidR="00F44C5B" w:rsidRPr="00D8196B" w:rsidTr="0031698A">
        <w:trPr>
          <w:tblCellSpacing w:w="0" w:type="dxa"/>
        </w:trPr>
        <w:tc>
          <w:tcPr>
            <w:tcW w:w="1094" w:type="dxa"/>
            <w:gridSpan w:val="3"/>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2.</w:t>
            </w:r>
          </w:p>
        </w:tc>
        <w:tc>
          <w:tcPr>
            <w:tcW w:w="3080" w:type="dxa"/>
            <w:gridSpan w:val="4"/>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Citas starptautiskās saistības</w:t>
            </w:r>
          </w:p>
        </w:tc>
        <w:tc>
          <w:tcPr>
            <w:tcW w:w="4346" w:type="dxa"/>
            <w:gridSpan w:val="6"/>
            <w:tcBorders>
              <w:top w:val="outset" w:sz="6" w:space="0" w:color="auto"/>
              <w:left w:val="outset" w:sz="6" w:space="0" w:color="auto"/>
              <w:bottom w:val="outset" w:sz="6" w:space="0" w:color="auto"/>
              <w:right w:val="outset" w:sz="6" w:space="0" w:color="auto"/>
            </w:tcBorders>
            <w:hideMark/>
          </w:tcPr>
          <w:p w:rsidR="00F44C5B" w:rsidRPr="00D8196B" w:rsidRDefault="003053AB" w:rsidP="00F44C5B">
            <w:pPr>
              <w:spacing w:before="100" w:beforeAutospacing="1" w:after="100" w:afterAutospacing="1"/>
              <w:ind w:left="127" w:right="126"/>
              <w:rPr>
                <w:rFonts w:ascii="Times New Roman" w:eastAsia="Times New Roman" w:hAnsi="Times New Roman"/>
                <w:sz w:val="26"/>
                <w:szCs w:val="26"/>
                <w:lang w:eastAsia="lv-LV"/>
              </w:rPr>
            </w:pPr>
            <w:r>
              <w:rPr>
                <w:rFonts w:ascii="Times New Roman" w:eastAsia="Times New Roman" w:hAnsi="Times New Roman"/>
                <w:sz w:val="26"/>
                <w:szCs w:val="26"/>
                <w:lang w:eastAsia="lv-LV"/>
              </w:rPr>
              <w:t>Šo jomu neskar.</w:t>
            </w:r>
          </w:p>
        </w:tc>
      </w:tr>
      <w:tr w:rsidR="00F44C5B" w:rsidRPr="00D8196B" w:rsidTr="0031698A">
        <w:trPr>
          <w:tblCellSpacing w:w="0" w:type="dxa"/>
        </w:trPr>
        <w:tc>
          <w:tcPr>
            <w:tcW w:w="1094" w:type="dxa"/>
            <w:gridSpan w:val="3"/>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3.</w:t>
            </w:r>
          </w:p>
        </w:tc>
        <w:tc>
          <w:tcPr>
            <w:tcW w:w="3080" w:type="dxa"/>
            <w:gridSpan w:val="4"/>
            <w:tcBorders>
              <w:top w:val="outset" w:sz="6" w:space="0" w:color="auto"/>
              <w:left w:val="outset" w:sz="6" w:space="0" w:color="auto"/>
              <w:bottom w:val="outset" w:sz="6" w:space="0" w:color="auto"/>
              <w:right w:val="outset" w:sz="6" w:space="0" w:color="auto"/>
            </w:tcBorders>
            <w:hideMark/>
          </w:tcPr>
          <w:p w:rsidR="00F44C5B" w:rsidRPr="00D8196B" w:rsidRDefault="00F44C5B" w:rsidP="00F44C5B">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Cita informācija</w:t>
            </w:r>
          </w:p>
        </w:tc>
        <w:tc>
          <w:tcPr>
            <w:tcW w:w="4346" w:type="dxa"/>
            <w:gridSpan w:val="6"/>
            <w:tcBorders>
              <w:top w:val="outset" w:sz="6" w:space="0" w:color="auto"/>
              <w:left w:val="outset" w:sz="6" w:space="0" w:color="auto"/>
              <w:bottom w:val="outset" w:sz="6" w:space="0" w:color="auto"/>
              <w:right w:val="outset" w:sz="6" w:space="0" w:color="auto"/>
            </w:tcBorders>
            <w:hideMark/>
          </w:tcPr>
          <w:p w:rsidR="00F44C5B" w:rsidRPr="00D8196B" w:rsidRDefault="00F44C5B" w:rsidP="00BF22B4">
            <w:pPr>
              <w:spacing w:before="100" w:beforeAutospacing="1" w:after="100" w:afterAutospacing="1"/>
              <w:ind w:left="127"/>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Nav</w:t>
            </w:r>
          </w:p>
        </w:tc>
      </w:tr>
      <w:tr w:rsidR="001B708D" w:rsidRPr="00D8196B" w:rsidTr="0031698A">
        <w:trPr>
          <w:trHeight w:val="523"/>
          <w:tblCellSpacing w:w="0" w:type="dxa"/>
        </w:trPr>
        <w:tc>
          <w:tcPr>
            <w:tcW w:w="8520" w:type="dxa"/>
            <w:gridSpan w:val="13"/>
            <w:tcBorders>
              <w:top w:val="outset" w:sz="6" w:space="0" w:color="auto"/>
              <w:left w:val="outset" w:sz="6" w:space="0" w:color="auto"/>
              <w:bottom w:val="outset" w:sz="6" w:space="0" w:color="auto"/>
              <w:right w:val="outset" w:sz="6" w:space="0" w:color="auto"/>
            </w:tcBorders>
            <w:vAlign w:val="center"/>
            <w:hideMark/>
          </w:tcPr>
          <w:p w:rsidR="001B708D" w:rsidRPr="00D8196B" w:rsidRDefault="001B708D"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1.tabula</w:t>
            </w:r>
          </w:p>
          <w:p w:rsidR="001B708D" w:rsidRPr="00D8196B" w:rsidRDefault="001B708D"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Tiesību akta projekta atbilstība ES tiesību aktiem</w:t>
            </w:r>
          </w:p>
        </w:tc>
      </w:tr>
      <w:tr w:rsidR="001B708D" w:rsidRPr="005A2614" w:rsidTr="0031698A">
        <w:trPr>
          <w:trHeight w:val="165"/>
          <w:tblCellSpacing w:w="0" w:type="dxa"/>
        </w:trPr>
        <w:tc>
          <w:tcPr>
            <w:tcW w:w="2538" w:type="dxa"/>
            <w:gridSpan w:val="4"/>
            <w:tcBorders>
              <w:top w:val="outset" w:sz="6" w:space="0" w:color="auto"/>
              <w:left w:val="outset" w:sz="6" w:space="0" w:color="auto"/>
              <w:bottom w:val="outset" w:sz="6" w:space="0" w:color="auto"/>
              <w:right w:val="outset" w:sz="6" w:space="0" w:color="auto"/>
            </w:tcBorders>
            <w:vAlign w:val="center"/>
            <w:hideMark/>
          </w:tcPr>
          <w:p w:rsidR="001B708D" w:rsidRPr="005A2614" w:rsidRDefault="001B708D" w:rsidP="001B708D">
            <w:pPr>
              <w:spacing w:before="100" w:beforeAutospacing="1" w:after="100" w:afterAutospacing="1" w:line="40" w:lineRule="atLeast"/>
              <w:ind w:left="0" w:firstLineChars="709" w:firstLine="1702"/>
              <w:jc w:val="left"/>
              <w:rPr>
                <w:rFonts w:ascii="Times New Roman" w:eastAsia="Times New Roman" w:hAnsi="Times New Roman"/>
                <w:sz w:val="24"/>
                <w:szCs w:val="24"/>
                <w:lang w:eastAsia="lv-LV"/>
              </w:rPr>
            </w:pPr>
            <w:r w:rsidRPr="005A2614">
              <w:rPr>
                <w:rFonts w:ascii="Times New Roman" w:eastAsia="Times New Roman" w:hAnsi="Times New Roman"/>
                <w:sz w:val="24"/>
                <w:szCs w:val="24"/>
                <w:lang w:eastAsia="lv-LV"/>
              </w:rPr>
              <w:t> A</w:t>
            </w:r>
          </w:p>
        </w:tc>
        <w:tc>
          <w:tcPr>
            <w:tcW w:w="1975" w:type="dxa"/>
            <w:gridSpan w:val="6"/>
            <w:tcBorders>
              <w:top w:val="outset" w:sz="6" w:space="0" w:color="auto"/>
              <w:left w:val="outset" w:sz="6" w:space="0" w:color="auto"/>
              <w:bottom w:val="outset" w:sz="6" w:space="0" w:color="auto"/>
              <w:right w:val="outset" w:sz="6" w:space="0" w:color="auto"/>
            </w:tcBorders>
            <w:vAlign w:val="center"/>
            <w:hideMark/>
          </w:tcPr>
          <w:p w:rsidR="001B708D" w:rsidRPr="005A2614" w:rsidRDefault="001B708D" w:rsidP="001B708D">
            <w:pPr>
              <w:spacing w:before="100" w:beforeAutospacing="1" w:after="100" w:afterAutospacing="1" w:line="40" w:lineRule="atLeast"/>
              <w:ind w:left="0" w:firstLineChars="709" w:firstLine="1702"/>
              <w:jc w:val="left"/>
              <w:rPr>
                <w:rFonts w:ascii="Times New Roman" w:eastAsia="Times New Roman" w:hAnsi="Times New Roman"/>
                <w:sz w:val="24"/>
                <w:szCs w:val="24"/>
                <w:lang w:eastAsia="lv-LV"/>
              </w:rPr>
            </w:pPr>
            <w:r w:rsidRPr="005A2614">
              <w:rPr>
                <w:rFonts w:ascii="Times New Roman" w:eastAsia="Times New Roman" w:hAnsi="Times New Roman"/>
                <w:sz w:val="24"/>
                <w:szCs w:val="24"/>
                <w:lang w:eastAsia="lv-LV"/>
              </w:rPr>
              <w:t> B</w:t>
            </w:r>
          </w:p>
        </w:tc>
        <w:tc>
          <w:tcPr>
            <w:tcW w:w="1886" w:type="dxa"/>
            <w:gridSpan w:val="2"/>
            <w:tcBorders>
              <w:top w:val="outset" w:sz="6" w:space="0" w:color="auto"/>
              <w:left w:val="outset" w:sz="6" w:space="0" w:color="auto"/>
              <w:bottom w:val="outset" w:sz="6" w:space="0" w:color="auto"/>
              <w:right w:val="outset" w:sz="6" w:space="0" w:color="auto"/>
            </w:tcBorders>
            <w:vAlign w:val="center"/>
            <w:hideMark/>
          </w:tcPr>
          <w:p w:rsidR="001B708D" w:rsidRPr="005A2614" w:rsidRDefault="001B708D" w:rsidP="001B708D">
            <w:pPr>
              <w:spacing w:before="100" w:beforeAutospacing="1" w:after="100" w:afterAutospacing="1" w:line="40" w:lineRule="atLeast"/>
              <w:ind w:left="0" w:firstLineChars="709" w:firstLine="1702"/>
              <w:jc w:val="left"/>
              <w:rPr>
                <w:rFonts w:ascii="Times New Roman" w:eastAsia="Times New Roman" w:hAnsi="Times New Roman"/>
                <w:sz w:val="24"/>
                <w:szCs w:val="24"/>
                <w:lang w:eastAsia="lv-LV"/>
              </w:rPr>
            </w:pPr>
            <w:r w:rsidRPr="005A2614">
              <w:rPr>
                <w:rFonts w:ascii="Times New Roman" w:eastAsia="Times New Roman" w:hAnsi="Times New Roman"/>
                <w:sz w:val="24"/>
                <w:szCs w:val="24"/>
                <w:lang w:eastAsia="lv-LV"/>
              </w:rPr>
              <w:t> C</w:t>
            </w:r>
          </w:p>
        </w:tc>
        <w:tc>
          <w:tcPr>
            <w:tcW w:w="2121" w:type="dxa"/>
            <w:tcBorders>
              <w:top w:val="outset" w:sz="6" w:space="0" w:color="auto"/>
              <w:left w:val="outset" w:sz="6" w:space="0" w:color="auto"/>
              <w:bottom w:val="outset" w:sz="6" w:space="0" w:color="auto"/>
              <w:right w:val="outset" w:sz="6" w:space="0" w:color="auto"/>
            </w:tcBorders>
            <w:vAlign w:val="center"/>
            <w:hideMark/>
          </w:tcPr>
          <w:p w:rsidR="001B708D" w:rsidRPr="005A2614" w:rsidRDefault="001B708D" w:rsidP="001B708D">
            <w:pPr>
              <w:spacing w:before="100" w:beforeAutospacing="1" w:after="100" w:afterAutospacing="1" w:line="40" w:lineRule="atLeast"/>
              <w:ind w:left="0" w:firstLineChars="709" w:firstLine="1702"/>
              <w:jc w:val="left"/>
              <w:rPr>
                <w:rFonts w:ascii="Times New Roman" w:eastAsia="Times New Roman" w:hAnsi="Times New Roman"/>
                <w:sz w:val="24"/>
                <w:szCs w:val="24"/>
                <w:lang w:eastAsia="lv-LV"/>
              </w:rPr>
            </w:pPr>
            <w:r w:rsidRPr="005A2614">
              <w:rPr>
                <w:rFonts w:ascii="Times New Roman" w:eastAsia="Times New Roman" w:hAnsi="Times New Roman"/>
                <w:sz w:val="24"/>
                <w:szCs w:val="24"/>
                <w:lang w:eastAsia="lv-LV"/>
              </w:rPr>
              <w:t> D</w:t>
            </w:r>
          </w:p>
        </w:tc>
      </w:tr>
      <w:tr w:rsidR="001B708D" w:rsidRPr="009C7091"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1B708D" w:rsidRPr="009C7091" w:rsidRDefault="001B708D" w:rsidP="00C0304D">
            <w:pPr>
              <w:spacing w:before="100" w:beforeAutospacing="1" w:after="100" w:afterAutospacing="1" w:line="40" w:lineRule="atLeast"/>
              <w:ind w:left="0"/>
              <w:rPr>
                <w:rFonts w:ascii="Times New Roman" w:eastAsia="Times New Roman" w:hAnsi="Times New Roman"/>
                <w:sz w:val="26"/>
                <w:szCs w:val="26"/>
                <w:lang w:eastAsia="lv-LV"/>
              </w:rPr>
            </w:pPr>
            <w:r w:rsidRPr="009C7091">
              <w:rPr>
                <w:rFonts w:ascii="Times New Roman" w:eastAsia="Times New Roman" w:hAnsi="Times New Roman"/>
                <w:sz w:val="26"/>
                <w:szCs w:val="26"/>
                <w:lang w:eastAsia="lv-LV"/>
              </w:rPr>
              <w:t>Regula Nr.</w:t>
            </w:r>
            <w:r w:rsidR="00C0304D" w:rsidRPr="009C7091">
              <w:rPr>
                <w:rFonts w:ascii="Times New Roman" w:eastAsia="Times New Roman" w:hAnsi="Times New Roman"/>
                <w:sz w:val="26"/>
                <w:szCs w:val="26"/>
                <w:lang w:eastAsia="lv-LV"/>
              </w:rPr>
              <w:t>2913/92 193.pants</w:t>
            </w:r>
          </w:p>
          <w:p w:rsidR="00334945" w:rsidRPr="009C7091" w:rsidRDefault="00334945" w:rsidP="00C0304D">
            <w:pPr>
              <w:spacing w:before="100" w:beforeAutospacing="1" w:after="100" w:afterAutospacing="1" w:line="40" w:lineRule="atLeast"/>
              <w:ind w:left="0"/>
              <w:rPr>
                <w:rFonts w:ascii="Times New Roman" w:eastAsia="Times New Roman" w:hAnsi="Times New Roman"/>
                <w:sz w:val="26"/>
                <w:szCs w:val="26"/>
                <w:lang w:eastAsia="lv-LV"/>
              </w:rPr>
            </w:pPr>
            <w:r w:rsidRPr="009C7091">
              <w:rPr>
                <w:rFonts w:ascii="Times New Roman" w:eastAsia="Times New Roman" w:hAnsi="Times New Roman"/>
                <w:sz w:val="26"/>
                <w:szCs w:val="26"/>
                <w:lang w:eastAsia="lv-LV"/>
              </w:rPr>
              <w:t>Regula Nr.450/2008 59.pants</w:t>
            </w:r>
          </w:p>
        </w:tc>
        <w:tc>
          <w:tcPr>
            <w:tcW w:w="1975" w:type="dxa"/>
            <w:gridSpan w:val="6"/>
            <w:tcBorders>
              <w:top w:val="outset" w:sz="6" w:space="0" w:color="auto"/>
              <w:left w:val="outset" w:sz="6" w:space="0" w:color="auto"/>
              <w:bottom w:val="outset" w:sz="6" w:space="0" w:color="auto"/>
              <w:right w:val="outset" w:sz="6" w:space="0" w:color="auto"/>
            </w:tcBorders>
            <w:hideMark/>
          </w:tcPr>
          <w:p w:rsidR="001B708D" w:rsidRPr="009C7091" w:rsidRDefault="00C0304D"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9C7091">
              <w:rPr>
                <w:rFonts w:ascii="Times New Roman" w:eastAsia="Times New Roman" w:hAnsi="Times New Roman"/>
                <w:sz w:val="26"/>
                <w:szCs w:val="26"/>
                <w:lang w:eastAsia="lv-LV"/>
              </w:rPr>
              <w:t>Noteikumu 6</w:t>
            </w:r>
            <w:r w:rsidR="001B708D" w:rsidRPr="009C7091">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1B708D" w:rsidRPr="009C7091" w:rsidRDefault="001B708D"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9C7091">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1B708D" w:rsidRPr="009C7091" w:rsidRDefault="001B708D"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9C7091">
              <w:rPr>
                <w:rFonts w:ascii="Times New Roman" w:eastAsia="Times New Roman" w:hAnsi="Times New Roman"/>
                <w:sz w:val="26"/>
                <w:szCs w:val="26"/>
                <w:lang w:eastAsia="lv-LV"/>
              </w:rPr>
              <w:t>Nacionālais tiesību akts neparedz stingrākas prasības</w:t>
            </w:r>
          </w:p>
        </w:tc>
      </w:tr>
      <w:tr w:rsidR="00865E4F"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865E4F" w:rsidRPr="00D8196B" w:rsidRDefault="00865E4F" w:rsidP="00C0304D">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Regula Nr.2913/92 198.pants</w:t>
            </w:r>
          </w:p>
        </w:tc>
        <w:tc>
          <w:tcPr>
            <w:tcW w:w="1975" w:type="dxa"/>
            <w:gridSpan w:val="6"/>
            <w:tcBorders>
              <w:top w:val="outset" w:sz="6" w:space="0" w:color="auto"/>
              <w:left w:val="outset" w:sz="6" w:space="0" w:color="auto"/>
              <w:bottom w:val="outset" w:sz="6" w:space="0" w:color="auto"/>
              <w:right w:val="outset" w:sz="6" w:space="0" w:color="auto"/>
            </w:tcBorders>
            <w:hideMark/>
          </w:tcPr>
          <w:p w:rsidR="00865E4F" w:rsidRPr="00D8196B" w:rsidRDefault="00865E4F" w:rsidP="00F1692A">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Noteikumu </w:t>
            </w:r>
            <w:r w:rsidR="006805AB">
              <w:rPr>
                <w:rFonts w:ascii="Times New Roman" w:eastAsia="Times New Roman" w:hAnsi="Times New Roman"/>
                <w:sz w:val="26"/>
                <w:szCs w:val="26"/>
                <w:lang w:eastAsia="lv-LV"/>
              </w:rPr>
              <w:t>9.</w:t>
            </w:r>
            <w:r w:rsidR="009B63BF">
              <w:rPr>
                <w:rFonts w:ascii="Times New Roman" w:eastAsia="Times New Roman" w:hAnsi="Times New Roman"/>
                <w:sz w:val="26"/>
                <w:szCs w:val="26"/>
                <w:lang w:eastAsia="lv-LV"/>
              </w:rPr>
              <w:t xml:space="preserve"> un</w:t>
            </w:r>
            <w:r w:rsidRPr="00D8196B">
              <w:rPr>
                <w:rFonts w:ascii="Times New Roman" w:eastAsia="Times New Roman" w:hAnsi="Times New Roman"/>
                <w:sz w:val="26"/>
                <w:szCs w:val="26"/>
                <w:lang w:eastAsia="lv-LV"/>
              </w:rPr>
              <w:t>10.punkts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865E4F" w:rsidRPr="00D8196B" w:rsidRDefault="00865E4F" w:rsidP="00865E4F">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865E4F" w:rsidRPr="00D8196B" w:rsidRDefault="00865E4F" w:rsidP="00865E4F">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C0304D"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C0304D" w:rsidRPr="00D8196B" w:rsidRDefault="00C0304D" w:rsidP="001B708D">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Regula Nr.2913/92 189.panta piektā daļa</w:t>
            </w:r>
          </w:p>
        </w:tc>
        <w:tc>
          <w:tcPr>
            <w:tcW w:w="1975" w:type="dxa"/>
            <w:gridSpan w:val="6"/>
            <w:tcBorders>
              <w:top w:val="outset" w:sz="6" w:space="0" w:color="auto"/>
              <w:left w:val="outset" w:sz="6" w:space="0" w:color="auto"/>
              <w:bottom w:val="outset" w:sz="6" w:space="0" w:color="auto"/>
              <w:right w:val="outset" w:sz="6" w:space="0" w:color="auto"/>
            </w:tcBorders>
            <w:hideMark/>
          </w:tcPr>
          <w:p w:rsidR="00C0304D" w:rsidRPr="00D8196B" w:rsidRDefault="00FD52A9" w:rsidP="00FD52A9">
            <w:pPr>
              <w:spacing w:before="100" w:beforeAutospacing="1" w:after="100" w:afterAutospacing="1" w:line="40" w:lineRule="atLeast"/>
              <w:ind w:left="0"/>
              <w:jc w:val="left"/>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Noteikumu 11. </w:t>
            </w:r>
            <w:r w:rsidR="00C0304D" w:rsidRPr="00D8196B">
              <w:rPr>
                <w:rFonts w:ascii="Times New Roman" w:eastAsia="Times New Roman" w:hAnsi="Times New Roman"/>
                <w:sz w:val="26"/>
                <w:szCs w:val="26"/>
                <w:lang w:eastAsia="lv-LV"/>
              </w:rPr>
              <w:t xml:space="preserve">punkts </w:t>
            </w:r>
          </w:p>
        </w:tc>
        <w:tc>
          <w:tcPr>
            <w:tcW w:w="1886" w:type="dxa"/>
            <w:gridSpan w:val="2"/>
            <w:tcBorders>
              <w:top w:val="outset" w:sz="6" w:space="0" w:color="auto"/>
              <w:left w:val="outset" w:sz="6" w:space="0" w:color="auto"/>
              <w:bottom w:val="outset" w:sz="6" w:space="0" w:color="auto"/>
              <w:right w:val="outset" w:sz="6" w:space="0" w:color="auto"/>
            </w:tcBorders>
            <w:hideMark/>
          </w:tcPr>
          <w:p w:rsidR="00C0304D" w:rsidRPr="00D8196B" w:rsidRDefault="00C0304D"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C0304D" w:rsidRPr="00D8196B" w:rsidRDefault="00C0304D"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865E4F"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865E4F" w:rsidRPr="00D8196B" w:rsidRDefault="00865E4F" w:rsidP="00865E4F">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Regula Nr.2913/92 190.pants </w:t>
            </w:r>
          </w:p>
        </w:tc>
        <w:tc>
          <w:tcPr>
            <w:tcW w:w="1975" w:type="dxa"/>
            <w:gridSpan w:val="6"/>
            <w:tcBorders>
              <w:top w:val="outset" w:sz="6" w:space="0" w:color="auto"/>
              <w:left w:val="outset" w:sz="6" w:space="0" w:color="auto"/>
              <w:bottom w:val="outset" w:sz="6" w:space="0" w:color="auto"/>
              <w:right w:val="outset" w:sz="6" w:space="0" w:color="auto"/>
            </w:tcBorders>
            <w:hideMark/>
          </w:tcPr>
          <w:p w:rsidR="00865E4F" w:rsidRPr="00D8196B" w:rsidRDefault="00865E4F" w:rsidP="00FD52A9">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Noteikumu 1</w:t>
            </w:r>
            <w:r w:rsidR="00FD52A9">
              <w:rPr>
                <w:rFonts w:ascii="Times New Roman" w:eastAsia="Times New Roman" w:hAnsi="Times New Roman"/>
                <w:sz w:val="26"/>
                <w:szCs w:val="26"/>
                <w:lang w:eastAsia="lv-LV"/>
              </w:rPr>
              <w:t>2</w:t>
            </w:r>
            <w:r w:rsidRPr="00D8196B">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865E4F" w:rsidRPr="00D8196B" w:rsidRDefault="00865E4F" w:rsidP="00865E4F">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865E4F" w:rsidRPr="00D8196B" w:rsidRDefault="00865E4F" w:rsidP="00865E4F">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FF1572"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FF1572" w:rsidRPr="00D8196B" w:rsidRDefault="00FF1572" w:rsidP="00FF1572">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Regula Nr.2913/92 19</w:t>
            </w:r>
            <w:r>
              <w:rPr>
                <w:rFonts w:ascii="Times New Roman" w:eastAsia="Times New Roman" w:hAnsi="Times New Roman"/>
                <w:sz w:val="26"/>
                <w:szCs w:val="26"/>
                <w:lang w:eastAsia="lv-LV"/>
              </w:rPr>
              <w:t>9</w:t>
            </w:r>
            <w:r w:rsidRPr="00D8196B">
              <w:rPr>
                <w:rFonts w:ascii="Times New Roman" w:eastAsia="Times New Roman" w:hAnsi="Times New Roman"/>
                <w:sz w:val="26"/>
                <w:szCs w:val="26"/>
                <w:lang w:eastAsia="lv-LV"/>
              </w:rPr>
              <w:t xml:space="preserve">.pants </w:t>
            </w:r>
          </w:p>
        </w:tc>
        <w:tc>
          <w:tcPr>
            <w:tcW w:w="1975" w:type="dxa"/>
            <w:gridSpan w:val="6"/>
            <w:tcBorders>
              <w:top w:val="outset" w:sz="6" w:space="0" w:color="auto"/>
              <w:left w:val="outset" w:sz="6" w:space="0" w:color="auto"/>
              <w:bottom w:val="outset" w:sz="6" w:space="0" w:color="auto"/>
              <w:right w:val="outset" w:sz="6" w:space="0" w:color="auto"/>
            </w:tcBorders>
            <w:hideMark/>
          </w:tcPr>
          <w:p w:rsidR="00FF1572" w:rsidRPr="00D8196B" w:rsidRDefault="00FF1572" w:rsidP="009B63BF">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Noteikumu 1</w:t>
            </w:r>
            <w:r w:rsidR="009B63BF">
              <w:rPr>
                <w:rFonts w:ascii="Times New Roman" w:eastAsia="Times New Roman" w:hAnsi="Times New Roman"/>
                <w:sz w:val="26"/>
                <w:szCs w:val="26"/>
                <w:lang w:eastAsia="lv-LV"/>
              </w:rPr>
              <w:t>5</w:t>
            </w:r>
            <w:r w:rsidRPr="00D8196B">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FF1572" w:rsidRPr="00D8196B" w:rsidRDefault="00FF1572" w:rsidP="00FF1572">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FF1572" w:rsidRPr="00D8196B" w:rsidRDefault="00FF1572" w:rsidP="00AF5A65">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C0304D" w:rsidRPr="006805A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C0304D" w:rsidRPr="006805AB" w:rsidRDefault="00C0304D" w:rsidP="006805AB">
            <w:pPr>
              <w:spacing w:before="100" w:beforeAutospacing="1" w:after="100" w:afterAutospacing="1" w:line="40" w:lineRule="atLeast"/>
              <w:ind w:left="0"/>
              <w:rPr>
                <w:rFonts w:ascii="Times New Roman" w:eastAsia="Times New Roman" w:hAnsi="Times New Roman"/>
                <w:sz w:val="26"/>
                <w:szCs w:val="26"/>
                <w:lang w:eastAsia="lv-LV"/>
              </w:rPr>
            </w:pPr>
            <w:r w:rsidRPr="006805AB">
              <w:rPr>
                <w:rFonts w:ascii="Times New Roman" w:eastAsia="Times New Roman" w:hAnsi="Times New Roman"/>
                <w:sz w:val="26"/>
                <w:szCs w:val="26"/>
                <w:lang w:eastAsia="lv-LV"/>
              </w:rPr>
              <w:t>Regula Nr.2913/92 1</w:t>
            </w:r>
            <w:r w:rsidR="006805AB" w:rsidRPr="006805AB">
              <w:rPr>
                <w:rFonts w:ascii="Times New Roman" w:eastAsia="Times New Roman" w:hAnsi="Times New Roman"/>
                <w:sz w:val="26"/>
                <w:szCs w:val="26"/>
                <w:lang w:eastAsia="lv-LV"/>
              </w:rPr>
              <w:t>8</w:t>
            </w:r>
            <w:r w:rsidRPr="006805AB">
              <w:rPr>
                <w:rFonts w:ascii="Times New Roman" w:eastAsia="Times New Roman" w:hAnsi="Times New Roman"/>
                <w:sz w:val="26"/>
                <w:szCs w:val="26"/>
                <w:lang w:eastAsia="lv-LV"/>
              </w:rPr>
              <w:t>9.pant</w:t>
            </w:r>
            <w:r w:rsidR="006805AB" w:rsidRPr="006805AB">
              <w:rPr>
                <w:rFonts w:ascii="Times New Roman" w:eastAsia="Times New Roman" w:hAnsi="Times New Roman"/>
                <w:sz w:val="26"/>
                <w:szCs w:val="26"/>
                <w:lang w:eastAsia="lv-LV"/>
              </w:rPr>
              <w:t>a trešā daļa</w:t>
            </w:r>
          </w:p>
        </w:tc>
        <w:tc>
          <w:tcPr>
            <w:tcW w:w="1975" w:type="dxa"/>
            <w:gridSpan w:val="6"/>
            <w:tcBorders>
              <w:top w:val="outset" w:sz="6" w:space="0" w:color="auto"/>
              <w:left w:val="outset" w:sz="6" w:space="0" w:color="auto"/>
              <w:bottom w:val="outset" w:sz="6" w:space="0" w:color="auto"/>
              <w:right w:val="outset" w:sz="6" w:space="0" w:color="auto"/>
            </w:tcBorders>
            <w:hideMark/>
          </w:tcPr>
          <w:p w:rsidR="00C0304D" w:rsidRPr="006805AB" w:rsidRDefault="00C0304D" w:rsidP="009B63BF">
            <w:pPr>
              <w:spacing w:before="100" w:beforeAutospacing="1" w:after="100" w:afterAutospacing="1" w:line="40" w:lineRule="atLeast"/>
              <w:ind w:left="0"/>
              <w:jc w:val="left"/>
              <w:rPr>
                <w:rFonts w:ascii="Times New Roman" w:eastAsia="Times New Roman" w:hAnsi="Times New Roman"/>
                <w:sz w:val="26"/>
                <w:szCs w:val="26"/>
                <w:lang w:eastAsia="lv-LV"/>
              </w:rPr>
            </w:pPr>
            <w:r w:rsidRPr="006805AB">
              <w:rPr>
                <w:rFonts w:ascii="Times New Roman" w:eastAsia="Times New Roman" w:hAnsi="Times New Roman"/>
                <w:sz w:val="26"/>
                <w:szCs w:val="26"/>
                <w:lang w:eastAsia="lv-LV"/>
              </w:rPr>
              <w:t>Noteikumu 1</w:t>
            </w:r>
            <w:r w:rsidR="009B63BF">
              <w:rPr>
                <w:rFonts w:ascii="Times New Roman" w:eastAsia="Times New Roman" w:hAnsi="Times New Roman"/>
                <w:sz w:val="26"/>
                <w:szCs w:val="26"/>
                <w:lang w:eastAsia="lv-LV"/>
              </w:rPr>
              <w:t>6</w:t>
            </w:r>
            <w:r w:rsidRPr="006805AB">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C0304D" w:rsidRPr="006805AB" w:rsidRDefault="00C0304D"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6805A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C0304D" w:rsidRPr="006805AB" w:rsidRDefault="00C0304D"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6805AB">
              <w:rPr>
                <w:rFonts w:ascii="Times New Roman" w:eastAsia="Times New Roman" w:hAnsi="Times New Roman"/>
                <w:sz w:val="26"/>
                <w:szCs w:val="26"/>
                <w:lang w:eastAsia="lv-LV"/>
              </w:rPr>
              <w:t>Nacionālais tiesību akts neparedz stingrākas prasības</w:t>
            </w:r>
          </w:p>
        </w:tc>
      </w:tr>
      <w:tr w:rsidR="009B63BF" w:rsidRPr="005F5E86"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9B63BF" w:rsidRPr="005F5E86" w:rsidRDefault="005F5E86" w:rsidP="005F5E86">
            <w:pPr>
              <w:spacing w:before="100" w:beforeAutospacing="1" w:after="100" w:afterAutospacing="1" w:line="40" w:lineRule="atLeast"/>
              <w:ind w:left="0"/>
              <w:rPr>
                <w:rFonts w:ascii="Times New Roman" w:eastAsia="Times New Roman" w:hAnsi="Times New Roman"/>
                <w:b/>
                <w:sz w:val="26"/>
                <w:szCs w:val="26"/>
                <w:lang w:eastAsia="lv-LV"/>
              </w:rPr>
            </w:pPr>
            <w:r w:rsidRPr="005F5E86">
              <w:rPr>
                <w:rFonts w:ascii="Times New Roman" w:eastAsia="Times New Roman" w:hAnsi="Times New Roman"/>
                <w:b/>
                <w:sz w:val="26"/>
                <w:szCs w:val="26"/>
                <w:lang w:eastAsia="lv-LV"/>
              </w:rPr>
              <w:t xml:space="preserve">Regula Nr. 2454/93 308.a panta 2.punkts </w:t>
            </w:r>
          </w:p>
        </w:tc>
        <w:tc>
          <w:tcPr>
            <w:tcW w:w="1975" w:type="dxa"/>
            <w:gridSpan w:val="6"/>
            <w:tcBorders>
              <w:top w:val="outset" w:sz="6" w:space="0" w:color="auto"/>
              <w:left w:val="outset" w:sz="6" w:space="0" w:color="auto"/>
              <w:bottom w:val="outset" w:sz="6" w:space="0" w:color="auto"/>
              <w:right w:val="outset" w:sz="6" w:space="0" w:color="auto"/>
            </w:tcBorders>
          </w:tcPr>
          <w:p w:rsidR="009B63BF" w:rsidRPr="005F5E86" w:rsidRDefault="005F5E86" w:rsidP="009B63BF">
            <w:pPr>
              <w:spacing w:before="100" w:beforeAutospacing="1" w:after="100" w:afterAutospacing="1" w:line="40" w:lineRule="atLeast"/>
              <w:ind w:left="0"/>
              <w:jc w:val="left"/>
              <w:rPr>
                <w:rFonts w:ascii="Times New Roman" w:eastAsia="Times New Roman" w:hAnsi="Times New Roman"/>
                <w:b/>
                <w:sz w:val="26"/>
                <w:szCs w:val="26"/>
                <w:lang w:eastAsia="lv-LV"/>
              </w:rPr>
            </w:pPr>
            <w:r w:rsidRPr="005F5E86">
              <w:rPr>
                <w:rFonts w:ascii="Times New Roman" w:eastAsia="Times New Roman" w:hAnsi="Times New Roman"/>
                <w:b/>
                <w:sz w:val="26"/>
                <w:szCs w:val="26"/>
                <w:lang w:eastAsia="lv-LV"/>
              </w:rPr>
              <w:t>32.un 33.punkts</w:t>
            </w:r>
          </w:p>
        </w:tc>
        <w:tc>
          <w:tcPr>
            <w:tcW w:w="1886" w:type="dxa"/>
            <w:gridSpan w:val="2"/>
            <w:tcBorders>
              <w:top w:val="outset" w:sz="6" w:space="0" w:color="auto"/>
              <w:left w:val="outset" w:sz="6" w:space="0" w:color="auto"/>
              <w:bottom w:val="outset" w:sz="6" w:space="0" w:color="auto"/>
              <w:right w:val="outset" w:sz="6" w:space="0" w:color="auto"/>
            </w:tcBorders>
          </w:tcPr>
          <w:p w:rsidR="009B63BF" w:rsidRPr="005F5E86" w:rsidRDefault="005F5E86" w:rsidP="00C0304D">
            <w:pPr>
              <w:spacing w:before="100" w:beforeAutospacing="1" w:after="100" w:afterAutospacing="1" w:line="40" w:lineRule="atLeast"/>
              <w:ind w:left="0"/>
              <w:jc w:val="left"/>
              <w:rPr>
                <w:rFonts w:ascii="Times New Roman" w:eastAsia="Times New Roman" w:hAnsi="Times New Roman"/>
                <w:b/>
                <w:sz w:val="26"/>
                <w:szCs w:val="26"/>
                <w:lang w:eastAsia="lv-LV"/>
              </w:rPr>
            </w:pPr>
            <w:r w:rsidRPr="005F5E86">
              <w:rPr>
                <w:rFonts w:ascii="Times New Roman" w:eastAsia="Times New Roman" w:hAnsi="Times New Roman"/>
                <w:b/>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9B63BF" w:rsidRPr="005F5E86" w:rsidRDefault="005F5E86" w:rsidP="00C0304D">
            <w:pPr>
              <w:spacing w:before="100" w:beforeAutospacing="1" w:after="100" w:afterAutospacing="1" w:line="40" w:lineRule="atLeast"/>
              <w:ind w:left="0"/>
              <w:jc w:val="left"/>
              <w:rPr>
                <w:rFonts w:ascii="Times New Roman" w:eastAsia="Times New Roman" w:hAnsi="Times New Roman"/>
                <w:b/>
                <w:sz w:val="26"/>
                <w:szCs w:val="26"/>
                <w:lang w:eastAsia="lv-LV"/>
              </w:rPr>
            </w:pPr>
            <w:r w:rsidRPr="005F5E86">
              <w:rPr>
                <w:rFonts w:ascii="Times New Roman" w:eastAsia="Times New Roman" w:hAnsi="Times New Roman"/>
                <w:b/>
                <w:sz w:val="26"/>
                <w:szCs w:val="26"/>
                <w:lang w:eastAsia="lv-LV"/>
              </w:rPr>
              <w:t>Nacionālais tiesību akts neparedz stingrākas prasības</w:t>
            </w:r>
          </w:p>
        </w:tc>
      </w:tr>
      <w:tr w:rsidR="00DB3960"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E53AA8" w:rsidRPr="002E187F" w:rsidRDefault="00DB3960" w:rsidP="00E53AA8">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2913/92</w:t>
            </w:r>
            <w:r w:rsidR="00E53AA8" w:rsidRPr="002E187F">
              <w:rPr>
                <w:rFonts w:ascii="Times New Roman" w:eastAsia="Times New Roman" w:hAnsi="Times New Roman"/>
                <w:sz w:val="26"/>
                <w:szCs w:val="26"/>
                <w:lang w:eastAsia="lv-LV"/>
              </w:rPr>
              <w:t xml:space="preserve"> </w:t>
            </w:r>
            <w:r w:rsidR="00AC7CA0" w:rsidRPr="002E187F">
              <w:rPr>
                <w:rFonts w:ascii="Times New Roman" w:eastAsia="Times New Roman" w:hAnsi="Times New Roman"/>
                <w:sz w:val="26"/>
                <w:szCs w:val="26"/>
                <w:lang w:eastAsia="lv-LV"/>
              </w:rPr>
              <w:t xml:space="preserve">14. un </w:t>
            </w:r>
            <w:r w:rsidR="00E53AA8" w:rsidRPr="002E187F">
              <w:rPr>
                <w:rFonts w:ascii="Times New Roman" w:eastAsia="Times New Roman" w:hAnsi="Times New Roman"/>
                <w:sz w:val="26"/>
                <w:szCs w:val="26"/>
                <w:lang w:eastAsia="lv-LV"/>
              </w:rPr>
              <w:t>68.pants</w:t>
            </w:r>
            <w:r w:rsidRPr="002E187F">
              <w:rPr>
                <w:rFonts w:ascii="Times New Roman" w:eastAsia="Times New Roman" w:hAnsi="Times New Roman"/>
                <w:sz w:val="26"/>
                <w:szCs w:val="26"/>
                <w:lang w:eastAsia="lv-LV"/>
              </w:rPr>
              <w:t xml:space="preserve"> </w:t>
            </w:r>
          </w:p>
          <w:p w:rsidR="00DB3960" w:rsidRPr="002E187F" w:rsidRDefault="00E53AA8" w:rsidP="00E53AA8">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 xml:space="preserve">Regula </w:t>
            </w:r>
            <w:r w:rsidR="00DB3960" w:rsidRPr="002E187F">
              <w:rPr>
                <w:rFonts w:ascii="Times New Roman" w:eastAsia="Times New Roman" w:hAnsi="Times New Roman"/>
                <w:sz w:val="26"/>
                <w:szCs w:val="26"/>
                <w:lang w:eastAsia="lv-LV"/>
              </w:rPr>
              <w:t>Nr.2454/93 </w:t>
            </w:r>
            <w:r w:rsidRPr="002E187F">
              <w:rPr>
                <w:rFonts w:ascii="Times New Roman" w:eastAsia="Times New Roman" w:hAnsi="Times New Roman"/>
                <w:sz w:val="26"/>
                <w:szCs w:val="26"/>
                <w:lang w:eastAsia="lv-LV"/>
              </w:rPr>
              <w:t>181.a</w:t>
            </w:r>
            <w:r w:rsidR="00DB3960" w:rsidRPr="002E187F">
              <w:rPr>
                <w:rFonts w:ascii="Times New Roman" w:eastAsia="Times New Roman" w:hAnsi="Times New Roman"/>
                <w:sz w:val="26"/>
                <w:szCs w:val="26"/>
                <w:lang w:eastAsia="lv-LV"/>
              </w:rPr>
              <w:t> </w:t>
            </w:r>
            <w:r w:rsidR="00DB3960" w:rsidRPr="002E187F" w:rsidDel="001F15D3">
              <w:rPr>
                <w:rFonts w:ascii="Times New Roman" w:eastAsia="Times New Roman" w:hAnsi="Times New Roman"/>
                <w:sz w:val="26"/>
                <w:szCs w:val="26"/>
                <w:lang w:eastAsia="lv-LV"/>
              </w:rPr>
              <w:t xml:space="preserve"> </w:t>
            </w:r>
            <w:r w:rsidR="00DB3960" w:rsidRPr="002E187F">
              <w:rPr>
                <w:rFonts w:ascii="Times New Roman" w:eastAsia="Times New Roman" w:hAnsi="Times New Roman"/>
                <w:sz w:val="26"/>
                <w:szCs w:val="26"/>
                <w:lang w:eastAsia="lv-LV"/>
              </w:rPr>
              <w:t>pants</w:t>
            </w:r>
          </w:p>
        </w:tc>
        <w:tc>
          <w:tcPr>
            <w:tcW w:w="1975" w:type="dxa"/>
            <w:gridSpan w:val="6"/>
            <w:tcBorders>
              <w:top w:val="outset" w:sz="6" w:space="0" w:color="auto"/>
              <w:left w:val="outset" w:sz="6" w:space="0" w:color="auto"/>
              <w:bottom w:val="outset" w:sz="6" w:space="0" w:color="auto"/>
              <w:right w:val="outset" w:sz="6" w:space="0" w:color="auto"/>
            </w:tcBorders>
          </w:tcPr>
          <w:p w:rsidR="00DB3960" w:rsidRPr="002E187F" w:rsidRDefault="00DB3960" w:rsidP="009B63BF">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3</w:t>
            </w:r>
            <w:r w:rsidR="009B63BF">
              <w:rPr>
                <w:rFonts w:ascii="Times New Roman" w:eastAsia="Times New Roman" w:hAnsi="Times New Roman"/>
                <w:sz w:val="26"/>
                <w:szCs w:val="26"/>
                <w:lang w:eastAsia="lv-LV"/>
              </w:rPr>
              <w:t>5</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DB3960" w:rsidRPr="002E187F" w:rsidRDefault="00DB3960"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DB3960" w:rsidRPr="002E187F" w:rsidRDefault="00DB3960"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DB3960"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E53AA8" w:rsidRPr="002E187F" w:rsidRDefault="00E53AA8" w:rsidP="00E53AA8">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 xml:space="preserve">Regula 2913/92 68.pants </w:t>
            </w:r>
          </w:p>
          <w:p w:rsidR="00DB3960" w:rsidRPr="002E187F" w:rsidRDefault="00E53AA8" w:rsidP="00E53AA8">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Nr.2454/93 181.a </w:t>
            </w:r>
            <w:r w:rsidRPr="002E187F" w:rsidDel="001F15D3">
              <w:rPr>
                <w:rFonts w:ascii="Times New Roman" w:eastAsia="Times New Roman" w:hAnsi="Times New Roman"/>
                <w:sz w:val="26"/>
                <w:szCs w:val="26"/>
                <w:lang w:eastAsia="lv-LV"/>
              </w:rPr>
              <w:t xml:space="preserve"> </w:t>
            </w:r>
            <w:r w:rsidRPr="002E187F">
              <w:rPr>
                <w:rFonts w:ascii="Times New Roman" w:eastAsia="Times New Roman" w:hAnsi="Times New Roman"/>
                <w:sz w:val="26"/>
                <w:szCs w:val="26"/>
                <w:lang w:eastAsia="lv-LV"/>
              </w:rPr>
              <w:t>pants</w:t>
            </w:r>
          </w:p>
        </w:tc>
        <w:tc>
          <w:tcPr>
            <w:tcW w:w="1975" w:type="dxa"/>
            <w:gridSpan w:val="6"/>
            <w:tcBorders>
              <w:top w:val="outset" w:sz="6" w:space="0" w:color="auto"/>
              <w:left w:val="outset" w:sz="6" w:space="0" w:color="auto"/>
              <w:bottom w:val="outset" w:sz="6" w:space="0" w:color="auto"/>
              <w:right w:val="outset" w:sz="6" w:space="0" w:color="auto"/>
            </w:tcBorders>
          </w:tcPr>
          <w:p w:rsidR="00DB3960" w:rsidRPr="002E187F" w:rsidRDefault="00DB3960" w:rsidP="005F5E86">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3</w:t>
            </w:r>
            <w:r w:rsidR="005F5E86">
              <w:rPr>
                <w:rFonts w:ascii="Times New Roman" w:eastAsia="Times New Roman" w:hAnsi="Times New Roman"/>
                <w:sz w:val="26"/>
                <w:szCs w:val="26"/>
                <w:lang w:eastAsia="lv-LV"/>
              </w:rPr>
              <w:t>6</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DB3960" w:rsidRPr="002E187F" w:rsidRDefault="00DB3960"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DB3960" w:rsidRPr="002E187F" w:rsidRDefault="00DB3960"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0E45C1"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0E45C1" w:rsidRPr="002E187F" w:rsidRDefault="000E45C1" w:rsidP="000E45C1">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Nr.2454/93 345., 346. un 347. </w:t>
            </w:r>
            <w:r w:rsidRPr="002E187F" w:rsidDel="001F15D3">
              <w:rPr>
                <w:rFonts w:ascii="Times New Roman" w:eastAsia="Times New Roman" w:hAnsi="Times New Roman"/>
                <w:sz w:val="26"/>
                <w:szCs w:val="26"/>
                <w:lang w:eastAsia="lv-LV"/>
              </w:rPr>
              <w:t xml:space="preserve"> </w:t>
            </w:r>
            <w:r w:rsidRPr="002E187F">
              <w:rPr>
                <w:rFonts w:ascii="Times New Roman" w:eastAsia="Times New Roman" w:hAnsi="Times New Roman"/>
                <w:sz w:val="26"/>
                <w:szCs w:val="26"/>
                <w:lang w:eastAsia="lv-LV"/>
              </w:rPr>
              <w:t>pants</w:t>
            </w:r>
          </w:p>
        </w:tc>
        <w:tc>
          <w:tcPr>
            <w:tcW w:w="1975" w:type="dxa"/>
            <w:gridSpan w:val="6"/>
            <w:tcBorders>
              <w:top w:val="outset" w:sz="6" w:space="0" w:color="auto"/>
              <w:left w:val="outset" w:sz="6" w:space="0" w:color="auto"/>
              <w:bottom w:val="outset" w:sz="6" w:space="0" w:color="auto"/>
              <w:right w:val="outset" w:sz="6" w:space="0" w:color="auto"/>
            </w:tcBorders>
          </w:tcPr>
          <w:p w:rsidR="000E45C1" w:rsidRPr="002E187F" w:rsidRDefault="000E45C1" w:rsidP="00024C3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4</w:t>
            </w:r>
            <w:r w:rsidR="00024C37">
              <w:rPr>
                <w:rFonts w:ascii="Times New Roman" w:eastAsia="Times New Roman" w:hAnsi="Times New Roman"/>
                <w:sz w:val="26"/>
                <w:szCs w:val="26"/>
                <w:lang w:eastAsia="lv-LV"/>
              </w:rPr>
              <w:t>5</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0E45C1" w:rsidRPr="002E187F" w:rsidRDefault="000E45C1"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0E45C1" w:rsidRPr="002E187F" w:rsidRDefault="000E45C1" w:rsidP="00C0304D">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073B63"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073B63" w:rsidRPr="002E187F" w:rsidRDefault="00073B63" w:rsidP="00024C37">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348.pant</w:t>
            </w:r>
            <w:r w:rsidR="00024C37">
              <w:rPr>
                <w:rFonts w:ascii="Times New Roman" w:eastAsia="Times New Roman" w:hAnsi="Times New Roman"/>
                <w:sz w:val="26"/>
                <w:szCs w:val="26"/>
                <w:lang w:eastAsia="lv-LV"/>
              </w:rPr>
              <w:t>s</w:t>
            </w:r>
          </w:p>
        </w:tc>
        <w:tc>
          <w:tcPr>
            <w:tcW w:w="1975" w:type="dxa"/>
            <w:gridSpan w:val="6"/>
            <w:tcBorders>
              <w:top w:val="outset" w:sz="6" w:space="0" w:color="auto"/>
              <w:left w:val="outset" w:sz="6" w:space="0" w:color="auto"/>
              <w:bottom w:val="outset" w:sz="6" w:space="0" w:color="auto"/>
              <w:right w:val="outset" w:sz="6" w:space="0" w:color="auto"/>
            </w:tcBorders>
            <w:hideMark/>
          </w:tcPr>
          <w:p w:rsidR="00073B63" w:rsidRPr="002E187F" w:rsidRDefault="00073B63" w:rsidP="00024C3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4</w:t>
            </w:r>
            <w:r w:rsidR="00024C37">
              <w:rPr>
                <w:rFonts w:ascii="Times New Roman" w:eastAsia="Times New Roman" w:hAnsi="Times New Roman"/>
                <w:sz w:val="26"/>
                <w:szCs w:val="26"/>
                <w:lang w:eastAsia="lv-LV"/>
              </w:rPr>
              <w:t>9</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073B63" w:rsidRPr="002E187F" w:rsidRDefault="00073B63"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073B63" w:rsidRPr="002E187F" w:rsidRDefault="00073B63"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AC1327"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AC1327" w:rsidRPr="002E187F" w:rsidRDefault="00AC1327" w:rsidP="00073B63">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Nr.2454/93 379.pants</w:t>
            </w:r>
          </w:p>
        </w:tc>
        <w:tc>
          <w:tcPr>
            <w:tcW w:w="1975" w:type="dxa"/>
            <w:gridSpan w:val="6"/>
            <w:tcBorders>
              <w:top w:val="outset" w:sz="6" w:space="0" w:color="auto"/>
              <w:left w:val="outset" w:sz="6" w:space="0" w:color="auto"/>
              <w:bottom w:val="outset" w:sz="6" w:space="0" w:color="auto"/>
              <w:right w:val="outset" w:sz="6" w:space="0" w:color="auto"/>
            </w:tcBorders>
          </w:tcPr>
          <w:p w:rsidR="00AC1327" w:rsidRPr="002E187F" w:rsidRDefault="00AC1327" w:rsidP="00024C3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5</w:t>
            </w:r>
            <w:r w:rsidR="00024C37">
              <w:rPr>
                <w:rFonts w:ascii="Times New Roman" w:eastAsia="Times New Roman" w:hAnsi="Times New Roman"/>
                <w:sz w:val="26"/>
                <w:szCs w:val="26"/>
                <w:lang w:eastAsia="lv-LV"/>
              </w:rPr>
              <w:t>4</w:t>
            </w:r>
            <w:r w:rsidRPr="002E187F">
              <w:rPr>
                <w:rFonts w:ascii="Times New Roman" w:eastAsia="Times New Roman" w:hAnsi="Times New Roman"/>
                <w:sz w:val="26"/>
                <w:szCs w:val="26"/>
                <w:lang w:eastAsia="lv-LV"/>
              </w:rPr>
              <w:t>.1.2.punkts</w:t>
            </w:r>
          </w:p>
        </w:tc>
        <w:tc>
          <w:tcPr>
            <w:tcW w:w="1886" w:type="dxa"/>
            <w:gridSpan w:val="2"/>
            <w:tcBorders>
              <w:top w:val="outset" w:sz="6" w:space="0" w:color="auto"/>
              <w:left w:val="outset" w:sz="6" w:space="0" w:color="auto"/>
              <w:bottom w:val="outset" w:sz="6" w:space="0" w:color="auto"/>
              <w:right w:val="outset" w:sz="6" w:space="0" w:color="auto"/>
            </w:tcBorders>
          </w:tcPr>
          <w:p w:rsidR="00AC1327" w:rsidRPr="002E187F"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AC1327" w:rsidRPr="002E187F"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0E45C1"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0E45C1" w:rsidRPr="002E187F" w:rsidRDefault="000E45C1" w:rsidP="00073B63">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Nr. 2913/92 94.pants</w:t>
            </w:r>
          </w:p>
          <w:p w:rsidR="000E45C1" w:rsidRPr="002E187F" w:rsidRDefault="000E45C1" w:rsidP="000E45C1">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Nr.2454/93 373.pants</w:t>
            </w:r>
          </w:p>
        </w:tc>
        <w:tc>
          <w:tcPr>
            <w:tcW w:w="1975" w:type="dxa"/>
            <w:gridSpan w:val="6"/>
            <w:tcBorders>
              <w:top w:val="outset" w:sz="6" w:space="0" w:color="auto"/>
              <w:left w:val="outset" w:sz="6" w:space="0" w:color="auto"/>
              <w:bottom w:val="outset" w:sz="6" w:space="0" w:color="auto"/>
              <w:right w:val="outset" w:sz="6" w:space="0" w:color="auto"/>
            </w:tcBorders>
          </w:tcPr>
          <w:p w:rsidR="000E45C1" w:rsidRPr="002E187F" w:rsidRDefault="000E45C1" w:rsidP="00024C3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5</w:t>
            </w:r>
            <w:r w:rsidR="00024C37">
              <w:rPr>
                <w:rFonts w:ascii="Times New Roman" w:eastAsia="Times New Roman" w:hAnsi="Times New Roman"/>
                <w:sz w:val="26"/>
                <w:szCs w:val="26"/>
                <w:lang w:eastAsia="lv-LV"/>
              </w:rPr>
              <w:t>7</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0E45C1" w:rsidRPr="002E187F" w:rsidRDefault="000E45C1"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0E45C1" w:rsidRPr="002E187F" w:rsidRDefault="000E45C1"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AC1327"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AC1327" w:rsidRPr="002E187F" w:rsidRDefault="00AC1327" w:rsidP="00AC1327">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Nr.2454/93 379.pants</w:t>
            </w:r>
          </w:p>
        </w:tc>
        <w:tc>
          <w:tcPr>
            <w:tcW w:w="1975" w:type="dxa"/>
            <w:gridSpan w:val="6"/>
            <w:tcBorders>
              <w:top w:val="outset" w:sz="6" w:space="0" w:color="auto"/>
              <w:left w:val="outset" w:sz="6" w:space="0" w:color="auto"/>
              <w:bottom w:val="outset" w:sz="6" w:space="0" w:color="auto"/>
              <w:right w:val="outset" w:sz="6" w:space="0" w:color="auto"/>
            </w:tcBorders>
          </w:tcPr>
          <w:p w:rsidR="00AC1327" w:rsidRPr="002E187F" w:rsidRDefault="00AC1327" w:rsidP="00611002">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Noteikumu 7</w:t>
            </w:r>
            <w:r w:rsidR="00611002">
              <w:rPr>
                <w:rFonts w:ascii="Times New Roman" w:eastAsia="Times New Roman" w:hAnsi="Times New Roman"/>
                <w:sz w:val="26"/>
                <w:szCs w:val="26"/>
                <w:lang w:eastAsia="lv-LV"/>
              </w:rPr>
              <w:t>9</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AC1327" w:rsidRPr="002E187F"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AC1327" w:rsidRPr="002E187F" w:rsidRDefault="00AC1327" w:rsidP="00AC132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AC1327" w:rsidRPr="002E187F"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AC1327" w:rsidRPr="002E187F" w:rsidRDefault="00AC1327" w:rsidP="00AC1327">
            <w:pPr>
              <w:spacing w:before="100" w:beforeAutospacing="1" w:after="100" w:afterAutospacing="1" w:line="40" w:lineRule="atLeast"/>
              <w:ind w:left="0"/>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Regula Nr.2454/93 380., 381. pants</w:t>
            </w:r>
          </w:p>
        </w:tc>
        <w:tc>
          <w:tcPr>
            <w:tcW w:w="1975" w:type="dxa"/>
            <w:gridSpan w:val="6"/>
            <w:tcBorders>
              <w:top w:val="outset" w:sz="6" w:space="0" w:color="auto"/>
              <w:left w:val="outset" w:sz="6" w:space="0" w:color="auto"/>
              <w:bottom w:val="outset" w:sz="6" w:space="0" w:color="auto"/>
              <w:right w:val="outset" w:sz="6" w:space="0" w:color="auto"/>
            </w:tcBorders>
          </w:tcPr>
          <w:p w:rsidR="00AC1327" w:rsidRPr="002E187F" w:rsidRDefault="00AC1327" w:rsidP="00611002">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 xml:space="preserve">Noteikumu </w:t>
            </w:r>
            <w:r w:rsidR="00611002">
              <w:rPr>
                <w:rFonts w:ascii="Times New Roman" w:eastAsia="Times New Roman" w:hAnsi="Times New Roman"/>
                <w:sz w:val="26"/>
                <w:szCs w:val="26"/>
                <w:lang w:eastAsia="lv-LV"/>
              </w:rPr>
              <w:t>82</w:t>
            </w:r>
            <w:r w:rsidRPr="002E187F">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AC1327" w:rsidRPr="002E187F"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AC1327" w:rsidRPr="002E187F" w:rsidRDefault="00AC1327" w:rsidP="00AC1327">
            <w:pPr>
              <w:spacing w:before="100" w:beforeAutospacing="1" w:after="100" w:afterAutospacing="1" w:line="40" w:lineRule="atLeast"/>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Nacionālais tiesību akts neparedz stingrākas prasības</w:t>
            </w:r>
          </w:p>
        </w:tc>
      </w:tr>
      <w:tr w:rsidR="00AC1327"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hideMark/>
          </w:tcPr>
          <w:p w:rsidR="00AC1327" w:rsidRPr="00D8196B" w:rsidRDefault="00AC1327" w:rsidP="00D64D49">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Regula Nr.2454/93 380.pants</w:t>
            </w:r>
          </w:p>
        </w:tc>
        <w:tc>
          <w:tcPr>
            <w:tcW w:w="1975"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611002">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Noteikumu 8</w:t>
            </w:r>
            <w:r w:rsidR="00611002">
              <w:rPr>
                <w:rFonts w:ascii="Times New Roman" w:eastAsia="Times New Roman" w:hAnsi="Times New Roman"/>
                <w:sz w:val="26"/>
                <w:szCs w:val="26"/>
                <w:lang w:eastAsia="lv-LV"/>
              </w:rPr>
              <w:t>4</w:t>
            </w:r>
            <w:r w:rsidRPr="00D8196B">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hideMark/>
          </w:tcPr>
          <w:p w:rsidR="00AC1327" w:rsidRPr="00D8196B" w:rsidRDefault="00AC1327"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D64D49" w:rsidRPr="00D8196B" w:rsidTr="0031698A">
        <w:trPr>
          <w:trHeight w:val="889"/>
          <w:tblCellSpacing w:w="0" w:type="dxa"/>
        </w:trPr>
        <w:tc>
          <w:tcPr>
            <w:tcW w:w="2538" w:type="dxa"/>
            <w:gridSpan w:val="4"/>
            <w:tcBorders>
              <w:top w:val="outset" w:sz="6" w:space="0" w:color="auto"/>
              <w:left w:val="outset" w:sz="6" w:space="0" w:color="auto"/>
              <w:bottom w:val="outset" w:sz="6" w:space="0" w:color="auto"/>
              <w:right w:val="outset" w:sz="6" w:space="0" w:color="auto"/>
            </w:tcBorders>
          </w:tcPr>
          <w:p w:rsidR="00D64D49" w:rsidRPr="00D8196B" w:rsidRDefault="00D64D49" w:rsidP="00D64D49">
            <w:pPr>
              <w:spacing w:before="100" w:beforeAutospacing="1" w:after="100" w:afterAutospacing="1" w:line="40" w:lineRule="atLeast"/>
              <w:ind w:left="0"/>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Regula Nr.2454/93 38</w:t>
            </w:r>
            <w:r>
              <w:rPr>
                <w:rFonts w:ascii="Times New Roman" w:eastAsia="Times New Roman" w:hAnsi="Times New Roman"/>
                <w:sz w:val="26"/>
                <w:szCs w:val="26"/>
                <w:lang w:eastAsia="lv-LV"/>
              </w:rPr>
              <w:t>3</w:t>
            </w:r>
            <w:r w:rsidRPr="00D8196B">
              <w:rPr>
                <w:rFonts w:ascii="Times New Roman" w:eastAsia="Times New Roman" w:hAnsi="Times New Roman"/>
                <w:sz w:val="26"/>
                <w:szCs w:val="26"/>
                <w:lang w:eastAsia="lv-LV"/>
              </w:rPr>
              <w:t>.</w:t>
            </w:r>
            <w:r>
              <w:rPr>
                <w:rFonts w:ascii="Times New Roman" w:eastAsia="Times New Roman" w:hAnsi="Times New Roman"/>
                <w:sz w:val="26"/>
                <w:szCs w:val="26"/>
                <w:lang w:eastAsia="lv-LV"/>
              </w:rPr>
              <w:t>panta 2.punkts</w:t>
            </w:r>
          </w:p>
        </w:tc>
        <w:tc>
          <w:tcPr>
            <w:tcW w:w="1975" w:type="dxa"/>
            <w:gridSpan w:val="6"/>
            <w:tcBorders>
              <w:top w:val="outset" w:sz="6" w:space="0" w:color="auto"/>
              <w:left w:val="outset" w:sz="6" w:space="0" w:color="auto"/>
              <w:bottom w:val="outset" w:sz="6" w:space="0" w:color="auto"/>
              <w:right w:val="outset" w:sz="6" w:space="0" w:color="auto"/>
            </w:tcBorders>
          </w:tcPr>
          <w:p w:rsidR="00D64D49" w:rsidRPr="00D8196B" w:rsidRDefault="00D64D49" w:rsidP="00611002">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Noteikumu 8</w:t>
            </w:r>
            <w:r>
              <w:rPr>
                <w:rFonts w:ascii="Times New Roman" w:eastAsia="Times New Roman" w:hAnsi="Times New Roman"/>
                <w:sz w:val="26"/>
                <w:szCs w:val="26"/>
                <w:lang w:eastAsia="lv-LV"/>
              </w:rPr>
              <w:t>6</w:t>
            </w:r>
            <w:r w:rsidRPr="00D8196B">
              <w:rPr>
                <w:rFonts w:ascii="Times New Roman" w:eastAsia="Times New Roman" w:hAnsi="Times New Roman"/>
                <w:sz w:val="26"/>
                <w:szCs w:val="26"/>
                <w:lang w:eastAsia="lv-LV"/>
              </w:rPr>
              <w:t>.punkts</w:t>
            </w:r>
          </w:p>
        </w:tc>
        <w:tc>
          <w:tcPr>
            <w:tcW w:w="1886" w:type="dxa"/>
            <w:gridSpan w:val="2"/>
            <w:tcBorders>
              <w:top w:val="outset" w:sz="6" w:space="0" w:color="auto"/>
              <w:left w:val="outset" w:sz="6" w:space="0" w:color="auto"/>
              <w:bottom w:val="outset" w:sz="6" w:space="0" w:color="auto"/>
              <w:right w:val="outset" w:sz="6" w:space="0" w:color="auto"/>
            </w:tcBorders>
          </w:tcPr>
          <w:p w:rsidR="00D64D49" w:rsidRPr="00D8196B" w:rsidRDefault="00D64D49"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Tiek ieviests pilnībā</w:t>
            </w:r>
          </w:p>
        </w:tc>
        <w:tc>
          <w:tcPr>
            <w:tcW w:w="2121" w:type="dxa"/>
            <w:tcBorders>
              <w:top w:val="outset" w:sz="6" w:space="0" w:color="auto"/>
              <w:left w:val="outset" w:sz="6" w:space="0" w:color="auto"/>
              <w:bottom w:val="outset" w:sz="6" w:space="0" w:color="auto"/>
              <w:right w:val="outset" w:sz="6" w:space="0" w:color="auto"/>
            </w:tcBorders>
          </w:tcPr>
          <w:p w:rsidR="00D64D49" w:rsidRPr="00D8196B" w:rsidRDefault="00D64D49" w:rsidP="00073B63">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Nacionālais tiesību akts neparedz stingrākas prasības</w:t>
            </w:r>
          </w:p>
        </w:tc>
      </w:tr>
      <w:tr w:rsidR="00AC1327" w:rsidRPr="00D8196B" w:rsidTr="0031698A">
        <w:trPr>
          <w:trHeight w:val="281"/>
          <w:tblCellSpacing w:w="0" w:type="dxa"/>
        </w:trPr>
        <w:tc>
          <w:tcPr>
            <w:tcW w:w="2538" w:type="dxa"/>
            <w:gridSpan w:val="4"/>
            <w:tcBorders>
              <w:top w:val="outset" w:sz="6" w:space="0" w:color="auto"/>
              <w:left w:val="outset" w:sz="6" w:space="0" w:color="auto"/>
              <w:bottom w:val="outset" w:sz="6" w:space="0" w:color="auto"/>
              <w:right w:val="outset" w:sz="6" w:space="0" w:color="auto"/>
            </w:tcBorders>
            <w:vAlign w:val="center"/>
            <w:hideMark/>
          </w:tcPr>
          <w:p w:rsidR="00AC1327" w:rsidRPr="00D8196B" w:rsidRDefault="00AC1327"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Kā ir izmantota ES tiesību aktā paredzētā rīcības brīvība dalībvalstij pārņemt vai ieviest noteiktas ES tiesību akta normas.</w:t>
            </w:r>
          </w:p>
          <w:p w:rsidR="00AC1327" w:rsidRPr="00D8196B" w:rsidRDefault="00AC1327"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Kādēļ?</w:t>
            </w:r>
          </w:p>
        </w:tc>
        <w:tc>
          <w:tcPr>
            <w:tcW w:w="5982" w:type="dxa"/>
            <w:gridSpan w:val="9"/>
            <w:tcBorders>
              <w:top w:val="outset" w:sz="6" w:space="0" w:color="auto"/>
              <w:left w:val="outset" w:sz="6" w:space="0" w:color="auto"/>
              <w:bottom w:val="outset" w:sz="6" w:space="0" w:color="auto"/>
              <w:right w:val="outset" w:sz="6" w:space="0" w:color="auto"/>
            </w:tcBorders>
            <w:hideMark/>
          </w:tcPr>
          <w:p w:rsidR="00AC1327" w:rsidRDefault="00AC1327" w:rsidP="0031698A">
            <w:pPr>
              <w:spacing w:before="100" w:beforeAutospacing="1" w:after="100" w:afterAutospacing="1" w:line="40" w:lineRule="atLeast"/>
              <w:ind w:left="156" w:right="126"/>
              <w:rPr>
                <w:rFonts w:ascii="Times New Roman" w:hAnsi="Times New Roman"/>
                <w:sz w:val="26"/>
                <w:szCs w:val="26"/>
              </w:rPr>
            </w:pPr>
            <w:r w:rsidRPr="00D8196B">
              <w:rPr>
                <w:rFonts w:ascii="Times New Roman" w:hAnsi="Times New Roman"/>
                <w:sz w:val="26"/>
                <w:szCs w:val="26"/>
              </w:rPr>
              <w:t xml:space="preserve">Regulas Nr.2913/92 74.pantā noteikts, ka, ja muitas deklarācijas pieņemšana </w:t>
            </w:r>
            <w:r w:rsidRPr="00D8196B">
              <w:rPr>
                <w:rFonts w:ascii="Times New Roman" w:hAnsi="Times New Roman"/>
                <w:sz w:val="26"/>
                <w:szCs w:val="26"/>
                <w:u w:val="single"/>
              </w:rPr>
              <w:t>rada muitas parādu</w:t>
            </w:r>
            <w:r w:rsidRPr="00D8196B">
              <w:rPr>
                <w:rFonts w:ascii="Times New Roman" w:hAnsi="Times New Roman"/>
                <w:sz w:val="26"/>
                <w:szCs w:val="26"/>
              </w:rPr>
              <w:t xml:space="preserve">, deklarācijā ietvertās preces nedrīkst atlaist, ja nav samaksāts muitas parāds vai dots nodrošinājums jeb galvojums. Tas nozīmē, piemērojot muitas procedūru – laišana brīvā apgrozībā (imports) ir muitas parāds ir jānodrošina ar galvojumu. Savukārt, piemērojot pārējās muitas procedūras (piemēram, glabāšana muitas noliktavā, ievešana uz laiku, ievešana pārstrādei) muitas parāds </w:t>
            </w:r>
            <w:r w:rsidRPr="00D8196B">
              <w:rPr>
                <w:rFonts w:ascii="Times New Roman" w:hAnsi="Times New Roman"/>
                <w:sz w:val="26"/>
                <w:szCs w:val="26"/>
                <w:u w:val="single"/>
              </w:rPr>
              <w:t>var rasties</w:t>
            </w:r>
            <w:r w:rsidRPr="00D8196B">
              <w:rPr>
                <w:rFonts w:ascii="Times New Roman" w:hAnsi="Times New Roman"/>
                <w:sz w:val="26"/>
                <w:szCs w:val="26"/>
              </w:rPr>
              <w:t xml:space="preserve"> un 190.pants nosaka, ka tādos gadījumos muitas dienesti pēc sava ieskata </w:t>
            </w:r>
            <w:r w:rsidRPr="00D8196B">
              <w:rPr>
                <w:rFonts w:ascii="Times New Roman" w:hAnsi="Times New Roman"/>
                <w:sz w:val="26"/>
                <w:szCs w:val="26"/>
                <w:u w:val="single"/>
              </w:rPr>
              <w:t>var pieprasīt</w:t>
            </w:r>
            <w:r w:rsidRPr="00D8196B">
              <w:rPr>
                <w:rFonts w:ascii="Times New Roman" w:hAnsi="Times New Roman"/>
                <w:sz w:val="26"/>
                <w:szCs w:val="26"/>
              </w:rPr>
              <w:t xml:space="preserve"> galvojumu. Projektā ir noteikti kritēriji, kurus komersantam izpildot, muitas dienesti to atbrīvo no galvojuma iesniegšanas.</w:t>
            </w:r>
          </w:p>
          <w:p w:rsidR="002E187F" w:rsidRPr="00277EA2" w:rsidRDefault="002E187F" w:rsidP="0031698A">
            <w:pPr>
              <w:spacing w:before="100" w:beforeAutospacing="1" w:after="100" w:afterAutospacing="1" w:line="40" w:lineRule="atLeast"/>
              <w:ind w:left="156" w:right="126"/>
              <w:rPr>
                <w:rFonts w:ascii="Times New Roman" w:hAnsi="Times New Roman"/>
                <w:sz w:val="26"/>
                <w:szCs w:val="26"/>
              </w:rPr>
            </w:pPr>
            <w:r w:rsidRPr="00277EA2">
              <w:rPr>
                <w:rFonts w:ascii="Times New Roman" w:hAnsi="Times New Roman"/>
                <w:sz w:val="26"/>
                <w:szCs w:val="26"/>
              </w:rPr>
              <w:t>Regulas Nr.2913/92 189.panta piektajā daļā ir noteikts, ka muitas dienesti var atcelt prasību par nodrošinājuma iesniegšanu, ja nodrošināmā summa nepārsniedz EUR 500. Projektā ir noteikta kārtība, kādā šis atbrīvojums var tikt piemērots.</w:t>
            </w:r>
          </w:p>
        </w:tc>
      </w:tr>
      <w:tr w:rsidR="00AC1327" w:rsidRPr="00D8196B" w:rsidTr="0031698A">
        <w:trPr>
          <w:trHeight w:val="913"/>
          <w:tblCellSpacing w:w="0" w:type="dxa"/>
        </w:trPr>
        <w:tc>
          <w:tcPr>
            <w:tcW w:w="2538" w:type="dxa"/>
            <w:gridSpan w:val="4"/>
            <w:tcBorders>
              <w:top w:val="outset" w:sz="6" w:space="0" w:color="auto"/>
              <w:left w:val="outset" w:sz="6" w:space="0" w:color="auto"/>
              <w:bottom w:val="outset" w:sz="6" w:space="0" w:color="auto"/>
              <w:right w:val="outset" w:sz="6" w:space="0" w:color="auto"/>
            </w:tcBorders>
            <w:vAlign w:val="center"/>
            <w:hideMark/>
          </w:tcPr>
          <w:p w:rsidR="00AC1327" w:rsidRPr="00D8196B" w:rsidRDefault="00AC1327"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82" w:type="dxa"/>
            <w:gridSpan w:val="9"/>
            <w:tcBorders>
              <w:top w:val="outset" w:sz="6" w:space="0" w:color="auto"/>
              <w:left w:val="outset" w:sz="6" w:space="0" w:color="auto"/>
              <w:bottom w:val="outset" w:sz="6" w:space="0" w:color="auto"/>
              <w:right w:val="outset" w:sz="6" w:space="0" w:color="auto"/>
            </w:tcBorders>
            <w:hideMark/>
          </w:tcPr>
          <w:p w:rsidR="00AC1327" w:rsidRPr="00D8196B" w:rsidRDefault="00AC1327" w:rsidP="00277EA2">
            <w:pPr>
              <w:spacing w:before="100" w:beforeAutospacing="1" w:after="100" w:afterAutospacing="1" w:line="40" w:lineRule="atLeast"/>
              <w:ind w:left="172"/>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Nav attiecināms.</w:t>
            </w:r>
          </w:p>
        </w:tc>
      </w:tr>
      <w:tr w:rsidR="00AC1327" w:rsidRPr="00D8196B" w:rsidTr="0031698A">
        <w:trPr>
          <w:trHeight w:val="913"/>
          <w:tblCellSpacing w:w="0" w:type="dxa"/>
        </w:trPr>
        <w:tc>
          <w:tcPr>
            <w:tcW w:w="2538" w:type="dxa"/>
            <w:gridSpan w:val="4"/>
            <w:tcBorders>
              <w:top w:val="outset" w:sz="6" w:space="0" w:color="auto"/>
              <w:left w:val="outset" w:sz="6" w:space="0" w:color="auto"/>
              <w:bottom w:val="outset" w:sz="6" w:space="0" w:color="auto"/>
              <w:right w:val="outset" w:sz="6" w:space="0" w:color="auto"/>
            </w:tcBorders>
            <w:vAlign w:val="center"/>
            <w:hideMark/>
          </w:tcPr>
          <w:p w:rsidR="00AC1327" w:rsidRPr="00D8196B" w:rsidRDefault="00AC1327"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Cita informācija</w:t>
            </w:r>
          </w:p>
        </w:tc>
        <w:tc>
          <w:tcPr>
            <w:tcW w:w="5982" w:type="dxa"/>
            <w:gridSpan w:val="9"/>
            <w:tcBorders>
              <w:top w:val="outset" w:sz="6" w:space="0" w:color="auto"/>
              <w:left w:val="outset" w:sz="6" w:space="0" w:color="auto"/>
              <w:bottom w:val="outset" w:sz="6" w:space="0" w:color="auto"/>
              <w:right w:val="outset" w:sz="6" w:space="0" w:color="auto"/>
            </w:tcBorders>
            <w:hideMark/>
          </w:tcPr>
          <w:p w:rsidR="00AC1327" w:rsidRPr="00D8196B" w:rsidRDefault="00277EA2" w:rsidP="001B708D">
            <w:pPr>
              <w:spacing w:before="100" w:beforeAutospacing="1" w:after="100" w:afterAutospacing="1" w:line="40" w:lineRule="atLeast"/>
              <w:ind w:left="0"/>
              <w:jc w:val="left"/>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 </w:t>
            </w:r>
            <w:r w:rsidR="00AC1327" w:rsidRPr="00D8196B">
              <w:rPr>
                <w:rFonts w:ascii="Times New Roman" w:eastAsia="Times New Roman" w:hAnsi="Times New Roman"/>
                <w:sz w:val="26"/>
                <w:szCs w:val="26"/>
                <w:lang w:eastAsia="lv-LV"/>
              </w:rPr>
              <w:t>Nav.</w:t>
            </w:r>
          </w:p>
        </w:tc>
      </w:tr>
      <w:tr w:rsidR="00AC1327" w:rsidRPr="00E81482" w:rsidTr="0031698A">
        <w:trPr>
          <w:trHeight w:val="792"/>
          <w:tblCellSpacing w:w="0" w:type="dxa"/>
        </w:trPr>
        <w:tc>
          <w:tcPr>
            <w:tcW w:w="8520" w:type="dxa"/>
            <w:gridSpan w:val="13"/>
            <w:tcBorders>
              <w:top w:val="outset" w:sz="6" w:space="0" w:color="auto"/>
              <w:left w:val="outset" w:sz="6" w:space="0" w:color="auto"/>
              <w:bottom w:val="outset" w:sz="6" w:space="0" w:color="auto"/>
              <w:right w:val="outset" w:sz="6" w:space="0" w:color="auto"/>
            </w:tcBorders>
            <w:vAlign w:val="center"/>
            <w:hideMark/>
          </w:tcPr>
          <w:p w:rsidR="00AC1327" w:rsidRPr="00E81482" w:rsidRDefault="00AC1327">
            <w:pPr>
              <w:pStyle w:val="naisnod"/>
              <w:rPr>
                <w:sz w:val="26"/>
                <w:szCs w:val="26"/>
              </w:rPr>
            </w:pPr>
            <w:r w:rsidRPr="00E81482">
              <w:rPr>
                <w:sz w:val="26"/>
                <w:szCs w:val="26"/>
              </w:rPr>
              <w:t> 2.tabula</w:t>
            </w:r>
          </w:p>
          <w:p w:rsidR="00AC1327" w:rsidRPr="00E81482" w:rsidRDefault="00AC1327">
            <w:pPr>
              <w:pStyle w:val="naisnod"/>
              <w:rPr>
                <w:sz w:val="26"/>
                <w:szCs w:val="26"/>
              </w:rPr>
            </w:pPr>
            <w:r w:rsidRPr="00E81482">
              <w:rPr>
                <w:sz w:val="26"/>
                <w:szCs w:val="26"/>
              </w:rPr>
              <w:t xml:space="preserve">Ar tiesību akta projektu uzņemtās saistības, kas izriet no starptautiskajiem tiesību </w:t>
            </w:r>
            <w:r w:rsidRPr="00E81482">
              <w:rPr>
                <w:sz w:val="26"/>
                <w:szCs w:val="26"/>
              </w:rPr>
              <w:lastRenderedPageBreak/>
              <w:t>aktiem vai starptautiskas institūcijas vai organizācijas dokumentiem</w:t>
            </w:r>
          </w:p>
          <w:p w:rsidR="00AC1327" w:rsidRPr="00E81482" w:rsidRDefault="00AC1327">
            <w:pPr>
              <w:pStyle w:val="naisnod"/>
              <w:rPr>
                <w:sz w:val="26"/>
                <w:szCs w:val="26"/>
              </w:rPr>
            </w:pPr>
            <w:r w:rsidRPr="00E81482">
              <w:rPr>
                <w:sz w:val="26"/>
                <w:szCs w:val="26"/>
              </w:rPr>
              <w:t>Pasākumi šo saistību izpildei</w:t>
            </w: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vAlign w:val="center"/>
            <w:hideMark/>
          </w:tcPr>
          <w:p w:rsidR="00AC1327" w:rsidRPr="00E81482" w:rsidRDefault="00AC1327">
            <w:pPr>
              <w:pStyle w:val="naisc"/>
              <w:rPr>
                <w:sz w:val="26"/>
                <w:szCs w:val="26"/>
              </w:rPr>
            </w:pPr>
            <w:r w:rsidRPr="00E81482">
              <w:rPr>
                <w:sz w:val="26"/>
                <w:szCs w:val="26"/>
              </w:rPr>
              <w:lastRenderedPageBreak/>
              <w:t> A</w:t>
            </w:r>
          </w:p>
        </w:tc>
        <w:tc>
          <w:tcPr>
            <w:tcW w:w="2286" w:type="dxa"/>
            <w:gridSpan w:val="5"/>
            <w:tcBorders>
              <w:top w:val="outset" w:sz="6" w:space="0" w:color="auto"/>
              <w:left w:val="outset" w:sz="6" w:space="0" w:color="auto"/>
              <w:bottom w:val="outset" w:sz="6" w:space="0" w:color="auto"/>
              <w:right w:val="outset" w:sz="6" w:space="0" w:color="auto"/>
            </w:tcBorders>
            <w:vAlign w:val="center"/>
            <w:hideMark/>
          </w:tcPr>
          <w:p w:rsidR="00AC1327" w:rsidRPr="00E81482" w:rsidRDefault="00AC1327">
            <w:pPr>
              <w:pStyle w:val="naisc"/>
              <w:rPr>
                <w:sz w:val="26"/>
                <w:szCs w:val="26"/>
              </w:rPr>
            </w:pPr>
            <w:r w:rsidRPr="00E81482">
              <w:rPr>
                <w:sz w:val="26"/>
                <w:szCs w:val="26"/>
              </w:rPr>
              <w:t> B</w:t>
            </w:r>
          </w:p>
        </w:tc>
        <w:tc>
          <w:tcPr>
            <w:tcW w:w="2611" w:type="dxa"/>
            <w:gridSpan w:val="2"/>
            <w:tcBorders>
              <w:top w:val="outset" w:sz="6" w:space="0" w:color="auto"/>
              <w:left w:val="outset" w:sz="6" w:space="0" w:color="auto"/>
              <w:bottom w:val="outset" w:sz="6" w:space="0" w:color="auto"/>
              <w:right w:val="outset" w:sz="6" w:space="0" w:color="auto"/>
            </w:tcBorders>
            <w:vAlign w:val="center"/>
            <w:hideMark/>
          </w:tcPr>
          <w:p w:rsidR="00AC1327" w:rsidRPr="00E81482" w:rsidRDefault="00AC1327">
            <w:pPr>
              <w:pStyle w:val="naisc"/>
              <w:rPr>
                <w:sz w:val="26"/>
                <w:szCs w:val="26"/>
              </w:rPr>
            </w:pPr>
            <w:r w:rsidRPr="00E81482">
              <w:rPr>
                <w:sz w:val="26"/>
                <w:szCs w:val="26"/>
              </w:rPr>
              <w:t> C</w:t>
            </w: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hideMark/>
          </w:tcPr>
          <w:p w:rsidR="00AC1327" w:rsidRPr="00B848C3" w:rsidRDefault="00AC1327" w:rsidP="00B5755D">
            <w:pPr>
              <w:pStyle w:val="naiskr"/>
              <w:rPr>
                <w:sz w:val="26"/>
                <w:szCs w:val="26"/>
              </w:rPr>
            </w:pPr>
            <w:r w:rsidRPr="00B848C3">
              <w:rPr>
                <w:sz w:val="26"/>
                <w:szCs w:val="26"/>
              </w:rPr>
              <w:t xml:space="preserve">1987. gada 20. maija Konvencija par kopīgu tranzīta procedūru </w:t>
            </w:r>
            <w:r>
              <w:rPr>
                <w:sz w:val="26"/>
                <w:szCs w:val="26"/>
              </w:rPr>
              <w:t xml:space="preserve">(turpmāk –Konvencija) </w:t>
            </w:r>
            <w:r w:rsidRPr="00B848C3">
              <w:rPr>
                <w:sz w:val="26"/>
                <w:szCs w:val="26"/>
              </w:rPr>
              <w:t xml:space="preserve">16.un 17.punkts </w:t>
            </w:r>
            <w:r>
              <w:rPr>
                <w:sz w:val="26"/>
                <w:szCs w:val="26"/>
              </w:rPr>
              <w:t>nosaka vienreizējā galvojuma izmantošanas kārtību</w:t>
            </w:r>
          </w:p>
        </w:tc>
        <w:tc>
          <w:tcPr>
            <w:tcW w:w="2286" w:type="dxa"/>
            <w:gridSpan w:val="5"/>
            <w:tcBorders>
              <w:top w:val="outset" w:sz="6" w:space="0" w:color="auto"/>
              <w:left w:val="outset" w:sz="6" w:space="0" w:color="auto"/>
              <w:bottom w:val="outset" w:sz="6" w:space="0" w:color="auto"/>
              <w:right w:val="outset" w:sz="6" w:space="0" w:color="auto"/>
            </w:tcBorders>
            <w:hideMark/>
          </w:tcPr>
          <w:p w:rsidR="00AC1327" w:rsidRPr="00B848C3" w:rsidRDefault="00AC1327" w:rsidP="00C01205">
            <w:pPr>
              <w:pStyle w:val="naiskr"/>
              <w:rPr>
                <w:sz w:val="26"/>
                <w:szCs w:val="26"/>
              </w:rPr>
            </w:pPr>
            <w:r w:rsidRPr="00B848C3">
              <w:rPr>
                <w:sz w:val="26"/>
                <w:szCs w:val="26"/>
              </w:rPr>
              <w:t> </w:t>
            </w:r>
            <w:r>
              <w:rPr>
                <w:sz w:val="26"/>
                <w:szCs w:val="26"/>
              </w:rPr>
              <w:t>Projekta 4</w:t>
            </w:r>
            <w:r w:rsidR="00C01205">
              <w:rPr>
                <w:sz w:val="26"/>
                <w:szCs w:val="26"/>
              </w:rPr>
              <w:t>4</w:t>
            </w:r>
            <w:r>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hideMark/>
          </w:tcPr>
          <w:p w:rsidR="00AC1327" w:rsidRPr="00875889"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E81482">
              <w:rPr>
                <w:sz w:val="26"/>
                <w:szCs w:val="26"/>
              </w:rPr>
              <w:t> </w:t>
            </w:r>
            <w:r w:rsidRPr="00875889">
              <w:rPr>
                <w:rFonts w:ascii="Times New Roman" w:eastAsia="Times New Roman" w:hAnsi="Times New Roman"/>
                <w:sz w:val="26"/>
                <w:szCs w:val="26"/>
                <w:lang w:eastAsia="lv-LV"/>
              </w:rPr>
              <w:t>Tiesību norma tiek izpildīta pilnībā</w:t>
            </w:r>
          </w:p>
          <w:p w:rsidR="00AC1327" w:rsidRPr="00E81482" w:rsidRDefault="00AC1327">
            <w:pPr>
              <w:pStyle w:val="naiskr"/>
              <w:rPr>
                <w:sz w:val="26"/>
                <w:szCs w:val="26"/>
              </w:rPr>
            </w:pP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tcPr>
          <w:p w:rsidR="00AC1327" w:rsidRPr="00B848C3" w:rsidRDefault="00AC1327" w:rsidP="00B5755D">
            <w:pPr>
              <w:pStyle w:val="naiskr"/>
              <w:rPr>
                <w:sz w:val="26"/>
                <w:szCs w:val="26"/>
              </w:rPr>
            </w:pPr>
            <w:r>
              <w:rPr>
                <w:sz w:val="26"/>
                <w:szCs w:val="26"/>
              </w:rPr>
              <w:t xml:space="preserve">Konvencijas 45.pants paredz atļaujas izmantot vispārējo galvojumu piešķiršanas nosacījumus </w:t>
            </w:r>
          </w:p>
        </w:tc>
        <w:tc>
          <w:tcPr>
            <w:tcW w:w="2286" w:type="dxa"/>
            <w:gridSpan w:val="5"/>
            <w:tcBorders>
              <w:top w:val="outset" w:sz="6" w:space="0" w:color="auto"/>
              <w:left w:val="outset" w:sz="6" w:space="0" w:color="auto"/>
              <w:bottom w:val="outset" w:sz="6" w:space="0" w:color="auto"/>
              <w:right w:val="outset" w:sz="6" w:space="0" w:color="auto"/>
            </w:tcBorders>
          </w:tcPr>
          <w:p w:rsidR="00AC1327" w:rsidRPr="00B848C3" w:rsidRDefault="00277EA2" w:rsidP="00C01205">
            <w:pPr>
              <w:pStyle w:val="naiskr"/>
              <w:rPr>
                <w:sz w:val="26"/>
                <w:szCs w:val="26"/>
              </w:rPr>
            </w:pPr>
            <w:r>
              <w:rPr>
                <w:sz w:val="26"/>
                <w:szCs w:val="26"/>
              </w:rPr>
              <w:t xml:space="preserve"> </w:t>
            </w:r>
            <w:r w:rsidR="00AC1327">
              <w:rPr>
                <w:sz w:val="26"/>
                <w:szCs w:val="26"/>
              </w:rPr>
              <w:t>Projekta 5</w:t>
            </w:r>
            <w:r w:rsidR="00C01205">
              <w:rPr>
                <w:sz w:val="26"/>
                <w:szCs w:val="26"/>
              </w:rPr>
              <w:t>6</w:t>
            </w:r>
            <w:r w:rsidR="00AC1327">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tcPr>
          <w:p w:rsidR="00AC1327" w:rsidRPr="00BD14DB"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875889">
              <w:rPr>
                <w:rFonts w:ascii="Times New Roman" w:eastAsia="Times New Roman" w:hAnsi="Times New Roman"/>
                <w:sz w:val="26"/>
                <w:szCs w:val="26"/>
                <w:lang w:eastAsia="lv-LV"/>
              </w:rPr>
              <w:t>Tiesī</w:t>
            </w:r>
            <w:r>
              <w:rPr>
                <w:rFonts w:ascii="Times New Roman" w:eastAsia="Times New Roman" w:hAnsi="Times New Roman"/>
                <w:sz w:val="26"/>
                <w:szCs w:val="26"/>
                <w:lang w:eastAsia="lv-LV"/>
              </w:rPr>
              <w:t>bu norma tiek izpildīta pilnībā</w:t>
            </w:r>
          </w:p>
        </w:tc>
      </w:tr>
      <w:tr w:rsidR="00AC1327" w:rsidRPr="002E187F"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tcPr>
          <w:p w:rsidR="00AC1327" w:rsidRPr="002E187F" w:rsidRDefault="00AC1327" w:rsidP="00AC1327">
            <w:pPr>
              <w:pStyle w:val="naiskr"/>
              <w:rPr>
                <w:sz w:val="26"/>
                <w:szCs w:val="26"/>
              </w:rPr>
            </w:pPr>
            <w:r w:rsidRPr="002E187F">
              <w:rPr>
                <w:sz w:val="26"/>
                <w:szCs w:val="26"/>
              </w:rPr>
              <w:t>Konvencijas 57.pants paredz kritērijus vispārējā galvojuma samazināšanai līdz 30 vai 50 procentiem.</w:t>
            </w:r>
          </w:p>
        </w:tc>
        <w:tc>
          <w:tcPr>
            <w:tcW w:w="2286" w:type="dxa"/>
            <w:gridSpan w:val="5"/>
            <w:tcBorders>
              <w:top w:val="outset" w:sz="6" w:space="0" w:color="auto"/>
              <w:left w:val="outset" w:sz="6" w:space="0" w:color="auto"/>
              <w:bottom w:val="outset" w:sz="6" w:space="0" w:color="auto"/>
              <w:right w:val="outset" w:sz="6" w:space="0" w:color="auto"/>
            </w:tcBorders>
          </w:tcPr>
          <w:p w:rsidR="00AC1327" w:rsidRPr="002E187F" w:rsidRDefault="00277EA2" w:rsidP="00C01205">
            <w:pPr>
              <w:pStyle w:val="naiskr"/>
              <w:rPr>
                <w:sz w:val="26"/>
                <w:szCs w:val="26"/>
              </w:rPr>
            </w:pPr>
            <w:r>
              <w:rPr>
                <w:sz w:val="26"/>
                <w:szCs w:val="26"/>
              </w:rPr>
              <w:t xml:space="preserve"> </w:t>
            </w:r>
            <w:r w:rsidR="00AC1327" w:rsidRPr="002E187F">
              <w:rPr>
                <w:sz w:val="26"/>
                <w:szCs w:val="26"/>
              </w:rPr>
              <w:t xml:space="preserve">Projekta </w:t>
            </w:r>
            <w:r w:rsidR="00C01205">
              <w:rPr>
                <w:sz w:val="26"/>
                <w:szCs w:val="26"/>
              </w:rPr>
              <w:t>80</w:t>
            </w:r>
            <w:r w:rsidR="00AC1327" w:rsidRPr="002E187F">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tcPr>
          <w:p w:rsidR="00AC1327" w:rsidRPr="002E187F"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Tiesību norma tiek izpildīta pilnībā</w:t>
            </w: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tcPr>
          <w:p w:rsidR="00AC1327" w:rsidRDefault="00AC1327" w:rsidP="00B5755D">
            <w:pPr>
              <w:pStyle w:val="naiskr"/>
              <w:rPr>
                <w:sz w:val="26"/>
                <w:szCs w:val="26"/>
              </w:rPr>
            </w:pPr>
            <w:r>
              <w:rPr>
                <w:sz w:val="26"/>
                <w:szCs w:val="26"/>
              </w:rPr>
              <w:t>Konvencijas 53.pants paredz prasības atbrīvojuma no vispārējā galvojuma saņemšanai</w:t>
            </w:r>
          </w:p>
        </w:tc>
        <w:tc>
          <w:tcPr>
            <w:tcW w:w="2286" w:type="dxa"/>
            <w:gridSpan w:val="5"/>
            <w:tcBorders>
              <w:top w:val="outset" w:sz="6" w:space="0" w:color="auto"/>
              <w:left w:val="outset" w:sz="6" w:space="0" w:color="auto"/>
              <w:bottom w:val="outset" w:sz="6" w:space="0" w:color="auto"/>
              <w:right w:val="outset" w:sz="6" w:space="0" w:color="auto"/>
            </w:tcBorders>
          </w:tcPr>
          <w:p w:rsidR="00AC1327" w:rsidRPr="00B848C3" w:rsidRDefault="00277EA2" w:rsidP="00C01205">
            <w:pPr>
              <w:pStyle w:val="naiskr"/>
              <w:rPr>
                <w:sz w:val="26"/>
                <w:szCs w:val="26"/>
              </w:rPr>
            </w:pPr>
            <w:r>
              <w:rPr>
                <w:sz w:val="26"/>
                <w:szCs w:val="26"/>
              </w:rPr>
              <w:t xml:space="preserve"> </w:t>
            </w:r>
            <w:r w:rsidR="00AC1327">
              <w:rPr>
                <w:sz w:val="26"/>
                <w:szCs w:val="26"/>
              </w:rPr>
              <w:t>Projekta 8</w:t>
            </w:r>
            <w:r w:rsidR="00C01205">
              <w:rPr>
                <w:sz w:val="26"/>
                <w:szCs w:val="26"/>
              </w:rPr>
              <w:t>2</w:t>
            </w:r>
            <w:r w:rsidR="00AC1327">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tcPr>
          <w:p w:rsidR="00AC1327" w:rsidRPr="00BD14DB"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875889">
              <w:rPr>
                <w:rFonts w:ascii="Times New Roman" w:eastAsia="Times New Roman" w:hAnsi="Times New Roman"/>
                <w:sz w:val="26"/>
                <w:szCs w:val="26"/>
                <w:lang w:eastAsia="lv-LV"/>
              </w:rPr>
              <w:t>Tiesī</w:t>
            </w:r>
            <w:r>
              <w:rPr>
                <w:rFonts w:ascii="Times New Roman" w:eastAsia="Times New Roman" w:hAnsi="Times New Roman"/>
                <w:sz w:val="26"/>
                <w:szCs w:val="26"/>
                <w:lang w:eastAsia="lv-LV"/>
              </w:rPr>
              <w:t>bu norma tiek izpildīta pilnībā</w:t>
            </w: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tcPr>
          <w:p w:rsidR="00AC1327" w:rsidRDefault="00AC1327" w:rsidP="00B5755D">
            <w:pPr>
              <w:pStyle w:val="naiskr"/>
              <w:rPr>
                <w:sz w:val="26"/>
                <w:szCs w:val="26"/>
              </w:rPr>
            </w:pPr>
            <w:r>
              <w:rPr>
                <w:sz w:val="26"/>
                <w:szCs w:val="26"/>
              </w:rPr>
              <w:t>Konvencijas 54.pants paredz prasības atbrīvojuma no vispārējā galvojuma saņemšanai precēm ar paaugstinātu risku</w:t>
            </w:r>
          </w:p>
        </w:tc>
        <w:tc>
          <w:tcPr>
            <w:tcW w:w="2286" w:type="dxa"/>
            <w:gridSpan w:val="5"/>
            <w:tcBorders>
              <w:top w:val="outset" w:sz="6" w:space="0" w:color="auto"/>
              <w:left w:val="outset" w:sz="6" w:space="0" w:color="auto"/>
              <w:bottom w:val="outset" w:sz="6" w:space="0" w:color="auto"/>
              <w:right w:val="outset" w:sz="6" w:space="0" w:color="auto"/>
            </w:tcBorders>
          </w:tcPr>
          <w:p w:rsidR="00AC1327" w:rsidRDefault="00277EA2" w:rsidP="00683615">
            <w:pPr>
              <w:pStyle w:val="naiskr"/>
              <w:rPr>
                <w:sz w:val="26"/>
                <w:szCs w:val="26"/>
              </w:rPr>
            </w:pPr>
            <w:r>
              <w:rPr>
                <w:sz w:val="26"/>
                <w:szCs w:val="26"/>
              </w:rPr>
              <w:t xml:space="preserve"> </w:t>
            </w:r>
            <w:r w:rsidR="00AC1327">
              <w:rPr>
                <w:sz w:val="26"/>
                <w:szCs w:val="26"/>
              </w:rPr>
              <w:t>Projekta 8</w:t>
            </w:r>
            <w:r w:rsidR="00683615">
              <w:rPr>
                <w:sz w:val="26"/>
                <w:szCs w:val="26"/>
              </w:rPr>
              <w:t>2</w:t>
            </w:r>
            <w:r w:rsidR="00AC1327">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tcPr>
          <w:p w:rsidR="00AC1327" w:rsidRPr="00875889"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875889">
              <w:rPr>
                <w:rFonts w:ascii="Times New Roman" w:eastAsia="Times New Roman" w:hAnsi="Times New Roman"/>
                <w:sz w:val="26"/>
                <w:szCs w:val="26"/>
                <w:lang w:eastAsia="lv-LV"/>
              </w:rPr>
              <w:t>Tiesī</w:t>
            </w:r>
            <w:r>
              <w:rPr>
                <w:rFonts w:ascii="Times New Roman" w:eastAsia="Times New Roman" w:hAnsi="Times New Roman"/>
                <w:sz w:val="26"/>
                <w:szCs w:val="26"/>
                <w:lang w:eastAsia="lv-LV"/>
              </w:rPr>
              <w:t>bu norma tiek izpildīta pilnībā</w:t>
            </w:r>
          </w:p>
        </w:tc>
      </w:tr>
      <w:tr w:rsidR="00AC1327" w:rsidRPr="00E81482" w:rsidTr="0031698A">
        <w:trPr>
          <w:trHeight w:val="341"/>
          <w:tblCellSpacing w:w="0" w:type="dxa"/>
        </w:trPr>
        <w:tc>
          <w:tcPr>
            <w:tcW w:w="3623" w:type="dxa"/>
            <w:gridSpan w:val="6"/>
            <w:tcBorders>
              <w:top w:val="outset" w:sz="6" w:space="0" w:color="auto"/>
              <w:left w:val="outset" w:sz="6" w:space="0" w:color="auto"/>
              <w:bottom w:val="outset" w:sz="6" w:space="0" w:color="auto"/>
              <w:right w:val="outset" w:sz="6" w:space="0" w:color="auto"/>
            </w:tcBorders>
          </w:tcPr>
          <w:p w:rsidR="00AC1327" w:rsidRDefault="00AC1327" w:rsidP="00B5755D">
            <w:pPr>
              <w:pStyle w:val="naiskr"/>
              <w:rPr>
                <w:sz w:val="26"/>
                <w:szCs w:val="26"/>
              </w:rPr>
            </w:pPr>
            <w:r>
              <w:rPr>
                <w:sz w:val="26"/>
                <w:szCs w:val="26"/>
              </w:rPr>
              <w:t>Konvencijas 57.pants paredz atļaujas izmantot vispārējo galvojumu un atbrīvojumu no galvojuma atsaukšanas un atcelšanas kārtību</w:t>
            </w:r>
          </w:p>
        </w:tc>
        <w:tc>
          <w:tcPr>
            <w:tcW w:w="2286" w:type="dxa"/>
            <w:gridSpan w:val="5"/>
            <w:tcBorders>
              <w:top w:val="outset" w:sz="6" w:space="0" w:color="auto"/>
              <w:left w:val="outset" w:sz="6" w:space="0" w:color="auto"/>
              <w:bottom w:val="outset" w:sz="6" w:space="0" w:color="auto"/>
              <w:right w:val="outset" w:sz="6" w:space="0" w:color="auto"/>
            </w:tcBorders>
          </w:tcPr>
          <w:p w:rsidR="00AC1327" w:rsidRPr="00B848C3" w:rsidRDefault="00277EA2" w:rsidP="00683615">
            <w:pPr>
              <w:pStyle w:val="naiskr"/>
              <w:rPr>
                <w:sz w:val="26"/>
                <w:szCs w:val="26"/>
              </w:rPr>
            </w:pPr>
            <w:r>
              <w:rPr>
                <w:sz w:val="26"/>
                <w:szCs w:val="26"/>
              </w:rPr>
              <w:t xml:space="preserve"> </w:t>
            </w:r>
            <w:r w:rsidR="00AC1327">
              <w:rPr>
                <w:sz w:val="26"/>
                <w:szCs w:val="26"/>
              </w:rPr>
              <w:t>Projekta 8</w:t>
            </w:r>
            <w:r w:rsidR="00683615">
              <w:rPr>
                <w:sz w:val="26"/>
                <w:szCs w:val="26"/>
              </w:rPr>
              <w:t>5</w:t>
            </w:r>
            <w:r w:rsidR="00AC1327">
              <w:rPr>
                <w:sz w:val="26"/>
                <w:szCs w:val="26"/>
              </w:rPr>
              <w:t>.punkts</w:t>
            </w:r>
          </w:p>
        </w:tc>
        <w:tc>
          <w:tcPr>
            <w:tcW w:w="2611" w:type="dxa"/>
            <w:gridSpan w:val="2"/>
            <w:tcBorders>
              <w:top w:val="outset" w:sz="6" w:space="0" w:color="auto"/>
              <w:left w:val="outset" w:sz="6" w:space="0" w:color="auto"/>
              <w:bottom w:val="outset" w:sz="6" w:space="0" w:color="auto"/>
              <w:right w:val="outset" w:sz="6" w:space="0" w:color="auto"/>
            </w:tcBorders>
          </w:tcPr>
          <w:p w:rsidR="00AC1327" w:rsidRPr="00BD14DB" w:rsidRDefault="00AC1327" w:rsidP="00BD14DB">
            <w:pPr>
              <w:spacing w:before="100" w:beforeAutospacing="1" w:after="100" w:afterAutospacing="1"/>
              <w:ind w:left="0"/>
              <w:jc w:val="left"/>
              <w:rPr>
                <w:rFonts w:ascii="Times New Roman" w:eastAsia="Times New Roman" w:hAnsi="Times New Roman"/>
                <w:sz w:val="26"/>
                <w:szCs w:val="26"/>
                <w:lang w:eastAsia="lv-LV"/>
              </w:rPr>
            </w:pPr>
            <w:r w:rsidRPr="00875889">
              <w:rPr>
                <w:rFonts w:ascii="Times New Roman" w:eastAsia="Times New Roman" w:hAnsi="Times New Roman"/>
                <w:sz w:val="26"/>
                <w:szCs w:val="26"/>
                <w:lang w:eastAsia="lv-LV"/>
              </w:rPr>
              <w:t>Tiesī</w:t>
            </w:r>
            <w:r>
              <w:rPr>
                <w:rFonts w:ascii="Times New Roman" w:eastAsia="Times New Roman" w:hAnsi="Times New Roman"/>
                <w:sz w:val="26"/>
                <w:szCs w:val="26"/>
                <w:lang w:eastAsia="lv-LV"/>
              </w:rPr>
              <w:t>bu norma tiek izpildīta pilnībā</w:t>
            </w:r>
          </w:p>
        </w:tc>
      </w:tr>
      <w:tr w:rsidR="00AC1327" w:rsidRPr="00E81482" w:rsidTr="0031698A">
        <w:trPr>
          <w:trHeight w:val="161"/>
          <w:tblCellSpacing w:w="0" w:type="dxa"/>
        </w:trPr>
        <w:tc>
          <w:tcPr>
            <w:tcW w:w="3623" w:type="dxa"/>
            <w:gridSpan w:val="6"/>
            <w:tcBorders>
              <w:top w:val="outset" w:sz="6" w:space="0" w:color="auto"/>
              <w:left w:val="outset" w:sz="6" w:space="0" w:color="auto"/>
              <w:bottom w:val="outset" w:sz="6" w:space="0" w:color="auto"/>
              <w:right w:val="outset" w:sz="6" w:space="0" w:color="auto"/>
            </w:tcBorders>
            <w:vAlign w:val="center"/>
            <w:hideMark/>
          </w:tcPr>
          <w:p w:rsidR="00AC1327" w:rsidRPr="00E81482" w:rsidRDefault="00AC1327">
            <w:pPr>
              <w:pStyle w:val="naiskr"/>
              <w:spacing w:line="161" w:lineRule="atLeast"/>
              <w:rPr>
                <w:sz w:val="26"/>
                <w:szCs w:val="26"/>
              </w:rPr>
            </w:pPr>
            <w:r w:rsidRPr="00E81482">
              <w:rPr>
                <w:sz w:val="26"/>
                <w:szCs w:val="26"/>
              </w:rPr>
              <w:t> Vai starptautiskajā dokumentā paredzētās saistības nav pretrunā ar jau esošajām Latvijas Republikas starptautiskajām saistībām</w:t>
            </w:r>
          </w:p>
        </w:tc>
        <w:tc>
          <w:tcPr>
            <w:tcW w:w="4897" w:type="dxa"/>
            <w:gridSpan w:val="7"/>
            <w:tcBorders>
              <w:top w:val="outset" w:sz="6" w:space="0" w:color="auto"/>
              <w:left w:val="outset" w:sz="6" w:space="0" w:color="auto"/>
              <w:bottom w:val="outset" w:sz="6" w:space="0" w:color="auto"/>
              <w:right w:val="outset" w:sz="6" w:space="0" w:color="auto"/>
            </w:tcBorders>
            <w:hideMark/>
          </w:tcPr>
          <w:p w:rsidR="00AC1327" w:rsidRPr="00E81482" w:rsidRDefault="00AC1327" w:rsidP="00A12228">
            <w:pPr>
              <w:pStyle w:val="naiskr"/>
              <w:spacing w:line="161" w:lineRule="atLeast"/>
              <w:rPr>
                <w:sz w:val="26"/>
                <w:szCs w:val="26"/>
              </w:rPr>
            </w:pPr>
            <w:r w:rsidRPr="00E81482">
              <w:rPr>
                <w:sz w:val="26"/>
                <w:szCs w:val="26"/>
              </w:rPr>
              <w:t> Nav attiecināms</w:t>
            </w:r>
          </w:p>
        </w:tc>
      </w:tr>
      <w:tr w:rsidR="00AC1327" w:rsidRPr="00D8196B" w:rsidTr="0031698A">
        <w:trPr>
          <w:trHeight w:val="443"/>
          <w:tblCellSpacing w:w="0" w:type="dxa"/>
        </w:trPr>
        <w:tc>
          <w:tcPr>
            <w:tcW w:w="3623"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pPr>
              <w:pStyle w:val="naiskr"/>
              <w:rPr>
                <w:sz w:val="26"/>
                <w:szCs w:val="26"/>
              </w:rPr>
            </w:pPr>
            <w:r w:rsidRPr="00D8196B">
              <w:rPr>
                <w:sz w:val="26"/>
                <w:szCs w:val="26"/>
              </w:rPr>
              <w:t> Cita informācija</w:t>
            </w:r>
          </w:p>
        </w:tc>
        <w:tc>
          <w:tcPr>
            <w:tcW w:w="4897" w:type="dxa"/>
            <w:gridSpan w:val="7"/>
            <w:tcBorders>
              <w:top w:val="outset" w:sz="6" w:space="0" w:color="auto"/>
              <w:left w:val="outset" w:sz="6" w:space="0" w:color="auto"/>
              <w:bottom w:val="outset" w:sz="6" w:space="0" w:color="auto"/>
              <w:right w:val="outset" w:sz="6" w:space="0" w:color="auto"/>
            </w:tcBorders>
            <w:hideMark/>
          </w:tcPr>
          <w:p w:rsidR="00AC1327" w:rsidRPr="00D8196B" w:rsidRDefault="00AC1327" w:rsidP="00A12228">
            <w:pPr>
              <w:pStyle w:val="naiskr"/>
              <w:rPr>
                <w:sz w:val="26"/>
                <w:szCs w:val="26"/>
              </w:rPr>
            </w:pPr>
            <w:r w:rsidRPr="00D8196B">
              <w:rPr>
                <w:sz w:val="26"/>
                <w:szCs w:val="26"/>
              </w:rPr>
              <w:t> Nav</w:t>
            </w:r>
          </w:p>
        </w:tc>
      </w:tr>
      <w:tr w:rsidR="00AC1327" w:rsidRPr="00D8196B" w:rsidTr="0031698A">
        <w:trPr>
          <w:tblCellSpacing w:w="0" w:type="dxa"/>
        </w:trPr>
        <w:tc>
          <w:tcPr>
            <w:tcW w:w="8520" w:type="dxa"/>
            <w:gridSpan w:val="13"/>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b/>
                <w:bCs/>
                <w:sz w:val="26"/>
                <w:szCs w:val="26"/>
                <w:lang w:eastAsia="lv-LV"/>
              </w:rPr>
              <w:t> VI. Sabiedrības līdzdalība un šīs līdzdalības rezultāti</w:t>
            </w:r>
          </w:p>
        </w:tc>
      </w:tr>
      <w:tr w:rsidR="00AC1327" w:rsidRPr="00D8196B" w:rsidTr="0031698A">
        <w:trPr>
          <w:trHeight w:val="553"/>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1.</w:t>
            </w:r>
          </w:p>
        </w:tc>
        <w:tc>
          <w:tcPr>
            <w:tcW w:w="3770" w:type="dxa"/>
            <w:gridSpan w:val="8"/>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Sabiedrības informēšana par projekta izstrādes uzsākšanu</w:t>
            </w:r>
          </w:p>
        </w:tc>
        <w:tc>
          <w:tcPr>
            <w:tcW w:w="4268" w:type="dxa"/>
            <w:gridSpan w:val="4"/>
            <w:tcBorders>
              <w:top w:val="outset" w:sz="6" w:space="0" w:color="auto"/>
              <w:left w:val="outset" w:sz="6" w:space="0" w:color="auto"/>
              <w:bottom w:val="outset" w:sz="6" w:space="0" w:color="auto"/>
              <w:right w:val="outset" w:sz="6" w:space="0" w:color="auto"/>
            </w:tcBorders>
            <w:hideMark/>
          </w:tcPr>
          <w:p w:rsidR="00AC1327" w:rsidRDefault="00AC1327" w:rsidP="00277EA2">
            <w:pPr>
              <w:spacing w:after="0"/>
              <w:ind w:left="111" w:right="126"/>
              <w:rPr>
                <w:rFonts w:ascii="Times New Roman" w:eastAsia="Times New Roman" w:hAnsi="Times New Roman"/>
                <w:sz w:val="26"/>
                <w:szCs w:val="26"/>
                <w:lang w:eastAsia="lv-LV"/>
              </w:rPr>
            </w:pPr>
            <w:r>
              <w:rPr>
                <w:rFonts w:ascii="Times New Roman" w:eastAsia="Times New Roman" w:hAnsi="Times New Roman"/>
                <w:sz w:val="26"/>
                <w:szCs w:val="26"/>
                <w:lang w:eastAsia="lv-LV"/>
              </w:rPr>
              <w:t>Informācija par projekta uzsākšanu ir ievietota Finanšu ministrijas interneta māja lapā.</w:t>
            </w:r>
          </w:p>
          <w:p w:rsidR="00AC1327" w:rsidRPr="00D8196B" w:rsidRDefault="00AC1327" w:rsidP="00277EA2">
            <w:pPr>
              <w:ind w:left="111" w:right="126"/>
              <w:rPr>
                <w:rFonts w:ascii="Times New Roman" w:eastAsia="Times New Roman" w:hAnsi="Times New Roman"/>
                <w:sz w:val="26"/>
                <w:szCs w:val="26"/>
                <w:lang w:eastAsia="lv-LV"/>
              </w:rPr>
            </w:pPr>
            <w:r>
              <w:rPr>
                <w:rFonts w:ascii="Times New Roman" w:eastAsia="Times New Roman" w:hAnsi="Times New Roman"/>
                <w:sz w:val="26"/>
                <w:szCs w:val="26"/>
                <w:lang w:eastAsia="lv-LV"/>
              </w:rPr>
              <w:t>P</w:t>
            </w:r>
            <w:r w:rsidRPr="00D8196B">
              <w:rPr>
                <w:rFonts w:ascii="Times New Roman" w:eastAsia="Times New Roman" w:hAnsi="Times New Roman"/>
                <w:sz w:val="26"/>
                <w:szCs w:val="26"/>
                <w:lang w:eastAsia="lv-LV"/>
              </w:rPr>
              <w:t xml:space="preserve">rojekts š.g. </w:t>
            </w:r>
            <w:r>
              <w:rPr>
                <w:rFonts w:ascii="Times New Roman" w:eastAsia="Times New Roman" w:hAnsi="Times New Roman"/>
                <w:sz w:val="26"/>
                <w:szCs w:val="26"/>
                <w:lang w:eastAsia="lv-LV"/>
              </w:rPr>
              <w:t>7.martā</w:t>
            </w:r>
            <w:r w:rsidRPr="00D8196B">
              <w:rPr>
                <w:rFonts w:ascii="Times New Roman" w:eastAsia="Times New Roman" w:hAnsi="Times New Roman"/>
                <w:sz w:val="26"/>
                <w:szCs w:val="26"/>
                <w:lang w:eastAsia="lv-LV"/>
              </w:rPr>
              <w:t xml:space="preserve"> tika nosūtīts</w:t>
            </w:r>
            <w:r>
              <w:rPr>
                <w:rFonts w:ascii="Times New Roman" w:hAnsi="Times New Roman"/>
                <w:bCs/>
                <w:sz w:val="26"/>
                <w:szCs w:val="26"/>
              </w:rPr>
              <w:t xml:space="preserve"> LLA</w:t>
            </w:r>
            <w:r w:rsidRPr="00D8196B">
              <w:rPr>
                <w:rFonts w:ascii="Times New Roman" w:hAnsi="Times New Roman"/>
                <w:bCs/>
                <w:sz w:val="26"/>
                <w:szCs w:val="26"/>
              </w:rPr>
              <w:t>, LAFF, LTBA, Latvijas Komercbanku asociācijai un Latvijas Apdrošinātāju asociācijai</w:t>
            </w:r>
            <w:r w:rsidR="00E53AA8">
              <w:rPr>
                <w:rFonts w:ascii="Times New Roman" w:hAnsi="Times New Roman"/>
                <w:bCs/>
                <w:sz w:val="26"/>
                <w:szCs w:val="26"/>
              </w:rPr>
              <w:t>.</w:t>
            </w:r>
          </w:p>
        </w:tc>
      </w:tr>
      <w:tr w:rsidR="00AC1327" w:rsidRPr="00D8196B" w:rsidTr="0031698A">
        <w:trPr>
          <w:trHeight w:val="339"/>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 2.</w:t>
            </w:r>
          </w:p>
        </w:tc>
        <w:tc>
          <w:tcPr>
            <w:tcW w:w="3770" w:type="dxa"/>
            <w:gridSpan w:val="8"/>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Sabiedrības līdzdalība projekta izstrādē</w:t>
            </w:r>
          </w:p>
        </w:tc>
        <w:tc>
          <w:tcPr>
            <w:tcW w:w="4268" w:type="dxa"/>
            <w:gridSpan w:val="4"/>
            <w:tcBorders>
              <w:top w:val="outset" w:sz="6" w:space="0" w:color="auto"/>
              <w:left w:val="outset" w:sz="6" w:space="0" w:color="auto"/>
              <w:bottom w:val="outset" w:sz="6" w:space="0" w:color="auto"/>
              <w:right w:val="outset" w:sz="6" w:space="0" w:color="auto"/>
            </w:tcBorders>
            <w:hideMark/>
          </w:tcPr>
          <w:p w:rsidR="00AC1327" w:rsidRPr="00D8196B" w:rsidRDefault="00AC1327" w:rsidP="00916298">
            <w:pPr>
              <w:spacing w:after="0"/>
              <w:ind w:left="48" w:right="85"/>
              <w:rPr>
                <w:rFonts w:ascii="Times New Roman" w:hAnsi="Times New Roman"/>
                <w:bCs/>
                <w:sz w:val="26"/>
                <w:szCs w:val="26"/>
              </w:rPr>
            </w:pPr>
            <w:r w:rsidRPr="00D8196B">
              <w:rPr>
                <w:rFonts w:ascii="Times New Roman" w:eastAsia="Times New Roman" w:hAnsi="Times New Roman"/>
                <w:sz w:val="26"/>
                <w:szCs w:val="26"/>
                <w:lang w:eastAsia="lv-LV"/>
              </w:rPr>
              <w:t xml:space="preserve">Projekta izstrādes gaitā notikušas konsultācijas ar </w:t>
            </w:r>
            <w:r w:rsidRPr="00D8196B">
              <w:rPr>
                <w:rFonts w:ascii="Times New Roman" w:hAnsi="Times New Roman"/>
                <w:bCs/>
                <w:sz w:val="26"/>
                <w:szCs w:val="26"/>
              </w:rPr>
              <w:t>LLA, LAFF, LTBA, Latvijas Komercbanku asociāciju un Latvijas Apdrošinātāju asociāciju.</w:t>
            </w:r>
          </w:p>
          <w:p w:rsidR="00AC1327" w:rsidRPr="00D8196B" w:rsidRDefault="00AC1327" w:rsidP="00916298">
            <w:pPr>
              <w:spacing w:after="0"/>
              <w:ind w:left="48" w:right="85"/>
              <w:rPr>
                <w:rFonts w:ascii="Times New Roman" w:eastAsia="Times New Roman" w:hAnsi="Times New Roman"/>
                <w:sz w:val="26"/>
                <w:szCs w:val="26"/>
                <w:lang w:eastAsia="lv-LV"/>
              </w:rPr>
            </w:pPr>
          </w:p>
          <w:p w:rsidR="00AC1327" w:rsidRPr="00D8196B" w:rsidRDefault="00AC1327" w:rsidP="00E53AA8">
            <w:pPr>
              <w:ind w:left="48" w:right="85"/>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Asociācijas tika izvēlētas tādēļ, ka projektā minētās normas tieši attiecināmas uz asociācijas darbības jomu.</w:t>
            </w:r>
          </w:p>
        </w:tc>
      </w:tr>
      <w:tr w:rsidR="00AC1327" w:rsidRPr="00D8196B" w:rsidTr="0031698A">
        <w:trPr>
          <w:trHeight w:val="375"/>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3.</w:t>
            </w:r>
          </w:p>
        </w:tc>
        <w:tc>
          <w:tcPr>
            <w:tcW w:w="3770" w:type="dxa"/>
            <w:gridSpan w:val="8"/>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Sabiedrības līdzdalības rezultāti</w:t>
            </w:r>
          </w:p>
        </w:tc>
        <w:tc>
          <w:tcPr>
            <w:tcW w:w="4268" w:type="dxa"/>
            <w:gridSpan w:val="4"/>
            <w:tcBorders>
              <w:top w:val="outset" w:sz="6" w:space="0" w:color="auto"/>
              <w:left w:val="outset" w:sz="6" w:space="0" w:color="auto"/>
              <w:bottom w:val="outset" w:sz="6" w:space="0" w:color="auto"/>
              <w:right w:val="outset" w:sz="6" w:space="0" w:color="auto"/>
            </w:tcBorders>
            <w:hideMark/>
          </w:tcPr>
          <w:p w:rsidR="00AC1327" w:rsidRPr="002E187F" w:rsidRDefault="00AC1327" w:rsidP="00D45976">
            <w:pPr>
              <w:ind w:left="48"/>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 xml:space="preserve">Asociācijas atbalsta projektu. </w:t>
            </w:r>
          </w:p>
          <w:p w:rsidR="006A1A86" w:rsidRPr="002E187F" w:rsidRDefault="006A1A86" w:rsidP="00D45976">
            <w:pPr>
              <w:ind w:left="48"/>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Latvijas apdrošinātāju asociācija par priekšlikumu izsniegt apdrošināšanas polises elektroniski norāda, ka, tā kā līdz šim nav vērtēti resursi šādu darbību veikšanai, tad lūdz saglabāt arī iespēju izsniegt dokumentus papīra formā.</w:t>
            </w:r>
          </w:p>
          <w:p w:rsidR="00AC1327" w:rsidRDefault="00AC1327" w:rsidP="00D45976">
            <w:pPr>
              <w:ind w:left="48"/>
              <w:rPr>
                <w:rFonts w:ascii="Times New Roman" w:eastAsia="Times New Roman" w:hAnsi="Times New Roman"/>
                <w:sz w:val="26"/>
                <w:szCs w:val="26"/>
                <w:lang w:eastAsia="lv-LV"/>
              </w:rPr>
            </w:pPr>
            <w:r w:rsidRPr="002E187F">
              <w:rPr>
                <w:rFonts w:ascii="Times New Roman" w:eastAsia="Times New Roman" w:hAnsi="Times New Roman"/>
                <w:sz w:val="26"/>
                <w:szCs w:val="26"/>
                <w:lang w:eastAsia="lv-LV"/>
              </w:rPr>
              <w:t>Latvijas Komercbanku asociācija</w:t>
            </w:r>
            <w:r>
              <w:rPr>
                <w:rFonts w:ascii="Times New Roman" w:eastAsia="Times New Roman" w:hAnsi="Times New Roman"/>
                <w:sz w:val="26"/>
                <w:szCs w:val="26"/>
                <w:lang w:eastAsia="lv-LV"/>
              </w:rPr>
              <w:t xml:space="preserve"> norāda, ka nav saprotams brīdis, kad galvotāja saistības. </w:t>
            </w:r>
          </w:p>
          <w:p w:rsidR="00AC1327" w:rsidRPr="00D8196B" w:rsidRDefault="00AC1327" w:rsidP="00D45976">
            <w:pPr>
              <w:ind w:left="48"/>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Šajā sakarībā Finanšu ministrija sagatavos un publicēs interneta mājas lapā skaidrojumu par procedūru izpildes termiņiem dažādām procedūrām. </w:t>
            </w:r>
          </w:p>
        </w:tc>
      </w:tr>
      <w:tr w:rsidR="00AC1327" w:rsidRPr="00D8196B" w:rsidTr="0031698A">
        <w:trPr>
          <w:trHeight w:val="397"/>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4.</w:t>
            </w:r>
          </w:p>
        </w:tc>
        <w:tc>
          <w:tcPr>
            <w:tcW w:w="3770" w:type="dxa"/>
            <w:gridSpan w:val="8"/>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Saeimas un ekspertu līdzdalība</w:t>
            </w:r>
          </w:p>
        </w:tc>
        <w:tc>
          <w:tcPr>
            <w:tcW w:w="4268" w:type="dxa"/>
            <w:gridSpan w:val="4"/>
            <w:tcBorders>
              <w:top w:val="outset" w:sz="6" w:space="0" w:color="auto"/>
              <w:left w:val="outset" w:sz="6" w:space="0" w:color="auto"/>
              <w:bottom w:val="outset" w:sz="6" w:space="0" w:color="auto"/>
              <w:right w:val="outset" w:sz="6" w:space="0" w:color="auto"/>
            </w:tcBorders>
            <w:hideMark/>
          </w:tcPr>
          <w:p w:rsidR="00AC1327" w:rsidRPr="00D8196B" w:rsidRDefault="00AC1327" w:rsidP="009C2FE6">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Šo jomu neskar.</w:t>
            </w:r>
          </w:p>
        </w:tc>
      </w:tr>
      <w:tr w:rsidR="00AC1327" w:rsidRPr="00D8196B" w:rsidTr="0031698A">
        <w:trPr>
          <w:trHeight w:val="280"/>
          <w:tblCellSpacing w:w="0" w:type="dxa"/>
        </w:trPr>
        <w:tc>
          <w:tcPr>
            <w:tcW w:w="482" w:type="dxa"/>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5.</w:t>
            </w:r>
          </w:p>
        </w:tc>
        <w:tc>
          <w:tcPr>
            <w:tcW w:w="3770" w:type="dxa"/>
            <w:gridSpan w:val="8"/>
            <w:tcBorders>
              <w:top w:val="outset" w:sz="6" w:space="0" w:color="auto"/>
              <w:left w:val="outset" w:sz="6" w:space="0" w:color="auto"/>
              <w:bottom w:val="outset" w:sz="6" w:space="0" w:color="auto"/>
              <w:right w:val="outset" w:sz="6" w:space="0" w:color="auto"/>
            </w:tcBorders>
            <w:hideMark/>
          </w:tcPr>
          <w:p w:rsidR="00AC1327" w:rsidRPr="00D8196B" w:rsidRDefault="00AC1327" w:rsidP="006A27FA">
            <w:pPr>
              <w:spacing w:before="100" w:beforeAutospacing="1" w:after="100" w:afterAutospacing="1"/>
              <w:ind w:left="126"/>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Cita informācija</w:t>
            </w:r>
          </w:p>
        </w:tc>
        <w:tc>
          <w:tcPr>
            <w:tcW w:w="4268" w:type="dxa"/>
            <w:gridSpan w:val="4"/>
            <w:tcBorders>
              <w:top w:val="outset" w:sz="6" w:space="0" w:color="auto"/>
              <w:left w:val="outset" w:sz="6" w:space="0" w:color="auto"/>
              <w:bottom w:val="outset" w:sz="6" w:space="0" w:color="auto"/>
              <w:right w:val="outset" w:sz="6" w:space="0" w:color="auto"/>
            </w:tcBorders>
            <w:hideMark/>
          </w:tcPr>
          <w:p w:rsidR="00AC1327" w:rsidRPr="00D8196B" w:rsidRDefault="00AC1327" w:rsidP="00064612">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Nav</w:t>
            </w:r>
          </w:p>
        </w:tc>
      </w:tr>
      <w:tr w:rsidR="00AC1327" w:rsidRPr="00D8196B" w:rsidTr="0031698A">
        <w:trPr>
          <w:tblCellSpacing w:w="0" w:type="dxa"/>
        </w:trPr>
        <w:tc>
          <w:tcPr>
            <w:tcW w:w="8520" w:type="dxa"/>
            <w:gridSpan w:val="13"/>
            <w:tcBorders>
              <w:top w:val="outset" w:sz="6" w:space="0" w:color="auto"/>
              <w:left w:val="outset" w:sz="6" w:space="0" w:color="auto"/>
              <w:bottom w:val="outset" w:sz="6" w:space="0" w:color="auto"/>
              <w:right w:val="outset" w:sz="6" w:space="0" w:color="auto"/>
            </w:tcBorders>
            <w:hideMark/>
          </w:tcPr>
          <w:p w:rsidR="00AC1327" w:rsidRPr="00D8196B" w:rsidRDefault="00AC1327" w:rsidP="00EA54B4">
            <w:pPr>
              <w:spacing w:before="100" w:beforeAutospacing="1" w:after="100" w:afterAutospacing="1"/>
              <w:ind w:left="0"/>
              <w:jc w:val="center"/>
              <w:rPr>
                <w:rFonts w:ascii="Times New Roman" w:eastAsia="Times New Roman" w:hAnsi="Times New Roman"/>
                <w:sz w:val="26"/>
                <w:szCs w:val="26"/>
                <w:lang w:eastAsia="lv-LV"/>
              </w:rPr>
            </w:pPr>
            <w:r w:rsidRPr="00D8196B">
              <w:rPr>
                <w:rFonts w:ascii="Times New Roman" w:eastAsia="Times New Roman" w:hAnsi="Times New Roman"/>
                <w:b/>
                <w:bCs/>
                <w:sz w:val="26"/>
                <w:szCs w:val="26"/>
                <w:lang w:eastAsia="lv-LV"/>
              </w:rPr>
              <w:t>VII. Tiesību akta projekta izpildes nodrošināšana un tās ietekme uz institūcijām</w:t>
            </w:r>
          </w:p>
        </w:tc>
      </w:tr>
      <w:tr w:rsidR="00AC1327" w:rsidRPr="00D8196B" w:rsidTr="0031698A">
        <w:trPr>
          <w:trHeight w:val="427"/>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1.</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izpildē iesaistītās institūcijas</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A5733C">
            <w:pPr>
              <w:spacing w:before="100" w:beforeAutospacing="1" w:after="0"/>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xml:space="preserve"> Valsts ieņēmumu dienests </w:t>
            </w:r>
          </w:p>
          <w:p w:rsidR="00AC1327" w:rsidRPr="00D8196B" w:rsidRDefault="00AC1327" w:rsidP="002E161C">
            <w:pPr>
              <w:spacing w:after="0"/>
              <w:ind w:left="0"/>
              <w:jc w:val="left"/>
              <w:rPr>
                <w:rFonts w:ascii="Times New Roman" w:hAnsi="Times New Roman"/>
                <w:bCs/>
                <w:sz w:val="26"/>
                <w:szCs w:val="26"/>
              </w:rPr>
            </w:pPr>
            <w:r w:rsidRPr="00D8196B">
              <w:rPr>
                <w:rFonts w:ascii="Times New Roman" w:eastAsia="Times New Roman" w:hAnsi="Times New Roman"/>
                <w:sz w:val="26"/>
                <w:szCs w:val="26"/>
                <w:lang w:eastAsia="lv-LV"/>
              </w:rPr>
              <w:t xml:space="preserve"> </w:t>
            </w:r>
            <w:r w:rsidRPr="00D8196B">
              <w:rPr>
                <w:rFonts w:ascii="Times New Roman" w:hAnsi="Times New Roman"/>
                <w:bCs/>
                <w:sz w:val="26"/>
                <w:szCs w:val="26"/>
              </w:rPr>
              <w:t>LLA,</w:t>
            </w:r>
          </w:p>
          <w:p w:rsidR="00AC1327" w:rsidRPr="00D8196B" w:rsidRDefault="00AC1327" w:rsidP="00C92BDF">
            <w:pPr>
              <w:spacing w:after="0"/>
              <w:ind w:left="0"/>
              <w:jc w:val="left"/>
              <w:rPr>
                <w:rFonts w:ascii="Times New Roman" w:hAnsi="Times New Roman"/>
                <w:bCs/>
                <w:sz w:val="26"/>
                <w:szCs w:val="26"/>
              </w:rPr>
            </w:pPr>
            <w:r w:rsidRPr="00D8196B">
              <w:rPr>
                <w:rFonts w:ascii="Times New Roman" w:hAnsi="Times New Roman"/>
                <w:bCs/>
                <w:sz w:val="26"/>
                <w:szCs w:val="26"/>
              </w:rPr>
              <w:t xml:space="preserve"> LAFF</w:t>
            </w:r>
          </w:p>
          <w:p w:rsidR="00AC1327" w:rsidRPr="00D8196B" w:rsidRDefault="00AC1327" w:rsidP="00C92BDF">
            <w:pPr>
              <w:spacing w:after="0"/>
              <w:ind w:left="0"/>
              <w:jc w:val="left"/>
              <w:rPr>
                <w:rFonts w:ascii="Times New Roman" w:hAnsi="Times New Roman"/>
                <w:bCs/>
                <w:sz w:val="26"/>
                <w:szCs w:val="26"/>
              </w:rPr>
            </w:pPr>
            <w:r>
              <w:rPr>
                <w:rFonts w:ascii="Times New Roman" w:hAnsi="Times New Roman"/>
                <w:bCs/>
                <w:sz w:val="26"/>
                <w:szCs w:val="26"/>
              </w:rPr>
              <w:t xml:space="preserve"> </w:t>
            </w:r>
            <w:r w:rsidRPr="00D8196B">
              <w:rPr>
                <w:rFonts w:ascii="Times New Roman" w:hAnsi="Times New Roman"/>
                <w:bCs/>
                <w:sz w:val="26"/>
                <w:szCs w:val="26"/>
              </w:rPr>
              <w:t>LTBA</w:t>
            </w:r>
          </w:p>
          <w:p w:rsidR="00250D16" w:rsidRDefault="00AC1327" w:rsidP="00250D16">
            <w:pPr>
              <w:spacing w:after="0"/>
              <w:ind w:left="0"/>
              <w:jc w:val="left"/>
              <w:rPr>
                <w:rFonts w:ascii="Times New Roman" w:hAnsi="Times New Roman"/>
                <w:bCs/>
                <w:sz w:val="26"/>
                <w:szCs w:val="26"/>
              </w:rPr>
            </w:pPr>
            <w:r>
              <w:rPr>
                <w:rFonts w:ascii="Times New Roman" w:hAnsi="Times New Roman"/>
                <w:bCs/>
                <w:sz w:val="26"/>
                <w:szCs w:val="26"/>
              </w:rPr>
              <w:t xml:space="preserve"> </w:t>
            </w:r>
            <w:r w:rsidR="00250D16">
              <w:rPr>
                <w:rFonts w:ascii="Times New Roman" w:hAnsi="Times New Roman"/>
                <w:bCs/>
                <w:sz w:val="26"/>
                <w:szCs w:val="26"/>
              </w:rPr>
              <w:t>Latvijas Komercbanku asociācija</w:t>
            </w:r>
          </w:p>
          <w:p w:rsidR="00AC1327" w:rsidRPr="00D8196B" w:rsidRDefault="00250D16" w:rsidP="00250D16">
            <w:pPr>
              <w:spacing w:after="0"/>
              <w:ind w:left="0"/>
              <w:jc w:val="left"/>
              <w:rPr>
                <w:rFonts w:ascii="Times New Roman" w:eastAsia="Times New Roman" w:hAnsi="Times New Roman"/>
                <w:sz w:val="26"/>
                <w:szCs w:val="26"/>
                <w:lang w:eastAsia="lv-LV"/>
              </w:rPr>
            </w:pPr>
            <w:r>
              <w:rPr>
                <w:rFonts w:ascii="Times New Roman" w:hAnsi="Times New Roman"/>
                <w:bCs/>
                <w:sz w:val="26"/>
                <w:szCs w:val="26"/>
              </w:rPr>
              <w:t xml:space="preserve"> </w:t>
            </w:r>
            <w:r w:rsidR="00AC1327" w:rsidRPr="00D8196B">
              <w:rPr>
                <w:rFonts w:ascii="Times New Roman" w:hAnsi="Times New Roman"/>
                <w:bCs/>
                <w:sz w:val="26"/>
                <w:szCs w:val="26"/>
              </w:rPr>
              <w:t>Latvijas</w:t>
            </w:r>
            <w:r w:rsidR="00AC1327">
              <w:rPr>
                <w:rFonts w:ascii="Times New Roman" w:hAnsi="Times New Roman"/>
                <w:bCs/>
                <w:sz w:val="26"/>
                <w:szCs w:val="26"/>
              </w:rPr>
              <w:t xml:space="preserve"> </w:t>
            </w:r>
            <w:r w:rsidR="00AC1327" w:rsidRPr="00D8196B">
              <w:rPr>
                <w:rFonts w:ascii="Times New Roman" w:hAnsi="Times New Roman"/>
                <w:bCs/>
                <w:sz w:val="26"/>
                <w:szCs w:val="26"/>
              </w:rPr>
              <w:t>Apdrošinātāju asociācija</w:t>
            </w:r>
          </w:p>
        </w:tc>
      </w:tr>
      <w:tr w:rsidR="00AC1327" w:rsidRPr="00D8196B" w:rsidTr="0031698A">
        <w:trPr>
          <w:trHeight w:val="463"/>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2.</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izpildes ietekme uz pārvaldes funkcijām</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3F5366">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Pr>
                <w:rFonts w:ascii="Times New Roman" w:eastAsia="Times New Roman" w:hAnsi="Times New Roman"/>
                <w:sz w:val="26"/>
                <w:szCs w:val="26"/>
                <w:lang w:eastAsia="lv-LV"/>
              </w:rPr>
              <w:t>Šo jomu neskar.</w:t>
            </w:r>
          </w:p>
        </w:tc>
      </w:tr>
      <w:tr w:rsidR="00AC1327" w:rsidRPr="00D8196B" w:rsidTr="0031698A">
        <w:trPr>
          <w:trHeight w:val="725"/>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3.</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izpildes ietekme uz pārvaldes institucionālo struktūru.</w:t>
            </w:r>
          </w:p>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Jaunu institūciju izveide</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3F5366">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Pr>
                <w:rFonts w:ascii="Times New Roman" w:eastAsia="Times New Roman" w:hAnsi="Times New Roman"/>
                <w:sz w:val="26"/>
                <w:szCs w:val="26"/>
                <w:lang w:eastAsia="lv-LV"/>
              </w:rPr>
              <w:t>Šo jomu neskar.</w:t>
            </w:r>
          </w:p>
        </w:tc>
      </w:tr>
      <w:tr w:rsidR="00AC1327" w:rsidRPr="00D8196B" w:rsidTr="0031698A">
        <w:trPr>
          <w:trHeight w:val="780"/>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lastRenderedPageBreak/>
              <w:t> 4.</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izpildes ietekme uz pārvaldes institucionālo struktūru.</w:t>
            </w:r>
          </w:p>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Esošu institūciju likvidācija</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3F5366">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Pr>
                <w:rFonts w:ascii="Times New Roman" w:eastAsia="Times New Roman" w:hAnsi="Times New Roman"/>
                <w:sz w:val="26"/>
                <w:szCs w:val="26"/>
                <w:lang w:eastAsia="lv-LV"/>
              </w:rPr>
              <w:t>Šo jomu neskar.</w:t>
            </w:r>
          </w:p>
        </w:tc>
      </w:tr>
      <w:tr w:rsidR="00AC1327" w:rsidRPr="00D8196B" w:rsidTr="0031698A">
        <w:trPr>
          <w:trHeight w:val="703"/>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5.</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Projekta izpildes ietekme uz pārvaldes institucionālo struktūru.</w:t>
            </w:r>
          </w:p>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Esošu institūciju reorganizācija</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3F5366">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w:t>
            </w:r>
            <w:r>
              <w:rPr>
                <w:rFonts w:ascii="Times New Roman" w:eastAsia="Times New Roman" w:hAnsi="Times New Roman"/>
                <w:sz w:val="26"/>
                <w:szCs w:val="26"/>
                <w:lang w:eastAsia="lv-LV"/>
              </w:rPr>
              <w:t>Šo jomu neskar.</w:t>
            </w:r>
          </w:p>
        </w:tc>
      </w:tr>
      <w:tr w:rsidR="00AC1327" w:rsidRPr="00D8196B" w:rsidTr="0031698A">
        <w:trPr>
          <w:trHeight w:val="295"/>
          <w:tblCellSpacing w:w="0" w:type="dxa"/>
        </w:trPr>
        <w:tc>
          <w:tcPr>
            <w:tcW w:w="519" w:type="dxa"/>
            <w:gridSpan w:val="2"/>
            <w:tcBorders>
              <w:top w:val="outset" w:sz="6" w:space="0" w:color="auto"/>
              <w:left w:val="outset" w:sz="6" w:space="0" w:color="auto"/>
              <w:bottom w:val="outset" w:sz="6" w:space="0" w:color="auto"/>
              <w:right w:val="outset" w:sz="6" w:space="0" w:color="auto"/>
            </w:tcBorders>
            <w:hideMark/>
          </w:tcPr>
          <w:p w:rsidR="00AC1327" w:rsidRPr="00D8196B" w:rsidRDefault="00AC1327" w:rsidP="005A2614">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6.</w:t>
            </w:r>
          </w:p>
        </w:tc>
        <w:tc>
          <w:tcPr>
            <w:tcW w:w="3700" w:type="dxa"/>
            <w:gridSpan w:val="6"/>
            <w:tcBorders>
              <w:top w:val="outset" w:sz="6" w:space="0" w:color="auto"/>
              <w:left w:val="outset" w:sz="6" w:space="0" w:color="auto"/>
              <w:bottom w:val="outset" w:sz="6" w:space="0" w:color="auto"/>
              <w:right w:val="outset" w:sz="6" w:space="0" w:color="auto"/>
            </w:tcBorders>
            <w:hideMark/>
          </w:tcPr>
          <w:p w:rsidR="00AC1327" w:rsidRPr="00D8196B" w:rsidRDefault="00AC1327" w:rsidP="00B347DE">
            <w:pPr>
              <w:spacing w:before="100" w:beforeAutospacing="1" w:after="100" w:afterAutospacing="1"/>
              <w:ind w:left="98"/>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Cita informācija</w:t>
            </w:r>
          </w:p>
        </w:tc>
        <w:tc>
          <w:tcPr>
            <w:tcW w:w="4301" w:type="dxa"/>
            <w:gridSpan w:val="5"/>
            <w:tcBorders>
              <w:top w:val="outset" w:sz="6" w:space="0" w:color="auto"/>
              <w:left w:val="outset" w:sz="6" w:space="0" w:color="auto"/>
              <w:bottom w:val="outset" w:sz="6" w:space="0" w:color="auto"/>
              <w:right w:val="outset" w:sz="6" w:space="0" w:color="auto"/>
            </w:tcBorders>
            <w:hideMark/>
          </w:tcPr>
          <w:p w:rsidR="00AC1327" w:rsidRPr="00D8196B" w:rsidRDefault="00AC1327" w:rsidP="000D2C98">
            <w:pPr>
              <w:spacing w:before="100" w:beforeAutospacing="1" w:after="100" w:afterAutospacing="1"/>
              <w:ind w:left="0"/>
              <w:jc w:val="left"/>
              <w:rPr>
                <w:rFonts w:ascii="Times New Roman" w:eastAsia="Times New Roman" w:hAnsi="Times New Roman"/>
                <w:sz w:val="26"/>
                <w:szCs w:val="26"/>
                <w:lang w:eastAsia="lv-LV"/>
              </w:rPr>
            </w:pPr>
            <w:r w:rsidRPr="00D8196B">
              <w:rPr>
                <w:rFonts w:ascii="Times New Roman" w:eastAsia="Times New Roman" w:hAnsi="Times New Roman"/>
                <w:sz w:val="26"/>
                <w:szCs w:val="26"/>
                <w:lang w:eastAsia="lv-LV"/>
              </w:rPr>
              <w:t> Nav</w:t>
            </w:r>
          </w:p>
        </w:tc>
      </w:tr>
    </w:tbl>
    <w:p w:rsidR="00E04202" w:rsidRPr="00D8196B" w:rsidRDefault="00A23450" w:rsidP="008E7E4F">
      <w:pPr>
        <w:spacing w:after="0"/>
        <w:ind w:left="0"/>
        <w:jc w:val="left"/>
        <w:rPr>
          <w:rFonts w:ascii="Times New Roman" w:eastAsia="Times New Roman" w:hAnsi="Times New Roman"/>
          <w:b/>
          <w:sz w:val="26"/>
          <w:szCs w:val="26"/>
          <w:lang w:eastAsia="lv-LV"/>
        </w:rPr>
      </w:pPr>
      <w:r w:rsidRPr="00D8196B">
        <w:rPr>
          <w:rFonts w:ascii="Times New Roman" w:eastAsia="Times New Roman" w:hAnsi="Times New Roman"/>
          <w:b/>
          <w:sz w:val="26"/>
          <w:szCs w:val="26"/>
          <w:lang w:eastAsia="lv-LV"/>
        </w:rPr>
        <w:t>Anotācijas III</w:t>
      </w:r>
      <w:r w:rsidR="00F44C5B" w:rsidRPr="00D8196B">
        <w:rPr>
          <w:rFonts w:ascii="Times New Roman" w:eastAsia="Times New Roman" w:hAnsi="Times New Roman"/>
          <w:b/>
          <w:sz w:val="26"/>
          <w:szCs w:val="26"/>
          <w:lang w:eastAsia="lv-LV"/>
        </w:rPr>
        <w:t xml:space="preserve"> </w:t>
      </w:r>
      <w:r w:rsidR="00FF1333">
        <w:rPr>
          <w:rFonts w:ascii="Times New Roman" w:eastAsia="Times New Roman" w:hAnsi="Times New Roman"/>
          <w:b/>
          <w:sz w:val="26"/>
          <w:szCs w:val="26"/>
          <w:lang w:eastAsia="lv-LV"/>
        </w:rPr>
        <w:t xml:space="preserve">un IV </w:t>
      </w:r>
      <w:r w:rsidRPr="00D8196B">
        <w:rPr>
          <w:rFonts w:ascii="Times New Roman" w:eastAsia="Times New Roman" w:hAnsi="Times New Roman"/>
          <w:b/>
          <w:sz w:val="26"/>
          <w:szCs w:val="26"/>
          <w:lang w:eastAsia="lv-LV"/>
        </w:rPr>
        <w:t xml:space="preserve">sadaļa – </w:t>
      </w:r>
      <w:r w:rsidR="003053AB">
        <w:rPr>
          <w:rFonts w:ascii="Times New Roman" w:eastAsia="Times New Roman" w:hAnsi="Times New Roman"/>
          <w:b/>
          <w:sz w:val="26"/>
          <w:szCs w:val="26"/>
          <w:lang w:eastAsia="lv-LV"/>
        </w:rPr>
        <w:t>š</w:t>
      </w:r>
      <w:r w:rsidR="003053AB" w:rsidRPr="003053AB">
        <w:rPr>
          <w:rFonts w:ascii="Times New Roman" w:eastAsia="Times New Roman" w:hAnsi="Times New Roman"/>
          <w:b/>
          <w:sz w:val="26"/>
          <w:szCs w:val="26"/>
          <w:lang w:eastAsia="lv-LV"/>
        </w:rPr>
        <w:t>o jomu neskar</w:t>
      </w:r>
      <w:r w:rsidR="003053AB">
        <w:rPr>
          <w:rFonts w:ascii="Times New Roman" w:eastAsia="Times New Roman" w:hAnsi="Times New Roman"/>
          <w:sz w:val="26"/>
          <w:szCs w:val="26"/>
          <w:lang w:eastAsia="lv-LV"/>
        </w:rPr>
        <w:t>.</w:t>
      </w:r>
    </w:p>
    <w:p w:rsidR="00A54A66" w:rsidRDefault="00A54A66" w:rsidP="00145066">
      <w:pPr>
        <w:tabs>
          <w:tab w:val="left" w:pos="6804"/>
          <w:tab w:val="left" w:pos="7088"/>
          <w:tab w:val="left" w:pos="7371"/>
        </w:tabs>
        <w:spacing w:before="100" w:beforeAutospacing="1" w:after="100" w:afterAutospacing="1"/>
        <w:ind w:left="0"/>
        <w:jc w:val="left"/>
        <w:rPr>
          <w:rFonts w:ascii="Times New Roman" w:eastAsia="Times New Roman" w:hAnsi="Times New Roman"/>
          <w:sz w:val="26"/>
          <w:szCs w:val="26"/>
          <w:lang w:eastAsia="lv-LV"/>
        </w:rPr>
      </w:pPr>
    </w:p>
    <w:p w:rsidR="00A54A66" w:rsidRDefault="00A54A66" w:rsidP="00145066">
      <w:pPr>
        <w:tabs>
          <w:tab w:val="left" w:pos="6804"/>
          <w:tab w:val="left" w:pos="7088"/>
          <w:tab w:val="left" w:pos="7371"/>
        </w:tabs>
        <w:spacing w:before="100" w:beforeAutospacing="1" w:after="100" w:afterAutospacing="1"/>
        <w:ind w:left="0"/>
        <w:jc w:val="left"/>
        <w:rPr>
          <w:rFonts w:ascii="Times New Roman" w:eastAsia="Times New Roman" w:hAnsi="Times New Roman"/>
          <w:sz w:val="26"/>
          <w:szCs w:val="26"/>
          <w:lang w:eastAsia="lv-LV"/>
        </w:rPr>
      </w:pPr>
    </w:p>
    <w:p w:rsidR="00A54A66" w:rsidRDefault="00A54A66" w:rsidP="00145066">
      <w:pPr>
        <w:tabs>
          <w:tab w:val="left" w:pos="6804"/>
          <w:tab w:val="left" w:pos="7088"/>
          <w:tab w:val="left" w:pos="7371"/>
        </w:tabs>
        <w:spacing w:before="100" w:beforeAutospacing="1" w:after="100" w:afterAutospacing="1"/>
        <w:ind w:left="0"/>
        <w:jc w:val="left"/>
        <w:rPr>
          <w:rFonts w:ascii="Times New Roman" w:eastAsia="Times New Roman" w:hAnsi="Times New Roman"/>
          <w:sz w:val="26"/>
          <w:szCs w:val="26"/>
          <w:lang w:eastAsia="lv-LV"/>
        </w:rPr>
      </w:pPr>
    </w:p>
    <w:p w:rsidR="00A54A66" w:rsidRDefault="00A54A66" w:rsidP="00145066">
      <w:pPr>
        <w:tabs>
          <w:tab w:val="left" w:pos="6804"/>
          <w:tab w:val="left" w:pos="7088"/>
          <w:tab w:val="left" w:pos="7371"/>
        </w:tabs>
        <w:spacing w:before="100" w:beforeAutospacing="1" w:after="100" w:afterAutospacing="1"/>
        <w:ind w:left="0"/>
        <w:jc w:val="left"/>
        <w:rPr>
          <w:rFonts w:ascii="Times New Roman" w:eastAsia="Times New Roman" w:hAnsi="Times New Roman"/>
          <w:sz w:val="26"/>
          <w:szCs w:val="26"/>
          <w:lang w:eastAsia="lv-LV"/>
        </w:rPr>
      </w:pPr>
    </w:p>
    <w:p w:rsidR="00E92038" w:rsidRPr="00E92038" w:rsidRDefault="00E92038" w:rsidP="00E92038">
      <w:pPr>
        <w:spacing w:after="0"/>
        <w:ind w:hanging="1077"/>
        <w:jc w:val="left"/>
        <w:rPr>
          <w:rFonts w:ascii="Times New Roman" w:eastAsia="Times New Roman" w:hAnsi="Times New Roman"/>
          <w:sz w:val="26"/>
          <w:szCs w:val="26"/>
          <w:lang w:eastAsia="lv-LV"/>
        </w:rPr>
      </w:pPr>
      <w:r w:rsidRPr="00E92038">
        <w:rPr>
          <w:rFonts w:ascii="Times New Roman" w:eastAsia="Times New Roman" w:hAnsi="Times New Roman"/>
          <w:sz w:val="26"/>
          <w:szCs w:val="26"/>
          <w:lang w:eastAsia="lv-LV"/>
        </w:rPr>
        <w:t>finanšu ministra vietā –</w:t>
      </w:r>
    </w:p>
    <w:p w:rsidR="00A54A66" w:rsidRPr="00E92038" w:rsidRDefault="00E92038" w:rsidP="00E92038">
      <w:pPr>
        <w:spacing w:after="0"/>
        <w:ind w:left="0"/>
        <w:jc w:val="left"/>
        <w:rPr>
          <w:rFonts w:ascii="Times New Roman" w:eastAsia="Times New Roman" w:hAnsi="Times New Roman"/>
          <w:sz w:val="26"/>
          <w:szCs w:val="26"/>
          <w:lang w:eastAsia="lv-LV"/>
        </w:rPr>
      </w:pPr>
      <w:r w:rsidRPr="00E92038">
        <w:rPr>
          <w:rFonts w:ascii="Times New Roman" w:eastAsia="Times New Roman" w:hAnsi="Times New Roman"/>
          <w:sz w:val="26"/>
          <w:szCs w:val="26"/>
          <w:lang w:eastAsia="lv-LV"/>
        </w:rPr>
        <w:t xml:space="preserve">ekonomikas ministrs                                            </w:t>
      </w:r>
      <w:r>
        <w:rPr>
          <w:rFonts w:ascii="Times New Roman" w:eastAsia="Times New Roman" w:hAnsi="Times New Roman"/>
          <w:sz w:val="26"/>
          <w:szCs w:val="26"/>
          <w:lang w:eastAsia="lv-LV"/>
        </w:rPr>
        <w:t xml:space="preserve">                   </w:t>
      </w:r>
      <w:r w:rsidRPr="00E92038">
        <w:rPr>
          <w:rFonts w:ascii="Times New Roman" w:eastAsia="Times New Roman" w:hAnsi="Times New Roman"/>
          <w:sz w:val="26"/>
          <w:szCs w:val="26"/>
          <w:lang w:eastAsia="lv-LV"/>
        </w:rPr>
        <w:t xml:space="preserve">            A.Kampars</w:t>
      </w:r>
    </w:p>
    <w:p w:rsidR="00A54A66" w:rsidRDefault="00A54A66" w:rsidP="007D750C">
      <w:pPr>
        <w:spacing w:after="0"/>
        <w:ind w:left="0"/>
        <w:jc w:val="left"/>
        <w:rPr>
          <w:rFonts w:ascii="Times New Roman" w:eastAsia="Times New Roman" w:hAnsi="Times New Roman"/>
          <w:sz w:val="20"/>
          <w:szCs w:val="20"/>
          <w:lang w:eastAsia="lv-LV"/>
        </w:rPr>
      </w:pPr>
    </w:p>
    <w:p w:rsidR="00A54A66" w:rsidRDefault="00A54A66" w:rsidP="007D750C">
      <w:pPr>
        <w:spacing w:after="0"/>
        <w:ind w:left="0"/>
        <w:jc w:val="left"/>
        <w:rPr>
          <w:rFonts w:ascii="Times New Roman" w:eastAsia="Times New Roman" w:hAnsi="Times New Roman"/>
          <w:sz w:val="20"/>
          <w:szCs w:val="20"/>
          <w:lang w:eastAsia="lv-LV"/>
        </w:rPr>
      </w:pPr>
    </w:p>
    <w:p w:rsidR="00A54A66" w:rsidRDefault="00A54A66" w:rsidP="007D750C">
      <w:pPr>
        <w:spacing w:after="0"/>
        <w:ind w:left="0"/>
        <w:jc w:val="left"/>
        <w:rPr>
          <w:rFonts w:ascii="Times New Roman" w:eastAsia="Times New Roman" w:hAnsi="Times New Roman"/>
          <w:sz w:val="20"/>
          <w:szCs w:val="20"/>
          <w:lang w:eastAsia="lv-LV"/>
        </w:rPr>
      </w:pPr>
    </w:p>
    <w:p w:rsidR="00A54A66" w:rsidRDefault="00A54A66" w:rsidP="007D750C">
      <w:pPr>
        <w:spacing w:after="0"/>
        <w:ind w:left="0"/>
        <w:jc w:val="left"/>
        <w:rPr>
          <w:rFonts w:ascii="Times New Roman" w:eastAsia="Times New Roman" w:hAnsi="Times New Roman"/>
          <w:sz w:val="20"/>
          <w:szCs w:val="20"/>
          <w:lang w:eastAsia="lv-LV"/>
        </w:rPr>
      </w:pPr>
    </w:p>
    <w:p w:rsidR="00145066" w:rsidRPr="00476A38" w:rsidRDefault="00250D16" w:rsidP="007D750C">
      <w:pPr>
        <w:spacing w:after="0"/>
        <w:ind w:left="0"/>
        <w:jc w:val="left"/>
        <w:rPr>
          <w:rFonts w:ascii="Times New Roman" w:eastAsia="Times New Roman" w:hAnsi="Times New Roman"/>
          <w:sz w:val="20"/>
          <w:szCs w:val="20"/>
          <w:lang w:eastAsia="lv-LV"/>
        </w:rPr>
      </w:pPr>
      <w:r>
        <w:rPr>
          <w:rFonts w:ascii="Times New Roman" w:eastAsia="Times New Roman" w:hAnsi="Times New Roman"/>
          <w:sz w:val="20"/>
          <w:szCs w:val="20"/>
          <w:lang w:eastAsia="lv-LV"/>
        </w:rPr>
        <w:t>22</w:t>
      </w:r>
      <w:r w:rsidR="006D1099">
        <w:rPr>
          <w:rFonts w:ascii="Times New Roman" w:eastAsia="Times New Roman" w:hAnsi="Times New Roman"/>
          <w:sz w:val="20"/>
          <w:szCs w:val="20"/>
          <w:lang w:eastAsia="lv-LV"/>
        </w:rPr>
        <w:t>.0</w:t>
      </w:r>
      <w:r w:rsidR="00277EA2">
        <w:rPr>
          <w:rFonts w:ascii="Times New Roman" w:eastAsia="Times New Roman" w:hAnsi="Times New Roman"/>
          <w:sz w:val="20"/>
          <w:szCs w:val="20"/>
          <w:lang w:eastAsia="lv-LV"/>
        </w:rPr>
        <w:t>7</w:t>
      </w:r>
      <w:r w:rsidR="00AC7CA0">
        <w:rPr>
          <w:rFonts w:ascii="Times New Roman" w:eastAsia="Times New Roman" w:hAnsi="Times New Roman"/>
          <w:sz w:val="20"/>
          <w:szCs w:val="20"/>
          <w:lang w:eastAsia="lv-LV"/>
        </w:rPr>
        <w:t>.</w:t>
      </w:r>
      <w:r w:rsidR="00E700C3">
        <w:rPr>
          <w:rFonts w:ascii="Times New Roman" w:eastAsia="Times New Roman" w:hAnsi="Times New Roman"/>
          <w:sz w:val="20"/>
          <w:szCs w:val="20"/>
          <w:lang w:eastAsia="lv-LV"/>
        </w:rPr>
        <w:t>2011</w:t>
      </w:r>
      <w:r w:rsidR="00145066" w:rsidRPr="00476A38">
        <w:rPr>
          <w:rFonts w:ascii="Times New Roman" w:eastAsia="Times New Roman" w:hAnsi="Times New Roman"/>
          <w:sz w:val="20"/>
          <w:szCs w:val="20"/>
          <w:lang w:eastAsia="lv-LV"/>
        </w:rPr>
        <w:t xml:space="preserve">.  </w:t>
      </w:r>
      <w:r w:rsidR="00C92BDF">
        <w:rPr>
          <w:rFonts w:ascii="Times New Roman" w:eastAsia="Times New Roman" w:hAnsi="Times New Roman"/>
          <w:sz w:val="20"/>
          <w:szCs w:val="20"/>
          <w:lang w:eastAsia="lv-LV"/>
        </w:rPr>
        <w:t>1</w:t>
      </w:r>
      <w:r w:rsidR="003053AB">
        <w:rPr>
          <w:rFonts w:ascii="Times New Roman" w:eastAsia="Times New Roman" w:hAnsi="Times New Roman"/>
          <w:sz w:val="20"/>
          <w:szCs w:val="20"/>
          <w:lang w:eastAsia="lv-LV"/>
        </w:rPr>
        <w:t>6</w:t>
      </w:r>
      <w:r w:rsidR="00C92BDF">
        <w:rPr>
          <w:rFonts w:ascii="Times New Roman" w:eastAsia="Times New Roman" w:hAnsi="Times New Roman"/>
          <w:sz w:val="20"/>
          <w:szCs w:val="20"/>
          <w:lang w:eastAsia="lv-LV"/>
        </w:rPr>
        <w:t>:</w:t>
      </w:r>
      <w:r w:rsidR="00B5755D">
        <w:rPr>
          <w:rFonts w:ascii="Times New Roman" w:eastAsia="Times New Roman" w:hAnsi="Times New Roman"/>
          <w:sz w:val="20"/>
          <w:szCs w:val="20"/>
          <w:lang w:eastAsia="lv-LV"/>
        </w:rPr>
        <w:t>0</w:t>
      </w:r>
      <w:r w:rsidR="00916298">
        <w:rPr>
          <w:rFonts w:ascii="Times New Roman" w:eastAsia="Times New Roman" w:hAnsi="Times New Roman"/>
          <w:sz w:val="20"/>
          <w:szCs w:val="20"/>
          <w:lang w:eastAsia="lv-LV"/>
        </w:rPr>
        <w:t>0</w:t>
      </w:r>
    </w:p>
    <w:p w:rsidR="00311542" w:rsidRDefault="00683615" w:rsidP="007D750C">
      <w:pPr>
        <w:spacing w:after="0"/>
        <w:ind w:left="0"/>
        <w:jc w:val="left"/>
        <w:rPr>
          <w:rFonts w:ascii="Times New Roman" w:hAnsi="Times New Roman"/>
          <w:sz w:val="20"/>
          <w:szCs w:val="20"/>
        </w:rPr>
      </w:pPr>
      <w:r>
        <w:rPr>
          <w:rFonts w:ascii="Times New Roman" w:hAnsi="Times New Roman"/>
          <w:sz w:val="20"/>
          <w:szCs w:val="20"/>
        </w:rPr>
        <w:t>24</w:t>
      </w:r>
      <w:r w:rsidR="00311542">
        <w:rPr>
          <w:rFonts w:ascii="Times New Roman" w:hAnsi="Times New Roman"/>
          <w:sz w:val="20"/>
          <w:szCs w:val="20"/>
        </w:rPr>
        <w:t>0</w:t>
      </w:r>
      <w:r w:rsidR="00E92038">
        <w:rPr>
          <w:rFonts w:ascii="Times New Roman" w:hAnsi="Times New Roman"/>
          <w:sz w:val="20"/>
          <w:szCs w:val="20"/>
        </w:rPr>
        <w:t>5</w:t>
      </w:r>
    </w:p>
    <w:p w:rsidR="007D750C" w:rsidRPr="00476A38" w:rsidRDefault="00FF301B" w:rsidP="007D750C">
      <w:pPr>
        <w:spacing w:after="0"/>
        <w:ind w:left="0"/>
        <w:jc w:val="left"/>
        <w:rPr>
          <w:rFonts w:ascii="Times New Roman" w:eastAsia="Times New Roman" w:hAnsi="Times New Roman"/>
          <w:sz w:val="20"/>
          <w:szCs w:val="20"/>
          <w:lang w:eastAsia="lv-LV"/>
        </w:rPr>
      </w:pPr>
      <w:r w:rsidRPr="00476A38">
        <w:rPr>
          <w:rFonts w:ascii="Times New Roman" w:eastAsia="Times New Roman" w:hAnsi="Times New Roman"/>
          <w:sz w:val="20"/>
          <w:szCs w:val="20"/>
          <w:lang w:eastAsia="lv-LV"/>
        </w:rPr>
        <w:t>J.Krastiņ</w:t>
      </w:r>
      <w:r w:rsidR="009A6365" w:rsidRPr="00476A38">
        <w:rPr>
          <w:rFonts w:ascii="Times New Roman" w:eastAsia="Times New Roman" w:hAnsi="Times New Roman"/>
          <w:sz w:val="20"/>
          <w:szCs w:val="20"/>
          <w:lang w:eastAsia="lv-LV"/>
        </w:rPr>
        <w:t>a</w:t>
      </w:r>
    </w:p>
    <w:p w:rsidR="003F4905" w:rsidRPr="00476A38" w:rsidRDefault="007D750C" w:rsidP="00A23450">
      <w:pPr>
        <w:spacing w:after="0"/>
        <w:ind w:left="0"/>
        <w:jc w:val="left"/>
        <w:rPr>
          <w:rFonts w:ascii="Times New Roman" w:eastAsia="Times New Roman" w:hAnsi="Times New Roman"/>
          <w:sz w:val="20"/>
          <w:szCs w:val="20"/>
          <w:lang w:eastAsia="lv-LV"/>
        </w:rPr>
      </w:pPr>
      <w:r w:rsidRPr="00476A38">
        <w:rPr>
          <w:rFonts w:ascii="Times New Roman" w:eastAsia="Times New Roman" w:hAnsi="Times New Roman"/>
          <w:sz w:val="20"/>
          <w:szCs w:val="20"/>
          <w:lang w:eastAsia="lv-LV"/>
        </w:rPr>
        <w:t>670955</w:t>
      </w:r>
      <w:r w:rsidR="00A5733C" w:rsidRPr="00476A38">
        <w:rPr>
          <w:rFonts w:ascii="Times New Roman" w:eastAsia="Times New Roman" w:hAnsi="Times New Roman"/>
          <w:sz w:val="20"/>
          <w:szCs w:val="20"/>
          <w:lang w:eastAsia="lv-LV"/>
        </w:rPr>
        <w:t>6</w:t>
      </w:r>
      <w:r w:rsidR="00FF301B" w:rsidRPr="00476A38">
        <w:rPr>
          <w:rFonts w:ascii="Times New Roman" w:eastAsia="Times New Roman" w:hAnsi="Times New Roman"/>
          <w:sz w:val="20"/>
          <w:szCs w:val="20"/>
          <w:lang w:eastAsia="lv-LV"/>
        </w:rPr>
        <w:t>4</w:t>
      </w:r>
      <w:r w:rsidRPr="00476A38">
        <w:rPr>
          <w:rFonts w:ascii="Times New Roman" w:eastAsia="Times New Roman" w:hAnsi="Times New Roman"/>
          <w:sz w:val="20"/>
          <w:szCs w:val="20"/>
          <w:lang w:eastAsia="lv-LV"/>
        </w:rPr>
        <w:t xml:space="preserve">, </w:t>
      </w:r>
      <w:r w:rsidR="00FF301B" w:rsidRPr="00476A38">
        <w:rPr>
          <w:rFonts w:ascii="Times New Roman" w:eastAsia="Times New Roman" w:hAnsi="Times New Roman"/>
          <w:sz w:val="20"/>
          <w:szCs w:val="20"/>
          <w:lang w:eastAsia="lv-LV"/>
        </w:rPr>
        <w:t>Jolanta.Krastiņa</w:t>
      </w:r>
      <w:r w:rsidRPr="00476A38">
        <w:rPr>
          <w:rFonts w:ascii="Times New Roman" w:eastAsia="Times New Roman" w:hAnsi="Times New Roman"/>
          <w:sz w:val="20"/>
          <w:szCs w:val="20"/>
          <w:lang w:eastAsia="lv-LV"/>
        </w:rPr>
        <w:t>@fm.gov.lv</w:t>
      </w:r>
    </w:p>
    <w:sectPr w:rsidR="003F4905" w:rsidRPr="00476A38" w:rsidSect="00F03EF2">
      <w:headerReference w:type="default" r:id="rId13"/>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A0" w:rsidRDefault="003F5CA0" w:rsidP="003B0A1E">
      <w:pPr>
        <w:spacing w:after="0"/>
      </w:pPr>
      <w:r>
        <w:separator/>
      </w:r>
    </w:p>
  </w:endnote>
  <w:endnote w:type="continuationSeparator" w:id="0">
    <w:p w:rsidR="003F5CA0" w:rsidRDefault="003F5CA0" w:rsidP="003B0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0" w:rsidRPr="003D2040" w:rsidRDefault="00C57B62" w:rsidP="0040097E">
    <w:pPr>
      <w:ind w:left="0"/>
      <w:rPr>
        <w:rFonts w:ascii="Times New Roman" w:hAnsi="Times New Roman"/>
        <w:noProof/>
        <w:sz w:val="20"/>
        <w:szCs w:val="20"/>
      </w:rPr>
    </w:pPr>
    <w:fldSimple w:instr=" FILENAME  \* MERGEFORMAT ">
      <w:r w:rsidR="006649AB" w:rsidRPr="006649AB">
        <w:rPr>
          <w:rFonts w:ascii="Times New Roman" w:hAnsi="Times New Roman"/>
          <w:noProof/>
          <w:sz w:val="20"/>
          <w:szCs w:val="20"/>
        </w:rPr>
        <w:t>FMAnot_220711_galvojums</w:t>
      </w:r>
    </w:fldSimple>
    <w:r w:rsidR="003F5CA0" w:rsidRPr="003D2040">
      <w:rPr>
        <w:rFonts w:ascii="Times New Roman" w:hAnsi="Times New Roman"/>
        <w:sz w:val="20"/>
        <w:szCs w:val="20"/>
      </w:rPr>
      <w:t>; Ministru kabineta noteikumu projekt</w:t>
    </w:r>
    <w:r w:rsidR="003F5CA0">
      <w:rPr>
        <w:rFonts w:ascii="Times New Roman" w:hAnsi="Times New Roman"/>
        <w:sz w:val="20"/>
        <w:szCs w:val="20"/>
      </w:rPr>
      <w:t>s</w:t>
    </w:r>
    <w:r w:rsidR="003F5CA0" w:rsidRPr="003D2040">
      <w:rPr>
        <w:rFonts w:ascii="Times New Roman" w:hAnsi="Times New Roman"/>
        <w:sz w:val="20"/>
        <w:szCs w:val="20"/>
      </w:rPr>
      <w:t xml:space="preserve"> „</w:t>
    </w:r>
    <w:r w:rsidR="003F5CA0">
      <w:rPr>
        <w:rFonts w:ascii="Times New Roman" w:hAnsi="Times New Roman"/>
        <w:sz w:val="20"/>
        <w:szCs w:val="20"/>
      </w:rPr>
      <w:t>Noteikumi par nodokļu parāda galvojumu preču muitošanai</w:t>
    </w:r>
    <w:r w:rsidR="003F5CA0" w:rsidRPr="003D2040">
      <w:rPr>
        <w:rFonts w:ascii="Times New Roman" w:hAnsi="Times New Roman"/>
        <w:sz w:val="20"/>
        <w:szCs w:val="20"/>
      </w:rPr>
      <w:t xml:space="preserve">” </w:t>
    </w:r>
    <w:r w:rsidR="003F5CA0">
      <w:rPr>
        <w:rFonts w:ascii="Times New Roman" w:hAnsi="Times New Roman"/>
        <w:sz w:val="20"/>
        <w:szCs w:val="20"/>
      </w:rPr>
      <w:t>a</w:t>
    </w:r>
    <w:r w:rsidR="003F5CA0" w:rsidRPr="003D2040">
      <w:rPr>
        <w:rFonts w:ascii="Times New Roman" w:hAnsi="Times New Roman"/>
        <w:sz w:val="20"/>
        <w:szCs w:val="20"/>
      </w:rPr>
      <w:t>notācija</w:t>
    </w:r>
  </w:p>
  <w:p w:rsidR="003F5CA0" w:rsidRPr="0040097E" w:rsidRDefault="003F5CA0" w:rsidP="0040097E">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0" w:rsidRPr="003D2040" w:rsidRDefault="00C57B62" w:rsidP="00174830">
    <w:pPr>
      <w:ind w:left="0"/>
      <w:rPr>
        <w:rFonts w:ascii="Times New Roman" w:hAnsi="Times New Roman"/>
        <w:noProof/>
        <w:sz w:val="20"/>
        <w:szCs w:val="20"/>
      </w:rPr>
    </w:pPr>
    <w:fldSimple w:instr=" FILENAME  \* MERGEFORMAT ">
      <w:r w:rsidR="006649AB" w:rsidRPr="006649AB">
        <w:rPr>
          <w:rFonts w:ascii="Times New Roman" w:hAnsi="Times New Roman"/>
          <w:noProof/>
          <w:sz w:val="20"/>
          <w:szCs w:val="20"/>
        </w:rPr>
        <w:t>FMAnot_220711_galvojums</w:t>
      </w:r>
    </w:fldSimple>
    <w:r w:rsidR="003F5CA0" w:rsidRPr="003D2040">
      <w:rPr>
        <w:rFonts w:ascii="Times New Roman" w:hAnsi="Times New Roman"/>
        <w:sz w:val="20"/>
        <w:szCs w:val="20"/>
      </w:rPr>
      <w:t>; Ministru kabineta noteikumu projekt</w:t>
    </w:r>
    <w:r w:rsidR="003F5CA0">
      <w:rPr>
        <w:rFonts w:ascii="Times New Roman" w:hAnsi="Times New Roman"/>
        <w:sz w:val="20"/>
        <w:szCs w:val="20"/>
      </w:rPr>
      <w:t>s</w:t>
    </w:r>
    <w:r w:rsidR="003F5CA0" w:rsidRPr="003D2040">
      <w:rPr>
        <w:rFonts w:ascii="Times New Roman" w:hAnsi="Times New Roman"/>
        <w:sz w:val="20"/>
        <w:szCs w:val="20"/>
      </w:rPr>
      <w:t xml:space="preserve"> „</w:t>
    </w:r>
    <w:r w:rsidR="003F5CA0">
      <w:rPr>
        <w:rFonts w:ascii="Times New Roman" w:hAnsi="Times New Roman"/>
        <w:sz w:val="20"/>
        <w:szCs w:val="20"/>
      </w:rPr>
      <w:t>Noteikumi par nodokļu parāda galvojumu preču muitošanai</w:t>
    </w:r>
    <w:r w:rsidR="003F5CA0" w:rsidRPr="003D2040">
      <w:rPr>
        <w:rFonts w:ascii="Times New Roman" w:hAnsi="Times New Roman"/>
        <w:sz w:val="20"/>
        <w:szCs w:val="20"/>
      </w:rPr>
      <w:t xml:space="preserve">” </w:t>
    </w:r>
    <w:r w:rsidR="003F5CA0">
      <w:rPr>
        <w:rFonts w:ascii="Times New Roman" w:hAnsi="Times New Roman"/>
        <w:sz w:val="20"/>
        <w:szCs w:val="20"/>
      </w:rPr>
      <w:t>a</w:t>
    </w:r>
    <w:r w:rsidR="003F5CA0" w:rsidRPr="003D2040">
      <w:rPr>
        <w:rFonts w:ascii="Times New Roman" w:hAnsi="Times New Roman"/>
        <w:sz w:val="20"/>
        <w:szCs w:val="20"/>
      </w:rPr>
      <w:t>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A0" w:rsidRDefault="003F5CA0" w:rsidP="003B0A1E">
      <w:pPr>
        <w:spacing w:after="0"/>
      </w:pPr>
      <w:r>
        <w:separator/>
      </w:r>
    </w:p>
  </w:footnote>
  <w:footnote w:type="continuationSeparator" w:id="0">
    <w:p w:rsidR="003F5CA0" w:rsidRDefault="003F5CA0" w:rsidP="003B0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A0" w:rsidRDefault="003F5CA0">
    <w:pPr>
      <w:pStyle w:val="Header"/>
      <w:jc w:val="center"/>
    </w:pPr>
    <w:r>
      <w:fldChar w:fldCharType="begin"/>
    </w:r>
    <w:r>
      <w:instrText xml:space="preserve"> PAGE   \* MERGEFORMAT </w:instrText>
    </w:r>
    <w:r>
      <w:fldChar w:fldCharType="separate"/>
    </w:r>
    <w:r w:rsidR="006649AB">
      <w:rPr>
        <w:noProof/>
      </w:rPr>
      <w:t>3</w:t>
    </w:r>
    <w:r>
      <w:fldChar w:fldCharType="end"/>
    </w:r>
  </w:p>
  <w:p w:rsidR="003F5CA0" w:rsidRDefault="003F5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41A"/>
    <w:multiLevelType w:val="hybridMultilevel"/>
    <w:tmpl w:val="2B502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429744A"/>
    <w:multiLevelType w:val="hybridMultilevel"/>
    <w:tmpl w:val="A752994C"/>
    <w:lvl w:ilvl="0" w:tplc="32F43828">
      <w:start w:val="1"/>
      <w:numFmt w:val="decimal"/>
      <w:lvlText w:val="%1)"/>
      <w:lvlJc w:val="left"/>
      <w:pPr>
        <w:ind w:left="515" w:hanging="39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2">
    <w:nsid w:val="29E036D4"/>
    <w:multiLevelType w:val="hybridMultilevel"/>
    <w:tmpl w:val="D8C20654"/>
    <w:lvl w:ilvl="0" w:tplc="3238FEA0">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nsid w:val="407A4C8E"/>
    <w:multiLevelType w:val="hybridMultilevel"/>
    <w:tmpl w:val="065E89BE"/>
    <w:lvl w:ilvl="0" w:tplc="9C3E6C8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
    <w:nsid w:val="6D3713B4"/>
    <w:multiLevelType w:val="hybridMultilevel"/>
    <w:tmpl w:val="241E168E"/>
    <w:lvl w:ilvl="0" w:tplc="4F10A9F2">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070"/>
    <w:rsid w:val="00000FB6"/>
    <w:rsid w:val="00010BF3"/>
    <w:rsid w:val="00013E1E"/>
    <w:rsid w:val="00014352"/>
    <w:rsid w:val="000149E6"/>
    <w:rsid w:val="00016881"/>
    <w:rsid w:val="00023565"/>
    <w:rsid w:val="00024C37"/>
    <w:rsid w:val="00026A20"/>
    <w:rsid w:val="0003369A"/>
    <w:rsid w:val="00034540"/>
    <w:rsid w:val="0003562B"/>
    <w:rsid w:val="0004072A"/>
    <w:rsid w:val="00041842"/>
    <w:rsid w:val="00052678"/>
    <w:rsid w:val="000570F4"/>
    <w:rsid w:val="00064612"/>
    <w:rsid w:val="00073B63"/>
    <w:rsid w:val="00074B64"/>
    <w:rsid w:val="00075F78"/>
    <w:rsid w:val="000778BA"/>
    <w:rsid w:val="000801BC"/>
    <w:rsid w:val="00086C4E"/>
    <w:rsid w:val="000B29AA"/>
    <w:rsid w:val="000B624E"/>
    <w:rsid w:val="000C277C"/>
    <w:rsid w:val="000C4684"/>
    <w:rsid w:val="000C5BD2"/>
    <w:rsid w:val="000D2C98"/>
    <w:rsid w:val="000D53AA"/>
    <w:rsid w:val="000E45C1"/>
    <w:rsid w:val="000E6254"/>
    <w:rsid w:val="000E78F2"/>
    <w:rsid w:val="000F0E77"/>
    <w:rsid w:val="000F6AC3"/>
    <w:rsid w:val="00100D07"/>
    <w:rsid w:val="00110AE6"/>
    <w:rsid w:val="001122FC"/>
    <w:rsid w:val="00114145"/>
    <w:rsid w:val="00133C8A"/>
    <w:rsid w:val="00145066"/>
    <w:rsid w:val="00146D2C"/>
    <w:rsid w:val="0014752C"/>
    <w:rsid w:val="001478A8"/>
    <w:rsid w:val="00153945"/>
    <w:rsid w:val="0015759B"/>
    <w:rsid w:val="0017430A"/>
    <w:rsid w:val="00174830"/>
    <w:rsid w:val="00176D06"/>
    <w:rsid w:val="00180440"/>
    <w:rsid w:val="00193BF6"/>
    <w:rsid w:val="001951C0"/>
    <w:rsid w:val="001B50C6"/>
    <w:rsid w:val="001B708D"/>
    <w:rsid w:val="001C0AFC"/>
    <w:rsid w:val="001C7F40"/>
    <w:rsid w:val="001D1731"/>
    <w:rsid w:val="001E0708"/>
    <w:rsid w:val="001E0C45"/>
    <w:rsid w:val="001E6D3A"/>
    <w:rsid w:val="001F1BE9"/>
    <w:rsid w:val="00201A4D"/>
    <w:rsid w:val="00205E87"/>
    <w:rsid w:val="002078C5"/>
    <w:rsid w:val="0021137A"/>
    <w:rsid w:val="00212388"/>
    <w:rsid w:val="00215A1D"/>
    <w:rsid w:val="002352B9"/>
    <w:rsid w:val="00240BEB"/>
    <w:rsid w:val="0024124A"/>
    <w:rsid w:val="0024418E"/>
    <w:rsid w:val="00246B36"/>
    <w:rsid w:val="0024715B"/>
    <w:rsid w:val="00250D16"/>
    <w:rsid w:val="00252A6A"/>
    <w:rsid w:val="002538C1"/>
    <w:rsid w:val="00265691"/>
    <w:rsid w:val="00274135"/>
    <w:rsid w:val="00276858"/>
    <w:rsid w:val="00277EA2"/>
    <w:rsid w:val="00283ED7"/>
    <w:rsid w:val="0029303A"/>
    <w:rsid w:val="002A1B54"/>
    <w:rsid w:val="002B0771"/>
    <w:rsid w:val="002B5591"/>
    <w:rsid w:val="002C2F0E"/>
    <w:rsid w:val="002C32BB"/>
    <w:rsid w:val="002D10FE"/>
    <w:rsid w:val="002D4F35"/>
    <w:rsid w:val="002D7DCA"/>
    <w:rsid w:val="002E161C"/>
    <w:rsid w:val="002E187F"/>
    <w:rsid w:val="002E2EAC"/>
    <w:rsid w:val="002E597C"/>
    <w:rsid w:val="003053AB"/>
    <w:rsid w:val="003069BB"/>
    <w:rsid w:val="00311542"/>
    <w:rsid w:val="003133A5"/>
    <w:rsid w:val="0031698A"/>
    <w:rsid w:val="00327290"/>
    <w:rsid w:val="00334621"/>
    <w:rsid w:val="00334945"/>
    <w:rsid w:val="00340A83"/>
    <w:rsid w:val="00341FBD"/>
    <w:rsid w:val="003551C7"/>
    <w:rsid w:val="003601AB"/>
    <w:rsid w:val="00365DF2"/>
    <w:rsid w:val="0037378B"/>
    <w:rsid w:val="00374251"/>
    <w:rsid w:val="0038206D"/>
    <w:rsid w:val="00382DC6"/>
    <w:rsid w:val="003868F2"/>
    <w:rsid w:val="00390B60"/>
    <w:rsid w:val="00396C5E"/>
    <w:rsid w:val="003B0A1E"/>
    <w:rsid w:val="003B3CCA"/>
    <w:rsid w:val="003C62FD"/>
    <w:rsid w:val="003C7036"/>
    <w:rsid w:val="003C74FD"/>
    <w:rsid w:val="003D2040"/>
    <w:rsid w:val="003D5B69"/>
    <w:rsid w:val="003D7E8C"/>
    <w:rsid w:val="003E55A8"/>
    <w:rsid w:val="003F2485"/>
    <w:rsid w:val="003F4905"/>
    <w:rsid w:val="003F5366"/>
    <w:rsid w:val="003F5CA0"/>
    <w:rsid w:val="0040097E"/>
    <w:rsid w:val="0040143E"/>
    <w:rsid w:val="00401FF6"/>
    <w:rsid w:val="004061B2"/>
    <w:rsid w:val="004205AD"/>
    <w:rsid w:val="004248AC"/>
    <w:rsid w:val="00444DA2"/>
    <w:rsid w:val="00445985"/>
    <w:rsid w:val="00452A05"/>
    <w:rsid w:val="0045305D"/>
    <w:rsid w:val="004552BF"/>
    <w:rsid w:val="004556E4"/>
    <w:rsid w:val="00455995"/>
    <w:rsid w:val="00463DD8"/>
    <w:rsid w:val="0046613E"/>
    <w:rsid w:val="00466C31"/>
    <w:rsid w:val="0047109A"/>
    <w:rsid w:val="00474350"/>
    <w:rsid w:val="004750FA"/>
    <w:rsid w:val="00476A38"/>
    <w:rsid w:val="00483960"/>
    <w:rsid w:val="00490D0A"/>
    <w:rsid w:val="004970F0"/>
    <w:rsid w:val="00497BB2"/>
    <w:rsid w:val="004A50B1"/>
    <w:rsid w:val="004A5B40"/>
    <w:rsid w:val="004A79D3"/>
    <w:rsid w:val="004B0983"/>
    <w:rsid w:val="004B4A9F"/>
    <w:rsid w:val="004B7A48"/>
    <w:rsid w:val="004C372F"/>
    <w:rsid w:val="004D4845"/>
    <w:rsid w:val="004E610A"/>
    <w:rsid w:val="004F459C"/>
    <w:rsid w:val="00503717"/>
    <w:rsid w:val="00503C9B"/>
    <w:rsid w:val="00504C5A"/>
    <w:rsid w:val="00520239"/>
    <w:rsid w:val="00520AC5"/>
    <w:rsid w:val="00526592"/>
    <w:rsid w:val="0053720A"/>
    <w:rsid w:val="00543F12"/>
    <w:rsid w:val="005464E4"/>
    <w:rsid w:val="0055737B"/>
    <w:rsid w:val="00582F20"/>
    <w:rsid w:val="00583127"/>
    <w:rsid w:val="005858B6"/>
    <w:rsid w:val="00592CAC"/>
    <w:rsid w:val="005A2614"/>
    <w:rsid w:val="005B0DE6"/>
    <w:rsid w:val="005B3125"/>
    <w:rsid w:val="005B3F4F"/>
    <w:rsid w:val="005C2A24"/>
    <w:rsid w:val="005C32C7"/>
    <w:rsid w:val="005D3D76"/>
    <w:rsid w:val="005E0F38"/>
    <w:rsid w:val="005E786F"/>
    <w:rsid w:val="005F57C3"/>
    <w:rsid w:val="005F5E86"/>
    <w:rsid w:val="00604B1E"/>
    <w:rsid w:val="006059B6"/>
    <w:rsid w:val="00606954"/>
    <w:rsid w:val="00611002"/>
    <w:rsid w:val="00612041"/>
    <w:rsid w:val="006454E2"/>
    <w:rsid w:val="0065267E"/>
    <w:rsid w:val="00661045"/>
    <w:rsid w:val="006630ED"/>
    <w:rsid w:val="00663F69"/>
    <w:rsid w:val="006649AB"/>
    <w:rsid w:val="00674B5B"/>
    <w:rsid w:val="006805AB"/>
    <w:rsid w:val="00683615"/>
    <w:rsid w:val="00686344"/>
    <w:rsid w:val="00690227"/>
    <w:rsid w:val="006A1472"/>
    <w:rsid w:val="006A1A86"/>
    <w:rsid w:val="006A27FA"/>
    <w:rsid w:val="006A2EF9"/>
    <w:rsid w:val="006A7492"/>
    <w:rsid w:val="006B4110"/>
    <w:rsid w:val="006C247B"/>
    <w:rsid w:val="006C6A03"/>
    <w:rsid w:val="006D1099"/>
    <w:rsid w:val="006D2100"/>
    <w:rsid w:val="006F2DF7"/>
    <w:rsid w:val="006F3A2A"/>
    <w:rsid w:val="0070330D"/>
    <w:rsid w:val="00717B54"/>
    <w:rsid w:val="007236AB"/>
    <w:rsid w:val="00735182"/>
    <w:rsid w:val="00737BBB"/>
    <w:rsid w:val="0074329F"/>
    <w:rsid w:val="007452FF"/>
    <w:rsid w:val="0075166E"/>
    <w:rsid w:val="00752D67"/>
    <w:rsid w:val="00753B62"/>
    <w:rsid w:val="007639D8"/>
    <w:rsid w:val="00766BE3"/>
    <w:rsid w:val="00766FBA"/>
    <w:rsid w:val="00771D3D"/>
    <w:rsid w:val="007768F3"/>
    <w:rsid w:val="007909DE"/>
    <w:rsid w:val="00793734"/>
    <w:rsid w:val="007964EB"/>
    <w:rsid w:val="007A065A"/>
    <w:rsid w:val="007A1C39"/>
    <w:rsid w:val="007A1D2C"/>
    <w:rsid w:val="007B356B"/>
    <w:rsid w:val="007B38A8"/>
    <w:rsid w:val="007B5EC8"/>
    <w:rsid w:val="007C6E96"/>
    <w:rsid w:val="007D6E1F"/>
    <w:rsid w:val="007D750C"/>
    <w:rsid w:val="007E2D6F"/>
    <w:rsid w:val="007E461E"/>
    <w:rsid w:val="00801A0E"/>
    <w:rsid w:val="00811CD9"/>
    <w:rsid w:val="00814A52"/>
    <w:rsid w:val="00830C7F"/>
    <w:rsid w:val="00837062"/>
    <w:rsid w:val="008433AB"/>
    <w:rsid w:val="00851569"/>
    <w:rsid w:val="008523ED"/>
    <w:rsid w:val="008561B4"/>
    <w:rsid w:val="00862899"/>
    <w:rsid w:val="00864E88"/>
    <w:rsid w:val="0086574F"/>
    <w:rsid w:val="00865E4F"/>
    <w:rsid w:val="00867918"/>
    <w:rsid w:val="00870755"/>
    <w:rsid w:val="0087138B"/>
    <w:rsid w:val="008835C0"/>
    <w:rsid w:val="008A1B15"/>
    <w:rsid w:val="008A2300"/>
    <w:rsid w:val="008B020B"/>
    <w:rsid w:val="008B2C2C"/>
    <w:rsid w:val="008B3F0E"/>
    <w:rsid w:val="008B4184"/>
    <w:rsid w:val="008B4571"/>
    <w:rsid w:val="008D3D91"/>
    <w:rsid w:val="008D3E88"/>
    <w:rsid w:val="008D5FAD"/>
    <w:rsid w:val="008E7E4F"/>
    <w:rsid w:val="009004B4"/>
    <w:rsid w:val="009049AE"/>
    <w:rsid w:val="00906BB3"/>
    <w:rsid w:val="009125DC"/>
    <w:rsid w:val="009154AA"/>
    <w:rsid w:val="00916298"/>
    <w:rsid w:val="00920186"/>
    <w:rsid w:val="0092701A"/>
    <w:rsid w:val="00930E36"/>
    <w:rsid w:val="009320D2"/>
    <w:rsid w:val="00941723"/>
    <w:rsid w:val="009437BD"/>
    <w:rsid w:val="0094762B"/>
    <w:rsid w:val="0096204E"/>
    <w:rsid w:val="009667F7"/>
    <w:rsid w:val="0097076A"/>
    <w:rsid w:val="00971080"/>
    <w:rsid w:val="00971489"/>
    <w:rsid w:val="00972E6D"/>
    <w:rsid w:val="00984053"/>
    <w:rsid w:val="00984BE0"/>
    <w:rsid w:val="00992365"/>
    <w:rsid w:val="009A2BF0"/>
    <w:rsid w:val="009A6365"/>
    <w:rsid w:val="009A7AC0"/>
    <w:rsid w:val="009B63BF"/>
    <w:rsid w:val="009C0933"/>
    <w:rsid w:val="009C2FE6"/>
    <w:rsid w:val="009C5579"/>
    <w:rsid w:val="009C7091"/>
    <w:rsid w:val="009D3C5F"/>
    <w:rsid w:val="009D50B2"/>
    <w:rsid w:val="009E6DA0"/>
    <w:rsid w:val="00A03FE3"/>
    <w:rsid w:val="00A12228"/>
    <w:rsid w:val="00A14FAE"/>
    <w:rsid w:val="00A15C5E"/>
    <w:rsid w:val="00A22148"/>
    <w:rsid w:val="00A22599"/>
    <w:rsid w:val="00A23450"/>
    <w:rsid w:val="00A271E4"/>
    <w:rsid w:val="00A31592"/>
    <w:rsid w:val="00A34550"/>
    <w:rsid w:val="00A35E79"/>
    <w:rsid w:val="00A36B3D"/>
    <w:rsid w:val="00A42E2C"/>
    <w:rsid w:val="00A43316"/>
    <w:rsid w:val="00A43E12"/>
    <w:rsid w:val="00A51A50"/>
    <w:rsid w:val="00A54065"/>
    <w:rsid w:val="00A54A66"/>
    <w:rsid w:val="00A5733C"/>
    <w:rsid w:val="00A6553E"/>
    <w:rsid w:val="00A66E79"/>
    <w:rsid w:val="00A714FF"/>
    <w:rsid w:val="00A745B8"/>
    <w:rsid w:val="00A87103"/>
    <w:rsid w:val="00A95B4E"/>
    <w:rsid w:val="00AA2A57"/>
    <w:rsid w:val="00AA69F8"/>
    <w:rsid w:val="00AA7C5A"/>
    <w:rsid w:val="00AB2803"/>
    <w:rsid w:val="00AC1327"/>
    <w:rsid w:val="00AC738D"/>
    <w:rsid w:val="00AC7CA0"/>
    <w:rsid w:val="00AD02FF"/>
    <w:rsid w:val="00AD39AC"/>
    <w:rsid w:val="00AD637E"/>
    <w:rsid w:val="00AE29E7"/>
    <w:rsid w:val="00AF2C84"/>
    <w:rsid w:val="00AF5A65"/>
    <w:rsid w:val="00AF7307"/>
    <w:rsid w:val="00B003CD"/>
    <w:rsid w:val="00B025D6"/>
    <w:rsid w:val="00B0613C"/>
    <w:rsid w:val="00B1276D"/>
    <w:rsid w:val="00B12F29"/>
    <w:rsid w:val="00B142D3"/>
    <w:rsid w:val="00B24517"/>
    <w:rsid w:val="00B25146"/>
    <w:rsid w:val="00B347DE"/>
    <w:rsid w:val="00B401A9"/>
    <w:rsid w:val="00B42784"/>
    <w:rsid w:val="00B5755D"/>
    <w:rsid w:val="00B6469A"/>
    <w:rsid w:val="00B7561D"/>
    <w:rsid w:val="00B805A6"/>
    <w:rsid w:val="00B81EBF"/>
    <w:rsid w:val="00B848C3"/>
    <w:rsid w:val="00B967F8"/>
    <w:rsid w:val="00BA33B7"/>
    <w:rsid w:val="00BB1910"/>
    <w:rsid w:val="00BB79AA"/>
    <w:rsid w:val="00BC401E"/>
    <w:rsid w:val="00BC5582"/>
    <w:rsid w:val="00BD14DB"/>
    <w:rsid w:val="00BD7504"/>
    <w:rsid w:val="00BE445F"/>
    <w:rsid w:val="00BF1684"/>
    <w:rsid w:val="00BF22B4"/>
    <w:rsid w:val="00C01205"/>
    <w:rsid w:val="00C0304D"/>
    <w:rsid w:val="00C06D4B"/>
    <w:rsid w:val="00C06FFA"/>
    <w:rsid w:val="00C07036"/>
    <w:rsid w:val="00C11928"/>
    <w:rsid w:val="00C12F95"/>
    <w:rsid w:val="00C1361A"/>
    <w:rsid w:val="00C139CF"/>
    <w:rsid w:val="00C21548"/>
    <w:rsid w:val="00C23AE7"/>
    <w:rsid w:val="00C258D8"/>
    <w:rsid w:val="00C26070"/>
    <w:rsid w:val="00C43185"/>
    <w:rsid w:val="00C44C5D"/>
    <w:rsid w:val="00C51151"/>
    <w:rsid w:val="00C54C93"/>
    <w:rsid w:val="00C55D02"/>
    <w:rsid w:val="00C57B62"/>
    <w:rsid w:val="00C57ED3"/>
    <w:rsid w:val="00C65CCB"/>
    <w:rsid w:val="00C67B72"/>
    <w:rsid w:val="00C731C6"/>
    <w:rsid w:val="00C7540C"/>
    <w:rsid w:val="00C81239"/>
    <w:rsid w:val="00C92BDF"/>
    <w:rsid w:val="00C96A57"/>
    <w:rsid w:val="00C96C65"/>
    <w:rsid w:val="00C96CCF"/>
    <w:rsid w:val="00CA0334"/>
    <w:rsid w:val="00CA2AF8"/>
    <w:rsid w:val="00CC3087"/>
    <w:rsid w:val="00CC58EA"/>
    <w:rsid w:val="00CD2F03"/>
    <w:rsid w:val="00CE2EC3"/>
    <w:rsid w:val="00CE4F43"/>
    <w:rsid w:val="00CF397E"/>
    <w:rsid w:val="00CF695C"/>
    <w:rsid w:val="00D04BA5"/>
    <w:rsid w:val="00D06B75"/>
    <w:rsid w:val="00D07956"/>
    <w:rsid w:val="00D147A3"/>
    <w:rsid w:val="00D1518E"/>
    <w:rsid w:val="00D23609"/>
    <w:rsid w:val="00D2450B"/>
    <w:rsid w:val="00D31FDA"/>
    <w:rsid w:val="00D33FBA"/>
    <w:rsid w:val="00D42F23"/>
    <w:rsid w:val="00D43B3E"/>
    <w:rsid w:val="00D43EB7"/>
    <w:rsid w:val="00D45976"/>
    <w:rsid w:val="00D476AC"/>
    <w:rsid w:val="00D503E9"/>
    <w:rsid w:val="00D518A3"/>
    <w:rsid w:val="00D525BD"/>
    <w:rsid w:val="00D57770"/>
    <w:rsid w:val="00D64D49"/>
    <w:rsid w:val="00D66441"/>
    <w:rsid w:val="00D72704"/>
    <w:rsid w:val="00D72EB8"/>
    <w:rsid w:val="00D76C70"/>
    <w:rsid w:val="00D8196B"/>
    <w:rsid w:val="00D81C5E"/>
    <w:rsid w:val="00D87689"/>
    <w:rsid w:val="00D90C53"/>
    <w:rsid w:val="00D91D42"/>
    <w:rsid w:val="00D92280"/>
    <w:rsid w:val="00D97C40"/>
    <w:rsid w:val="00DA3062"/>
    <w:rsid w:val="00DA4E67"/>
    <w:rsid w:val="00DB0EBF"/>
    <w:rsid w:val="00DB3960"/>
    <w:rsid w:val="00DB4ED9"/>
    <w:rsid w:val="00DB7553"/>
    <w:rsid w:val="00DC5551"/>
    <w:rsid w:val="00DD2C04"/>
    <w:rsid w:val="00DD3541"/>
    <w:rsid w:val="00DD4665"/>
    <w:rsid w:val="00DE0407"/>
    <w:rsid w:val="00DF2603"/>
    <w:rsid w:val="00DF4131"/>
    <w:rsid w:val="00DF4A7C"/>
    <w:rsid w:val="00DF75B5"/>
    <w:rsid w:val="00E02F2B"/>
    <w:rsid w:val="00E033D7"/>
    <w:rsid w:val="00E04202"/>
    <w:rsid w:val="00E10EBA"/>
    <w:rsid w:val="00E2497D"/>
    <w:rsid w:val="00E357C3"/>
    <w:rsid w:val="00E53AA8"/>
    <w:rsid w:val="00E55226"/>
    <w:rsid w:val="00E568AA"/>
    <w:rsid w:val="00E6794C"/>
    <w:rsid w:val="00E700C3"/>
    <w:rsid w:val="00E81482"/>
    <w:rsid w:val="00E82C4C"/>
    <w:rsid w:val="00E84915"/>
    <w:rsid w:val="00E92038"/>
    <w:rsid w:val="00E93571"/>
    <w:rsid w:val="00E95445"/>
    <w:rsid w:val="00E95620"/>
    <w:rsid w:val="00EA54B4"/>
    <w:rsid w:val="00EB1AAF"/>
    <w:rsid w:val="00EC38A1"/>
    <w:rsid w:val="00EC7655"/>
    <w:rsid w:val="00EE6933"/>
    <w:rsid w:val="00EE698D"/>
    <w:rsid w:val="00EE73D4"/>
    <w:rsid w:val="00EF63D5"/>
    <w:rsid w:val="00EF6565"/>
    <w:rsid w:val="00F001CA"/>
    <w:rsid w:val="00F022C6"/>
    <w:rsid w:val="00F03EF2"/>
    <w:rsid w:val="00F071DA"/>
    <w:rsid w:val="00F1692A"/>
    <w:rsid w:val="00F17C52"/>
    <w:rsid w:val="00F21469"/>
    <w:rsid w:val="00F23EA1"/>
    <w:rsid w:val="00F32995"/>
    <w:rsid w:val="00F354B9"/>
    <w:rsid w:val="00F37502"/>
    <w:rsid w:val="00F419A8"/>
    <w:rsid w:val="00F44741"/>
    <w:rsid w:val="00F44C5B"/>
    <w:rsid w:val="00F47027"/>
    <w:rsid w:val="00F47558"/>
    <w:rsid w:val="00F53E36"/>
    <w:rsid w:val="00F540E1"/>
    <w:rsid w:val="00F60EF1"/>
    <w:rsid w:val="00F61CD3"/>
    <w:rsid w:val="00F647BC"/>
    <w:rsid w:val="00F66B68"/>
    <w:rsid w:val="00F7193A"/>
    <w:rsid w:val="00F8765B"/>
    <w:rsid w:val="00FA4FF5"/>
    <w:rsid w:val="00FA534F"/>
    <w:rsid w:val="00FB16DD"/>
    <w:rsid w:val="00FC78A2"/>
    <w:rsid w:val="00FD0A3B"/>
    <w:rsid w:val="00FD52A9"/>
    <w:rsid w:val="00FF1333"/>
    <w:rsid w:val="00FF1572"/>
    <w:rsid w:val="00FF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pPr>
      <w:spacing w:after="200"/>
      <w:ind w:left="1077"/>
      <w:jc w:val="both"/>
    </w:pPr>
    <w:rPr>
      <w:sz w:val="22"/>
      <w:szCs w:val="22"/>
      <w:lang w:eastAsia="en-US"/>
    </w:rPr>
  </w:style>
  <w:style w:type="paragraph" w:styleId="Heading4">
    <w:name w:val="heading 4"/>
    <w:basedOn w:val="Normal"/>
    <w:link w:val="Heading4Char"/>
    <w:uiPriority w:val="9"/>
    <w:qFormat/>
    <w:rsid w:val="00C96C65"/>
    <w:pPr>
      <w:spacing w:before="100" w:beforeAutospacing="1" w:after="100" w:afterAutospacing="1"/>
      <w:ind w:left="0"/>
      <w:jc w:val="left"/>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hAnsi="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hAnsi="Times New Roman"/>
      <w:sz w:val="28"/>
      <w:szCs w:val="28"/>
      <w:lang w:val="en-GB"/>
    </w:rPr>
  </w:style>
  <w:style w:type="character" w:customStyle="1" w:styleId="HeaderChar">
    <w:name w:val="Header Char"/>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link w:val="BalloonText"/>
    <w:uiPriority w:val="99"/>
    <w:semiHidden/>
    <w:rsid w:val="00DF2603"/>
    <w:rPr>
      <w:rFonts w:ascii="Tahoma" w:hAnsi="Tahoma" w:cs="Tahoma"/>
      <w:sz w:val="16"/>
      <w:szCs w:val="16"/>
    </w:rPr>
  </w:style>
  <w:style w:type="character" w:styleId="FootnoteReference">
    <w:name w:val="footnote reference"/>
    <w:semiHidden/>
    <w:rsid w:val="005B3F4F"/>
    <w:rPr>
      <w:vertAlign w:val="superscript"/>
    </w:rPr>
  </w:style>
  <w:style w:type="character" w:styleId="Hyperlink">
    <w:name w:val="Hyperlink"/>
    <w:uiPriority w:val="99"/>
    <w:semiHidden/>
    <w:unhideWhenUsed/>
    <w:rsid w:val="00674B5B"/>
    <w:rPr>
      <w:color w:val="0000FF"/>
      <w:u w:val="single"/>
    </w:rPr>
  </w:style>
  <w:style w:type="paragraph" w:styleId="ListParagraph">
    <w:name w:val="List Paragraph"/>
    <w:basedOn w:val="Normal"/>
    <w:uiPriority w:val="34"/>
    <w:qFormat/>
    <w:rsid w:val="00463DD8"/>
    <w:pPr>
      <w:spacing w:after="0"/>
      <w:ind w:left="720"/>
      <w:contextualSpacing/>
      <w:jc w:val="left"/>
    </w:pPr>
    <w:rPr>
      <w:rFonts w:ascii="Times New Roman" w:hAnsi="Times New Roman"/>
      <w:sz w:val="28"/>
      <w:szCs w:val="28"/>
      <w:lang w:val="en-GB"/>
    </w:rPr>
  </w:style>
  <w:style w:type="character" w:styleId="CommentReference">
    <w:name w:val="annotation reference"/>
    <w:uiPriority w:val="99"/>
    <w:semiHidden/>
    <w:unhideWhenUsed/>
    <w:rsid w:val="000E78F2"/>
    <w:rPr>
      <w:sz w:val="16"/>
      <w:szCs w:val="16"/>
    </w:rPr>
  </w:style>
  <w:style w:type="paragraph" w:styleId="CommentText">
    <w:name w:val="annotation text"/>
    <w:basedOn w:val="Normal"/>
    <w:link w:val="CommentTextChar"/>
    <w:uiPriority w:val="99"/>
    <w:semiHidden/>
    <w:unhideWhenUsed/>
    <w:rsid w:val="000E78F2"/>
    <w:rPr>
      <w:sz w:val="20"/>
      <w:szCs w:val="20"/>
    </w:rPr>
  </w:style>
  <w:style w:type="character" w:customStyle="1" w:styleId="CommentTextChar">
    <w:name w:val="Comment Text Char"/>
    <w:link w:val="CommentText"/>
    <w:uiPriority w:val="99"/>
    <w:semiHidden/>
    <w:rsid w:val="000E78F2"/>
    <w:rPr>
      <w:lang w:eastAsia="en-US"/>
    </w:rPr>
  </w:style>
  <w:style w:type="paragraph" w:styleId="CommentSubject">
    <w:name w:val="annotation subject"/>
    <w:basedOn w:val="CommentText"/>
    <w:next w:val="CommentText"/>
    <w:link w:val="CommentSubjectChar"/>
    <w:uiPriority w:val="99"/>
    <w:semiHidden/>
    <w:unhideWhenUsed/>
    <w:rsid w:val="00EB1AAF"/>
    <w:rPr>
      <w:b/>
      <w:bCs/>
    </w:rPr>
  </w:style>
  <w:style w:type="character" w:customStyle="1" w:styleId="CommentSubjectChar">
    <w:name w:val="Comment Subject Char"/>
    <w:link w:val="CommentSubject"/>
    <w:uiPriority w:val="99"/>
    <w:semiHidden/>
    <w:rsid w:val="00EB1AAF"/>
    <w:rPr>
      <w:b/>
      <w:bCs/>
      <w:lang w:eastAsia="en-US"/>
    </w:rPr>
  </w:style>
  <w:style w:type="character" w:customStyle="1" w:styleId="Heading4Char">
    <w:name w:val="Heading 4 Char"/>
    <w:link w:val="Heading4"/>
    <w:uiPriority w:val="9"/>
    <w:rsid w:val="00C96C65"/>
    <w:rPr>
      <w:rFonts w:ascii="Times New Roman" w:eastAsia="Times New Roman" w:hAnsi="Times New Roman"/>
      <w:b/>
      <w:bCs/>
      <w:sz w:val="24"/>
      <w:szCs w:val="24"/>
    </w:rPr>
  </w:style>
  <w:style w:type="paragraph" w:customStyle="1" w:styleId="RakstzCharCharRakstzCharCharRakstz">
    <w:name w:val="Rakstz. Char Char Rakstz. Char Char Rakstz."/>
    <w:basedOn w:val="Normal"/>
    <w:rsid w:val="00327290"/>
    <w:pPr>
      <w:spacing w:after="160" w:line="240" w:lineRule="exact"/>
      <w:ind w:left="0"/>
      <w:jc w:val="lef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21"/>
    <w:pPr>
      <w:spacing w:after="200"/>
      <w:ind w:left="1077"/>
      <w:jc w:val="both"/>
    </w:pPr>
    <w:rPr>
      <w:sz w:val="22"/>
      <w:szCs w:val="22"/>
      <w:lang w:eastAsia="en-US"/>
    </w:rPr>
  </w:style>
  <w:style w:type="paragraph" w:styleId="Heading4">
    <w:name w:val="heading 4"/>
    <w:basedOn w:val="Normal"/>
    <w:link w:val="Heading4Char"/>
    <w:uiPriority w:val="9"/>
    <w:qFormat/>
    <w:rsid w:val="00C96C65"/>
    <w:pPr>
      <w:spacing w:before="100" w:beforeAutospacing="1" w:after="100" w:afterAutospacing="1"/>
      <w:ind w:left="0"/>
      <w:jc w:val="left"/>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hAnsi="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hAnsi="Times New Roman"/>
      <w:sz w:val="28"/>
      <w:szCs w:val="28"/>
      <w:lang w:val="en-GB"/>
    </w:rPr>
  </w:style>
  <w:style w:type="character" w:customStyle="1" w:styleId="HeaderChar">
    <w:name w:val="Header Char"/>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link w:val="BalloonText"/>
    <w:uiPriority w:val="99"/>
    <w:semiHidden/>
    <w:rsid w:val="00DF2603"/>
    <w:rPr>
      <w:rFonts w:ascii="Tahoma" w:hAnsi="Tahoma" w:cs="Tahoma"/>
      <w:sz w:val="16"/>
      <w:szCs w:val="16"/>
    </w:rPr>
  </w:style>
  <w:style w:type="character" w:styleId="FootnoteReference">
    <w:name w:val="footnote reference"/>
    <w:semiHidden/>
    <w:rsid w:val="005B3F4F"/>
    <w:rPr>
      <w:vertAlign w:val="superscript"/>
    </w:rPr>
  </w:style>
  <w:style w:type="character" w:styleId="Hyperlink">
    <w:name w:val="Hyperlink"/>
    <w:uiPriority w:val="99"/>
    <w:semiHidden/>
    <w:unhideWhenUsed/>
    <w:rsid w:val="00674B5B"/>
    <w:rPr>
      <w:color w:val="0000FF"/>
      <w:u w:val="single"/>
    </w:rPr>
  </w:style>
  <w:style w:type="paragraph" w:styleId="ListParagraph">
    <w:name w:val="List Paragraph"/>
    <w:basedOn w:val="Normal"/>
    <w:uiPriority w:val="34"/>
    <w:qFormat/>
    <w:rsid w:val="00463DD8"/>
    <w:pPr>
      <w:spacing w:after="0"/>
      <w:ind w:left="720"/>
      <w:contextualSpacing/>
      <w:jc w:val="left"/>
    </w:pPr>
    <w:rPr>
      <w:rFonts w:ascii="Times New Roman" w:hAnsi="Times New Roman"/>
      <w:sz w:val="28"/>
      <w:szCs w:val="28"/>
      <w:lang w:val="en-GB"/>
    </w:rPr>
  </w:style>
  <w:style w:type="character" w:styleId="CommentReference">
    <w:name w:val="annotation reference"/>
    <w:uiPriority w:val="99"/>
    <w:semiHidden/>
    <w:unhideWhenUsed/>
    <w:rsid w:val="000E78F2"/>
    <w:rPr>
      <w:sz w:val="16"/>
      <w:szCs w:val="16"/>
    </w:rPr>
  </w:style>
  <w:style w:type="paragraph" w:styleId="CommentText">
    <w:name w:val="annotation text"/>
    <w:basedOn w:val="Normal"/>
    <w:link w:val="CommentTextChar"/>
    <w:uiPriority w:val="99"/>
    <w:semiHidden/>
    <w:unhideWhenUsed/>
    <w:rsid w:val="000E78F2"/>
    <w:rPr>
      <w:sz w:val="20"/>
      <w:szCs w:val="20"/>
    </w:rPr>
  </w:style>
  <w:style w:type="character" w:customStyle="1" w:styleId="CommentTextChar">
    <w:name w:val="Comment Text Char"/>
    <w:link w:val="CommentText"/>
    <w:uiPriority w:val="99"/>
    <w:semiHidden/>
    <w:rsid w:val="000E78F2"/>
    <w:rPr>
      <w:lang w:eastAsia="en-US"/>
    </w:rPr>
  </w:style>
  <w:style w:type="paragraph" w:styleId="CommentSubject">
    <w:name w:val="annotation subject"/>
    <w:basedOn w:val="CommentText"/>
    <w:next w:val="CommentText"/>
    <w:link w:val="CommentSubjectChar"/>
    <w:uiPriority w:val="99"/>
    <w:semiHidden/>
    <w:unhideWhenUsed/>
    <w:rsid w:val="00EB1AAF"/>
    <w:rPr>
      <w:b/>
      <w:bCs/>
    </w:rPr>
  </w:style>
  <w:style w:type="character" w:customStyle="1" w:styleId="CommentSubjectChar">
    <w:name w:val="Comment Subject Char"/>
    <w:link w:val="CommentSubject"/>
    <w:uiPriority w:val="99"/>
    <w:semiHidden/>
    <w:rsid w:val="00EB1AAF"/>
    <w:rPr>
      <w:b/>
      <w:bCs/>
      <w:lang w:eastAsia="en-US"/>
    </w:rPr>
  </w:style>
  <w:style w:type="character" w:customStyle="1" w:styleId="Heading4Char">
    <w:name w:val="Heading 4 Char"/>
    <w:link w:val="Heading4"/>
    <w:uiPriority w:val="9"/>
    <w:rsid w:val="00C96C65"/>
    <w:rPr>
      <w:rFonts w:ascii="Times New Roman" w:eastAsia="Times New Roman" w:hAnsi="Times New Roman"/>
      <w:b/>
      <w:bCs/>
      <w:sz w:val="24"/>
      <w:szCs w:val="24"/>
    </w:rPr>
  </w:style>
  <w:style w:type="paragraph" w:customStyle="1" w:styleId="RakstzCharCharRakstzCharCharRakstz">
    <w:name w:val="Rakstz. Char Char Rakstz. Char Char Rakstz."/>
    <w:basedOn w:val="Normal"/>
    <w:rsid w:val="00327290"/>
    <w:pPr>
      <w:spacing w:after="160" w:line="240" w:lineRule="exact"/>
      <w:ind w:left="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8506">
      <w:bodyDiv w:val="1"/>
      <w:marLeft w:val="0"/>
      <w:marRight w:val="0"/>
      <w:marTop w:val="0"/>
      <w:marBottom w:val="0"/>
      <w:divBdr>
        <w:top w:val="none" w:sz="0" w:space="0" w:color="auto"/>
        <w:left w:val="none" w:sz="0" w:space="0" w:color="auto"/>
        <w:bottom w:val="none" w:sz="0" w:space="0" w:color="auto"/>
        <w:right w:val="none" w:sz="0" w:space="0" w:color="auto"/>
      </w:divBdr>
    </w:div>
    <w:div w:id="164904401">
      <w:bodyDiv w:val="1"/>
      <w:marLeft w:val="0"/>
      <w:marRight w:val="0"/>
      <w:marTop w:val="0"/>
      <w:marBottom w:val="0"/>
      <w:divBdr>
        <w:top w:val="none" w:sz="0" w:space="0" w:color="auto"/>
        <w:left w:val="none" w:sz="0" w:space="0" w:color="auto"/>
        <w:bottom w:val="none" w:sz="0" w:space="0" w:color="auto"/>
        <w:right w:val="none" w:sz="0" w:space="0" w:color="auto"/>
      </w:divBdr>
    </w:div>
    <w:div w:id="429737167">
      <w:bodyDiv w:val="1"/>
      <w:marLeft w:val="0"/>
      <w:marRight w:val="0"/>
      <w:marTop w:val="0"/>
      <w:marBottom w:val="0"/>
      <w:divBdr>
        <w:top w:val="none" w:sz="0" w:space="0" w:color="auto"/>
        <w:left w:val="none" w:sz="0" w:space="0" w:color="auto"/>
        <w:bottom w:val="none" w:sz="0" w:space="0" w:color="auto"/>
        <w:right w:val="none" w:sz="0" w:space="0" w:color="auto"/>
      </w:divBdr>
    </w:div>
    <w:div w:id="542668158">
      <w:bodyDiv w:val="1"/>
      <w:marLeft w:val="0"/>
      <w:marRight w:val="0"/>
      <w:marTop w:val="0"/>
      <w:marBottom w:val="0"/>
      <w:divBdr>
        <w:top w:val="none" w:sz="0" w:space="0" w:color="auto"/>
        <w:left w:val="none" w:sz="0" w:space="0" w:color="auto"/>
        <w:bottom w:val="none" w:sz="0" w:space="0" w:color="auto"/>
        <w:right w:val="none" w:sz="0" w:space="0" w:color="auto"/>
      </w:divBdr>
    </w:div>
    <w:div w:id="774904079">
      <w:bodyDiv w:val="1"/>
      <w:marLeft w:val="0"/>
      <w:marRight w:val="0"/>
      <w:marTop w:val="0"/>
      <w:marBottom w:val="0"/>
      <w:divBdr>
        <w:top w:val="none" w:sz="0" w:space="0" w:color="auto"/>
        <w:left w:val="none" w:sz="0" w:space="0" w:color="auto"/>
        <w:bottom w:val="none" w:sz="0" w:space="0" w:color="auto"/>
        <w:right w:val="none" w:sz="0" w:space="0" w:color="auto"/>
      </w:divBdr>
    </w:div>
    <w:div w:id="943466280">
      <w:bodyDiv w:val="1"/>
      <w:marLeft w:val="0"/>
      <w:marRight w:val="0"/>
      <w:marTop w:val="0"/>
      <w:marBottom w:val="0"/>
      <w:divBdr>
        <w:top w:val="none" w:sz="0" w:space="0" w:color="auto"/>
        <w:left w:val="none" w:sz="0" w:space="0" w:color="auto"/>
        <w:bottom w:val="none" w:sz="0" w:space="0" w:color="auto"/>
        <w:right w:val="none" w:sz="0" w:space="0" w:color="auto"/>
      </w:divBdr>
    </w:div>
    <w:div w:id="952443429">
      <w:bodyDiv w:val="1"/>
      <w:marLeft w:val="0"/>
      <w:marRight w:val="0"/>
      <w:marTop w:val="0"/>
      <w:marBottom w:val="0"/>
      <w:divBdr>
        <w:top w:val="none" w:sz="0" w:space="0" w:color="auto"/>
        <w:left w:val="none" w:sz="0" w:space="0" w:color="auto"/>
        <w:bottom w:val="none" w:sz="0" w:space="0" w:color="auto"/>
        <w:right w:val="none" w:sz="0" w:space="0" w:color="auto"/>
      </w:divBdr>
    </w:div>
    <w:div w:id="1014267600">
      <w:bodyDiv w:val="1"/>
      <w:marLeft w:val="0"/>
      <w:marRight w:val="0"/>
      <w:marTop w:val="0"/>
      <w:marBottom w:val="0"/>
      <w:divBdr>
        <w:top w:val="none" w:sz="0" w:space="0" w:color="auto"/>
        <w:left w:val="none" w:sz="0" w:space="0" w:color="auto"/>
        <w:bottom w:val="none" w:sz="0" w:space="0" w:color="auto"/>
        <w:right w:val="none" w:sz="0" w:space="0" w:color="auto"/>
      </w:divBdr>
    </w:div>
    <w:div w:id="1065445196">
      <w:bodyDiv w:val="1"/>
      <w:marLeft w:val="0"/>
      <w:marRight w:val="0"/>
      <w:marTop w:val="0"/>
      <w:marBottom w:val="0"/>
      <w:divBdr>
        <w:top w:val="none" w:sz="0" w:space="0" w:color="auto"/>
        <w:left w:val="none" w:sz="0" w:space="0" w:color="auto"/>
        <w:bottom w:val="none" w:sz="0" w:space="0" w:color="auto"/>
        <w:right w:val="none" w:sz="0" w:space="0" w:color="auto"/>
      </w:divBdr>
    </w:div>
    <w:div w:id="1071348759">
      <w:bodyDiv w:val="1"/>
      <w:marLeft w:val="0"/>
      <w:marRight w:val="0"/>
      <w:marTop w:val="0"/>
      <w:marBottom w:val="0"/>
      <w:divBdr>
        <w:top w:val="none" w:sz="0" w:space="0" w:color="auto"/>
        <w:left w:val="none" w:sz="0" w:space="0" w:color="auto"/>
        <w:bottom w:val="none" w:sz="0" w:space="0" w:color="auto"/>
        <w:right w:val="none" w:sz="0" w:space="0" w:color="auto"/>
      </w:divBdr>
    </w:div>
    <w:div w:id="1121923108">
      <w:bodyDiv w:val="1"/>
      <w:marLeft w:val="0"/>
      <w:marRight w:val="0"/>
      <w:marTop w:val="0"/>
      <w:marBottom w:val="0"/>
      <w:divBdr>
        <w:top w:val="none" w:sz="0" w:space="0" w:color="auto"/>
        <w:left w:val="none" w:sz="0" w:space="0" w:color="auto"/>
        <w:bottom w:val="none" w:sz="0" w:space="0" w:color="auto"/>
        <w:right w:val="none" w:sz="0" w:space="0" w:color="auto"/>
      </w:divBdr>
    </w:div>
    <w:div w:id="1169951568">
      <w:bodyDiv w:val="1"/>
      <w:marLeft w:val="0"/>
      <w:marRight w:val="0"/>
      <w:marTop w:val="0"/>
      <w:marBottom w:val="0"/>
      <w:divBdr>
        <w:top w:val="none" w:sz="0" w:space="0" w:color="auto"/>
        <w:left w:val="none" w:sz="0" w:space="0" w:color="auto"/>
        <w:bottom w:val="none" w:sz="0" w:space="0" w:color="auto"/>
        <w:right w:val="none" w:sz="0" w:space="0" w:color="auto"/>
      </w:divBdr>
    </w:div>
    <w:div w:id="1440832052">
      <w:bodyDiv w:val="1"/>
      <w:marLeft w:val="0"/>
      <w:marRight w:val="0"/>
      <w:marTop w:val="0"/>
      <w:marBottom w:val="0"/>
      <w:divBdr>
        <w:top w:val="none" w:sz="0" w:space="0" w:color="auto"/>
        <w:left w:val="none" w:sz="0" w:space="0" w:color="auto"/>
        <w:bottom w:val="none" w:sz="0" w:space="0" w:color="auto"/>
        <w:right w:val="none" w:sz="0" w:space="0" w:color="auto"/>
      </w:divBdr>
    </w:div>
    <w:div w:id="169079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nais.lv/naiser/esdoc.cfm?esid=31992R29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esdoc.cfm?esid=31993R245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o.nais.lv/naiser/esdoc.cfm?esid=31992R2913" TargetMode="External"/><Relationship Id="rId4" Type="http://schemas.microsoft.com/office/2007/relationships/stylesWithEffects" Target="stylesWithEffects.xml"/><Relationship Id="rId9" Type="http://schemas.openxmlformats.org/officeDocument/2006/relationships/hyperlink" Target="http://pro.nais.lv/naiser/esdoc.cfm?esid=31993R245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2A9DC7-EDB7-4D0D-BE52-8E95FBA4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12390</Words>
  <Characters>7063</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“Noteikumi par nodokļu parāda galvojumu preču muitošanai”</vt:lpstr>
      <vt:lpstr>Ministru kabineta noteikumi „Muitas procedūras – tranzīts – piemērošanas kārtība”</vt:lpstr>
    </vt:vector>
  </TitlesOfParts>
  <Manager>D.Robežniece</Manager>
  <Company> Finanšu ministrija</Company>
  <LinksUpToDate>false</LinksUpToDate>
  <CharactersWithSpaces>19415</CharactersWithSpaces>
  <SharedDoc>false</SharedDoc>
  <HLinks>
    <vt:vector size="24" baseType="variant">
      <vt:variant>
        <vt:i4>6553719</vt:i4>
      </vt:variant>
      <vt:variant>
        <vt:i4>9</vt:i4>
      </vt:variant>
      <vt:variant>
        <vt:i4>0</vt:i4>
      </vt:variant>
      <vt:variant>
        <vt:i4>5</vt:i4>
      </vt:variant>
      <vt:variant>
        <vt:lpwstr>http://pro.nais.lv/naiser/esdoc.cfm?esid=31993R2454</vt:lpwstr>
      </vt:variant>
      <vt:variant>
        <vt:lpwstr/>
      </vt:variant>
      <vt:variant>
        <vt:i4>6357114</vt:i4>
      </vt:variant>
      <vt:variant>
        <vt:i4>6</vt:i4>
      </vt:variant>
      <vt:variant>
        <vt:i4>0</vt:i4>
      </vt:variant>
      <vt:variant>
        <vt:i4>5</vt:i4>
      </vt:variant>
      <vt:variant>
        <vt:lpwstr>http://pro.nais.lv/naiser/esdoc.cfm?esid=31992R2913</vt:lpwstr>
      </vt:variant>
      <vt:variant>
        <vt:lpwstr/>
      </vt:variant>
      <vt:variant>
        <vt:i4>6357114</vt:i4>
      </vt:variant>
      <vt:variant>
        <vt:i4>3</vt:i4>
      </vt:variant>
      <vt:variant>
        <vt:i4>0</vt:i4>
      </vt:variant>
      <vt:variant>
        <vt:i4>5</vt:i4>
      </vt:variant>
      <vt:variant>
        <vt:lpwstr>http://pro.nais.lv/naiser/esdoc.cfm?esid=31992R2913</vt:lpwstr>
      </vt:variant>
      <vt:variant>
        <vt:lpwstr/>
      </vt:variant>
      <vt:variant>
        <vt:i4>6553719</vt:i4>
      </vt:variant>
      <vt:variant>
        <vt:i4>0</vt:i4>
      </vt:variant>
      <vt:variant>
        <vt:i4>0</vt:i4>
      </vt:variant>
      <vt:variant>
        <vt:i4>5</vt:i4>
      </vt:variant>
      <vt:variant>
        <vt:lpwstr>http://pro.nais.lv/naiser/esdoc.cfm?esid=31993R2454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“Noteikumi par nodokļu parāda galvojumu preču muitošanai”</dc:title>
  <dc:subject>Anotācija</dc:subject>
  <dc:creator>Jolanta Krastiņa</dc:creator>
  <cp:keywords/>
  <dc:description>Jolanta Krastiņa_x000d_
Jolanta Krastina@fm.gov.lv_x000d_
tālr.67095564</dc:description>
  <cp:lastModifiedBy>changeme</cp:lastModifiedBy>
  <cp:revision>12</cp:revision>
  <cp:lastPrinted>2011-07-22T13:56:00Z</cp:lastPrinted>
  <dcterms:created xsi:type="dcterms:W3CDTF">2011-07-19T06:41:00Z</dcterms:created>
  <dcterms:modified xsi:type="dcterms:W3CDTF">2011-07-22T14:01:00Z</dcterms:modified>
  <cp:category>MK noteikumu projekts</cp:category>
</cp:coreProperties>
</file>