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3A" w:rsidRPr="0055133A" w:rsidRDefault="00107913" w:rsidP="002E080B">
      <w:pPr>
        <w:pStyle w:val="naisvisr"/>
        <w:spacing w:before="0" w:beforeAutospacing="0" w:after="0" w:afterAutospacing="0"/>
        <w:jc w:val="center"/>
        <w:rPr>
          <w:b/>
          <w:sz w:val="26"/>
          <w:szCs w:val="26"/>
        </w:rPr>
      </w:pPr>
      <w:r w:rsidRPr="00107913">
        <w:rPr>
          <w:b/>
          <w:bCs/>
          <w:sz w:val="26"/>
          <w:szCs w:val="26"/>
        </w:rPr>
        <w:t xml:space="preserve">Ministru kabineta </w:t>
      </w:r>
      <w:r w:rsidRPr="00107913">
        <w:rPr>
          <w:b/>
          <w:sz w:val="26"/>
          <w:szCs w:val="26"/>
        </w:rPr>
        <w:t xml:space="preserve"> </w:t>
      </w:r>
      <w:r w:rsidRPr="00107913">
        <w:rPr>
          <w:b/>
          <w:bCs/>
          <w:sz w:val="26"/>
          <w:szCs w:val="26"/>
        </w:rPr>
        <w:t xml:space="preserve">noteikumu „Grozījumi </w:t>
      </w:r>
      <w:r w:rsidRPr="00107913">
        <w:rPr>
          <w:b/>
          <w:sz w:val="26"/>
          <w:szCs w:val="26"/>
        </w:rPr>
        <w:t xml:space="preserve">Ministru kabineta </w:t>
      </w:r>
      <w:r w:rsidRPr="00107913">
        <w:rPr>
          <w:b/>
          <w:bCs/>
          <w:sz w:val="26"/>
          <w:szCs w:val="26"/>
        </w:rPr>
        <w:t>2013.gada 29.janvāra</w:t>
      </w:r>
      <w:r w:rsidRPr="00107913">
        <w:rPr>
          <w:b/>
          <w:sz w:val="26"/>
          <w:szCs w:val="26"/>
        </w:rPr>
        <w:t xml:space="preserve"> </w:t>
      </w:r>
      <w:r w:rsidR="005224EC">
        <w:rPr>
          <w:b/>
          <w:bCs/>
          <w:sz w:val="26"/>
          <w:szCs w:val="26"/>
        </w:rPr>
        <w:t>noteikumos Nr.66 „</w:t>
      </w:r>
      <w:r w:rsidRPr="00107913">
        <w:rPr>
          <w:b/>
          <w:sz w:val="26"/>
          <w:szCs w:val="26"/>
        </w:rPr>
        <w:t>Noteikumi par valsts un pašvaldību institūciju amatpersonu un darbinieku darba sam</w:t>
      </w:r>
      <w:r w:rsidR="005224EC">
        <w:rPr>
          <w:b/>
          <w:sz w:val="26"/>
          <w:szCs w:val="26"/>
        </w:rPr>
        <w:t>aksu un tās noteikšanas kārtību”</w:t>
      </w:r>
      <w:r w:rsidRPr="00107913">
        <w:rPr>
          <w:b/>
          <w:sz w:val="26"/>
          <w:szCs w:val="26"/>
        </w:rPr>
        <w:t>”</w:t>
      </w:r>
      <w:r>
        <w:rPr>
          <w:b/>
          <w:sz w:val="26"/>
          <w:szCs w:val="26"/>
        </w:rPr>
        <w:t xml:space="preserve"> </w:t>
      </w:r>
      <w:r w:rsidR="002F0760">
        <w:rPr>
          <w:b/>
          <w:sz w:val="26"/>
          <w:szCs w:val="26"/>
        </w:rPr>
        <w:t xml:space="preserve">projekta </w:t>
      </w:r>
      <w:r w:rsidR="0055133A" w:rsidRPr="0055133A">
        <w:rPr>
          <w:b/>
          <w:bCs/>
          <w:sz w:val="26"/>
          <w:szCs w:val="26"/>
        </w:rPr>
        <w:t>sākotnējās ietekmes novērtējuma ziņojums (anotācija)</w:t>
      </w:r>
    </w:p>
    <w:p w:rsidR="0024678C" w:rsidRPr="002A429F" w:rsidRDefault="0024678C" w:rsidP="0024678C">
      <w:pPr>
        <w:pStyle w:val="BodyText3"/>
        <w:jc w:val="center"/>
        <w:rPr>
          <w:i w:val="0"/>
          <w:sz w:val="26"/>
          <w:szCs w:val="26"/>
        </w:rPr>
      </w:pPr>
    </w:p>
    <w:tbl>
      <w:tblPr>
        <w:tblW w:w="876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321"/>
        <w:gridCol w:w="5821"/>
      </w:tblGrid>
      <w:tr w:rsidR="0070526D" w:rsidRPr="00E37160" w:rsidTr="00047237">
        <w:trPr>
          <w:tblCellSpacing w:w="0" w:type="dxa"/>
        </w:trPr>
        <w:tc>
          <w:tcPr>
            <w:tcW w:w="8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6D" w:rsidRPr="00E37160" w:rsidRDefault="0070526D" w:rsidP="00062334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Tiesību akta projekta izstrādes nepieciešamība</w:t>
            </w:r>
          </w:p>
          <w:p w:rsidR="00062334" w:rsidRPr="00E37160" w:rsidRDefault="00062334" w:rsidP="00C030E6">
            <w:pPr>
              <w:pStyle w:val="ListParagraph"/>
              <w:ind w:left="840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994AA8" w:rsidRPr="00E37160" w:rsidTr="00047237">
        <w:trPr>
          <w:trHeight w:val="630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 Pamatojums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D07" w:rsidRPr="00E37160" w:rsidRDefault="00833D07" w:rsidP="00833D07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Ministru kabineta 2013.gada 4.jūnija sēdē nolemtais (protokols Nr.33 28.§ 4.2.punkts);</w:t>
            </w:r>
          </w:p>
          <w:p w:rsidR="0070526D" w:rsidRDefault="00833D07" w:rsidP="00833D07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Ministru kabineta 2013.gada 30.jūlija sēdē nolemtais (protokols Nr.41 114.§ 7.punkts)</w:t>
            </w:r>
            <w:r w:rsidR="003772E8">
              <w:rPr>
                <w:rFonts w:eastAsia="Times New Roman" w:cs="Times New Roman"/>
                <w:sz w:val="26"/>
                <w:szCs w:val="26"/>
                <w:lang w:eastAsia="lv-LV"/>
              </w:rPr>
              <w:t>;</w:t>
            </w:r>
          </w:p>
          <w:p w:rsidR="003772E8" w:rsidRDefault="003772E8" w:rsidP="003772E8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Ministru kabineta </w:t>
            </w:r>
            <w:r w:rsidRPr="003772E8">
              <w:rPr>
                <w:rFonts w:eastAsia="Times New Roman"/>
                <w:sz w:val="26"/>
                <w:szCs w:val="26"/>
                <w:lang w:eastAsia="lv-LV"/>
              </w:rPr>
              <w:t xml:space="preserve">2013.gada 8.augusta sēdē 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 xml:space="preserve">nolemtais 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(protokols Nr.4</w:t>
            </w: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3 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11</w:t>
            </w: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.§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).</w:t>
            </w:r>
          </w:p>
          <w:p w:rsidR="0079757B" w:rsidRPr="00E37160" w:rsidRDefault="00230E88" w:rsidP="009F443C">
            <w:pPr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sz w:val="26"/>
                <w:szCs w:val="26"/>
                <w:lang w:eastAsia="lv-LV"/>
              </w:rPr>
              <w:t xml:space="preserve">2013.gada </w:t>
            </w:r>
            <w:r w:rsidR="009F443C">
              <w:rPr>
                <w:rFonts w:eastAsia="Times New Roman"/>
                <w:sz w:val="26"/>
                <w:szCs w:val="26"/>
                <w:lang w:eastAsia="lv-LV"/>
              </w:rPr>
              <w:t>6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>.</w:t>
            </w:r>
            <w:r w:rsidR="009F443C">
              <w:rPr>
                <w:rFonts w:eastAsia="Times New Roman"/>
                <w:sz w:val="26"/>
                <w:szCs w:val="26"/>
                <w:lang w:eastAsia="lv-LV"/>
              </w:rPr>
              <w:t>novembrī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9F443C">
              <w:rPr>
                <w:rFonts w:eastAsia="Times New Roman"/>
                <w:sz w:val="26"/>
                <w:szCs w:val="26"/>
                <w:lang w:eastAsia="lv-LV"/>
              </w:rPr>
              <w:t>pieņemtais</w:t>
            </w:r>
            <w:r>
              <w:rPr>
                <w:rFonts w:eastAsia="Times New Roman"/>
                <w:sz w:val="26"/>
                <w:szCs w:val="26"/>
                <w:lang w:eastAsia="lv-LV"/>
              </w:rPr>
              <w:t xml:space="preserve"> likums „Grozījumi Valsts un pašvaldību institūciju amatpersonu un darbinieku atlīdzības likumā”.</w:t>
            </w:r>
            <w:r w:rsidR="00EA4849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994AA8" w:rsidRPr="00E37160" w:rsidTr="00047237">
        <w:trPr>
          <w:trHeight w:val="472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30223A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 Pašreizējā situācija un problēmas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94C" w:rsidRDefault="0078004D" w:rsidP="006764EA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7160">
              <w:rPr>
                <w:sz w:val="26"/>
                <w:szCs w:val="26"/>
              </w:rPr>
              <w:t xml:space="preserve"> </w:t>
            </w:r>
            <w:r w:rsidR="006764EA">
              <w:rPr>
                <w:sz w:val="26"/>
                <w:szCs w:val="26"/>
              </w:rPr>
              <w:t xml:space="preserve">   </w:t>
            </w:r>
            <w:r w:rsidR="004C3DAA">
              <w:rPr>
                <w:sz w:val="26"/>
                <w:szCs w:val="26"/>
              </w:rPr>
              <w:t xml:space="preserve">Šobrīd noteikumu Nr.66 </w:t>
            </w:r>
            <w:r w:rsidR="00E37160" w:rsidRPr="00E37160">
              <w:rPr>
                <w:sz w:val="26"/>
                <w:szCs w:val="26"/>
              </w:rPr>
              <w:t xml:space="preserve">2., un </w:t>
            </w:r>
            <w:r w:rsidR="00E37160">
              <w:rPr>
                <w:sz w:val="26"/>
                <w:szCs w:val="26"/>
              </w:rPr>
              <w:t>3</w:t>
            </w:r>
            <w:r w:rsidR="00E37160" w:rsidRPr="00E37160">
              <w:rPr>
                <w:sz w:val="26"/>
                <w:szCs w:val="26"/>
              </w:rPr>
              <w:t xml:space="preserve">.pielikumā mēnešalgu skalā zemākā mēnešalga ir Ls 200. </w:t>
            </w:r>
            <w:r w:rsidR="009B6356">
              <w:rPr>
                <w:sz w:val="26"/>
                <w:szCs w:val="26"/>
              </w:rPr>
              <w:t xml:space="preserve">Ņemot vērā, ka ar </w:t>
            </w:r>
            <w:r w:rsidR="009B6356" w:rsidRPr="00E37160">
              <w:rPr>
                <w:sz w:val="26"/>
                <w:szCs w:val="26"/>
              </w:rPr>
              <w:t xml:space="preserve">2014.gada 1.janvāri </w:t>
            </w:r>
            <w:r w:rsidR="009B6356">
              <w:rPr>
                <w:sz w:val="26"/>
                <w:szCs w:val="26"/>
              </w:rPr>
              <w:t>minimālā alga tiek noteikta</w:t>
            </w:r>
            <w:r w:rsidR="009B6356" w:rsidRPr="00E37160">
              <w:rPr>
                <w:sz w:val="26"/>
                <w:szCs w:val="26"/>
              </w:rPr>
              <w:t xml:space="preserve"> </w:t>
            </w:r>
            <w:r w:rsidR="009F443C" w:rsidRPr="00E37160">
              <w:rPr>
                <w:sz w:val="26"/>
                <w:szCs w:val="26"/>
              </w:rPr>
              <w:t xml:space="preserve">320 </w:t>
            </w:r>
            <w:proofErr w:type="spellStart"/>
            <w:r w:rsidR="009F443C" w:rsidRPr="00E37160">
              <w:rPr>
                <w:i/>
                <w:sz w:val="26"/>
                <w:szCs w:val="26"/>
              </w:rPr>
              <w:t>euro</w:t>
            </w:r>
            <w:proofErr w:type="spellEnd"/>
            <w:r w:rsidR="009F443C" w:rsidRPr="00E37160">
              <w:rPr>
                <w:sz w:val="26"/>
                <w:szCs w:val="26"/>
              </w:rPr>
              <w:t xml:space="preserve"> </w:t>
            </w:r>
            <w:r w:rsidR="009B6356" w:rsidRPr="00E37160">
              <w:rPr>
                <w:sz w:val="26"/>
                <w:szCs w:val="26"/>
              </w:rPr>
              <w:t>(</w:t>
            </w:r>
            <w:r w:rsidR="009F443C" w:rsidRPr="00E37160">
              <w:rPr>
                <w:sz w:val="26"/>
                <w:szCs w:val="26"/>
              </w:rPr>
              <w:t>Ls 225</w:t>
            </w:r>
            <w:r w:rsidR="009B6356" w:rsidRPr="00E37160">
              <w:rPr>
                <w:sz w:val="26"/>
                <w:szCs w:val="26"/>
              </w:rPr>
              <w:t>)</w:t>
            </w:r>
            <w:r w:rsidR="009B6356">
              <w:rPr>
                <w:sz w:val="26"/>
                <w:szCs w:val="26"/>
              </w:rPr>
              <w:t xml:space="preserve">, </w:t>
            </w:r>
            <w:r w:rsidR="00F47222">
              <w:rPr>
                <w:sz w:val="26"/>
                <w:szCs w:val="26"/>
              </w:rPr>
              <w:t>līdz ar to</w:t>
            </w:r>
            <w:r w:rsidR="00E37160" w:rsidRPr="00E37160">
              <w:rPr>
                <w:sz w:val="26"/>
                <w:szCs w:val="26"/>
              </w:rPr>
              <w:t xml:space="preserve"> nepieciešams pārskatīt mēnešalgu skalas un zemāko mēnešalgu noteikt </w:t>
            </w:r>
            <w:r w:rsidR="009F443C" w:rsidRPr="00E37160">
              <w:rPr>
                <w:sz w:val="26"/>
                <w:szCs w:val="26"/>
              </w:rPr>
              <w:t xml:space="preserve">320 </w:t>
            </w:r>
            <w:proofErr w:type="spellStart"/>
            <w:r w:rsidR="009F443C" w:rsidRPr="00E37160">
              <w:rPr>
                <w:i/>
                <w:sz w:val="26"/>
                <w:szCs w:val="26"/>
              </w:rPr>
              <w:t>euro</w:t>
            </w:r>
            <w:proofErr w:type="spellEnd"/>
            <w:r w:rsidR="009F443C" w:rsidRPr="00E37160">
              <w:rPr>
                <w:sz w:val="26"/>
                <w:szCs w:val="26"/>
              </w:rPr>
              <w:t xml:space="preserve"> </w:t>
            </w:r>
            <w:r w:rsidR="00E37160" w:rsidRPr="00E37160">
              <w:rPr>
                <w:sz w:val="26"/>
                <w:szCs w:val="26"/>
              </w:rPr>
              <w:t xml:space="preserve"> (</w:t>
            </w:r>
            <w:r w:rsidR="009F443C" w:rsidRPr="00E37160">
              <w:rPr>
                <w:sz w:val="26"/>
                <w:szCs w:val="26"/>
              </w:rPr>
              <w:t>Ls 225</w:t>
            </w:r>
            <w:r w:rsidR="00E37160" w:rsidRPr="00E37160">
              <w:rPr>
                <w:sz w:val="26"/>
                <w:szCs w:val="26"/>
              </w:rPr>
              <w:t>) apmērā.</w:t>
            </w:r>
            <w:r w:rsidR="00E37160">
              <w:rPr>
                <w:sz w:val="26"/>
                <w:szCs w:val="26"/>
              </w:rPr>
              <w:t xml:space="preserve"> </w:t>
            </w:r>
          </w:p>
          <w:p w:rsidR="00230E88" w:rsidRDefault="00230E88" w:rsidP="006764EA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30E88">
              <w:rPr>
                <w:sz w:val="26"/>
                <w:szCs w:val="26"/>
              </w:rPr>
              <w:t xml:space="preserve">2013.gada </w:t>
            </w:r>
            <w:r w:rsidR="004E3FBE" w:rsidRPr="004E3FBE">
              <w:rPr>
                <w:sz w:val="26"/>
                <w:szCs w:val="26"/>
              </w:rPr>
              <w:t xml:space="preserve">6.novembrī pieņemtais likums </w:t>
            </w:r>
            <w:r w:rsidRPr="00230E88">
              <w:rPr>
                <w:sz w:val="26"/>
                <w:szCs w:val="26"/>
              </w:rPr>
              <w:t>„Grozījumi Valsts un pašvaldību institūciju amatpersonu un darbinieku atlīdzības likumā”</w:t>
            </w:r>
            <w:r>
              <w:rPr>
                <w:sz w:val="26"/>
                <w:szCs w:val="26"/>
              </w:rPr>
              <w:t xml:space="preserve"> paredz paaugstināt </w:t>
            </w:r>
            <w:r w:rsidRPr="00230E88">
              <w:rPr>
                <w:sz w:val="26"/>
                <w:szCs w:val="26"/>
              </w:rPr>
              <w:t>atlīdzības likuma 3.pielikumā noteikto mēnešal</w:t>
            </w:r>
            <w:r w:rsidR="009E7471">
              <w:rPr>
                <w:sz w:val="26"/>
                <w:szCs w:val="26"/>
              </w:rPr>
              <w:t xml:space="preserve">gu grupu maksimālās mēnešalgas </w:t>
            </w:r>
            <w:r w:rsidRPr="00230E88">
              <w:rPr>
                <w:sz w:val="26"/>
                <w:szCs w:val="26"/>
              </w:rPr>
              <w:t>1. līdz 7.mēnešalgu grupai.</w:t>
            </w:r>
          </w:p>
          <w:p w:rsidR="007C7DEC" w:rsidRDefault="006764EA" w:rsidP="00C840C1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94AA8" w:rsidRPr="00994AA8">
              <w:rPr>
                <w:sz w:val="26"/>
                <w:szCs w:val="26"/>
              </w:rPr>
              <w:t>Ministru kabineta 2013.gada 4.jūnija sēdē</w:t>
            </w:r>
            <w:r>
              <w:rPr>
                <w:sz w:val="26"/>
                <w:szCs w:val="26"/>
              </w:rPr>
              <w:t>, izskatot i</w:t>
            </w:r>
            <w:r w:rsidRPr="006764EA">
              <w:rPr>
                <w:sz w:val="26"/>
                <w:szCs w:val="26"/>
              </w:rPr>
              <w:t>nformatīv</w:t>
            </w:r>
            <w:r>
              <w:rPr>
                <w:sz w:val="26"/>
                <w:szCs w:val="26"/>
              </w:rPr>
              <w:t>o</w:t>
            </w:r>
            <w:r w:rsidRPr="006764EA">
              <w:rPr>
                <w:sz w:val="26"/>
                <w:szCs w:val="26"/>
              </w:rPr>
              <w:t xml:space="preserve"> ziņojum</w:t>
            </w:r>
            <w:r>
              <w:rPr>
                <w:sz w:val="26"/>
                <w:szCs w:val="26"/>
              </w:rPr>
              <w:t xml:space="preserve">u </w:t>
            </w:r>
            <w:r w:rsidRPr="006764EA">
              <w:rPr>
                <w:sz w:val="26"/>
                <w:szCs w:val="26"/>
              </w:rPr>
              <w:t>„Par iespējām pakāpeniski izlīdzināt atlīdzības fondus valsts tiešās pārvaldes iestādēm, lai nodrošinātu līdzvērtīgu atlīdzību līdzīgiem amatiem dažādās iestādēs”</w:t>
            </w:r>
            <w:r>
              <w:rPr>
                <w:sz w:val="26"/>
                <w:szCs w:val="26"/>
              </w:rPr>
              <w:t>,</w:t>
            </w:r>
            <w:r w:rsidRPr="006764EA">
              <w:rPr>
                <w:sz w:val="26"/>
                <w:szCs w:val="26"/>
              </w:rPr>
              <w:t xml:space="preserve"> </w:t>
            </w:r>
            <w:r w:rsidR="00994AA8">
              <w:rPr>
                <w:sz w:val="26"/>
                <w:szCs w:val="26"/>
              </w:rPr>
              <w:t>tika pieņemts lēmums -</w:t>
            </w:r>
            <w:r>
              <w:rPr>
                <w:sz w:val="26"/>
                <w:szCs w:val="26"/>
              </w:rPr>
              <w:t xml:space="preserve"> uzsākt</w:t>
            </w:r>
            <w:r w:rsidR="00994AA8">
              <w:rPr>
                <w:sz w:val="26"/>
                <w:szCs w:val="26"/>
              </w:rPr>
              <w:t xml:space="preserve"> p</w:t>
            </w:r>
            <w:r w:rsidR="00994AA8" w:rsidRPr="00994AA8">
              <w:rPr>
                <w:sz w:val="26"/>
                <w:szCs w:val="26"/>
              </w:rPr>
              <w:t>akāpenisk</w:t>
            </w:r>
            <w:r>
              <w:rPr>
                <w:sz w:val="26"/>
                <w:szCs w:val="26"/>
              </w:rPr>
              <w:t>u</w:t>
            </w:r>
            <w:r w:rsidR="00994AA8" w:rsidRPr="00994AA8">
              <w:rPr>
                <w:sz w:val="26"/>
                <w:szCs w:val="26"/>
              </w:rPr>
              <w:t xml:space="preserve"> </w:t>
            </w:r>
            <w:r w:rsidR="00994AA8">
              <w:rPr>
                <w:sz w:val="26"/>
                <w:szCs w:val="26"/>
              </w:rPr>
              <w:t>līdzīgu darbu veicēj</w:t>
            </w:r>
            <w:r>
              <w:rPr>
                <w:sz w:val="26"/>
                <w:szCs w:val="26"/>
              </w:rPr>
              <w:t>u</w:t>
            </w:r>
            <w:r w:rsidR="00994AA8">
              <w:rPr>
                <w:sz w:val="26"/>
                <w:szCs w:val="26"/>
              </w:rPr>
              <w:t xml:space="preserve"> </w:t>
            </w:r>
            <w:r w:rsidRPr="00994AA8">
              <w:rPr>
                <w:sz w:val="26"/>
                <w:szCs w:val="26"/>
              </w:rPr>
              <w:t>mēn</w:t>
            </w:r>
            <w:r>
              <w:rPr>
                <w:sz w:val="26"/>
                <w:szCs w:val="26"/>
              </w:rPr>
              <w:t xml:space="preserve">ešalgu </w:t>
            </w:r>
            <w:r w:rsidRPr="00994AA8">
              <w:rPr>
                <w:sz w:val="26"/>
                <w:szCs w:val="26"/>
              </w:rPr>
              <w:t>izlīdzinā</w:t>
            </w:r>
            <w:r>
              <w:rPr>
                <w:sz w:val="26"/>
                <w:szCs w:val="26"/>
              </w:rPr>
              <w:t>šanu</w:t>
            </w:r>
            <w:r w:rsidRPr="00994AA8">
              <w:rPr>
                <w:sz w:val="26"/>
                <w:szCs w:val="26"/>
              </w:rPr>
              <w:t xml:space="preserve"> </w:t>
            </w:r>
            <w:r w:rsidR="00994AA8">
              <w:rPr>
                <w:sz w:val="26"/>
                <w:szCs w:val="26"/>
              </w:rPr>
              <w:t>un</w:t>
            </w:r>
            <w:r w:rsidR="00994AA8" w:rsidRPr="00994AA8">
              <w:rPr>
                <w:sz w:val="26"/>
                <w:szCs w:val="26"/>
              </w:rPr>
              <w:t xml:space="preserve"> mēnešalgu skalas diapazonu sašaurināšanu.</w:t>
            </w:r>
            <w:r w:rsidR="00994AA8">
              <w:t xml:space="preserve"> </w:t>
            </w:r>
            <w:r w:rsidR="00994AA8" w:rsidRPr="00994AA8">
              <w:rPr>
                <w:sz w:val="26"/>
                <w:szCs w:val="26"/>
              </w:rPr>
              <w:t>Ministru kabinetā 2013.gada 8.augusta sēdē, izskatot jautājumu „Par valsts budžeta jaunajām politikas iniciatīvām 2014., 2015. un 2016.gadam”</w:t>
            </w:r>
            <w:r w:rsidR="00994AA8">
              <w:rPr>
                <w:sz w:val="26"/>
                <w:szCs w:val="26"/>
              </w:rPr>
              <w:t xml:space="preserve"> tika atbalstīts papildu finansējums atlīdzības fondu izlīdzināšanai, līdz ar to </w:t>
            </w:r>
            <w:r w:rsidR="00994AA8" w:rsidRPr="00994AA8">
              <w:rPr>
                <w:sz w:val="26"/>
                <w:szCs w:val="26"/>
              </w:rPr>
              <w:t xml:space="preserve"> </w:t>
            </w:r>
            <w:r w:rsidR="00994AA8">
              <w:rPr>
                <w:sz w:val="26"/>
                <w:szCs w:val="26"/>
              </w:rPr>
              <w:t>nepieciešams pārskatīt mēnešalgu skal</w:t>
            </w:r>
            <w:r>
              <w:rPr>
                <w:sz w:val="26"/>
                <w:szCs w:val="26"/>
              </w:rPr>
              <w:t>as</w:t>
            </w:r>
            <w:r w:rsidR="00B42F60">
              <w:rPr>
                <w:sz w:val="26"/>
                <w:szCs w:val="26"/>
              </w:rPr>
              <w:t>,</w:t>
            </w:r>
            <w:r w:rsidR="00994AA8">
              <w:rPr>
                <w:sz w:val="26"/>
                <w:szCs w:val="26"/>
              </w:rPr>
              <w:t xml:space="preserve"> </w:t>
            </w:r>
            <w:r w:rsidR="00B42F60">
              <w:rPr>
                <w:sz w:val="26"/>
                <w:szCs w:val="26"/>
              </w:rPr>
              <w:t>sašaurinot mēnešalgu diapazonus.</w:t>
            </w:r>
          </w:p>
          <w:p w:rsidR="004E3FBE" w:rsidRDefault="00365AF0" w:rsidP="004E3FBE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Arī pēc 2014.gada 1.janvāra iespējama situācija, ka daļa darbinieku, piem., tie, kas šobrīd atrodas ilgstošā prombūtnē</w:t>
            </w:r>
            <w:r w:rsidR="004E3F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5267C1">
              <w:rPr>
                <w:sz w:val="26"/>
                <w:szCs w:val="26"/>
              </w:rPr>
              <w:t>kā arī</w:t>
            </w:r>
            <w:r w:rsidR="005267C1" w:rsidRPr="005267C1">
              <w:rPr>
                <w:sz w:val="26"/>
                <w:szCs w:val="26"/>
              </w:rPr>
              <w:t xml:space="preserve"> amatpersona</w:t>
            </w:r>
            <w:r w:rsidR="005267C1">
              <w:rPr>
                <w:sz w:val="26"/>
                <w:szCs w:val="26"/>
              </w:rPr>
              <w:t>s</w:t>
            </w:r>
            <w:r w:rsidR="005267C1" w:rsidRPr="005267C1">
              <w:rPr>
                <w:sz w:val="26"/>
                <w:szCs w:val="26"/>
              </w:rPr>
              <w:t xml:space="preserve"> (darbiniek</w:t>
            </w:r>
            <w:r w:rsidR="005267C1">
              <w:rPr>
                <w:sz w:val="26"/>
                <w:szCs w:val="26"/>
              </w:rPr>
              <w:t>i</w:t>
            </w:r>
            <w:r w:rsidR="005267C1" w:rsidRPr="005267C1">
              <w:rPr>
                <w:sz w:val="26"/>
                <w:szCs w:val="26"/>
              </w:rPr>
              <w:t>), kur</w:t>
            </w:r>
            <w:r w:rsidR="005267C1">
              <w:rPr>
                <w:sz w:val="26"/>
                <w:szCs w:val="26"/>
              </w:rPr>
              <w:t>ām</w:t>
            </w:r>
            <w:r w:rsidR="005267C1" w:rsidRPr="005267C1">
              <w:rPr>
                <w:sz w:val="26"/>
                <w:szCs w:val="26"/>
              </w:rPr>
              <w:t xml:space="preserve"> nav beidzies noteiktais pārbaudes laiks vai nav noteikts </w:t>
            </w:r>
            <w:r w:rsidR="005267C1" w:rsidRPr="005267C1">
              <w:rPr>
                <w:sz w:val="26"/>
                <w:szCs w:val="26"/>
              </w:rPr>
              <w:lastRenderedPageBreak/>
              <w:t>pārbaudes laiks</w:t>
            </w:r>
            <w:r w:rsidR="005267C1">
              <w:rPr>
                <w:sz w:val="26"/>
                <w:szCs w:val="26"/>
              </w:rPr>
              <w:t>,</w:t>
            </w:r>
            <w:r w:rsidR="005267C1" w:rsidRPr="005267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būs novērtēti, </w:t>
            </w:r>
            <w:r w:rsidRPr="00365AF0">
              <w:rPr>
                <w:sz w:val="26"/>
                <w:szCs w:val="26"/>
              </w:rPr>
              <w:t xml:space="preserve">piemērojot Ministru kabineta 2001.gada 13.februāra instrukciju Nr.2 "Ierēdņa darbības un tās </w:t>
            </w:r>
            <w:r>
              <w:rPr>
                <w:sz w:val="26"/>
                <w:szCs w:val="26"/>
              </w:rPr>
              <w:t xml:space="preserve">rezultātu novērtēšanas kārtība". Līdz ar to nepieciešams noteikt pārejas mehānismu </w:t>
            </w:r>
            <w:r w:rsidR="004E3FBE">
              <w:rPr>
                <w:sz w:val="26"/>
                <w:szCs w:val="26"/>
              </w:rPr>
              <w:t xml:space="preserve">kategoriju un mēnešalgu noteikšanai šajos gadījumos. </w:t>
            </w:r>
          </w:p>
          <w:p w:rsidR="005267C1" w:rsidRPr="00E37160" w:rsidRDefault="005267C1" w:rsidP="004E3FBE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Vienlaikus iespējama</w:t>
            </w:r>
            <w:r w:rsidR="004E3FBE">
              <w:rPr>
                <w:sz w:val="26"/>
                <w:szCs w:val="26"/>
              </w:rPr>
              <w:t xml:space="preserve"> arī</w:t>
            </w:r>
            <w:r>
              <w:rPr>
                <w:sz w:val="26"/>
                <w:szCs w:val="26"/>
              </w:rPr>
              <w:t xml:space="preserve"> situācija, kad tehnisku vai citu objektīvu apstākļu dēļ, </w:t>
            </w:r>
            <w:r w:rsidR="00194E91">
              <w:rPr>
                <w:sz w:val="26"/>
                <w:szCs w:val="26"/>
              </w:rPr>
              <w:t>īpaši institūcijās, kurās ir liels darbinieku skaits,</w:t>
            </w:r>
            <w:r>
              <w:rPr>
                <w:sz w:val="26"/>
                <w:szCs w:val="26"/>
              </w:rPr>
              <w:t xml:space="preserve"> </w:t>
            </w:r>
            <w:r w:rsidR="00194E91">
              <w:rPr>
                <w:sz w:val="26"/>
                <w:szCs w:val="26"/>
              </w:rPr>
              <w:t xml:space="preserve">kāda institūcija nebūs līdz gada beigām pabeigusi visu savu darbinieku novērtēšanu. Līdz ar to nepieciešams noteikt pagaidu regulējumu </w:t>
            </w:r>
            <w:r w:rsidR="00664B92">
              <w:rPr>
                <w:sz w:val="26"/>
                <w:szCs w:val="26"/>
              </w:rPr>
              <w:t xml:space="preserve">arī </w:t>
            </w:r>
            <w:r w:rsidR="00194E91">
              <w:rPr>
                <w:sz w:val="26"/>
                <w:szCs w:val="26"/>
              </w:rPr>
              <w:t>šādai situācijai.</w:t>
            </w:r>
          </w:p>
        </w:tc>
      </w:tr>
      <w:tr w:rsidR="00994AA8" w:rsidRPr="00E37160" w:rsidTr="00047237">
        <w:trPr>
          <w:trHeight w:val="735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 3.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 Saistītie politikas ietekmes novērtējumi un pētījumi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E77C7F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994AA8" w:rsidRPr="00E37160" w:rsidTr="00047237">
        <w:trPr>
          <w:trHeight w:val="384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mērķis un būtība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FD3" w:rsidRDefault="00833D07" w:rsidP="00E5075C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7160">
              <w:rPr>
                <w:sz w:val="26"/>
                <w:szCs w:val="26"/>
              </w:rPr>
              <w:t>Noteikumu projekts paredz mēnešalgu skalu pārskatīšanu atbilstoši Ministru kabinetā pieņemtajam lēmumam pa</w:t>
            </w:r>
            <w:r w:rsidR="00E30350">
              <w:rPr>
                <w:sz w:val="26"/>
                <w:szCs w:val="26"/>
              </w:rPr>
              <w:t>r atlīdzības fondu izlīdzināšanas uzsākšanu</w:t>
            </w:r>
            <w:r w:rsidRPr="00E37160">
              <w:rPr>
                <w:sz w:val="26"/>
                <w:szCs w:val="26"/>
              </w:rPr>
              <w:t xml:space="preserve">, kā arī saistībā ar minimālās mēneša darba algas paaugstināšanu ar 2014.gada 1.janvāri uz </w:t>
            </w:r>
            <w:r w:rsidR="004E3FBE" w:rsidRPr="00E37160">
              <w:rPr>
                <w:sz w:val="26"/>
                <w:szCs w:val="26"/>
              </w:rPr>
              <w:t xml:space="preserve">320 </w:t>
            </w:r>
            <w:proofErr w:type="spellStart"/>
            <w:r w:rsidR="004E3FBE" w:rsidRPr="00E37160">
              <w:rPr>
                <w:i/>
                <w:sz w:val="26"/>
                <w:szCs w:val="26"/>
              </w:rPr>
              <w:t>euro</w:t>
            </w:r>
            <w:proofErr w:type="spellEnd"/>
            <w:r w:rsidR="004E3FBE" w:rsidRPr="00E37160">
              <w:rPr>
                <w:sz w:val="26"/>
                <w:szCs w:val="26"/>
              </w:rPr>
              <w:t xml:space="preserve"> </w:t>
            </w:r>
            <w:r w:rsidR="00E37160" w:rsidRPr="00E37160">
              <w:rPr>
                <w:sz w:val="26"/>
                <w:szCs w:val="26"/>
              </w:rPr>
              <w:t>(</w:t>
            </w:r>
            <w:r w:rsidR="004E3FBE" w:rsidRPr="00E37160">
              <w:rPr>
                <w:sz w:val="26"/>
                <w:szCs w:val="26"/>
              </w:rPr>
              <w:t>Ls 225</w:t>
            </w:r>
            <w:r w:rsidR="00E37160" w:rsidRPr="00E37160">
              <w:rPr>
                <w:sz w:val="26"/>
                <w:szCs w:val="26"/>
              </w:rPr>
              <w:t>)</w:t>
            </w:r>
            <w:r w:rsidRPr="00E37160">
              <w:rPr>
                <w:sz w:val="26"/>
                <w:szCs w:val="26"/>
              </w:rPr>
              <w:t>.</w:t>
            </w:r>
          </w:p>
          <w:p w:rsidR="005B7FA7" w:rsidRDefault="005B7FA7" w:rsidP="000131FE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Noteikumu projekts paredz noteikt mehānismu </w:t>
            </w:r>
            <w:r w:rsidR="004E3FBE">
              <w:rPr>
                <w:sz w:val="26"/>
                <w:szCs w:val="26"/>
              </w:rPr>
              <w:t>kategoriju un mēnešalgu noteikšanai</w:t>
            </w:r>
            <w:r>
              <w:rPr>
                <w:sz w:val="26"/>
                <w:szCs w:val="26"/>
              </w:rPr>
              <w:t>,</w:t>
            </w:r>
            <w:r w:rsidR="004E3FBE">
              <w:rPr>
                <w:sz w:val="26"/>
                <w:szCs w:val="26"/>
              </w:rPr>
              <w:t xml:space="preserve"> pamatojoties uz vērtējumiem,</w:t>
            </w:r>
            <w:r>
              <w:rPr>
                <w:sz w:val="26"/>
                <w:szCs w:val="26"/>
              </w:rPr>
              <w:t xml:space="preserve"> kas iegūti, </w:t>
            </w:r>
            <w:r w:rsidRPr="005B7FA7">
              <w:rPr>
                <w:sz w:val="26"/>
                <w:szCs w:val="26"/>
              </w:rPr>
              <w:t xml:space="preserve">piemērojot Ministru kabineta 2001.gada 13.februāra instrukciju Nr.2 "Ierēdņa darbības un tās </w:t>
            </w:r>
            <w:r>
              <w:rPr>
                <w:sz w:val="26"/>
                <w:szCs w:val="26"/>
              </w:rPr>
              <w:t xml:space="preserve">rezultātu novērtēšanas kārtība", </w:t>
            </w:r>
            <w:r w:rsidR="00194E91">
              <w:rPr>
                <w:sz w:val="26"/>
                <w:szCs w:val="26"/>
              </w:rPr>
              <w:t xml:space="preserve">tām amatpersonām (darbiniekiem), kuras atgriežas pēc ilgstošas prombūtnes, kā arī </w:t>
            </w:r>
            <w:r w:rsidR="00194E91" w:rsidRPr="00194E91">
              <w:rPr>
                <w:sz w:val="26"/>
                <w:szCs w:val="26"/>
              </w:rPr>
              <w:t>tām amatpersonām (darbiniekiem)</w:t>
            </w:r>
            <w:r w:rsidR="00194E91">
              <w:rPr>
                <w:sz w:val="26"/>
                <w:szCs w:val="26"/>
              </w:rPr>
              <w:t>, kurām</w:t>
            </w:r>
            <w:r w:rsidR="00194E91">
              <w:t xml:space="preserve"> vēl </w:t>
            </w:r>
            <w:r w:rsidR="00194E91" w:rsidRPr="00194E91">
              <w:rPr>
                <w:sz w:val="26"/>
                <w:szCs w:val="26"/>
              </w:rPr>
              <w:t xml:space="preserve">nav beidzies noteiktais pārbaudes laiks vai </w:t>
            </w:r>
            <w:r w:rsidR="00194E91">
              <w:rPr>
                <w:sz w:val="26"/>
                <w:szCs w:val="26"/>
              </w:rPr>
              <w:t xml:space="preserve">arī </w:t>
            </w:r>
            <w:r w:rsidR="00194E91" w:rsidRPr="00194E91">
              <w:rPr>
                <w:sz w:val="26"/>
                <w:szCs w:val="26"/>
              </w:rPr>
              <w:t>nav noteikts pārbaudes laiks</w:t>
            </w:r>
            <w:r w:rsidR="00194E91">
              <w:rPr>
                <w:sz w:val="26"/>
                <w:szCs w:val="26"/>
              </w:rPr>
              <w:t xml:space="preserve">, </w:t>
            </w:r>
            <w:r w:rsidR="000131FE">
              <w:rPr>
                <w:sz w:val="26"/>
                <w:szCs w:val="26"/>
              </w:rPr>
              <w:t>un</w:t>
            </w:r>
            <w:r w:rsidR="00194E91">
              <w:rPr>
                <w:sz w:val="26"/>
                <w:szCs w:val="26"/>
              </w:rPr>
              <w:t xml:space="preserve"> nav paspēts viņas novērtēt sistēmā NEVIS</w:t>
            </w:r>
            <w:r w:rsidRPr="005B7FA7">
              <w:rPr>
                <w:sz w:val="26"/>
                <w:szCs w:val="26"/>
              </w:rPr>
              <w:t>.</w:t>
            </w:r>
          </w:p>
          <w:p w:rsidR="000131FE" w:rsidRDefault="000131FE" w:rsidP="002A28D9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Noteikumu projekts paredz normu, </w:t>
            </w:r>
            <w:r w:rsidR="000F4A82">
              <w:rPr>
                <w:sz w:val="26"/>
                <w:szCs w:val="26"/>
              </w:rPr>
              <w:t xml:space="preserve">situācijai, kad </w:t>
            </w:r>
            <w:r w:rsidR="000F4A82" w:rsidRPr="000131FE">
              <w:rPr>
                <w:sz w:val="26"/>
                <w:szCs w:val="26"/>
              </w:rPr>
              <w:t>tehnisku vai citu objektīvu apstākļu dēļ, īpaši institūcijās, kurās</w:t>
            </w:r>
            <w:r w:rsidR="000F4A82">
              <w:rPr>
                <w:sz w:val="26"/>
                <w:szCs w:val="26"/>
              </w:rPr>
              <w:t>, piemēram,</w:t>
            </w:r>
            <w:r w:rsidR="000F4A82" w:rsidRPr="000131FE">
              <w:rPr>
                <w:sz w:val="26"/>
                <w:szCs w:val="26"/>
              </w:rPr>
              <w:t xml:space="preserve"> ir liels </w:t>
            </w:r>
            <w:r w:rsidR="000F4A82">
              <w:rPr>
                <w:sz w:val="26"/>
                <w:szCs w:val="26"/>
              </w:rPr>
              <w:t>nodarbināto</w:t>
            </w:r>
            <w:r w:rsidR="000F4A82" w:rsidRPr="000131FE">
              <w:rPr>
                <w:sz w:val="26"/>
                <w:szCs w:val="26"/>
              </w:rPr>
              <w:t xml:space="preserve"> skaits, nebūs </w:t>
            </w:r>
            <w:r w:rsidR="000F4A82">
              <w:rPr>
                <w:sz w:val="26"/>
                <w:szCs w:val="26"/>
              </w:rPr>
              <w:t xml:space="preserve">bijis iespējams </w:t>
            </w:r>
            <w:r w:rsidR="000F4A82" w:rsidRPr="000131FE">
              <w:rPr>
                <w:sz w:val="26"/>
                <w:szCs w:val="26"/>
              </w:rPr>
              <w:t xml:space="preserve">līdz </w:t>
            </w:r>
            <w:r w:rsidR="000F4A82">
              <w:rPr>
                <w:sz w:val="26"/>
                <w:szCs w:val="26"/>
              </w:rPr>
              <w:t>2013.</w:t>
            </w:r>
            <w:r w:rsidR="000F4A82" w:rsidRPr="000131FE">
              <w:rPr>
                <w:sz w:val="26"/>
                <w:szCs w:val="26"/>
              </w:rPr>
              <w:t>gada beigām pabeig</w:t>
            </w:r>
            <w:r w:rsidR="000F4A82">
              <w:rPr>
                <w:sz w:val="26"/>
                <w:szCs w:val="26"/>
              </w:rPr>
              <w:t>t</w:t>
            </w:r>
            <w:r w:rsidR="000F4A82" w:rsidRPr="000131FE">
              <w:rPr>
                <w:sz w:val="26"/>
                <w:szCs w:val="26"/>
              </w:rPr>
              <w:t xml:space="preserve"> visu darbinieku novērtēšanu.</w:t>
            </w:r>
            <w:r w:rsidR="000F4A82">
              <w:rPr>
                <w:sz w:val="26"/>
                <w:szCs w:val="26"/>
              </w:rPr>
              <w:t xml:space="preserve"> Līdz ar to noteikumu projekts nosaka, ka </w:t>
            </w:r>
            <w:r w:rsidR="002A28D9">
              <w:rPr>
                <w:sz w:val="26"/>
                <w:szCs w:val="26"/>
              </w:rPr>
              <w:t xml:space="preserve"> </w:t>
            </w:r>
            <w:r w:rsidR="000F4A82">
              <w:rPr>
                <w:sz w:val="26"/>
                <w:szCs w:val="26"/>
              </w:rPr>
              <w:t xml:space="preserve">novērtēšanu sistēmā NEVIS par 2013.gada rezultātiem var veikt </w:t>
            </w:r>
            <w:r w:rsidR="002A28D9">
              <w:rPr>
                <w:sz w:val="26"/>
                <w:szCs w:val="26"/>
              </w:rPr>
              <w:t>līdz 2014.gada 1.</w:t>
            </w:r>
            <w:r w:rsidR="00664B92">
              <w:rPr>
                <w:sz w:val="26"/>
                <w:szCs w:val="26"/>
              </w:rPr>
              <w:t>martam</w:t>
            </w:r>
            <w:r w:rsidR="000F4A82">
              <w:rPr>
                <w:sz w:val="26"/>
                <w:szCs w:val="26"/>
              </w:rPr>
              <w:t>, šajā periodā</w:t>
            </w:r>
            <w:r w:rsidR="000F4A82">
              <w:t xml:space="preserve"> </w:t>
            </w:r>
            <w:r w:rsidR="000F4A82" w:rsidRPr="000F4A82">
              <w:rPr>
                <w:sz w:val="26"/>
                <w:szCs w:val="26"/>
              </w:rPr>
              <w:t>nepiešķir kategoriju un saglabā noteikto mēnešalgu, ievērojot nosacījumu, ka tā nav mazāka par attiecīgās mēnešalgu grupas 1.kategorijas zemāko mēnešalgu</w:t>
            </w:r>
            <w:r w:rsidR="000F4A82">
              <w:rPr>
                <w:sz w:val="26"/>
                <w:szCs w:val="26"/>
              </w:rPr>
              <w:t>.</w:t>
            </w:r>
            <w:r w:rsidRPr="000131FE">
              <w:rPr>
                <w:sz w:val="26"/>
                <w:szCs w:val="26"/>
              </w:rPr>
              <w:t xml:space="preserve"> </w:t>
            </w:r>
          </w:p>
          <w:p w:rsidR="002A28D9" w:rsidRDefault="00921567" w:rsidP="002A28D9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Noteikumu projekts precizē normu attiecībā uz kritēriju profesionālā pieredze, paskaidrojot, ka </w:t>
            </w:r>
            <w:r w:rsidRPr="00921567">
              <w:rPr>
                <w:sz w:val="26"/>
                <w:szCs w:val="26"/>
              </w:rPr>
              <w:t>iestādes vadītāj</w:t>
            </w:r>
            <w:r>
              <w:rPr>
                <w:sz w:val="26"/>
                <w:szCs w:val="26"/>
              </w:rPr>
              <w:t>s izvērtē</w:t>
            </w:r>
            <w:r w:rsidR="0031457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kāda profesionālā pieredze</w:t>
            </w:r>
            <w:r w:rsidRPr="00921567">
              <w:rPr>
                <w:sz w:val="26"/>
                <w:szCs w:val="26"/>
              </w:rPr>
              <w:t xml:space="preserve"> ir būtiska </w:t>
            </w:r>
            <w:r>
              <w:rPr>
                <w:sz w:val="26"/>
                <w:szCs w:val="26"/>
              </w:rPr>
              <w:t xml:space="preserve">konkrētā </w:t>
            </w:r>
            <w:r w:rsidRPr="00921567">
              <w:rPr>
                <w:sz w:val="26"/>
                <w:szCs w:val="26"/>
              </w:rPr>
              <w:t>amata</w:t>
            </w:r>
            <w:r>
              <w:rPr>
                <w:sz w:val="26"/>
                <w:szCs w:val="26"/>
              </w:rPr>
              <w:t xml:space="preserve"> (iestādes) funkciju izpildei</w:t>
            </w:r>
            <w:r w:rsidRPr="00921567">
              <w:rPr>
                <w:sz w:val="26"/>
                <w:szCs w:val="26"/>
              </w:rPr>
              <w:t xml:space="preserve">, ņemot vērā </w:t>
            </w:r>
            <w:r w:rsidRPr="00921567">
              <w:rPr>
                <w:sz w:val="26"/>
                <w:szCs w:val="26"/>
              </w:rPr>
              <w:lastRenderedPageBreak/>
              <w:t>amatpersonas (darbinieka) amata aprakstā noteiktās prasības attiecīgajā jomā</w:t>
            </w:r>
            <w:r>
              <w:rPr>
                <w:sz w:val="26"/>
                <w:szCs w:val="26"/>
              </w:rPr>
              <w:t>.</w:t>
            </w:r>
            <w:r w:rsidR="0031457F">
              <w:rPr>
                <w:sz w:val="26"/>
                <w:szCs w:val="26"/>
              </w:rPr>
              <w:t xml:space="preserve"> </w:t>
            </w:r>
          </w:p>
          <w:p w:rsidR="00B37159" w:rsidRDefault="00664B92" w:rsidP="00B37159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Ņemot vērā</w:t>
            </w:r>
            <w:r w:rsidR="004E3FBE">
              <w:rPr>
                <w:sz w:val="26"/>
                <w:szCs w:val="26"/>
              </w:rPr>
              <w:t xml:space="preserve">, ka </w:t>
            </w:r>
            <w:r>
              <w:rPr>
                <w:sz w:val="26"/>
                <w:szCs w:val="26"/>
              </w:rPr>
              <w:t xml:space="preserve"> projektā iekļaut</w:t>
            </w:r>
            <w:r w:rsidR="0031457F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37.</w:t>
            </w:r>
            <w:r w:rsidRPr="00664B92">
              <w:rPr>
                <w:sz w:val="26"/>
                <w:szCs w:val="26"/>
                <w:vertAlign w:val="superscript"/>
              </w:rPr>
              <w:t>1</w:t>
            </w:r>
            <w:r w:rsidR="004E3FBE">
              <w:rPr>
                <w:sz w:val="26"/>
                <w:szCs w:val="26"/>
                <w:vertAlign w:val="superscript"/>
              </w:rPr>
              <w:t xml:space="preserve"> </w:t>
            </w:r>
            <w:r>
              <w:rPr>
                <w:sz w:val="26"/>
                <w:szCs w:val="26"/>
              </w:rPr>
              <w:t>punkt</w:t>
            </w:r>
            <w:r w:rsidR="0031457F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, kas pārejas periodā regulē gadījumus, kad </w:t>
            </w:r>
            <w:r w:rsidRPr="00664B92">
              <w:rPr>
                <w:sz w:val="26"/>
                <w:szCs w:val="26"/>
              </w:rPr>
              <w:t>amatpersona (darbinieks) atgriežas no ilgstošas attaisnojošas prombūtnes</w:t>
            </w:r>
            <w:r>
              <w:rPr>
                <w:sz w:val="26"/>
                <w:szCs w:val="26"/>
              </w:rPr>
              <w:t xml:space="preserve"> un kurai nav piešķirta kategorija, </w:t>
            </w:r>
            <w:r w:rsidR="0031457F">
              <w:rPr>
                <w:sz w:val="26"/>
                <w:szCs w:val="26"/>
              </w:rPr>
              <w:t xml:space="preserve">lai novērstu normu dublēšanos, </w:t>
            </w:r>
            <w:r>
              <w:rPr>
                <w:sz w:val="26"/>
                <w:szCs w:val="26"/>
              </w:rPr>
              <w:t>precizēts noteikumu 15.punkt</w:t>
            </w:r>
            <w:r w:rsidR="0044711B">
              <w:rPr>
                <w:sz w:val="26"/>
                <w:szCs w:val="26"/>
              </w:rPr>
              <w:t>s</w:t>
            </w:r>
            <w:r w:rsidR="00B37159">
              <w:rPr>
                <w:sz w:val="26"/>
                <w:szCs w:val="26"/>
              </w:rPr>
              <w:t>,</w:t>
            </w:r>
            <w:r w:rsidR="004E3FBE">
              <w:rPr>
                <w:sz w:val="26"/>
                <w:szCs w:val="26"/>
              </w:rPr>
              <w:t xml:space="preserve"> izslēdzot </w:t>
            </w:r>
            <w:r w:rsidR="0031457F">
              <w:rPr>
                <w:sz w:val="26"/>
                <w:szCs w:val="26"/>
              </w:rPr>
              <w:t xml:space="preserve">no tā </w:t>
            </w:r>
            <w:r w:rsidR="0044711B">
              <w:rPr>
                <w:sz w:val="26"/>
                <w:szCs w:val="26"/>
              </w:rPr>
              <w:t>15.2 apakšpunktu</w:t>
            </w:r>
            <w:r w:rsidR="00B37159">
              <w:rPr>
                <w:sz w:val="26"/>
                <w:szCs w:val="26"/>
              </w:rPr>
              <w:t>.</w:t>
            </w:r>
          </w:p>
          <w:p w:rsidR="007A61A5" w:rsidRPr="00E37160" w:rsidRDefault="007A61A5" w:rsidP="00727839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Noteikumu projekts paredz svītrot noteikumu 7.pielikumu, lai novērstu normu dublēšanos ar </w:t>
            </w:r>
            <w:r w:rsidR="00695D15" w:rsidRPr="00695D15">
              <w:rPr>
                <w:sz w:val="26"/>
                <w:szCs w:val="26"/>
              </w:rPr>
              <w:t>Valsts un pašvaldību institūciju amatpersonu</w:t>
            </w:r>
            <w:r w:rsidR="00695D15">
              <w:rPr>
                <w:sz w:val="26"/>
                <w:szCs w:val="26"/>
              </w:rPr>
              <w:t xml:space="preserve"> un darbinieku atlīdzības </w:t>
            </w:r>
            <w:r>
              <w:rPr>
                <w:sz w:val="26"/>
                <w:szCs w:val="26"/>
              </w:rPr>
              <w:t>likuma 3.pielikumu, kas nosaka mēnešalgu maksimālo apmēru</w:t>
            </w:r>
            <w:r w:rsidR="003D0C30">
              <w:rPr>
                <w:sz w:val="26"/>
                <w:szCs w:val="26"/>
              </w:rPr>
              <w:t xml:space="preserve"> atbilstoši amatam noteiktajai mēnešalgu grupai atlīdzības likuma 11.panta pirmajā daļā minētajām amatpersonām un darbiniekiem</w:t>
            </w:r>
            <w:r>
              <w:rPr>
                <w:sz w:val="26"/>
                <w:szCs w:val="26"/>
              </w:rPr>
              <w:t>.</w:t>
            </w:r>
          </w:p>
        </w:tc>
      </w:tr>
      <w:tr w:rsidR="00994AA8" w:rsidRPr="00E37160" w:rsidTr="00047237">
        <w:trPr>
          <w:trHeight w:val="476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 5.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 Projekta izstrādē iesaistītās institūcijas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F16110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5F5C6F" w:rsidRPr="00E37160">
              <w:rPr>
                <w:sz w:val="26"/>
                <w:szCs w:val="26"/>
              </w:rPr>
              <w:t>Projekts šo jomu neskar</w:t>
            </w:r>
            <w:r w:rsidR="00971AFF">
              <w:rPr>
                <w:sz w:val="26"/>
                <w:szCs w:val="26"/>
              </w:rPr>
              <w:t>.</w:t>
            </w:r>
          </w:p>
        </w:tc>
      </w:tr>
      <w:tr w:rsidR="00994AA8" w:rsidRPr="00E37160" w:rsidTr="00047237">
        <w:trPr>
          <w:trHeight w:val="901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CB589D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 Iemesli, kādēļ netika nodrošināta sabiedrības līdzdalība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B52B42" w:rsidP="00B71B92">
            <w:pPr>
              <w:jc w:val="both"/>
              <w:rPr>
                <w:rFonts w:eastAsia="Times New Roman" w:cs="Times New Roman"/>
                <w:i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Noteikumu projekts attiecas tikai uz</w:t>
            </w:r>
            <w:r w:rsidR="00E24549"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valsts un pašvaldību institūciju amatpersonām un darbiniekiem</w:t>
            </w: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, tādēļ sabiedrības līdzdalība noteikumu projekta izstrādē nebija nepieciešama.</w:t>
            </w:r>
          </w:p>
        </w:tc>
      </w:tr>
      <w:tr w:rsidR="00994AA8" w:rsidRPr="00E37160" w:rsidTr="00047237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 7.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37160" w:rsidRDefault="0070526D" w:rsidP="003E67CA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37160">
              <w:rPr>
                <w:rFonts w:eastAsia="Times New Roman" w:cs="Times New Roman"/>
                <w:sz w:val="26"/>
                <w:szCs w:val="26"/>
                <w:lang w:eastAsia="lv-LV"/>
              </w:rPr>
              <w:t> Nav</w:t>
            </w:r>
          </w:p>
        </w:tc>
      </w:tr>
    </w:tbl>
    <w:p w:rsidR="0070526D" w:rsidRPr="002A429F" w:rsidRDefault="0070526D" w:rsidP="00115E82">
      <w:pPr>
        <w:rPr>
          <w:rFonts w:eastAsia="Times New Roman" w:cs="Times New Roman"/>
          <w:sz w:val="26"/>
          <w:szCs w:val="26"/>
          <w:lang w:eastAsia="lv-LV"/>
        </w:rPr>
      </w:pPr>
      <w:r w:rsidRPr="002A429F">
        <w:rPr>
          <w:rFonts w:eastAsia="Times New Roman" w:cs="Times New Roman"/>
          <w:sz w:val="26"/>
          <w:szCs w:val="26"/>
          <w:lang w:eastAsia="lv-LV"/>
        </w:rPr>
        <w:t> </w:t>
      </w:r>
    </w:p>
    <w:tbl>
      <w:tblPr>
        <w:tblW w:w="876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614"/>
        <w:gridCol w:w="4536"/>
      </w:tblGrid>
      <w:tr w:rsidR="0070526D" w:rsidRPr="00E4178A" w:rsidTr="003E78AD">
        <w:trPr>
          <w:tblCellSpacing w:w="0" w:type="dxa"/>
        </w:trPr>
        <w:tc>
          <w:tcPr>
            <w:tcW w:w="8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34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b/>
                <w:sz w:val="26"/>
                <w:szCs w:val="26"/>
                <w:lang w:eastAsia="lv-LV"/>
              </w:rPr>
              <w:t> II. Tiesību akta projekta ietekme uz sabiedrību</w:t>
            </w:r>
          </w:p>
        </w:tc>
      </w:tr>
      <w:tr w:rsidR="0070526D" w:rsidRPr="00E4178A" w:rsidTr="00985865">
        <w:trPr>
          <w:trHeight w:val="467"/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 Sabiedrības </w:t>
            </w:r>
            <w:proofErr w:type="spellStart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mērķgrupa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70526D" w:rsidP="00417484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24549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Valsts un pašvaldību institūciju amatpersonas un darbinieki</w:t>
            </w:r>
            <w:r w:rsidR="00417484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(</w:t>
            </w:r>
            <w:r w:rsidR="004D0C13" w:rsidRPr="00417484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56 000 </w:t>
            </w:r>
            <w:r w:rsidR="00417484" w:rsidRPr="00417484">
              <w:rPr>
                <w:rFonts w:eastAsia="Times New Roman" w:cs="Times New Roman"/>
                <w:sz w:val="26"/>
                <w:szCs w:val="26"/>
                <w:lang w:eastAsia="lv-LV"/>
              </w:rPr>
              <w:t>valsts budžeta iestāžu darbiniek</w:t>
            </w:r>
            <w:r w:rsidR="00417484">
              <w:rPr>
                <w:rFonts w:eastAsia="Times New Roman" w:cs="Times New Roman"/>
                <w:sz w:val="26"/>
                <w:szCs w:val="26"/>
                <w:lang w:eastAsia="lv-LV"/>
              </w:rPr>
              <w:t>i</w:t>
            </w:r>
            <w:r w:rsidR="00417484" w:rsidRPr="00417484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, tai skaitā </w:t>
            </w:r>
            <w:r w:rsidR="004D0C13">
              <w:rPr>
                <w:rFonts w:eastAsia="Times New Roman" w:cs="Times New Roman"/>
                <w:sz w:val="26"/>
                <w:szCs w:val="26"/>
                <w:lang w:eastAsia="lv-LV"/>
              </w:rPr>
              <w:t>2 100</w:t>
            </w:r>
          </w:p>
          <w:p w:rsidR="0070526D" w:rsidRPr="00E4178A" w:rsidRDefault="00417484" w:rsidP="004D0C13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417484">
              <w:rPr>
                <w:rFonts w:eastAsia="Times New Roman" w:cs="Times New Roman"/>
                <w:sz w:val="26"/>
                <w:szCs w:val="26"/>
                <w:lang w:eastAsia="lv-LV"/>
              </w:rPr>
              <w:t>neatkarī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go institūciju darbinieki).</w:t>
            </w:r>
          </w:p>
        </w:tc>
      </w:tr>
      <w:tr w:rsidR="0070526D" w:rsidRPr="00E4178A" w:rsidTr="00985865">
        <w:trPr>
          <w:trHeight w:val="523"/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 Citas sabiedrības grupas (bez </w:t>
            </w:r>
            <w:proofErr w:type="spellStart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), kuras tiesiskais regulējums arī ietekmē vai varētu ietekmēt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E6B5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985865">
        <w:trPr>
          <w:trHeight w:val="517"/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3.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finansiālā ietekme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6D00D1" w:rsidRDefault="00417484" w:rsidP="00C74AF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Palielināsies 1.punktā minēto </w:t>
            </w:r>
            <w:r w:rsidRPr="00C74AF5">
              <w:rPr>
                <w:rFonts w:eastAsia="Times New Roman" w:cs="Times New Roman"/>
                <w:sz w:val="26"/>
                <w:szCs w:val="26"/>
                <w:lang w:eastAsia="lv-LV"/>
              </w:rPr>
              <w:t>amatpersonu un darbinieku mēnešalgas.</w:t>
            </w:r>
            <w:r w:rsidR="00C74AF5" w:rsidRPr="00C74AF5">
              <w:rPr>
                <w:sz w:val="26"/>
                <w:szCs w:val="26"/>
              </w:rPr>
              <w:t xml:space="preserve"> Finans</w:t>
            </w:r>
            <w:r w:rsidR="00C74AF5">
              <w:rPr>
                <w:sz w:val="26"/>
                <w:szCs w:val="26"/>
              </w:rPr>
              <w:t>iālā ietekme a</w:t>
            </w:r>
            <w:r w:rsidR="00C74AF5" w:rsidRPr="00C74AF5">
              <w:rPr>
                <w:rFonts w:eastAsia="Times New Roman" w:cs="Times New Roman"/>
                <w:sz w:val="26"/>
                <w:szCs w:val="26"/>
                <w:lang w:eastAsia="lv-LV"/>
              </w:rPr>
              <w:t>tspoguļota šīs anotācijas III sadaļ</w:t>
            </w:r>
            <w:r w:rsidR="00C74AF5">
              <w:rPr>
                <w:rFonts w:eastAsia="Times New Roman" w:cs="Times New Roman"/>
                <w:sz w:val="26"/>
                <w:szCs w:val="26"/>
                <w:lang w:eastAsia="lv-LV"/>
              </w:rPr>
              <w:t>as 7.punktā</w:t>
            </w:r>
            <w:r w:rsidR="00C74AF5" w:rsidRPr="00C74AF5"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70526D" w:rsidRPr="00E4178A" w:rsidTr="00985865">
        <w:trPr>
          <w:trHeight w:val="517"/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nefinansiālā ietekme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41748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417484" w:rsidRPr="00417484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Palielinot </w:t>
            </w:r>
            <w:r w:rsidR="00417484">
              <w:rPr>
                <w:rFonts w:eastAsia="Times New Roman" w:cs="Times New Roman"/>
                <w:sz w:val="26"/>
                <w:szCs w:val="26"/>
                <w:lang w:eastAsia="lv-LV"/>
              </w:rPr>
              <w:t>mēnešalgas</w:t>
            </w:r>
            <w:r w:rsidR="00417484" w:rsidRPr="00417484">
              <w:rPr>
                <w:rFonts w:eastAsia="Times New Roman" w:cs="Times New Roman"/>
                <w:sz w:val="26"/>
                <w:szCs w:val="26"/>
                <w:lang w:eastAsia="lv-LV"/>
              </w:rPr>
              <w:t>, palielinās iespēja, ka amatpersonas</w:t>
            </w:r>
            <w:r w:rsidR="00417484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(darbinieki) būs motivēti</w:t>
            </w:r>
            <w:r w:rsidR="00417484" w:rsidRPr="00417484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turpinā</w:t>
            </w:r>
            <w:r w:rsidR="00417484">
              <w:rPr>
                <w:rFonts w:eastAsia="Times New Roman" w:cs="Times New Roman"/>
                <w:sz w:val="26"/>
                <w:szCs w:val="26"/>
                <w:lang w:eastAsia="lv-LV"/>
              </w:rPr>
              <w:t>t darbu valsts pārvaldē</w:t>
            </w:r>
            <w:r w:rsidR="00417484" w:rsidRPr="00417484"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70526D" w:rsidRPr="00E4178A" w:rsidTr="00985865">
        <w:trPr>
          <w:trHeight w:val="531"/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Administratīvās procedūras raksturojums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D90AC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985865">
        <w:trPr>
          <w:trHeight w:val="357"/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Administratīvo izmaksu monetārs novērtējums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6D376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985865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115E8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7.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115E8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5E039A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Nav</w:t>
            </w:r>
          </w:p>
        </w:tc>
      </w:tr>
    </w:tbl>
    <w:p w:rsidR="00E4178A" w:rsidRDefault="00E4178A" w:rsidP="00115E82">
      <w:pPr>
        <w:rPr>
          <w:rFonts w:eastAsia="Times New Roman" w:cs="Times New Roman"/>
          <w:iCs/>
          <w:sz w:val="26"/>
          <w:szCs w:val="26"/>
          <w:lang w:eastAsia="lv-LV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75"/>
        <w:gridCol w:w="601"/>
        <w:gridCol w:w="950"/>
        <w:gridCol w:w="1200"/>
        <w:gridCol w:w="38"/>
        <w:gridCol w:w="1179"/>
        <w:gridCol w:w="1258"/>
        <w:gridCol w:w="1392"/>
      </w:tblGrid>
      <w:tr w:rsidR="001C4ED0" w:rsidRPr="001C4ED0" w:rsidTr="00DA2A23">
        <w:trPr>
          <w:trHeight w:val="652"/>
          <w:jc w:val="center"/>
        </w:trPr>
        <w:tc>
          <w:tcPr>
            <w:tcW w:w="8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b/>
                <w:bCs/>
                <w:i/>
                <w:sz w:val="24"/>
                <w:szCs w:val="26"/>
                <w:lang w:eastAsia="lv-LV"/>
              </w:rPr>
            </w:pPr>
            <w:r w:rsidRPr="001C4ED0">
              <w:rPr>
                <w:rFonts w:eastAsia="Times New Roman" w:cs="Times New Roman"/>
                <w:b/>
                <w:bCs/>
                <w:sz w:val="24"/>
                <w:szCs w:val="26"/>
                <w:lang w:eastAsia="lv-LV"/>
              </w:rPr>
              <w:lastRenderedPageBreak/>
              <w:br w:type="page"/>
              <w:t>III. Tiesību akta projekta ietekme uz valsts budžetu un pašvaldību budžetiem</w:t>
            </w:r>
          </w:p>
        </w:tc>
      </w:tr>
      <w:tr w:rsidR="001C4ED0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2013. gads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Turpmākie trīs gadi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1C4ED0">
                <w:rPr>
                  <w:rFonts w:eastAsia="Times New Roman" w:cs="Times New Roman"/>
                  <w:sz w:val="24"/>
                  <w:szCs w:val="24"/>
                  <w:lang w:eastAsia="lv-LV"/>
                </w:rPr>
                <w:t>. latu</w:t>
              </w:r>
            </w:smartTag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2016</w:t>
            </w: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Izmaiņas kārtējā gadā, salīdzinot ar budžetu kārtējam gadam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Izmaiņas, salīdzinot ar kārtējo (2013) gadu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Izmaiņas, salīdzinot ar kārtējo (2013) gadu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Izmaiņas, salīdzinot ar kārtējo (2013) gadu</w:t>
            </w: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6E0279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ind w:right="-109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D0" w:rsidRPr="001C4ED0" w:rsidRDefault="001C4ED0" w:rsidP="001C4ED0">
            <w:pPr>
              <w:ind w:right="-109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ind w:right="-109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ind w:right="-109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ind w:right="-109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ind w:right="-109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C4ED0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2"/>
          <w:tblCellSpacing w:w="15" w:type="dxa"/>
        </w:trPr>
        <w:tc>
          <w:tcPr>
            <w:tcW w:w="8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ind w:right="-109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</w:tr>
      <w:tr w:rsidR="001C4ED0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2"/>
          <w:tblCellSpacing w:w="15" w:type="dxa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6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C4ED0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93"/>
          <w:tblCellSpacing w:w="15" w:type="dxa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C4ED0">
              <w:rPr>
                <w:rFonts w:eastAsia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6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D0" w:rsidRPr="001C4ED0" w:rsidRDefault="001C4ED0" w:rsidP="001C4ED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1C4ED0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9"/>
          <w:tblCellSpacing w:w="15" w:type="dxa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6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1C4ED0" w:rsidRPr="001C4ED0" w:rsidTr="00DA2A23">
        <w:tblPrEx>
          <w:jc w:val="lef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47"/>
          <w:tblCellSpacing w:w="15" w:type="dxa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0" w:rsidRPr="001C4ED0" w:rsidRDefault="001C4ED0" w:rsidP="001C4ED0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1C4ED0">
              <w:rPr>
                <w:rFonts w:eastAsia="Times New Roman" w:cs="Times New Roman"/>
                <w:sz w:val="26"/>
                <w:szCs w:val="26"/>
                <w:lang w:eastAsia="lv-LV"/>
              </w:rPr>
              <w:t>7. Cita informācija</w:t>
            </w:r>
          </w:p>
        </w:tc>
        <w:tc>
          <w:tcPr>
            <w:tcW w:w="6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5B" w:rsidRPr="007001C4" w:rsidRDefault="0006115B" w:rsidP="0006115B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Detalizēti aprēķini par papildu nepieciešamo finansējumu tika iesniegti un izskatīti Ministru kabinetā pie jautājuma</w:t>
            </w:r>
            <w:r w:rsidRPr="007001C4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„Par valsts budžeta jaunajām politikas iniciatīvām 2014., 2015. un 2016.gadam.”</w:t>
            </w:r>
            <w:r w:rsidR="00C004A5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(</w:t>
            </w:r>
            <w:r w:rsidR="00C004A5" w:rsidRPr="007001C4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Ministru kabineta 2013.gada 30.jūlija </w:t>
            </w:r>
            <w:r w:rsidR="00C004A5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un </w:t>
            </w:r>
            <w:r w:rsidR="00C004A5" w:rsidRPr="007001C4">
              <w:rPr>
                <w:rFonts w:eastAsia="Times New Roman" w:cs="Times New Roman"/>
                <w:sz w:val="26"/>
                <w:szCs w:val="26"/>
                <w:lang w:eastAsia="lv-LV"/>
              </w:rPr>
              <w:t>8.augusta sēdē</w:t>
            </w:r>
            <w:r w:rsidR="00C004A5">
              <w:rPr>
                <w:rFonts w:eastAsia="Times New Roman" w:cs="Times New Roman"/>
                <w:sz w:val="26"/>
                <w:szCs w:val="26"/>
                <w:lang w:eastAsia="lv-LV"/>
              </w:rPr>
              <w:t>).</w:t>
            </w:r>
          </w:p>
          <w:p w:rsidR="0006115B" w:rsidRDefault="0006115B" w:rsidP="007001C4">
            <w:pPr>
              <w:jc w:val="both"/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</w:pPr>
          </w:p>
          <w:p w:rsidR="007001C4" w:rsidRDefault="007001C4" w:rsidP="007001C4">
            <w:pPr>
              <w:jc w:val="both"/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2014.gadam:</w:t>
            </w:r>
          </w:p>
          <w:p w:rsidR="007A4333" w:rsidRDefault="007001C4" w:rsidP="00282CDC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Papildu nepieciešamais finansējums no valsts budžeta finansētajām institūcijām atlīdzības fondu izlīdzināšanai  un minimālās mēneša darba algas paaugstināšanai </w:t>
            </w:r>
            <w:r w:rsidR="00DE0882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uz 320 </w:t>
            </w:r>
            <w:proofErr w:type="spellStart"/>
            <w:r w:rsidR="00DE0882" w:rsidRPr="00DE0882">
              <w:rPr>
                <w:rFonts w:eastAsia="Times New Roman" w:cs="Times New Roman"/>
                <w:bCs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 ar 2014.gada 1.janvāri - kopā </w:t>
            </w:r>
            <w:r w:rsidR="00DE0882"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19,37 milj. </w:t>
            </w:r>
            <w:proofErr w:type="spellStart"/>
            <w:r w:rsidR="00DE0882" w:rsidRPr="007001C4">
              <w:rPr>
                <w:rFonts w:eastAsia="Times New Roman" w:cs="Times New Roman"/>
                <w:bCs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="00DE0882"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 </w:t>
            </w:r>
            <w:r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(</w:t>
            </w:r>
            <w:r w:rsidR="00DE0882"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13,61 </w:t>
            </w:r>
            <w:proofErr w:type="spellStart"/>
            <w:r w:rsidR="00DE0882"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milj</w:t>
            </w:r>
            <w:proofErr w:type="spellEnd"/>
            <w:r w:rsidR="00DE0882"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 latu</w:t>
            </w:r>
            <w:r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) t.sk. </w:t>
            </w:r>
            <w:r w:rsidR="00DE0882"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11,43 milj. </w:t>
            </w:r>
            <w:proofErr w:type="spellStart"/>
            <w:r w:rsidR="00DE0882" w:rsidRPr="007001C4">
              <w:rPr>
                <w:rFonts w:eastAsia="Times New Roman" w:cs="Times New Roman"/>
                <w:bCs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="00DE0882">
              <w:rPr>
                <w:rFonts w:eastAsia="Times New Roman" w:cs="Times New Roman"/>
                <w:bCs/>
                <w:i/>
                <w:sz w:val="26"/>
                <w:szCs w:val="26"/>
                <w:lang w:eastAsia="lv-LV"/>
              </w:rPr>
              <w:t xml:space="preserve"> </w:t>
            </w:r>
            <w:r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(</w:t>
            </w:r>
            <w:r w:rsidR="00DE0882"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8,03 milj. latu</w:t>
            </w:r>
            <w:r w:rsidRPr="007001C4">
              <w:rPr>
                <w:rFonts w:eastAsia="Times New Roman" w:cs="Times New Roman"/>
                <w:bCs/>
                <w:i/>
                <w:sz w:val="26"/>
                <w:szCs w:val="26"/>
                <w:lang w:eastAsia="lv-LV"/>
              </w:rPr>
              <w:t>)</w:t>
            </w:r>
            <w:r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 minimālās mēneša darba algas paaugstināšanai - atbalstīts </w:t>
            </w:r>
            <w:r w:rsidRPr="007001C4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Ministru kabineta 2013.gada 30.jūlija sēdē, un </w:t>
            </w:r>
            <w:r w:rsidR="002B56DC" w:rsidRPr="007001C4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7,94 milj. </w:t>
            </w:r>
            <w:proofErr w:type="spellStart"/>
            <w:r w:rsidR="002B56DC" w:rsidRPr="007001C4">
              <w:rPr>
                <w:rFonts w:eastAsia="Times New Roman" w:cs="Times New Roman"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="002B56DC">
              <w:rPr>
                <w:rFonts w:eastAsia="Times New Roman" w:cs="Times New Roman"/>
                <w:i/>
                <w:sz w:val="26"/>
                <w:szCs w:val="26"/>
                <w:lang w:eastAsia="lv-LV"/>
              </w:rPr>
              <w:t xml:space="preserve"> </w:t>
            </w:r>
            <w:r w:rsidRPr="007001C4">
              <w:rPr>
                <w:rFonts w:eastAsia="Times New Roman" w:cs="Times New Roman"/>
                <w:sz w:val="26"/>
                <w:szCs w:val="26"/>
                <w:lang w:eastAsia="lv-LV"/>
              </w:rPr>
              <w:t>(</w:t>
            </w:r>
            <w:r w:rsidR="002B56DC" w:rsidRPr="007001C4">
              <w:rPr>
                <w:rFonts w:eastAsia="Times New Roman" w:cs="Times New Roman"/>
                <w:sz w:val="26"/>
                <w:szCs w:val="26"/>
                <w:lang w:eastAsia="lv-LV"/>
              </w:rPr>
              <w:t>5,58 milj. latu</w:t>
            </w:r>
            <w:r w:rsidRPr="007001C4">
              <w:rPr>
                <w:rFonts w:eastAsia="Times New Roman" w:cs="Times New Roman"/>
                <w:sz w:val="26"/>
                <w:szCs w:val="26"/>
                <w:lang w:eastAsia="lv-LV"/>
              </w:rPr>
              <w:t>) atlīdzība fondu izlīdzināšanai – atbalstīts 2013.gada 8.augusta sēdē, izskatot jautājumu „Par valsts budžeta jaunajām politikas iniciatīvām 2014., 2015. un 2016.gadam.”.</w:t>
            </w:r>
            <w:r w:rsidR="00282CDC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:rsidR="001C4ED0" w:rsidRPr="001C4ED0" w:rsidRDefault="007A4333" w:rsidP="007A4333">
            <w:pPr>
              <w:jc w:val="both"/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P</w:t>
            </w:r>
            <w:r w:rsidR="00F16738"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apildu nepieciešamais finansējums minimālās mēneša darba algas paaugstināšanai</w:t>
            </w:r>
            <w:r w:rsidR="00F16738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 </w:t>
            </w:r>
            <w:r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2015., 2016.gadam </w:t>
            </w:r>
            <w:r w:rsidR="0006115B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ik gadu - </w:t>
            </w:r>
            <w:r w:rsidR="00F16738" w:rsidRPr="00F16738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11,43 milj</w:t>
            </w:r>
            <w:r w:rsidR="00F16738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.</w:t>
            </w:r>
            <w:r w:rsidR="00F16738" w:rsidRPr="00F16738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="00282CDC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euro</w:t>
            </w:r>
            <w:proofErr w:type="spellEnd"/>
            <w:r w:rsidR="00282CDC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, </w:t>
            </w:r>
            <w:r w:rsidR="00F16738"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Papildu nepieciešamais finansējums no valsts budžeta finansētajām institūcijām atlīdzības fondu izlīdzināšanai</w:t>
            </w:r>
            <w:r w:rsidR="00F16738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 </w:t>
            </w:r>
            <w:r w:rsidR="00F16738" w:rsidRPr="007001C4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 </w:t>
            </w:r>
            <w:r w:rsidR="00F16738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2015.gadam – 7.94 milj. </w:t>
            </w:r>
            <w:proofErr w:type="spellStart"/>
            <w:r w:rsidR="00F16738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euro</w:t>
            </w:r>
            <w:proofErr w:type="spellEnd"/>
            <w:r w:rsidR="00282CDC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, 2016.gadam</w:t>
            </w:r>
            <w:r w:rsidR="00F65EBD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 xml:space="preserve"> – 15.66 milj. </w:t>
            </w:r>
            <w:proofErr w:type="spellStart"/>
            <w:r w:rsidR="00F65EBD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euro</w:t>
            </w:r>
            <w:proofErr w:type="spellEnd"/>
            <w:r w:rsidR="00F65EBD">
              <w:rPr>
                <w:rFonts w:eastAsia="Times New Roman" w:cs="Times New Roman"/>
                <w:bCs/>
                <w:sz w:val="26"/>
                <w:szCs w:val="26"/>
                <w:lang w:eastAsia="lv-LV"/>
              </w:rPr>
              <w:t>.</w:t>
            </w:r>
          </w:p>
        </w:tc>
      </w:tr>
    </w:tbl>
    <w:p w:rsidR="001C4ED0" w:rsidRDefault="001C4ED0" w:rsidP="00115E82">
      <w:pPr>
        <w:rPr>
          <w:rFonts w:eastAsia="Times New Roman" w:cs="Times New Roman"/>
          <w:iCs/>
          <w:sz w:val="26"/>
          <w:szCs w:val="26"/>
          <w:lang w:eastAsia="lv-LV"/>
        </w:rPr>
      </w:pPr>
    </w:p>
    <w:p w:rsidR="0070526D" w:rsidRPr="00E4178A" w:rsidRDefault="00D36A65" w:rsidP="00115E82">
      <w:pPr>
        <w:rPr>
          <w:rFonts w:eastAsia="Times New Roman" w:cs="Times New Roman"/>
          <w:sz w:val="26"/>
          <w:szCs w:val="26"/>
          <w:lang w:eastAsia="lv-LV"/>
        </w:rPr>
      </w:pPr>
      <w:r>
        <w:rPr>
          <w:rFonts w:eastAsia="Times New Roman" w:cs="Times New Roman"/>
          <w:i/>
          <w:iCs/>
          <w:sz w:val="26"/>
          <w:szCs w:val="26"/>
          <w:lang w:eastAsia="lv-LV"/>
        </w:rPr>
        <w:t>Anotācijas</w:t>
      </w:r>
      <w:r w:rsidR="009C7CB7" w:rsidRPr="00E4178A">
        <w:rPr>
          <w:rFonts w:eastAsia="Times New Roman" w:cs="Times New Roman"/>
          <w:i/>
          <w:iCs/>
          <w:sz w:val="26"/>
          <w:szCs w:val="26"/>
          <w:lang w:eastAsia="lv-LV"/>
        </w:rPr>
        <w:t>,</w:t>
      </w:r>
      <w:r w:rsidR="00A16F91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="00F16110" w:rsidRPr="00E4178A">
        <w:rPr>
          <w:rFonts w:eastAsia="Times New Roman" w:cs="Times New Roman"/>
          <w:i/>
          <w:iCs/>
          <w:sz w:val="26"/>
          <w:szCs w:val="26"/>
          <w:lang w:eastAsia="lv-LV"/>
        </w:rPr>
        <w:t>IV,</w:t>
      </w:r>
      <w:r w:rsidR="009C7CB7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V</w:t>
      </w:r>
      <w:r w:rsidR="009267D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, VI, VII </w:t>
      </w:r>
      <w:r w:rsidR="00E77C7F" w:rsidRPr="00E4178A">
        <w:rPr>
          <w:rFonts w:eastAsia="Times New Roman" w:cs="Times New Roman"/>
          <w:i/>
          <w:iCs/>
          <w:sz w:val="26"/>
          <w:szCs w:val="26"/>
          <w:lang w:eastAsia="lv-LV"/>
        </w:rPr>
        <w:t>sadaļa</w:t>
      </w:r>
      <w:r w:rsidR="009D6B6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- </w:t>
      </w:r>
      <w:r w:rsidR="00E77C7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="00E77C7F" w:rsidRPr="00E4178A">
        <w:rPr>
          <w:rFonts w:eastAsia="Times New Roman" w:cs="Times New Roman"/>
          <w:i/>
          <w:sz w:val="26"/>
          <w:szCs w:val="26"/>
          <w:lang w:eastAsia="lv-LV"/>
        </w:rPr>
        <w:t>projekts šo jomu neskar</w:t>
      </w:r>
      <w:r w:rsidR="009C7CB7" w:rsidRPr="00E4178A">
        <w:rPr>
          <w:rFonts w:eastAsia="Times New Roman" w:cs="Times New Roman"/>
          <w:i/>
          <w:sz w:val="26"/>
          <w:szCs w:val="26"/>
          <w:lang w:eastAsia="lv-LV"/>
        </w:rPr>
        <w:t>.</w:t>
      </w:r>
    </w:p>
    <w:p w:rsidR="009D6B6F" w:rsidRDefault="009D6B6F" w:rsidP="009D6B6F">
      <w:pPr>
        <w:rPr>
          <w:rFonts w:eastAsia="Times New Roman" w:cs="Times New Roman"/>
          <w:sz w:val="26"/>
          <w:szCs w:val="26"/>
          <w:lang w:eastAsia="lv-LV"/>
        </w:rPr>
      </w:pPr>
    </w:p>
    <w:p w:rsidR="00D50105" w:rsidRPr="00E4178A" w:rsidRDefault="00D50105" w:rsidP="009D6B6F">
      <w:pPr>
        <w:rPr>
          <w:rFonts w:eastAsia="Times New Roman" w:cs="Times New Roman"/>
          <w:sz w:val="26"/>
          <w:szCs w:val="26"/>
          <w:lang w:eastAsia="lv-LV"/>
        </w:rPr>
      </w:pPr>
    </w:p>
    <w:p w:rsidR="00935378" w:rsidRPr="00E4178A" w:rsidRDefault="0070526D" w:rsidP="009D6B6F">
      <w:pPr>
        <w:rPr>
          <w:sz w:val="26"/>
          <w:szCs w:val="26"/>
        </w:rPr>
      </w:pPr>
      <w:r w:rsidRPr="00E4178A">
        <w:rPr>
          <w:rFonts w:eastAsia="Times New Roman" w:cs="Times New Roman"/>
          <w:sz w:val="26"/>
          <w:szCs w:val="26"/>
          <w:lang w:eastAsia="lv-LV"/>
        </w:rPr>
        <w:t> </w:t>
      </w:r>
      <w:r w:rsidR="00935378" w:rsidRPr="00E4178A">
        <w:rPr>
          <w:sz w:val="26"/>
          <w:szCs w:val="26"/>
        </w:rPr>
        <w:t xml:space="preserve">Finanšu ministrs </w:t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3E67CA" w:rsidRPr="00E4178A">
        <w:rPr>
          <w:sz w:val="26"/>
          <w:szCs w:val="26"/>
        </w:rPr>
        <w:t>A.Vilks</w:t>
      </w:r>
    </w:p>
    <w:p w:rsidR="004C266E" w:rsidRDefault="004C266E" w:rsidP="00935378">
      <w:pPr>
        <w:rPr>
          <w:sz w:val="22"/>
        </w:rPr>
      </w:pPr>
    </w:p>
    <w:p w:rsidR="00C131FD" w:rsidRDefault="00C131FD" w:rsidP="00935378">
      <w:pPr>
        <w:rPr>
          <w:sz w:val="22"/>
        </w:rPr>
      </w:pPr>
    </w:p>
    <w:p w:rsidR="008A3D08" w:rsidRDefault="008A3D08" w:rsidP="00935378">
      <w:pPr>
        <w:rPr>
          <w:sz w:val="22"/>
        </w:rPr>
      </w:pPr>
    </w:p>
    <w:p w:rsidR="008A3D08" w:rsidRDefault="008A3D08" w:rsidP="00935378">
      <w:pPr>
        <w:rPr>
          <w:sz w:val="22"/>
        </w:rPr>
      </w:pPr>
    </w:p>
    <w:p w:rsidR="008A3D08" w:rsidRDefault="008A3D08" w:rsidP="00935378">
      <w:pPr>
        <w:rPr>
          <w:sz w:val="22"/>
        </w:rPr>
      </w:pPr>
    </w:p>
    <w:p w:rsidR="00C131FD" w:rsidRDefault="00C131FD" w:rsidP="00935378">
      <w:pPr>
        <w:rPr>
          <w:sz w:val="22"/>
        </w:rPr>
      </w:pPr>
    </w:p>
    <w:p w:rsidR="00576E5E" w:rsidRDefault="00576E5E" w:rsidP="004C266E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28.11.2013 13:23</w:t>
      </w:r>
    </w:p>
    <w:p w:rsidR="004C266E" w:rsidRPr="00E4178A" w:rsidRDefault="004C266E" w:rsidP="004C266E">
      <w:pPr>
        <w:rPr>
          <w:rFonts w:eastAsia="Times New Roman" w:cs="Times New Roman"/>
          <w:sz w:val="22"/>
          <w:lang w:eastAsia="lv-LV"/>
        </w:rPr>
      </w:pPr>
      <w:r w:rsidRPr="00E4178A">
        <w:rPr>
          <w:rFonts w:eastAsia="Times New Roman" w:cs="Times New Roman"/>
          <w:sz w:val="22"/>
          <w:lang w:eastAsia="lv-LV"/>
        </w:rPr>
        <w:fldChar w:fldCharType="begin"/>
      </w:r>
      <w:r w:rsidRPr="00E4178A">
        <w:rPr>
          <w:rFonts w:eastAsia="Times New Roman" w:cs="Times New Roman"/>
          <w:sz w:val="22"/>
          <w:lang w:eastAsia="lv-LV"/>
        </w:rPr>
        <w:instrText xml:space="preserve"> NUMWORDS   \* MERGEFORMAT </w:instrText>
      </w:r>
      <w:r w:rsidRPr="00E4178A">
        <w:rPr>
          <w:rFonts w:eastAsia="Times New Roman" w:cs="Times New Roman"/>
          <w:sz w:val="22"/>
          <w:lang w:eastAsia="lv-LV"/>
        </w:rPr>
        <w:fldChar w:fldCharType="separate"/>
      </w:r>
      <w:r w:rsidR="00BA1BCF">
        <w:rPr>
          <w:rFonts w:eastAsia="Times New Roman" w:cs="Times New Roman"/>
          <w:noProof/>
          <w:sz w:val="22"/>
          <w:lang w:eastAsia="lv-LV"/>
        </w:rPr>
        <w:t>1142</w:t>
      </w:r>
      <w:r w:rsidRPr="00E4178A">
        <w:rPr>
          <w:rFonts w:eastAsia="Times New Roman" w:cs="Times New Roman"/>
          <w:sz w:val="22"/>
          <w:lang w:eastAsia="lv-LV"/>
        </w:rPr>
        <w:fldChar w:fldCharType="end"/>
      </w:r>
      <w:bookmarkStart w:id="0" w:name="_GoBack"/>
      <w:bookmarkEnd w:id="0"/>
    </w:p>
    <w:p w:rsidR="00814309" w:rsidRPr="00E4178A" w:rsidRDefault="00814309" w:rsidP="00814309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I.Artemjeva</w:t>
      </w:r>
    </w:p>
    <w:p w:rsidR="004C266E" w:rsidRPr="00E4178A" w:rsidRDefault="004C266E" w:rsidP="004C266E">
      <w:pPr>
        <w:rPr>
          <w:rFonts w:eastAsia="Times New Roman" w:cs="Times New Roman"/>
          <w:sz w:val="22"/>
          <w:lang w:eastAsia="lv-LV"/>
        </w:rPr>
      </w:pPr>
      <w:r w:rsidRPr="00E4178A">
        <w:rPr>
          <w:rFonts w:eastAsia="Times New Roman" w:cs="Times New Roman"/>
          <w:sz w:val="22"/>
          <w:lang w:eastAsia="lv-LV"/>
        </w:rPr>
        <w:t>67095</w:t>
      </w:r>
      <w:r w:rsidR="00980821">
        <w:rPr>
          <w:rFonts w:eastAsia="Times New Roman" w:cs="Times New Roman"/>
          <w:sz w:val="22"/>
          <w:lang w:eastAsia="lv-LV"/>
        </w:rPr>
        <w:t>599</w:t>
      </w:r>
      <w:r w:rsidRPr="00E4178A">
        <w:rPr>
          <w:rFonts w:eastAsia="Times New Roman" w:cs="Times New Roman"/>
          <w:sz w:val="22"/>
          <w:lang w:eastAsia="lv-LV"/>
        </w:rPr>
        <w:t xml:space="preserve">; fakss 67095541; </w:t>
      </w:r>
    </w:p>
    <w:p w:rsidR="00B253BC" w:rsidRPr="00E4178A" w:rsidRDefault="00980821" w:rsidP="0002351B">
      <w:pPr>
        <w:rPr>
          <w:sz w:val="22"/>
        </w:rPr>
      </w:pPr>
      <w:r>
        <w:rPr>
          <w:rFonts w:eastAsia="Times New Roman" w:cs="Times New Roman"/>
          <w:sz w:val="22"/>
          <w:lang w:eastAsia="lv-LV"/>
        </w:rPr>
        <w:t>Ineta.Artemjeva</w:t>
      </w:r>
      <w:r w:rsidR="004C266E" w:rsidRPr="00E4178A">
        <w:rPr>
          <w:rFonts w:eastAsia="Times New Roman" w:cs="Times New Roman"/>
          <w:sz w:val="22"/>
          <w:lang w:eastAsia="lv-LV"/>
        </w:rPr>
        <w:t>@fm.gov.lv</w:t>
      </w:r>
    </w:p>
    <w:sectPr w:rsidR="00B253BC" w:rsidRPr="00E4178A" w:rsidSect="000A7112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68" w:rsidRDefault="00001368" w:rsidP="007740F2">
      <w:r>
        <w:separator/>
      </w:r>
    </w:p>
  </w:endnote>
  <w:endnote w:type="continuationSeparator" w:id="0">
    <w:p w:rsidR="00001368" w:rsidRDefault="00001368" w:rsidP="0077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D3" w:rsidRPr="007636B7" w:rsidRDefault="007636B7" w:rsidP="007636B7">
    <w:pPr>
      <w:pStyle w:val="Footer"/>
    </w:pPr>
    <w:r w:rsidRPr="007636B7">
      <w:rPr>
        <w:rFonts w:eastAsia="Times New Roman" w:cs="Times New Roman"/>
        <w:sz w:val="18"/>
        <w:szCs w:val="18"/>
        <w:lang w:eastAsia="lv-LV"/>
      </w:rPr>
      <w:t>FMAnot_</w:t>
    </w:r>
    <w:r w:rsidR="00A67DE6">
      <w:rPr>
        <w:rFonts w:eastAsia="Times New Roman" w:cs="Times New Roman"/>
        <w:sz w:val="18"/>
        <w:szCs w:val="18"/>
        <w:lang w:eastAsia="lv-LV"/>
      </w:rPr>
      <w:t>22</w:t>
    </w:r>
    <w:r w:rsidR="00893F2C">
      <w:rPr>
        <w:rFonts w:eastAsia="Times New Roman" w:cs="Times New Roman"/>
        <w:sz w:val="18"/>
        <w:szCs w:val="18"/>
        <w:lang w:eastAsia="lv-LV"/>
      </w:rPr>
      <w:t>11</w:t>
    </w:r>
    <w:r w:rsidRPr="007636B7">
      <w:rPr>
        <w:rFonts w:eastAsia="Times New Roman" w:cs="Times New Roman"/>
        <w:sz w:val="18"/>
        <w:szCs w:val="18"/>
        <w:lang w:eastAsia="lv-LV"/>
      </w:rPr>
      <w:t>13</w:t>
    </w:r>
    <w:r w:rsidR="00203A4A">
      <w:rPr>
        <w:rFonts w:eastAsia="Times New Roman" w:cs="Times New Roman"/>
        <w:sz w:val="18"/>
        <w:szCs w:val="18"/>
        <w:lang w:eastAsia="lv-LV"/>
      </w:rPr>
      <w:t>_66</w:t>
    </w:r>
    <w:r w:rsidRPr="007636B7">
      <w:rPr>
        <w:rFonts w:eastAsia="Times New Roman" w:cs="Times New Roman"/>
        <w:sz w:val="18"/>
        <w:szCs w:val="18"/>
        <w:lang w:eastAsia="lv-LV"/>
      </w:rPr>
      <w:t>; Anotācija Ministru kabineta  noteikumu „Grozījumi Ministru kabineta 2013.gada 29.janvāra noteikumos Nr.66 "Noteikumi par valsts un pašvaldību institūciju amatpersonu un darbinieku darba samaksu un tās noteikšanas kārtību"” projektam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D3" w:rsidRPr="006F48E7" w:rsidRDefault="007636B7" w:rsidP="006F48E7">
    <w:pPr>
      <w:pStyle w:val="Footer"/>
      <w:jc w:val="both"/>
      <w:rPr>
        <w:sz w:val="18"/>
        <w:szCs w:val="18"/>
      </w:rPr>
    </w:pPr>
    <w:r>
      <w:rPr>
        <w:sz w:val="18"/>
        <w:szCs w:val="18"/>
      </w:rPr>
      <w:t>FMAnot_</w:t>
    </w:r>
    <w:r w:rsidR="00A67DE6">
      <w:rPr>
        <w:sz w:val="18"/>
        <w:szCs w:val="18"/>
      </w:rPr>
      <w:t>22</w:t>
    </w:r>
    <w:r w:rsidR="00893F2C">
      <w:rPr>
        <w:sz w:val="18"/>
        <w:szCs w:val="18"/>
      </w:rPr>
      <w:t>11</w:t>
    </w:r>
    <w:r w:rsidR="00251E6E" w:rsidRPr="00251E6E">
      <w:rPr>
        <w:sz w:val="18"/>
        <w:szCs w:val="18"/>
      </w:rPr>
      <w:t>13</w:t>
    </w:r>
    <w:r w:rsidR="00C7539C">
      <w:rPr>
        <w:sz w:val="18"/>
        <w:szCs w:val="18"/>
      </w:rPr>
      <w:t>_66</w:t>
    </w:r>
    <w:r w:rsidR="00251E6E" w:rsidRPr="00251E6E">
      <w:rPr>
        <w:sz w:val="18"/>
        <w:szCs w:val="18"/>
      </w:rPr>
      <w:t xml:space="preserve">; Anotācija </w:t>
    </w:r>
    <w:r w:rsidR="006F48E7" w:rsidRPr="006F48E7">
      <w:rPr>
        <w:sz w:val="18"/>
        <w:szCs w:val="18"/>
      </w:rPr>
      <w:t>Ministru kabineta  noteikumu „Grozījumi Ministru kabineta 2013.gada 29.janvāra noteikumos Nr.66 "Noteikumi par valsts un pašvaldību institūciju amatpersonu un darbinieku darba samaksu un tās noteikšanas kārtību"” projekta</w:t>
    </w:r>
    <w:r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68" w:rsidRDefault="00001368" w:rsidP="007740F2">
      <w:r>
        <w:separator/>
      </w:r>
    </w:p>
  </w:footnote>
  <w:footnote w:type="continuationSeparator" w:id="0">
    <w:p w:rsidR="00001368" w:rsidRDefault="00001368" w:rsidP="0077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450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5FD3" w:rsidRDefault="009A5F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D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5FD3" w:rsidRDefault="009A5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22C4"/>
    <w:multiLevelType w:val="hybridMultilevel"/>
    <w:tmpl w:val="8D3A66F2"/>
    <w:lvl w:ilvl="0" w:tplc="CFC2EF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B91222"/>
    <w:multiLevelType w:val="hybridMultilevel"/>
    <w:tmpl w:val="B0BCA1E6"/>
    <w:lvl w:ilvl="0" w:tplc="ECD68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70429"/>
    <w:multiLevelType w:val="hybridMultilevel"/>
    <w:tmpl w:val="6B6EC41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306C"/>
    <w:multiLevelType w:val="hybridMultilevel"/>
    <w:tmpl w:val="DF38EE5A"/>
    <w:lvl w:ilvl="0" w:tplc="12B031A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6D"/>
    <w:rsid w:val="00001368"/>
    <w:rsid w:val="0000225E"/>
    <w:rsid w:val="000131FE"/>
    <w:rsid w:val="00017E1C"/>
    <w:rsid w:val="0002351B"/>
    <w:rsid w:val="00026F6C"/>
    <w:rsid w:val="00030942"/>
    <w:rsid w:val="00041BC5"/>
    <w:rsid w:val="00047237"/>
    <w:rsid w:val="00051A8F"/>
    <w:rsid w:val="000520FB"/>
    <w:rsid w:val="000608D1"/>
    <w:rsid w:val="0006115B"/>
    <w:rsid w:val="0006168D"/>
    <w:rsid w:val="00062334"/>
    <w:rsid w:val="000726C0"/>
    <w:rsid w:val="00084A17"/>
    <w:rsid w:val="000A3048"/>
    <w:rsid w:val="000A7112"/>
    <w:rsid w:val="000B1D1D"/>
    <w:rsid w:val="000B439D"/>
    <w:rsid w:val="000C0DAA"/>
    <w:rsid w:val="000C4DF9"/>
    <w:rsid w:val="000C54DC"/>
    <w:rsid w:val="000C6947"/>
    <w:rsid w:val="000E2542"/>
    <w:rsid w:val="000F2A5F"/>
    <w:rsid w:val="000F4A82"/>
    <w:rsid w:val="000F66B5"/>
    <w:rsid w:val="00107913"/>
    <w:rsid w:val="00115E82"/>
    <w:rsid w:val="0012014A"/>
    <w:rsid w:val="00120262"/>
    <w:rsid w:val="00120BB1"/>
    <w:rsid w:val="001215EA"/>
    <w:rsid w:val="00122717"/>
    <w:rsid w:val="0012536F"/>
    <w:rsid w:val="00131852"/>
    <w:rsid w:val="001338B2"/>
    <w:rsid w:val="00133FC3"/>
    <w:rsid w:val="0013757A"/>
    <w:rsid w:val="001411E1"/>
    <w:rsid w:val="0014131D"/>
    <w:rsid w:val="00142743"/>
    <w:rsid w:val="0014438B"/>
    <w:rsid w:val="00151874"/>
    <w:rsid w:val="00152376"/>
    <w:rsid w:val="001544B1"/>
    <w:rsid w:val="00161AF0"/>
    <w:rsid w:val="00161D6A"/>
    <w:rsid w:val="00182716"/>
    <w:rsid w:val="0018282F"/>
    <w:rsid w:val="0018679A"/>
    <w:rsid w:val="00187691"/>
    <w:rsid w:val="00192B03"/>
    <w:rsid w:val="00194E91"/>
    <w:rsid w:val="001952CE"/>
    <w:rsid w:val="00195938"/>
    <w:rsid w:val="001A0D1C"/>
    <w:rsid w:val="001A22F1"/>
    <w:rsid w:val="001A37AC"/>
    <w:rsid w:val="001A5D75"/>
    <w:rsid w:val="001A7971"/>
    <w:rsid w:val="001B1E3E"/>
    <w:rsid w:val="001B4200"/>
    <w:rsid w:val="001C2CD5"/>
    <w:rsid w:val="001C4ED0"/>
    <w:rsid w:val="001C6D54"/>
    <w:rsid w:val="001D2BF2"/>
    <w:rsid w:val="001D7B24"/>
    <w:rsid w:val="00200731"/>
    <w:rsid w:val="00203A4A"/>
    <w:rsid w:val="00211EE2"/>
    <w:rsid w:val="00216F53"/>
    <w:rsid w:val="002176AD"/>
    <w:rsid w:val="00227194"/>
    <w:rsid w:val="00230D49"/>
    <w:rsid w:val="00230E88"/>
    <w:rsid w:val="002316CB"/>
    <w:rsid w:val="00242456"/>
    <w:rsid w:val="0024678C"/>
    <w:rsid w:val="00250856"/>
    <w:rsid w:val="00251E6E"/>
    <w:rsid w:val="00256ACC"/>
    <w:rsid w:val="0026115F"/>
    <w:rsid w:val="002721A1"/>
    <w:rsid w:val="0027277F"/>
    <w:rsid w:val="00282CDC"/>
    <w:rsid w:val="002842DF"/>
    <w:rsid w:val="00285BE4"/>
    <w:rsid w:val="002A28D9"/>
    <w:rsid w:val="002A3DAE"/>
    <w:rsid w:val="002A429F"/>
    <w:rsid w:val="002B33E3"/>
    <w:rsid w:val="002B56DC"/>
    <w:rsid w:val="002B5BA9"/>
    <w:rsid w:val="002D0201"/>
    <w:rsid w:val="002D7B68"/>
    <w:rsid w:val="002E080B"/>
    <w:rsid w:val="002E69E7"/>
    <w:rsid w:val="002F0760"/>
    <w:rsid w:val="002F14AD"/>
    <w:rsid w:val="002F3858"/>
    <w:rsid w:val="0030223A"/>
    <w:rsid w:val="0031457F"/>
    <w:rsid w:val="00317A5C"/>
    <w:rsid w:val="00323114"/>
    <w:rsid w:val="003243DA"/>
    <w:rsid w:val="00324680"/>
    <w:rsid w:val="00325216"/>
    <w:rsid w:val="003338AE"/>
    <w:rsid w:val="003426A8"/>
    <w:rsid w:val="0035017E"/>
    <w:rsid w:val="003539EF"/>
    <w:rsid w:val="003608AD"/>
    <w:rsid w:val="0036096D"/>
    <w:rsid w:val="003640B5"/>
    <w:rsid w:val="00365AF0"/>
    <w:rsid w:val="003718BB"/>
    <w:rsid w:val="003772E8"/>
    <w:rsid w:val="00377F94"/>
    <w:rsid w:val="00385736"/>
    <w:rsid w:val="003967FE"/>
    <w:rsid w:val="003A020A"/>
    <w:rsid w:val="003A62D3"/>
    <w:rsid w:val="003A6BB3"/>
    <w:rsid w:val="003A6C4D"/>
    <w:rsid w:val="003B544A"/>
    <w:rsid w:val="003B7D1C"/>
    <w:rsid w:val="003C2231"/>
    <w:rsid w:val="003D0C30"/>
    <w:rsid w:val="003D3104"/>
    <w:rsid w:val="003D47B9"/>
    <w:rsid w:val="003D5034"/>
    <w:rsid w:val="003D5A5B"/>
    <w:rsid w:val="003E312E"/>
    <w:rsid w:val="003E333B"/>
    <w:rsid w:val="003E67CA"/>
    <w:rsid w:val="003E78AD"/>
    <w:rsid w:val="00406416"/>
    <w:rsid w:val="00406D73"/>
    <w:rsid w:val="004124FD"/>
    <w:rsid w:val="004125EE"/>
    <w:rsid w:val="00417484"/>
    <w:rsid w:val="00422671"/>
    <w:rsid w:val="00430A2B"/>
    <w:rsid w:val="00431480"/>
    <w:rsid w:val="00434867"/>
    <w:rsid w:val="004349DC"/>
    <w:rsid w:val="00442121"/>
    <w:rsid w:val="004427A4"/>
    <w:rsid w:val="00444C23"/>
    <w:rsid w:val="0044711B"/>
    <w:rsid w:val="00452360"/>
    <w:rsid w:val="00453F7A"/>
    <w:rsid w:val="004561D2"/>
    <w:rsid w:val="00457159"/>
    <w:rsid w:val="004629E6"/>
    <w:rsid w:val="0046430C"/>
    <w:rsid w:val="004704D8"/>
    <w:rsid w:val="00473FED"/>
    <w:rsid w:val="004807EA"/>
    <w:rsid w:val="0049019A"/>
    <w:rsid w:val="004C0984"/>
    <w:rsid w:val="004C266E"/>
    <w:rsid w:val="004C3DAA"/>
    <w:rsid w:val="004C7763"/>
    <w:rsid w:val="004D0194"/>
    <w:rsid w:val="004D0C13"/>
    <w:rsid w:val="004D38F2"/>
    <w:rsid w:val="004E2368"/>
    <w:rsid w:val="004E3FBE"/>
    <w:rsid w:val="004E63DA"/>
    <w:rsid w:val="004F4590"/>
    <w:rsid w:val="004F6E25"/>
    <w:rsid w:val="00501105"/>
    <w:rsid w:val="005224EC"/>
    <w:rsid w:val="00523728"/>
    <w:rsid w:val="00526771"/>
    <w:rsid w:val="005267C1"/>
    <w:rsid w:val="00527A7F"/>
    <w:rsid w:val="00530E60"/>
    <w:rsid w:val="0053287D"/>
    <w:rsid w:val="00534B24"/>
    <w:rsid w:val="005356E5"/>
    <w:rsid w:val="005500B1"/>
    <w:rsid w:val="0055133A"/>
    <w:rsid w:val="00554BF5"/>
    <w:rsid w:val="00557D79"/>
    <w:rsid w:val="0056019C"/>
    <w:rsid w:val="00562AC0"/>
    <w:rsid w:val="005631DF"/>
    <w:rsid w:val="005657D6"/>
    <w:rsid w:val="00565E76"/>
    <w:rsid w:val="005668B0"/>
    <w:rsid w:val="00570E1F"/>
    <w:rsid w:val="00574AB3"/>
    <w:rsid w:val="00576E5E"/>
    <w:rsid w:val="00585F3A"/>
    <w:rsid w:val="005912E0"/>
    <w:rsid w:val="00595AFA"/>
    <w:rsid w:val="005A4B3E"/>
    <w:rsid w:val="005A6A6A"/>
    <w:rsid w:val="005A7336"/>
    <w:rsid w:val="005A74FF"/>
    <w:rsid w:val="005B61EB"/>
    <w:rsid w:val="005B7B1F"/>
    <w:rsid w:val="005B7FA7"/>
    <w:rsid w:val="005C37C2"/>
    <w:rsid w:val="005D466E"/>
    <w:rsid w:val="005D695A"/>
    <w:rsid w:val="005E039A"/>
    <w:rsid w:val="005E10A5"/>
    <w:rsid w:val="005F2843"/>
    <w:rsid w:val="005F5C6F"/>
    <w:rsid w:val="00605A33"/>
    <w:rsid w:val="00606A4B"/>
    <w:rsid w:val="00613BF4"/>
    <w:rsid w:val="0061541F"/>
    <w:rsid w:val="00615C74"/>
    <w:rsid w:val="00625887"/>
    <w:rsid w:val="00635413"/>
    <w:rsid w:val="00640759"/>
    <w:rsid w:val="00640BB4"/>
    <w:rsid w:val="00645E21"/>
    <w:rsid w:val="006501D4"/>
    <w:rsid w:val="00653D0C"/>
    <w:rsid w:val="00664B92"/>
    <w:rsid w:val="00670389"/>
    <w:rsid w:val="00672F87"/>
    <w:rsid w:val="006764EA"/>
    <w:rsid w:val="00684105"/>
    <w:rsid w:val="0069205F"/>
    <w:rsid w:val="00695D15"/>
    <w:rsid w:val="006A35E8"/>
    <w:rsid w:val="006A7F64"/>
    <w:rsid w:val="006B2952"/>
    <w:rsid w:val="006B3E2A"/>
    <w:rsid w:val="006B723F"/>
    <w:rsid w:val="006B7A79"/>
    <w:rsid w:val="006C0E9A"/>
    <w:rsid w:val="006C1B3A"/>
    <w:rsid w:val="006C60FA"/>
    <w:rsid w:val="006D00D1"/>
    <w:rsid w:val="006D3764"/>
    <w:rsid w:val="006E0279"/>
    <w:rsid w:val="006E0584"/>
    <w:rsid w:val="006E0C4B"/>
    <w:rsid w:val="006E101C"/>
    <w:rsid w:val="006F48E7"/>
    <w:rsid w:val="006F5348"/>
    <w:rsid w:val="007001C4"/>
    <w:rsid w:val="007022B9"/>
    <w:rsid w:val="0070526D"/>
    <w:rsid w:val="00714227"/>
    <w:rsid w:val="007213E2"/>
    <w:rsid w:val="00727839"/>
    <w:rsid w:val="00735475"/>
    <w:rsid w:val="0073757A"/>
    <w:rsid w:val="00752BA2"/>
    <w:rsid w:val="00760C6B"/>
    <w:rsid w:val="007636B7"/>
    <w:rsid w:val="00765FFD"/>
    <w:rsid w:val="00773525"/>
    <w:rsid w:val="007740F2"/>
    <w:rsid w:val="007745A6"/>
    <w:rsid w:val="00774DC7"/>
    <w:rsid w:val="00776CCD"/>
    <w:rsid w:val="0078004D"/>
    <w:rsid w:val="0078057E"/>
    <w:rsid w:val="00781424"/>
    <w:rsid w:val="007903C2"/>
    <w:rsid w:val="00791A4B"/>
    <w:rsid w:val="00794CE5"/>
    <w:rsid w:val="007959DE"/>
    <w:rsid w:val="00795C4D"/>
    <w:rsid w:val="00796CCD"/>
    <w:rsid w:val="0079757B"/>
    <w:rsid w:val="007A4333"/>
    <w:rsid w:val="007A4F44"/>
    <w:rsid w:val="007A61A5"/>
    <w:rsid w:val="007B5773"/>
    <w:rsid w:val="007B5ACE"/>
    <w:rsid w:val="007C7DEC"/>
    <w:rsid w:val="007D5B1F"/>
    <w:rsid w:val="007D791F"/>
    <w:rsid w:val="007D7971"/>
    <w:rsid w:val="007E6B54"/>
    <w:rsid w:val="007F1998"/>
    <w:rsid w:val="007F1CFD"/>
    <w:rsid w:val="00803914"/>
    <w:rsid w:val="00806B92"/>
    <w:rsid w:val="00812BA6"/>
    <w:rsid w:val="00814309"/>
    <w:rsid w:val="00814D08"/>
    <w:rsid w:val="00826821"/>
    <w:rsid w:val="00833D07"/>
    <w:rsid w:val="00835068"/>
    <w:rsid w:val="008442FB"/>
    <w:rsid w:val="00847ABB"/>
    <w:rsid w:val="00851D90"/>
    <w:rsid w:val="00857024"/>
    <w:rsid w:val="00861512"/>
    <w:rsid w:val="00862EB1"/>
    <w:rsid w:val="00863C1E"/>
    <w:rsid w:val="00864869"/>
    <w:rsid w:val="00870A1E"/>
    <w:rsid w:val="00880D2A"/>
    <w:rsid w:val="00893F2C"/>
    <w:rsid w:val="00894033"/>
    <w:rsid w:val="00896087"/>
    <w:rsid w:val="0089697E"/>
    <w:rsid w:val="0089703C"/>
    <w:rsid w:val="00897222"/>
    <w:rsid w:val="008A1796"/>
    <w:rsid w:val="008A3D08"/>
    <w:rsid w:val="008A59AE"/>
    <w:rsid w:val="008A6B74"/>
    <w:rsid w:val="008B2519"/>
    <w:rsid w:val="008C046F"/>
    <w:rsid w:val="008C14A5"/>
    <w:rsid w:val="008C2E53"/>
    <w:rsid w:val="008C4091"/>
    <w:rsid w:val="008C6C7D"/>
    <w:rsid w:val="008D01F8"/>
    <w:rsid w:val="008D11BA"/>
    <w:rsid w:val="008D33D9"/>
    <w:rsid w:val="008D3851"/>
    <w:rsid w:val="008D5368"/>
    <w:rsid w:val="008E6AFB"/>
    <w:rsid w:val="008F054C"/>
    <w:rsid w:val="00902FFE"/>
    <w:rsid w:val="0091774C"/>
    <w:rsid w:val="00921567"/>
    <w:rsid w:val="00921B9C"/>
    <w:rsid w:val="00923883"/>
    <w:rsid w:val="009267DF"/>
    <w:rsid w:val="0093094C"/>
    <w:rsid w:val="00932C9A"/>
    <w:rsid w:val="0093409E"/>
    <w:rsid w:val="00935378"/>
    <w:rsid w:val="00936F2F"/>
    <w:rsid w:val="009451ED"/>
    <w:rsid w:val="00955248"/>
    <w:rsid w:val="00966DD4"/>
    <w:rsid w:val="00971AFF"/>
    <w:rsid w:val="00980821"/>
    <w:rsid w:val="009809A3"/>
    <w:rsid w:val="00985865"/>
    <w:rsid w:val="0099229E"/>
    <w:rsid w:val="00994AA8"/>
    <w:rsid w:val="009A5FD3"/>
    <w:rsid w:val="009B236A"/>
    <w:rsid w:val="009B4C0B"/>
    <w:rsid w:val="009B6356"/>
    <w:rsid w:val="009B6CFA"/>
    <w:rsid w:val="009C6BC3"/>
    <w:rsid w:val="009C7CB7"/>
    <w:rsid w:val="009D02ED"/>
    <w:rsid w:val="009D6228"/>
    <w:rsid w:val="009D6B6F"/>
    <w:rsid w:val="009E423D"/>
    <w:rsid w:val="009E7471"/>
    <w:rsid w:val="009F1C8A"/>
    <w:rsid w:val="009F443C"/>
    <w:rsid w:val="009F49A6"/>
    <w:rsid w:val="009F502C"/>
    <w:rsid w:val="009F71E7"/>
    <w:rsid w:val="00A1143E"/>
    <w:rsid w:val="00A11AA6"/>
    <w:rsid w:val="00A16F6B"/>
    <w:rsid w:val="00A16F91"/>
    <w:rsid w:val="00A2399D"/>
    <w:rsid w:val="00A56FD2"/>
    <w:rsid w:val="00A57A47"/>
    <w:rsid w:val="00A67DE6"/>
    <w:rsid w:val="00A71710"/>
    <w:rsid w:val="00A74BC9"/>
    <w:rsid w:val="00A923DC"/>
    <w:rsid w:val="00A9576B"/>
    <w:rsid w:val="00A976A4"/>
    <w:rsid w:val="00AA2299"/>
    <w:rsid w:val="00AB20BE"/>
    <w:rsid w:val="00AB2AB2"/>
    <w:rsid w:val="00AB7A60"/>
    <w:rsid w:val="00AC702C"/>
    <w:rsid w:val="00AD1C05"/>
    <w:rsid w:val="00AD3610"/>
    <w:rsid w:val="00AD5C69"/>
    <w:rsid w:val="00AE3020"/>
    <w:rsid w:val="00AE5A6F"/>
    <w:rsid w:val="00AF079B"/>
    <w:rsid w:val="00B14926"/>
    <w:rsid w:val="00B253BC"/>
    <w:rsid w:val="00B254E1"/>
    <w:rsid w:val="00B26D41"/>
    <w:rsid w:val="00B26E00"/>
    <w:rsid w:val="00B27C6F"/>
    <w:rsid w:val="00B30D51"/>
    <w:rsid w:val="00B37159"/>
    <w:rsid w:val="00B40370"/>
    <w:rsid w:val="00B42F60"/>
    <w:rsid w:val="00B43AA8"/>
    <w:rsid w:val="00B4486A"/>
    <w:rsid w:val="00B52B42"/>
    <w:rsid w:val="00B605EC"/>
    <w:rsid w:val="00B670AB"/>
    <w:rsid w:val="00B71B92"/>
    <w:rsid w:val="00B7355E"/>
    <w:rsid w:val="00B73B49"/>
    <w:rsid w:val="00B7762B"/>
    <w:rsid w:val="00B807F7"/>
    <w:rsid w:val="00B93AD7"/>
    <w:rsid w:val="00BA0537"/>
    <w:rsid w:val="00BA1BCF"/>
    <w:rsid w:val="00BA1E74"/>
    <w:rsid w:val="00BA20D0"/>
    <w:rsid w:val="00BA2654"/>
    <w:rsid w:val="00BA5C0C"/>
    <w:rsid w:val="00BB77F7"/>
    <w:rsid w:val="00BB7856"/>
    <w:rsid w:val="00BC1DFC"/>
    <w:rsid w:val="00BD7AF4"/>
    <w:rsid w:val="00BE46E4"/>
    <w:rsid w:val="00BF5790"/>
    <w:rsid w:val="00C004A5"/>
    <w:rsid w:val="00C030E6"/>
    <w:rsid w:val="00C04576"/>
    <w:rsid w:val="00C11128"/>
    <w:rsid w:val="00C131FD"/>
    <w:rsid w:val="00C27314"/>
    <w:rsid w:val="00C41080"/>
    <w:rsid w:val="00C459F2"/>
    <w:rsid w:val="00C56ED0"/>
    <w:rsid w:val="00C60184"/>
    <w:rsid w:val="00C60F8C"/>
    <w:rsid w:val="00C674C2"/>
    <w:rsid w:val="00C728BB"/>
    <w:rsid w:val="00C74AF5"/>
    <w:rsid w:val="00C7539C"/>
    <w:rsid w:val="00C76D46"/>
    <w:rsid w:val="00C80A73"/>
    <w:rsid w:val="00C82D4E"/>
    <w:rsid w:val="00C840C1"/>
    <w:rsid w:val="00C84F1F"/>
    <w:rsid w:val="00C92A5F"/>
    <w:rsid w:val="00CA529E"/>
    <w:rsid w:val="00CB589D"/>
    <w:rsid w:val="00CB67AC"/>
    <w:rsid w:val="00CC35D2"/>
    <w:rsid w:val="00CD0DDE"/>
    <w:rsid w:val="00CD246D"/>
    <w:rsid w:val="00CD685C"/>
    <w:rsid w:val="00CD76A1"/>
    <w:rsid w:val="00CE2D10"/>
    <w:rsid w:val="00CE30D1"/>
    <w:rsid w:val="00CE4104"/>
    <w:rsid w:val="00CE7A8D"/>
    <w:rsid w:val="00CF742B"/>
    <w:rsid w:val="00D07C37"/>
    <w:rsid w:val="00D12E4C"/>
    <w:rsid w:val="00D237F7"/>
    <w:rsid w:val="00D35312"/>
    <w:rsid w:val="00D36A65"/>
    <w:rsid w:val="00D37D0A"/>
    <w:rsid w:val="00D407CB"/>
    <w:rsid w:val="00D478F4"/>
    <w:rsid w:val="00D50105"/>
    <w:rsid w:val="00D57E12"/>
    <w:rsid w:val="00D64500"/>
    <w:rsid w:val="00D659ED"/>
    <w:rsid w:val="00D71447"/>
    <w:rsid w:val="00D7436D"/>
    <w:rsid w:val="00D752AF"/>
    <w:rsid w:val="00D76AD0"/>
    <w:rsid w:val="00D81CB1"/>
    <w:rsid w:val="00D82F5F"/>
    <w:rsid w:val="00D83D30"/>
    <w:rsid w:val="00D8541C"/>
    <w:rsid w:val="00D86844"/>
    <w:rsid w:val="00D90AC4"/>
    <w:rsid w:val="00D93F45"/>
    <w:rsid w:val="00D9437D"/>
    <w:rsid w:val="00DA1516"/>
    <w:rsid w:val="00DA2445"/>
    <w:rsid w:val="00DA2A23"/>
    <w:rsid w:val="00DA7DFD"/>
    <w:rsid w:val="00DB2E0E"/>
    <w:rsid w:val="00DC29FB"/>
    <w:rsid w:val="00DD561C"/>
    <w:rsid w:val="00DD773D"/>
    <w:rsid w:val="00DE0882"/>
    <w:rsid w:val="00DE39FC"/>
    <w:rsid w:val="00DF219A"/>
    <w:rsid w:val="00DF2257"/>
    <w:rsid w:val="00DF4B58"/>
    <w:rsid w:val="00DF56E7"/>
    <w:rsid w:val="00E02CB0"/>
    <w:rsid w:val="00E040B8"/>
    <w:rsid w:val="00E16B00"/>
    <w:rsid w:val="00E17245"/>
    <w:rsid w:val="00E20D5A"/>
    <w:rsid w:val="00E222EA"/>
    <w:rsid w:val="00E24549"/>
    <w:rsid w:val="00E25652"/>
    <w:rsid w:val="00E30350"/>
    <w:rsid w:val="00E30C8C"/>
    <w:rsid w:val="00E34609"/>
    <w:rsid w:val="00E37160"/>
    <w:rsid w:val="00E414CA"/>
    <w:rsid w:val="00E4178A"/>
    <w:rsid w:val="00E5075C"/>
    <w:rsid w:val="00E528B3"/>
    <w:rsid w:val="00E77C7F"/>
    <w:rsid w:val="00E833C2"/>
    <w:rsid w:val="00EA4849"/>
    <w:rsid w:val="00EA7AB6"/>
    <w:rsid w:val="00EA7C01"/>
    <w:rsid w:val="00EB0AD9"/>
    <w:rsid w:val="00EB2C1E"/>
    <w:rsid w:val="00EB39A0"/>
    <w:rsid w:val="00ED34A0"/>
    <w:rsid w:val="00EF3296"/>
    <w:rsid w:val="00F01922"/>
    <w:rsid w:val="00F020D9"/>
    <w:rsid w:val="00F025CE"/>
    <w:rsid w:val="00F0470B"/>
    <w:rsid w:val="00F152C2"/>
    <w:rsid w:val="00F16110"/>
    <w:rsid w:val="00F16738"/>
    <w:rsid w:val="00F33CBD"/>
    <w:rsid w:val="00F3457C"/>
    <w:rsid w:val="00F4097F"/>
    <w:rsid w:val="00F4712B"/>
    <w:rsid w:val="00F47222"/>
    <w:rsid w:val="00F47558"/>
    <w:rsid w:val="00F535B4"/>
    <w:rsid w:val="00F60CA6"/>
    <w:rsid w:val="00F640D0"/>
    <w:rsid w:val="00F65EBD"/>
    <w:rsid w:val="00F6632C"/>
    <w:rsid w:val="00F708BC"/>
    <w:rsid w:val="00F76776"/>
    <w:rsid w:val="00F8684A"/>
    <w:rsid w:val="00F93423"/>
    <w:rsid w:val="00F94342"/>
    <w:rsid w:val="00F96BD4"/>
    <w:rsid w:val="00FA241A"/>
    <w:rsid w:val="00FA2FDC"/>
    <w:rsid w:val="00FB01E2"/>
    <w:rsid w:val="00FB1F36"/>
    <w:rsid w:val="00FB5B96"/>
    <w:rsid w:val="00FC35B6"/>
    <w:rsid w:val="00FD1A9F"/>
    <w:rsid w:val="00FD3453"/>
    <w:rsid w:val="00FE5D02"/>
    <w:rsid w:val="00FF0E16"/>
    <w:rsid w:val="00FF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docId w15:val="{6394F9AB-1C71-4696-B69F-BF618FDE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F2"/>
  </w:style>
  <w:style w:type="paragraph" w:styleId="Footer">
    <w:name w:val="footer"/>
    <w:basedOn w:val="Normal"/>
    <w:link w:val="FooterChar"/>
    <w:unhideWhenUsed/>
    <w:rsid w:val="00774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0F2"/>
  </w:style>
  <w:style w:type="paragraph" w:styleId="ListParagraph">
    <w:name w:val="List Paragraph"/>
    <w:basedOn w:val="Normal"/>
    <w:uiPriority w:val="34"/>
    <w:qFormat/>
    <w:rsid w:val="000623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C8C"/>
    <w:rPr>
      <w:color w:val="800080"/>
      <w:u w:val="single"/>
    </w:rPr>
  </w:style>
  <w:style w:type="paragraph" w:customStyle="1" w:styleId="naisvisr">
    <w:name w:val="naisvisr"/>
    <w:basedOn w:val="Normal"/>
    <w:rsid w:val="00551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14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712C-FABE-4EEC-BE45-F0C8A9CB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1064</Words>
  <Characters>8020</Characters>
  <Application>Microsoft Office Word</Application>
  <DocSecurity>0</DocSecurity>
  <Lines>250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Ministru kabineta  noteikumu „Grozījumi Ministru kabineta 2013.gada 29.janvāra noteikumos Nr.66 "Noteikumi par valsts un pašvaldību institūciju amatpersonu un darbinieku darba samaksu un tās noteikšanas kārtību"” projekts</vt:lpstr>
    </vt:vector>
  </TitlesOfParts>
  <Company>fm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Ministru kabineta  noteikumu „Grozījumi Ministru kabineta 2013.gada 29.janvāra noteikumos Nr.66 "Noteikumi par valsts un pašvaldību institūciju amatpersonu un darbinieku darba samaksu un tās noteikšanas kārtību"” projekts</dc:title>
  <dc:subject>Anotācija</dc:subject>
  <dc:creator>I.Artemjeva</dc:creator>
  <cp:keywords/>
  <dc:description>t. 67095599
Ineta.Artemjeva@fm.gov.lv</dc:description>
  <cp:lastModifiedBy>Artemjeva Ineta</cp:lastModifiedBy>
  <cp:revision>41</cp:revision>
  <cp:lastPrinted>2013-08-09T07:02:00Z</cp:lastPrinted>
  <dcterms:created xsi:type="dcterms:W3CDTF">2013-11-05T07:58:00Z</dcterms:created>
  <dcterms:modified xsi:type="dcterms:W3CDTF">2013-11-28T11:32:00Z</dcterms:modified>
</cp:coreProperties>
</file>