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3B" w:rsidRPr="008E75E9" w:rsidRDefault="000C2F3B" w:rsidP="00451553">
      <w:pPr>
        <w:pStyle w:val="BodyText3"/>
        <w:jc w:val="center"/>
        <w:rPr>
          <w:b/>
          <w:sz w:val="28"/>
          <w:szCs w:val="28"/>
          <w:lang w:val="lv-LV"/>
        </w:rPr>
      </w:pPr>
      <w:r w:rsidRPr="008E75E9">
        <w:rPr>
          <w:b/>
          <w:sz w:val="28"/>
          <w:szCs w:val="28"/>
          <w:lang w:val="lv-LV"/>
        </w:rPr>
        <w:t>Ministru kabineta noteikumu projekta</w:t>
      </w:r>
    </w:p>
    <w:p w:rsidR="007412E5" w:rsidRPr="00163804" w:rsidRDefault="00892D1D" w:rsidP="00163804">
      <w:pPr>
        <w:pStyle w:val="BodyText3"/>
        <w:jc w:val="both"/>
        <w:rPr>
          <w:b/>
          <w:sz w:val="28"/>
          <w:szCs w:val="28"/>
        </w:rPr>
      </w:pPr>
      <w:r>
        <w:rPr>
          <w:b/>
          <w:sz w:val="28"/>
          <w:szCs w:val="28"/>
          <w:lang w:val="lv-LV"/>
        </w:rPr>
        <w:t>„</w:t>
      </w:r>
      <w:proofErr w:type="spellStart"/>
      <w:r w:rsidR="002200FE" w:rsidRPr="002200FE">
        <w:rPr>
          <w:b/>
          <w:bCs/>
          <w:sz w:val="28"/>
          <w:szCs w:val="28"/>
        </w:rPr>
        <w:t>Grozījumi</w:t>
      </w:r>
      <w:proofErr w:type="spellEnd"/>
      <w:r w:rsidR="002200FE" w:rsidRPr="002200FE">
        <w:rPr>
          <w:b/>
          <w:bCs/>
          <w:sz w:val="28"/>
          <w:szCs w:val="28"/>
        </w:rPr>
        <w:t xml:space="preserve"> </w:t>
      </w:r>
      <w:proofErr w:type="spellStart"/>
      <w:r w:rsidR="002200FE" w:rsidRPr="002200FE">
        <w:rPr>
          <w:b/>
          <w:bCs/>
          <w:sz w:val="28"/>
          <w:szCs w:val="28"/>
        </w:rPr>
        <w:t>Ministru</w:t>
      </w:r>
      <w:proofErr w:type="spellEnd"/>
      <w:r w:rsidR="002200FE" w:rsidRPr="002200FE">
        <w:rPr>
          <w:b/>
          <w:bCs/>
          <w:sz w:val="28"/>
          <w:szCs w:val="28"/>
        </w:rPr>
        <w:t xml:space="preserve"> </w:t>
      </w:r>
      <w:proofErr w:type="spellStart"/>
      <w:r w:rsidR="002200FE" w:rsidRPr="002200FE">
        <w:rPr>
          <w:b/>
          <w:bCs/>
          <w:sz w:val="28"/>
          <w:szCs w:val="28"/>
        </w:rPr>
        <w:t>kabineta</w:t>
      </w:r>
      <w:proofErr w:type="spellEnd"/>
      <w:r w:rsidR="002200FE" w:rsidRPr="002200FE">
        <w:rPr>
          <w:b/>
          <w:bCs/>
          <w:sz w:val="28"/>
          <w:szCs w:val="28"/>
        </w:rPr>
        <w:t xml:space="preserve"> 2011.gada 6. </w:t>
      </w:r>
      <w:proofErr w:type="spellStart"/>
      <w:r w:rsidR="002200FE" w:rsidRPr="002200FE">
        <w:rPr>
          <w:b/>
          <w:bCs/>
          <w:sz w:val="28"/>
          <w:szCs w:val="28"/>
        </w:rPr>
        <w:t>septembra</w:t>
      </w:r>
      <w:proofErr w:type="spellEnd"/>
      <w:r w:rsidR="002200FE" w:rsidRPr="002200FE">
        <w:rPr>
          <w:b/>
          <w:bCs/>
          <w:sz w:val="28"/>
          <w:szCs w:val="28"/>
        </w:rPr>
        <w:t xml:space="preserve"> </w:t>
      </w:r>
      <w:proofErr w:type="spellStart"/>
      <w:r w:rsidR="002200FE" w:rsidRPr="002200FE">
        <w:rPr>
          <w:b/>
          <w:bCs/>
          <w:sz w:val="28"/>
          <w:szCs w:val="28"/>
        </w:rPr>
        <w:t>noteikumos</w:t>
      </w:r>
      <w:proofErr w:type="spellEnd"/>
      <w:r w:rsidR="002200FE" w:rsidRPr="002200FE">
        <w:rPr>
          <w:b/>
          <w:bCs/>
          <w:sz w:val="28"/>
          <w:szCs w:val="28"/>
        </w:rPr>
        <w:t xml:space="preserve"> Nr.694</w:t>
      </w:r>
      <w:r w:rsidR="002200FE">
        <w:rPr>
          <w:b/>
          <w:bCs/>
          <w:sz w:val="28"/>
          <w:szCs w:val="28"/>
        </w:rPr>
        <w:t xml:space="preserve"> </w:t>
      </w:r>
      <w:r w:rsidR="002200FE" w:rsidRPr="002200FE">
        <w:rPr>
          <w:b/>
          <w:bCs/>
          <w:sz w:val="28"/>
          <w:szCs w:val="28"/>
        </w:rPr>
        <w:t>„</w:t>
      </w:r>
      <w:proofErr w:type="spellStart"/>
      <w:r w:rsidR="002200FE" w:rsidRPr="002200FE">
        <w:rPr>
          <w:b/>
          <w:bCs/>
          <w:sz w:val="28"/>
          <w:szCs w:val="28"/>
        </w:rPr>
        <w:t>Noteikumi</w:t>
      </w:r>
      <w:proofErr w:type="spellEnd"/>
      <w:r w:rsidR="002200FE" w:rsidRPr="002200FE">
        <w:rPr>
          <w:b/>
          <w:bCs/>
          <w:sz w:val="28"/>
          <w:szCs w:val="28"/>
        </w:rPr>
        <w:t xml:space="preserve"> par </w:t>
      </w:r>
      <w:proofErr w:type="spellStart"/>
      <w:r w:rsidR="002200FE" w:rsidRPr="002200FE">
        <w:rPr>
          <w:b/>
          <w:bCs/>
          <w:sz w:val="28"/>
          <w:szCs w:val="28"/>
        </w:rPr>
        <w:t>darbības</w:t>
      </w:r>
      <w:proofErr w:type="spellEnd"/>
      <w:r w:rsidR="002200FE" w:rsidRPr="002200FE">
        <w:rPr>
          <w:b/>
          <w:bCs/>
          <w:sz w:val="28"/>
          <w:szCs w:val="28"/>
        </w:rPr>
        <w:t xml:space="preserve"> </w:t>
      </w:r>
      <w:proofErr w:type="spellStart"/>
      <w:r w:rsidR="002200FE" w:rsidRPr="002200FE">
        <w:rPr>
          <w:b/>
          <w:bCs/>
          <w:sz w:val="28"/>
          <w:szCs w:val="28"/>
        </w:rPr>
        <w:t>programmas</w:t>
      </w:r>
      <w:proofErr w:type="spellEnd"/>
      <w:r w:rsidR="002200FE" w:rsidRPr="002200FE">
        <w:rPr>
          <w:b/>
          <w:bCs/>
          <w:sz w:val="28"/>
          <w:szCs w:val="28"/>
        </w:rPr>
        <w:t xml:space="preserve"> „</w:t>
      </w:r>
      <w:proofErr w:type="spellStart"/>
      <w:r w:rsidR="002200FE" w:rsidRPr="002200FE">
        <w:rPr>
          <w:b/>
          <w:bCs/>
          <w:sz w:val="28"/>
          <w:szCs w:val="28"/>
        </w:rPr>
        <w:t>Cilvēkresursi</w:t>
      </w:r>
      <w:proofErr w:type="spellEnd"/>
      <w:r w:rsidR="002200FE" w:rsidRPr="002200FE">
        <w:rPr>
          <w:b/>
          <w:bCs/>
          <w:sz w:val="28"/>
          <w:szCs w:val="28"/>
        </w:rPr>
        <w:t xml:space="preserve"> un </w:t>
      </w:r>
      <w:proofErr w:type="spellStart"/>
      <w:r w:rsidR="002200FE" w:rsidRPr="002200FE">
        <w:rPr>
          <w:b/>
          <w:bCs/>
          <w:sz w:val="28"/>
          <w:szCs w:val="28"/>
        </w:rPr>
        <w:t>nodarbinātība</w:t>
      </w:r>
      <w:proofErr w:type="spellEnd"/>
      <w:r w:rsidR="002200FE" w:rsidRPr="002200FE">
        <w:rPr>
          <w:b/>
          <w:bCs/>
          <w:sz w:val="28"/>
          <w:szCs w:val="28"/>
        </w:rPr>
        <w:t xml:space="preserve">” </w:t>
      </w:r>
      <w:proofErr w:type="spellStart"/>
      <w:r w:rsidR="002200FE" w:rsidRPr="002200FE">
        <w:rPr>
          <w:b/>
          <w:bCs/>
          <w:sz w:val="28"/>
          <w:szCs w:val="28"/>
        </w:rPr>
        <w:t>papildinājuma</w:t>
      </w:r>
      <w:proofErr w:type="spellEnd"/>
      <w:r w:rsidR="002200FE" w:rsidRPr="002200FE">
        <w:rPr>
          <w:b/>
          <w:bCs/>
          <w:sz w:val="28"/>
          <w:szCs w:val="28"/>
        </w:rPr>
        <w:t xml:space="preserve"> 1.6.1.1.aktivitātes „</w:t>
      </w:r>
      <w:proofErr w:type="spellStart"/>
      <w:r w:rsidR="002200FE" w:rsidRPr="002200FE">
        <w:rPr>
          <w:b/>
          <w:bCs/>
          <w:sz w:val="28"/>
          <w:szCs w:val="28"/>
        </w:rPr>
        <w:t>Programmas</w:t>
      </w:r>
      <w:proofErr w:type="spellEnd"/>
      <w:r w:rsidR="002200FE" w:rsidRPr="002200FE">
        <w:rPr>
          <w:b/>
          <w:bCs/>
          <w:sz w:val="28"/>
          <w:szCs w:val="28"/>
        </w:rPr>
        <w:t xml:space="preserve"> </w:t>
      </w:r>
      <w:proofErr w:type="spellStart"/>
      <w:r w:rsidR="002200FE" w:rsidRPr="002200FE">
        <w:rPr>
          <w:b/>
          <w:bCs/>
          <w:sz w:val="28"/>
          <w:szCs w:val="28"/>
        </w:rPr>
        <w:t>vadības</w:t>
      </w:r>
      <w:proofErr w:type="spellEnd"/>
      <w:r w:rsidR="002200FE" w:rsidRPr="002200FE">
        <w:rPr>
          <w:b/>
          <w:bCs/>
          <w:sz w:val="28"/>
          <w:szCs w:val="28"/>
        </w:rPr>
        <w:t xml:space="preserve"> un </w:t>
      </w:r>
      <w:proofErr w:type="spellStart"/>
      <w:r w:rsidR="002200FE" w:rsidRPr="002200FE">
        <w:rPr>
          <w:b/>
          <w:bCs/>
          <w:sz w:val="28"/>
          <w:szCs w:val="28"/>
        </w:rPr>
        <w:t>atbalsta</w:t>
      </w:r>
      <w:proofErr w:type="spellEnd"/>
      <w:r w:rsidR="002200FE" w:rsidRPr="002200FE">
        <w:rPr>
          <w:b/>
          <w:bCs/>
          <w:sz w:val="28"/>
          <w:szCs w:val="28"/>
        </w:rPr>
        <w:t xml:space="preserve"> </w:t>
      </w:r>
      <w:proofErr w:type="spellStart"/>
      <w:r w:rsidR="002200FE" w:rsidRPr="002200FE">
        <w:rPr>
          <w:b/>
          <w:bCs/>
          <w:sz w:val="28"/>
          <w:szCs w:val="28"/>
        </w:rPr>
        <w:t>funkciju</w:t>
      </w:r>
      <w:proofErr w:type="spellEnd"/>
      <w:r w:rsidR="002200FE" w:rsidRPr="002200FE">
        <w:rPr>
          <w:b/>
          <w:bCs/>
          <w:sz w:val="28"/>
          <w:szCs w:val="28"/>
        </w:rPr>
        <w:t xml:space="preserve"> </w:t>
      </w:r>
      <w:proofErr w:type="spellStart"/>
      <w:r w:rsidR="002200FE" w:rsidRPr="002200FE">
        <w:rPr>
          <w:b/>
          <w:bCs/>
          <w:sz w:val="28"/>
          <w:szCs w:val="28"/>
        </w:rPr>
        <w:t>nodrošināšana</w:t>
      </w:r>
      <w:proofErr w:type="spellEnd"/>
      <w:r w:rsidR="002200FE" w:rsidRPr="002200FE">
        <w:rPr>
          <w:b/>
          <w:bCs/>
          <w:sz w:val="28"/>
          <w:szCs w:val="28"/>
        </w:rPr>
        <w:t xml:space="preserve">”, </w:t>
      </w:r>
      <w:proofErr w:type="spellStart"/>
      <w:r w:rsidR="002200FE" w:rsidRPr="002200FE">
        <w:rPr>
          <w:b/>
          <w:bCs/>
          <w:sz w:val="28"/>
          <w:szCs w:val="28"/>
        </w:rPr>
        <w:t>darbības</w:t>
      </w:r>
      <w:proofErr w:type="spellEnd"/>
      <w:r w:rsidR="002200FE" w:rsidRPr="002200FE">
        <w:rPr>
          <w:b/>
          <w:bCs/>
          <w:sz w:val="28"/>
          <w:szCs w:val="28"/>
        </w:rPr>
        <w:t xml:space="preserve"> </w:t>
      </w:r>
      <w:proofErr w:type="spellStart"/>
      <w:r w:rsidR="002200FE" w:rsidRPr="002200FE">
        <w:rPr>
          <w:b/>
          <w:bCs/>
          <w:sz w:val="28"/>
          <w:szCs w:val="28"/>
        </w:rPr>
        <w:t>programmas</w:t>
      </w:r>
      <w:proofErr w:type="spellEnd"/>
      <w:r w:rsidR="002200FE" w:rsidRPr="002200FE">
        <w:rPr>
          <w:b/>
          <w:bCs/>
          <w:sz w:val="28"/>
          <w:szCs w:val="28"/>
        </w:rPr>
        <w:t xml:space="preserve"> „</w:t>
      </w:r>
      <w:proofErr w:type="spellStart"/>
      <w:r w:rsidR="002200FE" w:rsidRPr="002200FE">
        <w:rPr>
          <w:b/>
          <w:bCs/>
          <w:sz w:val="28"/>
          <w:szCs w:val="28"/>
        </w:rPr>
        <w:t>Uzņēmējdarbība</w:t>
      </w:r>
      <w:proofErr w:type="spellEnd"/>
      <w:r w:rsidR="002200FE" w:rsidRPr="002200FE">
        <w:rPr>
          <w:b/>
          <w:bCs/>
          <w:sz w:val="28"/>
          <w:szCs w:val="28"/>
        </w:rPr>
        <w:t xml:space="preserve"> un </w:t>
      </w:r>
      <w:proofErr w:type="spellStart"/>
      <w:r w:rsidR="002200FE" w:rsidRPr="002200FE">
        <w:rPr>
          <w:b/>
          <w:bCs/>
          <w:sz w:val="28"/>
          <w:szCs w:val="28"/>
        </w:rPr>
        <w:t>inovācijas</w:t>
      </w:r>
      <w:proofErr w:type="spellEnd"/>
      <w:r w:rsidR="002200FE" w:rsidRPr="002200FE">
        <w:rPr>
          <w:b/>
          <w:bCs/>
          <w:sz w:val="28"/>
          <w:szCs w:val="28"/>
        </w:rPr>
        <w:t xml:space="preserve">” </w:t>
      </w:r>
      <w:proofErr w:type="spellStart"/>
      <w:r w:rsidR="002200FE" w:rsidRPr="002200FE">
        <w:rPr>
          <w:b/>
          <w:bCs/>
          <w:sz w:val="28"/>
          <w:szCs w:val="28"/>
        </w:rPr>
        <w:t>papildinājuma</w:t>
      </w:r>
      <w:proofErr w:type="spellEnd"/>
      <w:r w:rsidR="002200FE" w:rsidRPr="002200FE">
        <w:rPr>
          <w:b/>
          <w:bCs/>
          <w:sz w:val="28"/>
          <w:szCs w:val="28"/>
        </w:rPr>
        <w:t xml:space="preserve"> 2.4.1.1.aktivitātes „</w:t>
      </w:r>
      <w:proofErr w:type="spellStart"/>
      <w:r w:rsidR="002200FE" w:rsidRPr="002200FE">
        <w:rPr>
          <w:b/>
          <w:bCs/>
          <w:sz w:val="28"/>
          <w:szCs w:val="28"/>
        </w:rPr>
        <w:t>Programmas</w:t>
      </w:r>
      <w:proofErr w:type="spellEnd"/>
      <w:r w:rsidR="002200FE" w:rsidRPr="002200FE">
        <w:rPr>
          <w:b/>
          <w:bCs/>
          <w:sz w:val="28"/>
          <w:szCs w:val="28"/>
        </w:rPr>
        <w:t xml:space="preserve"> </w:t>
      </w:r>
      <w:proofErr w:type="spellStart"/>
      <w:r w:rsidR="002200FE" w:rsidRPr="002200FE">
        <w:rPr>
          <w:b/>
          <w:bCs/>
          <w:sz w:val="28"/>
          <w:szCs w:val="28"/>
        </w:rPr>
        <w:t>vadības</w:t>
      </w:r>
      <w:proofErr w:type="spellEnd"/>
      <w:r w:rsidR="002200FE" w:rsidRPr="002200FE">
        <w:rPr>
          <w:b/>
          <w:bCs/>
          <w:sz w:val="28"/>
          <w:szCs w:val="28"/>
        </w:rPr>
        <w:t xml:space="preserve"> un </w:t>
      </w:r>
      <w:proofErr w:type="spellStart"/>
      <w:r w:rsidR="002200FE" w:rsidRPr="002200FE">
        <w:rPr>
          <w:b/>
          <w:bCs/>
          <w:sz w:val="28"/>
          <w:szCs w:val="28"/>
        </w:rPr>
        <w:t>atbalsta</w:t>
      </w:r>
      <w:proofErr w:type="spellEnd"/>
      <w:r w:rsidR="002200FE" w:rsidRPr="002200FE">
        <w:rPr>
          <w:b/>
          <w:bCs/>
          <w:sz w:val="28"/>
          <w:szCs w:val="28"/>
        </w:rPr>
        <w:t xml:space="preserve"> </w:t>
      </w:r>
      <w:proofErr w:type="spellStart"/>
      <w:r w:rsidR="002200FE" w:rsidRPr="002200FE">
        <w:rPr>
          <w:b/>
          <w:bCs/>
          <w:sz w:val="28"/>
          <w:szCs w:val="28"/>
        </w:rPr>
        <w:t>funkciju</w:t>
      </w:r>
      <w:proofErr w:type="spellEnd"/>
      <w:r w:rsidR="002200FE" w:rsidRPr="002200FE">
        <w:rPr>
          <w:b/>
          <w:bCs/>
          <w:sz w:val="28"/>
          <w:szCs w:val="28"/>
        </w:rPr>
        <w:t xml:space="preserve"> </w:t>
      </w:r>
      <w:proofErr w:type="spellStart"/>
      <w:r w:rsidR="002200FE" w:rsidRPr="002200FE">
        <w:rPr>
          <w:b/>
          <w:bCs/>
          <w:sz w:val="28"/>
          <w:szCs w:val="28"/>
        </w:rPr>
        <w:t>nodrošināšana</w:t>
      </w:r>
      <w:proofErr w:type="spellEnd"/>
      <w:r w:rsidR="002200FE" w:rsidRPr="002200FE">
        <w:rPr>
          <w:b/>
          <w:bCs/>
          <w:sz w:val="28"/>
          <w:szCs w:val="28"/>
        </w:rPr>
        <w:t xml:space="preserve">”, </w:t>
      </w:r>
      <w:proofErr w:type="spellStart"/>
      <w:r w:rsidR="002200FE" w:rsidRPr="002200FE">
        <w:rPr>
          <w:b/>
          <w:bCs/>
          <w:sz w:val="28"/>
          <w:szCs w:val="28"/>
        </w:rPr>
        <w:t>darbības</w:t>
      </w:r>
      <w:proofErr w:type="spellEnd"/>
      <w:r w:rsidR="002200FE" w:rsidRPr="002200FE">
        <w:rPr>
          <w:b/>
          <w:bCs/>
          <w:sz w:val="28"/>
          <w:szCs w:val="28"/>
        </w:rPr>
        <w:t xml:space="preserve"> </w:t>
      </w:r>
      <w:proofErr w:type="spellStart"/>
      <w:r w:rsidR="002200FE" w:rsidRPr="002200FE">
        <w:rPr>
          <w:b/>
          <w:bCs/>
          <w:sz w:val="28"/>
          <w:szCs w:val="28"/>
        </w:rPr>
        <w:t>programmas</w:t>
      </w:r>
      <w:proofErr w:type="spellEnd"/>
      <w:r w:rsidR="002200FE" w:rsidRPr="002200FE">
        <w:rPr>
          <w:b/>
          <w:bCs/>
          <w:sz w:val="28"/>
          <w:szCs w:val="28"/>
        </w:rPr>
        <w:t xml:space="preserve"> „</w:t>
      </w:r>
      <w:proofErr w:type="spellStart"/>
      <w:r w:rsidR="002200FE" w:rsidRPr="002200FE">
        <w:rPr>
          <w:b/>
          <w:bCs/>
          <w:sz w:val="28"/>
          <w:szCs w:val="28"/>
        </w:rPr>
        <w:t>Infrastruktūra</w:t>
      </w:r>
      <w:proofErr w:type="spellEnd"/>
      <w:r w:rsidR="002200FE" w:rsidRPr="002200FE">
        <w:rPr>
          <w:b/>
          <w:bCs/>
          <w:sz w:val="28"/>
          <w:szCs w:val="28"/>
        </w:rPr>
        <w:t xml:space="preserve"> un </w:t>
      </w:r>
      <w:proofErr w:type="spellStart"/>
      <w:r w:rsidR="002200FE" w:rsidRPr="002200FE">
        <w:rPr>
          <w:b/>
          <w:bCs/>
          <w:sz w:val="28"/>
          <w:szCs w:val="28"/>
        </w:rPr>
        <w:t>pakalpojumi</w:t>
      </w:r>
      <w:proofErr w:type="spellEnd"/>
      <w:r w:rsidR="002200FE" w:rsidRPr="002200FE">
        <w:rPr>
          <w:b/>
          <w:bCs/>
          <w:sz w:val="28"/>
          <w:szCs w:val="28"/>
        </w:rPr>
        <w:t xml:space="preserve">” </w:t>
      </w:r>
      <w:proofErr w:type="spellStart"/>
      <w:r w:rsidR="002200FE" w:rsidRPr="002200FE">
        <w:rPr>
          <w:b/>
          <w:bCs/>
          <w:sz w:val="28"/>
          <w:szCs w:val="28"/>
        </w:rPr>
        <w:t>papildinājuma</w:t>
      </w:r>
      <w:proofErr w:type="spellEnd"/>
      <w:r w:rsidR="002200FE" w:rsidRPr="002200FE">
        <w:rPr>
          <w:b/>
          <w:bCs/>
          <w:sz w:val="28"/>
          <w:szCs w:val="28"/>
        </w:rPr>
        <w:t xml:space="preserve"> 3.7.1.1.aktivitātes „</w:t>
      </w:r>
      <w:proofErr w:type="spellStart"/>
      <w:r w:rsidR="002200FE" w:rsidRPr="002200FE">
        <w:rPr>
          <w:b/>
          <w:bCs/>
          <w:sz w:val="28"/>
          <w:szCs w:val="28"/>
        </w:rPr>
        <w:t>Programmas</w:t>
      </w:r>
      <w:proofErr w:type="spellEnd"/>
      <w:r w:rsidR="002200FE" w:rsidRPr="002200FE">
        <w:rPr>
          <w:b/>
          <w:bCs/>
          <w:sz w:val="28"/>
          <w:szCs w:val="28"/>
        </w:rPr>
        <w:t xml:space="preserve"> </w:t>
      </w:r>
      <w:proofErr w:type="spellStart"/>
      <w:r w:rsidR="002200FE" w:rsidRPr="002200FE">
        <w:rPr>
          <w:b/>
          <w:bCs/>
          <w:sz w:val="28"/>
          <w:szCs w:val="28"/>
        </w:rPr>
        <w:t>vadības</w:t>
      </w:r>
      <w:proofErr w:type="spellEnd"/>
      <w:r w:rsidR="002200FE" w:rsidRPr="002200FE">
        <w:rPr>
          <w:b/>
          <w:bCs/>
          <w:sz w:val="28"/>
          <w:szCs w:val="28"/>
        </w:rPr>
        <w:t xml:space="preserve"> un </w:t>
      </w:r>
      <w:proofErr w:type="spellStart"/>
      <w:r w:rsidR="002200FE" w:rsidRPr="002200FE">
        <w:rPr>
          <w:b/>
          <w:bCs/>
          <w:sz w:val="28"/>
          <w:szCs w:val="28"/>
        </w:rPr>
        <w:t>atbalsta</w:t>
      </w:r>
      <w:proofErr w:type="spellEnd"/>
      <w:r w:rsidR="002200FE" w:rsidRPr="002200FE">
        <w:rPr>
          <w:b/>
          <w:bCs/>
          <w:sz w:val="28"/>
          <w:szCs w:val="28"/>
        </w:rPr>
        <w:t xml:space="preserve"> </w:t>
      </w:r>
      <w:proofErr w:type="spellStart"/>
      <w:r w:rsidR="002200FE" w:rsidRPr="002200FE">
        <w:rPr>
          <w:b/>
          <w:bCs/>
          <w:sz w:val="28"/>
          <w:szCs w:val="28"/>
        </w:rPr>
        <w:t>funkciju</w:t>
      </w:r>
      <w:proofErr w:type="spellEnd"/>
      <w:r w:rsidR="002200FE" w:rsidRPr="002200FE">
        <w:rPr>
          <w:b/>
          <w:bCs/>
          <w:sz w:val="28"/>
          <w:szCs w:val="28"/>
        </w:rPr>
        <w:t xml:space="preserve"> </w:t>
      </w:r>
      <w:proofErr w:type="spellStart"/>
      <w:r w:rsidR="002200FE" w:rsidRPr="002200FE">
        <w:rPr>
          <w:b/>
          <w:bCs/>
          <w:sz w:val="28"/>
          <w:szCs w:val="28"/>
        </w:rPr>
        <w:t>nodrošināšana</w:t>
      </w:r>
      <w:proofErr w:type="spellEnd"/>
      <w:r w:rsidR="002200FE" w:rsidRPr="002200FE">
        <w:rPr>
          <w:b/>
          <w:bCs/>
          <w:sz w:val="28"/>
          <w:szCs w:val="28"/>
        </w:rPr>
        <w:t>” un 3.8.1.1.aktivitātes „</w:t>
      </w:r>
      <w:proofErr w:type="spellStart"/>
      <w:r w:rsidR="002200FE" w:rsidRPr="002200FE">
        <w:rPr>
          <w:b/>
          <w:bCs/>
          <w:sz w:val="28"/>
          <w:szCs w:val="28"/>
        </w:rPr>
        <w:t>Programmas</w:t>
      </w:r>
      <w:proofErr w:type="spellEnd"/>
      <w:r w:rsidR="002200FE" w:rsidRPr="002200FE">
        <w:rPr>
          <w:b/>
          <w:bCs/>
          <w:sz w:val="28"/>
          <w:szCs w:val="28"/>
        </w:rPr>
        <w:t xml:space="preserve"> </w:t>
      </w:r>
      <w:proofErr w:type="spellStart"/>
      <w:r w:rsidR="002200FE" w:rsidRPr="002200FE">
        <w:rPr>
          <w:b/>
          <w:bCs/>
          <w:sz w:val="28"/>
          <w:szCs w:val="28"/>
        </w:rPr>
        <w:t>vadības</w:t>
      </w:r>
      <w:proofErr w:type="spellEnd"/>
      <w:r w:rsidR="002200FE" w:rsidRPr="002200FE">
        <w:rPr>
          <w:b/>
          <w:bCs/>
          <w:sz w:val="28"/>
          <w:szCs w:val="28"/>
        </w:rPr>
        <w:t xml:space="preserve"> un </w:t>
      </w:r>
      <w:proofErr w:type="spellStart"/>
      <w:r w:rsidR="002200FE" w:rsidRPr="002200FE">
        <w:rPr>
          <w:b/>
          <w:bCs/>
          <w:sz w:val="28"/>
          <w:szCs w:val="28"/>
        </w:rPr>
        <w:t>atbalsta</w:t>
      </w:r>
      <w:proofErr w:type="spellEnd"/>
      <w:r w:rsidR="002200FE" w:rsidRPr="002200FE">
        <w:rPr>
          <w:b/>
          <w:bCs/>
          <w:sz w:val="28"/>
          <w:szCs w:val="28"/>
        </w:rPr>
        <w:t xml:space="preserve"> </w:t>
      </w:r>
      <w:proofErr w:type="spellStart"/>
      <w:r w:rsidR="002200FE" w:rsidRPr="00997844">
        <w:rPr>
          <w:b/>
          <w:bCs/>
          <w:sz w:val="28"/>
          <w:szCs w:val="28"/>
        </w:rPr>
        <w:t>funkciju</w:t>
      </w:r>
      <w:proofErr w:type="spellEnd"/>
      <w:r w:rsidR="002200FE" w:rsidRPr="00997844">
        <w:rPr>
          <w:b/>
          <w:bCs/>
          <w:sz w:val="28"/>
          <w:szCs w:val="28"/>
        </w:rPr>
        <w:t xml:space="preserve"> </w:t>
      </w:r>
      <w:proofErr w:type="spellStart"/>
      <w:r w:rsidR="002200FE" w:rsidRPr="00997844">
        <w:rPr>
          <w:b/>
          <w:bCs/>
          <w:sz w:val="28"/>
          <w:szCs w:val="28"/>
        </w:rPr>
        <w:t>nodrošināšana</w:t>
      </w:r>
      <w:proofErr w:type="spellEnd"/>
      <w:r w:rsidR="002200FE" w:rsidRPr="00997844">
        <w:rPr>
          <w:b/>
          <w:bCs/>
          <w:sz w:val="28"/>
          <w:szCs w:val="28"/>
        </w:rPr>
        <w:t xml:space="preserve">” </w:t>
      </w:r>
      <w:proofErr w:type="spellStart"/>
      <w:r w:rsidR="002200FE" w:rsidRPr="00997844">
        <w:rPr>
          <w:b/>
          <w:bCs/>
          <w:sz w:val="28"/>
          <w:szCs w:val="28"/>
        </w:rPr>
        <w:t>projektu</w:t>
      </w:r>
      <w:proofErr w:type="spellEnd"/>
      <w:r w:rsidR="002200FE" w:rsidRPr="00997844">
        <w:rPr>
          <w:b/>
          <w:bCs/>
          <w:sz w:val="28"/>
          <w:szCs w:val="28"/>
        </w:rPr>
        <w:t xml:space="preserve"> </w:t>
      </w:r>
      <w:proofErr w:type="spellStart"/>
      <w:r w:rsidR="002200FE" w:rsidRPr="00997844">
        <w:rPr>
          <w:b/>
          <w:bCs/>
          <w:sz w:val="28"/>
          <w:szCs w:val="28"/>
        </w:rPr>
        <w:t>iesniegumu</w:t>
      </w:r>
      <w:proofErr w:type="spellEnd"/>
      <w:r w:rsidR="002200FE" w:rsidRPr="00997844">
        <w:rPr>
          <w:b/>
          <w:bCs/>
          <w:sz w:val="28"/>
          <w:szCs w:val="28"/>
        </w:rPr>
        <w:t xml:space="preserve"> atlases </w:t>
      </w:r>
      <w:proofErr w:type="spellStart"/>
      <w:r w:rsidR="002200FE" w:rsidRPr="00997844">
        <w:rPr>
          <w:b/>
          <w:bCs/>
          <w:sz w:val="28"/>
          <w:szCs w:val="28"/>
        </w:rPr>
        <w:t>otro</w:t>
      </w:r>
      <w:proofErr w:type="spellEnd"/>
      <w:r w:rsidR="002200FE" w:rsidRPr="00997844">
        <w:rPr>
          <w:b/>
          <w:bCs/>
          <w:sz w:val="28"/>
          <w:szCs w:val="28"/>
        </w:rPr>
        <w:t xml:space="preserve"> </w:t>
      </w:r>
      <w:proofErr w:type="spellStart"/>
      <w:r w:rsidR="002200FE" w:rsidRPr="00997844">
        <w:rPr>
          <w:b/>
          <w:bCs/>
          <w:sz w:val="28"/>
          <w:szCs w:val="28"/>
        </w:rPr>
        <w:t>kārtu</w:t>
      </w:r>
      <w:proofErr w:type="spellEnd"/>
      <w:r w:rsidR="002200FE" w:rsidRPr="00997844">
        <w:rPr>
          <w:b/>
          <w:bCs/>
          <w:sz w:val="28"/>
          <w:szCs w:val="28"/>
        </w:rPr>
        <w:t>””</w:t>
      </w:r>
      <w:proofErr w:type="spellStart"/>
      <w:r w:rsidR="00795A11" w:rsidRPr="00997844">
        <w:rPr>
          <w:b/>
          <w:bCs/>
          <w:sz w:val="28"/>
          <w:szCs w:val="28"/>
        </w:rPr>
        <w:t>sākotnējās</w:t>
      </w:r>
      <w:proofErr w:type="spellEnd"/>
      <w:r w:rsidR="00795A11" w:rsidRPr="00997844">
        <w:rPr>
          <w:b/>
          <w:bCs/>
          <w:sz w:val="28"/>
          <w:szCs w:val="28"/>
        </w:rPr>
        <w:t xml:space="preserve"> </w:t>
      </w:r>
      <w:proofErr w:type="spellStart"/>
      <w:r w:rsidR="00795A11" w:rsidRPr="00997844">
        <w:rPr>
          <w:b/>
          <w:bCs/>
          <w:sz w:val="28"/>
          <w:szCs w:val="28"/>
        </w:rPr>
        <w:t>ietekmes</w:t>
      </w:r>
      <w:proofErr w:type="spellEnd"/>
      <w:r w:rsidR="00795A11" w:rsidRPr="00997844">
        <w:rPr>
          <w:b/>
          <w:bCs/>
          <w:sz w:val="28"/>
          <w:szCs w:val="28"/>
        </w:rPr>
        <w:t xml:space="preserve"> </w:t>
      </w:r>
      <w:proofErr w:type="spellStart"/>
      <w:r w:rsidR="00795A11" w:rsidRPr="00997844">
        <w:rPr>
          <w:b/>
          <w:bCs/>
          <w:sz w:val="28"/>
          <w:szCs w:val="28"/>
        </w:rPr>
        <w:t>novērtējuma</w:t>
      </w:r>
      <w:proofErr w:type="spellEnd"/>
      <w:r w:rsidR="00795A11" w:rsidRPr="00997844">
        <w:rPr>
          <w:b/>
          <w:bCs/>
          <w:sz w:val="28"/>
          <w:szCs w:val="28"/>
        </w:rPr>
        <w:t xml:space="preserve"> </w:t>
      </w:r>
      <w:proofErr w:type="spellStart"/>
      <w:r w:rsidR="00795A11" w:rsidRPr="00997844">
        <w:rPr>
          <w:b/>
          <w:bCs/>
          <w:sz w:val="28"/>
          <w:szCs w:val="28"/>
        </w:rPr>
        <w:t>ziņojums</w:t>
      </w:r>
      <w:proofErr w:type="spellEnd"/>
      <w:r w:rsidR="00795A11">
        <w:rPr>
          <w:b/>
          <w:bCs/>
          <w:sz w:val="28"/>
          <w:szCs w:val="28"/>
        </w:rPr>
        <w:t xml:space="preserve"> </w:t>
      </w:r>
      <w:r w:rsidR="00582D68" w:rsidRPr="00163804">
        <w:rPr>
          <w:b/>
          <w:sz w:val="28"/>
          <w:szCs w:val="28"/>
        </w:rPr>
        <w:t>(</w:t>
      </w:r>
      <w:proofErr w:type="spellStart"/>
      <w:r w:rsidR="00582D68" w:rsidRPr="00163804">
        <w:rPr>
          <w:b/>
          <w:sz w:val="28"/>
          <w:szCs w:val="28"/>
        </w:rPr>
        <w:t>anotācija</w:t>
      </w:r>
      <w:proofErr w:type="spellEnd"/>
      <w:r w:rsidR="00582D68" w:rsidRPr="00163804">
        <w:rPr>
          <w:b/>
          <w:sz w:val="28"/>
          <w:szCs w:val="28"/>
        </w:rPr>
        <w:t>)</w:t>
      </w:r>
    </w:p>
    <w:tbl>
      <w:tblPr>
        <w:tblpPr w:leftFromText="180" w:rightFromText="180" w:vertAnchor="text" w:horzAnchor="margin" w:tblpXSpec="center" w:tblpY="149"/>
        <w:tblW w:w="938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
        <w:gridCol w:w="2530"/>
        <w:gridCol w:w="2271"/>
        <w:gridCol w:w="4114"/>
      </w:tblGrid>
      <w:tr w:rsidR="00582D68" w:rsidTr="00333C34">
        <w:trPr>
          <w:tblCellSpacing w:w="0" w:type="dxa"/>
        </w:trPr>
        <w:tc>
          <w:tcPr>
            <w:tcW w:w="9386" w:type="dxa"/>
            <w:gridSpan w:val="4"/>
            <w:vAlign w:val="center"/>
          </w:tcPr>
          <w:p w:rsidR="00582D68" w:rsidRPr="000C2F3B" w:rsidRDefault="00582D68" w:rsidP="00AA75EA">
            <w:pPr>
              <w:pStyle w:val="naisnod"/>
              <w:ind w:left="360"/>
            </w:pPr>
            <w:r w:rsidRPr="000C2F3B">
              <w:t> I Tiesību akta projekta izstrādes nepieciešamība</w:t>
            </w:r>
          </w:p>
        </w:tc>
      </w:tr>
      <w:tr w:rsidR="00582D68" w:rsidRPr="00150AB6" w:rsidTr="00333C34">
        <w:trPr>
          <w:trHeight w:val="630"/>
          <w:tblCellSpacing w:w="0" w:type="dxa"/>
        </w:trPr>
        <w:tc>
          <w:tcPr>
            <w:tcW w:w="471" w:type="dxa"/>
            <w:vAlign w:val="center"/>
          </w:tcPr>
          <w:p w:rsidR="00582D68" w:rsidRPr="000C2F3B" w:rsidRDefault="00582D68" w:rsidP="00AA75EA">
            <w:pPr>
              <w:pStyle w:val="naiskr"/>
              <w:ind w:left="180" w:hanging="180"/>
              <w:jc w:val="center"/>
            </w:pPr>
            <w:r w:rsidRPr="000C2F3B">
              <w:t>1.</w:t>
            </w:r>
          </w:p>
        </w:tc>
        <w:tc>
          <w:tcPr>
            <w:tcW w:w="2530" w:type="dxa"/>
            <w:vAlign w:val="center"/>
          </w:tcPr>
          <w:p w:rsidR="00582D68" w:rsidRPr="000C2F3B" w:rsidRDefault="00582D68" w:rsidP="00AA75EA">
            <w:pPr>
              <w:pStyle w:val="naiskr"/>
              <w:ind w:left="180" w:hanging="10"/>
            </w:pPr>
            <w:r w:rsidRPr="000C2F3B">
              <w:t>Pamatojums</w:t>
            </w:r>
          </w:p>
        </w:tc>
        <w:tc>
          <w:tcPr>
            <w:tcW w:w="6385" w:type="dxa"/>
            <w:gridSpan w:val="2"/>
            <w:vAlign w:val="center"/>
          </w:tcPr>
          <w:p w:rsidR="00872243" w:rsidRPr="00872243" w:rsidRDefault="00541739" w:rsidP="00785717">
            <w:pPr>
              <w:jc w:val="both"/>
            </w:pPr>
            <w:r>
              <w:t>Eiropas Savienības struktūrfondu un Kohēzijas fonda vadības likuma 18.panta 10.punkts.</w:t>
            </w:r>
          </w:p>
        </w:tc>
      </w:tr>
      <w:tr w:rsidR="00582D68" w:rsidRPr="00150AB6" w:rsidTr="00333C34">
        <w:trPr>
          <w:trHeight w:val="706"/>
          <w:tblCellSpacing w:w="0" w:type="dxa"/>
        </w:trPr>
        <w:tc>
          <w:tcPr>
            <w:tcW w:w="471" w:type="dxa"/>
            <w:vAlign w:val="center"/>
          </w:tcPr>
          <w:p w:rsidR="00582D68" w:rsidRPr="00C40595" w:rsidRDefault="00582D68" w:rsidP="00AA75EA">
            <w:pPr>
              <w:pStyle w:val="naiskr"/>
              <w:jc w:val="center"/>
              <w:rPr>
                <w:sz w:val="22"/>
                <w:szCs w:val="22"/>
              </w:rPr>
            </w:pPr>
            <w:r w:rsidRPr="00C40595">
              <w:rPr>
                <w:sz w:val="22"/>
                <w:szCs w:val="22"/>
              </w:rPr>
              <w:t>2.</w:t>
            </w:r>
          </w:p>
        </w:tc>
        <w:tc>
          <w:tcPr>
            <w:tcW w:w="2530" w:type="dxa"/>
            <w:vAlign w:val="center"/>
          </w:tcPr>
          <w:p w:rsidR="00582D68" w:rsidRPr="00E341C3" w:rsidRDefault="00582D68" w:rsidP="00AA75EA">
            <w:pPr>
              <w:pStyle w:val="naiskr"/>
              <w:tabs>
                <w:tab w:val="left" w:pos="170"/>
              </w:tabs>
              <w:ind w:left="170"/>
            </w:pPr>
            <w:r w:rsidRPr="00E341C3">
              <w:t>Pašreizējā situācija un problēmas</w:t>
            </w:r>
          </w:p>
        </w:tc>
        <w:tc>
          <w:tcPr>
            <w:tcW w:w="6385" w:type="dxa"/>
            <w:gridSpan w:val="2"/>
            <w:vAlign w:val="center"/>
          </w:tcPr>
          <w:p w:rsidR="007C4634" w:rsidRDefault="007C4634" w:rsidP="007C4634">
            <w:pPr>
              <w:jc w:val="both"/>
              <w:rPr>
                <w:rStyle w:val="Emphasis"/>
                <w:i w:val="0"/>
              </w:rPr>
            </w:pPr>
            <w:r>
              <w:t>1</w:t>
            </w:r>
            <w:r w:rsidRPr="00273BF9">
              <w:t xml:space="preserve">.Eiropas Savienības (ES) fondu tehniskās palīdzības 1.kārtas ieviešanai noslēdzoties </w:t>
            </w:r>
            <w:r w:rsidRPr="00273BF9">
              <w:rPr>
                <w:rStyle w:val="Emphasis"/>
                <w:i w:val="0"/>
              </w:rPr>
              <w:t>2011. gada 31. decembrī, pamatojoties uz aktualizētu informāciju par 1. kārtā neizmantoto tehniskās palīdzības finansējumu (atlikumu), nepieciešams precizēt</w:t>
            </w:r>
            <w:r w:rsidRPr="00273BF9">
              <w:rPr>
                <w:rStyle w:val="Emphasis"/>
              </w:rPr>
              <w:t xml:space="preserve">  </w:t>
            </w:r>
            <w:r w:rsidRPr="00273BF9">
              <w:t>tehniskās palīdzības 2.kārtai pieejamo finansējuma kopējo apjomu, proti</w:t>
            </w:r>
            <w:r w:rsidR="001940F9">
              <w:t>,</w:t>
            </w:r>
            <w:r w:rsidRPr="00273BF9">
              <w:t xml:space="preserve">  </w:t>
            </w:r>
            <w:r w:rsidRPr="00273BF9">
              <w:rPr>
                <w:rStyle w:val="Emphasis"/>
                <w:i w:val="0"/>
              </w:rPr>
              <w:t xml:space="preserve">Ministra kabineta 6.09.2011. noteikumu  </w:t>
            </w:r>
            <w:proofErr w:type="spellStart"/>
            <w:r w:rsidRPr="00273BF9">
              <w:rPr>
                <w:rStyle w:val="Emphasis"/>
                <w:i w:val="0"/>
              </w:rPr>
              <w:t>Nr</w:t>
            </w:r>
            <w:proofErr w:type="spellEnd"/>
            <w:r w:rsidRPr="00273BF9">
              <w:rPr>
                <w:rStyle w:val="Emphasis"/>
                <w:i w:val="0"/>
              </w:rPr>
              <w:t xml:space="preserve">. 694 </w:t>
            </w:r>
            <w:r w:rsidR="0000660C" w:rsidRPr="0000660C">
              <w:rPr>
                <w:rStyle w:val="Emphasis"/>
                <w:i w:val="0"/>
              </w:rPr>
              <w:t xml:space="preserve">„Noteikumi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 </w:t>
            </w:r>
            <w:r w:rsidRPr="00273BF9">
              <w:rPr>
                <w:rStyle w:val="Emphasis"/>
                <w:i w:val="0"/>
              </w:rPr>
              <w:t xml:space="preserve">(turpmāk – MK noteikumi </w:t>
            </w:r>
            <w:proofErr w:type="spellStart"/>
            <w:r w:rsidRPr="00273BF9">
              <w:rPr>
                <w:rStyle w:val="Emphasis"/>
                <w:i w:val="0"/>
              </w:rPr>
              <w:t>Nr</w:t>
            </w:r>
            <w:proofErr w:type="spellEnd"/>
            <w:r w:rsidRPr="00273BF9">
              <w:rPr>
                <w:rStyle w:val="Emphasis"/>
                <w:i w:val="0"/>
              </w:rPr>
              <w:t xml:space="preserve">. 694) noteikto pieejamo ES fondu tehniskās palīdzības finansējuma rezervi laika posmam no 2012. gada 1. janvāra līdz 2015. gada 31. decembrim. </w:t>
            </w:r>
          </w:p>
          <w:p w:rsidR="00D3756A" w:rsidRDefault="00D3756A" w:rsidP="007C4634">
            <w:pPr>
              <w:jc w:val="both"/>
              <w:rPr>
                <w:rStyle w:val="Emphasis"/>
                <w:i w:val="0"/>
              </w:rPr>
            </w:pPr>
          </w:p>
          <w:p w:rsidR="00D53D72" w:rsidRDefault="007C4634" w:rsidP="00E21D35">
            <w:pPr>
              <w:jc w:val="both"/>
            </w:pPr>
            <w:r w:rsidRPr="00931DE3">
              <w:rPr>
                <w:rStyle w:val="Emphasis"/>
                <w:i w:val="0"/>
              </w:rPr>
              <w:t xml:space="preserve">2. Lai novērstu izdevumu </w:t>
            </w:r>
            <w:proofErr w:type="spellStart"/>
            <w:r w:rsidRPr="00931DE3">
              <w:rPr>
                <w:rStyle w:val="Emphasis"/>
                <w:i w:val="0"/>
              </w:rPr>
              <w:t>neattiecināmības</w:t>
            </w:r>
            <w:proofErr w:type="spellEnd"/>
            <w:r w:rsidRPr="00931DE3">
              <w:rPr>
                <w:rStyle w:val="Emphasis"/>
                <w:i w:val="0"/>
              </w:rPr>
              <w:t xml:space="preserve"> riskus attiecībā uz </w:t>
            </w:r>
            <w:r w:rsidR="009078D0">
              <w:rPr>
                <w:rStyle w:val="Emphasis"/>
                <w:i w:val="0"/>
              </w:rPr>
              <w:t>informatīvo</w:t>
            </w:r>
            <w:r w:rsidR="002760A5">
              <w:rPr>
                <w:rStyle w:val="Emphasis"/>
                <w:i w:val="0"/>
              </w:rPr>
              <w:t xml:space="preserve">, </w:t>
            </w:r>
            <w:r w:rsidRPr="00931DE3">
              <w:rPr>
                <w:rStyle w:val="Emphasis"/>
                <w:i w:val="0"/>
              </w:rPr>
              <w:t xml:space="preserve">publicitātes un komunikācijas </w:t>
            </w:r>
            <w:r w:rsidR="009078D0">
              <w:rPr>
                <w:rStyle w:val="Emphasis"/>
                <w:i w:val="0"/>
              </w:rPr>
              <w:t>pasākumu</w:t>
            </w:r>
            <w:r w:rsidRPr="00931DE3">
              <w:rPr>
                <w:rStyle w:val="Emphasis"/>
                <w:i w:val="0"/>
              </w:rPr>
              <w:t xml:space="preserve"> īstenošanu tehniskās palīdzības projektos, MK noteikumos </w:t>
            </w:r>
            <w:proofErr w:type="spellStart"/>
            <w:r w:rsidR="001940F9">
              <w:rPr>
                <w:rStyle w:val="Emphasis"/>
                <w:i w:val="0"/>
              </w:rPr>
              <w:t>Nr</w:t>
            </w:r>
            <w:proofErr w:type="spellEnd"/>
            <w:r w:rsidR="001940F9">
              <w:rPr>
                <w:rStyle w:val="Emphasis"/>
                <w:i w:val="0"/>
              </w:rPr>
              <w:t xml:space="preserve">. 694 </w:t>
            </w:r>
            <w:r w:rsidRPr="008C6AB2">
              <w:rPr>
                <w:rStyle w:val="Emphasis"/>
                <w:i w:val="0"/>
              </w:rPr>
              <w:t>nepieciešams</w:t>
            </w:r>
            <w:r w:rsidRPr="008C6AB2">
              <w:rPr>
                <w:rStyle w:val="Emphasis"/>
              </w:rPr>
              <w:t xml:space="preserve"> </w:t>
            </w:r>
            <w:r w:rsidRPr="008C6AB2">
              <w:t>nosacījums</w:t>
            </w:r>
            <w:r w:rsidRPr="00496F7F">
              <w:t xml:space="preserve">, ka </w:t>
            </w:r>
            <w:r w:rsidR="009078D0">
              <w:t xml:space="preserve">minēto </w:t>
            </w:r>
            <w:r w:rsidRPr="00496F7F">
              <w:t>pasākumu izmaksas ES fondu tehniskās palīdzības projektā ir attiecināmas</w:t>
            </w:r>
            <w:r>
              <w:t xml:space="preserve"> </w:t>
            </w:r>
            <w:r w:rsidRPr="00496F7F">
              <w:t>izmaksas tikai tad, ja šie pasākumi ir iekļauti</w:t>
            </w:r>
            <w:r w:rsidR="002760A5">
              <w:t xml:space="preserve"> </w:t>
            </w:r>
            <w:r w:rsidR="002760A5" w:rsidRPr="002549DF">
              <w:t xml:space="preserve">vadošās iestādes apstiprinātajā </w:t>
            </w:r>
            <w:r w:rsidRPr="002549DF">
              <w:t>ES fondu darbības programmu</w:t>
            </w:r>
            <w:r w:rsidR="002760A5" w:rsidRPr="002549DF">
              <w:t xml:space="preserve"> ikgadējā</w:t>
            </w:r>
            <w:r w:rsidR="002760A5">
              <w:t xml:space="preserve"> </w:t>
            </w:r>
            <w:r w:rsidRPr="00496F7F">
              <w:t>komunikācijas plānā</w:t>
            </w:r>
            <w:r w:rsidRPr="00496F7F">
              <w:rPr>
                <w:rStyle w:val="Emphasis"/>
              </w:rPr>
              <w:t xml:space="preserve">  </w:t>
            </w:r>
            <w:r w:rsidRPr="00931DE3">
              <w:rPr>
                <w:rStyle w:val="Emphasis"/>
                <w:i w:val="0"/>
              </w:rPr>
              <w:t>(šādam</w:t>
            </w:r>
            <w:r w:rsidRPr="00496F7F">
              <w:t xml:space="preserve"> </w:t>
            </w:r>
            <w:r w:rsidRPr="00496F7F">
              <w:lastRenderedPageBreak/>
              <w:t>ES fondu iestāžu plānoto komunikācijas pasākumu plānam 2012.gadā</w:t>
            </w:r>
            <w:r>
              <w:t xml:space="preserve"> un turpmāk</w:t>
            </w:r>
            <w:r w:rsidRPr="00496F7F">
              <w:t xml:space="preserve"> nebūs vairs tikai informatīvs raksturs, bet tas būs priekšnoteikums, lai plānoto komunikācijas pasākumu</w:t>
            </w:r>
            <w:r>
              <w:t>/ aktivitāti</w:t>
            </w:r>
            <w:r w:rsidRPr="00496F7F">
              <w:t xml:space="preserve"> varētu finansēt no tehni</w:t>
            </w:r>
            <w:r>
              <w:t>s</w:t>
            </w:r>
            <w:r w:rsidRPr="00496F7F">
              <w:t xml:space="preserve">kās </w:t>
            </w:r>
            <w:r>
              <w:t>pa</w:t>
            </w:r>
            <w:r w:rsidRPr="00496F7F">
              <w:t>līdzības  projekta</w:t>
            </w:r>
            <w:r>
              <w:t>)</w:t>
            </w:r>
            <w:r>
              <w:rPr>
                <w:rStyle w:val="Emphasis"/>
              </w:rPr>
              <w:t>.</w:t>
            </w:r>
            <w:r w:rsidR="002760A5">
              <w:rPr>
                <w:rStyle w:val="Emphasis"/>
              </w:rPr>
              <w:t xml:space="preserve"> </w:t>
            </w:r>
          </w:p>
          <w:p w:rsidR="00D53D72" w:rsidRDefault="00D53D72" w:rsidP="006F07CD">
            <w:pPr>
              <w:jc w:val="both"/>
            </w:pPr>
            <w:r w:rsidRPr="00D53D72">
              <w:t>Saskaņā ar ES fondu komunikācijas vadības grupā saskaņoto nolikuma projektu ES fondu darbības programmu ikgadējā komunikācijas plāna grozīšana paredzēta ne biežāk kā reizi ceturksnī līdz 31. martam, 30. jūnijam, 30. septembrim un 30. novembrim, bet ES fondu iestādes elektroniski iesniedz vadošajā iestādē priekšlikumus par ikgadējā komunikācijas plāna grozījumiem ne vēlāk kā 2 nedēļas pirms kārtējā grozījuma termiņa.</w:t>
            </w:r>
          </w:p>
          <w:p w:rsidR="00D3756A" w:rsidRDefault="00D3756A" w:rsidP="006F07CD">
            <w:pPr>
              <w:jc w:val="both"/>
            </w:pPr>
          </w:p>
          <w:p w:rsidR="009A1D70" w:rsidRPr="00863FC9" w:rsidRDefault="009A1D70" w:rsidP="00461C80">
            <w:pPr>
              <w:jc w:val="both"/>
            </w:pPr>
            <w:r w:rsidRPr="00DC7ED9">
              <w:t xml:space="preserve">3.  Ņemot vērā, ka šobrīd 6.09.2011. MK noteikumu </w:t>
            </w:r>
            <w:proofErr w:type="spellStart"/>
            <w:r w:rsidRPr="00DC7ED9">
              <w:t>Nr</w:t>
            </w:r>
            <w:proofErr w:type="spellEnd"/>
            <w:r w:rsidRPr="00DC7ED9">
              <w:t>. 694  1.pielikumā dažām iesaistītajām institūcijām</w:t>
            </w:r>
            <w:r w:rsidR="00127789" w:rsidRPr="00DC7ED9">
              <w:t xml:space="preserve"> tehniskas neprecizitātes dēļ</w:t>
            </w:r>
            <w:r w:rsidRPr="00DC7ED9">
              <w:t xml:space="preserve"> ir norādītas neprecīzas deklarēšanas proporcijas %, attiecīgi veicot aprēķinus, dati nav precīzi, un šī neprecizitāte ietekmē plānoto </w:t>
            </w:r>
            <w:r w:rsidR="00127789" w:rsidRPr="00DC7ED9">
              <w:t xml:space="preserve"> līdzekļu un veikto maksājumu  </w:t>
            </w:r>
            <w:r w:rsidRPr="00DC7ED9">
              <w:t xml:space="preserve">precizitāti, </w:t>
            </w:r>
            <w:r w:rsidR="00127789" w:rsidRPr="00DC7ED9">
              <w:t xml:space="preserve">nepieciešams </w:t>
            </w:r>
            <w:r w:rsidR="00461C80" w:rsidRPr="00DC7ED9">
              <w:t>veikt tehniska rakstura precizējumus</w:t>
            </w:r>
            <w:r w:rsidR="00127789" w:rsidRPr="00DC7ED9">
              <w:t>, precizējot norādītās izde</w:t>
            </w:r>
            <w:r w:rsidR="00461C80" w:rsidRPr="00DC7ED9">
              <w:t xml:space="preserve">vumu deklarēšanas proporcijas </w:t>
            </w:r>
            <w:r w:rsidR="00755FD2">
              <w:t xml:space="preserve">Ekonomikas ministrijai, </w:t>
            </w:r>
            <w:r w:rsidR="00127789" w:rsidRPr="00DC7ED9">
              <w:t>Valsts kancelejai, Centrālajai finanšu un līgum</w:t>
            </w:r>
            <w:r w:rsidR="00461C80" w:rsidRPr="00DC7ED9">
              <w:t>u aģentūrai un  Finanšu ministrijai</w:t>
            </w:r>
            <w:r w:rsidR="00127789" w:rsidRPr="00DC7ED9">
              <w:t>, lai nodrošinātu veikto un plānoto līdzekļu precizitāti.</w:t>
            </w:r>
          </w:p>
        </w:tc>
      </w:tr>
      <w:tr w:rsidR="00582D68" w:rsidRPr="00150AB6" w:rsidTr="00333C34">
        <w:trPr>
          <w:trHeight w:val="1071"/>
          <w:tblCellSpacing w:w="0" w:type="dxa"/>
        </w:trPr>
        <w:tc>
          <w:tcPr>
            <w:tcW w:w="471" w:type="dxa"/>
            <w:vAlign w:val="center"/>
          </w:tcPr>
          <w:p w:rsidR="00582D68" w:rsidRPr="00C40595" w:rsidRDefault="00582D68" w:rsidP="00AA75EA">
            <w:pPr>
              <w:pStyle w:val="naiskr"/>
              <w:jc w:val="center"/>
              <w:rPr>
                <w:sz w:val="22"/>
                <w:szCs w:val="22"/>
              </w:rPr>
            </w:pPr>
            <w:r w:rsidRPr="00C40595">
              <w:rPr>
                <w:sz w:val="22"/>
                <w:szCs w:val="22"/>
              </w:rPr>
              <w:lastRenderedPageBreak/>
              <w:t>3.</w:t>
            </w:r>
          </w:p>
        </w:tc>
        <w:tc>
          <w:tcPr>
            <w:tcW w:w="2530" w:type="dxa"/>
            <w:vAlign w:val="center"/>
          </w:tcPr>
          <w:p w:rsidR="00582D68" w:rsidRPr="00E341C3" w:rsidRDefault="00582D68" w:rsidP="00AA75EA">
            <w:pPr>
              <w:pStyle w:val="naiskr"/>
              <w:ind w:left="170"/>
            </w:pPr>
            <w:r w:rsidRPr="00E341C3">
              <w:t>Saistītie politikas ietekmes novērtējumi un pētījumi</w:t>
            </w:r>
          </w:p>
        </w:tc>
        <w:tc>
          <w:tcPr>
            <w:tcW w:w="6385" w:type="dxa"/>
            <w:gridSpan w:val="2"/>
            <w:vAlign w:val="center"/>
          </w:tcPr>
          <w:p w:rsidR="00582D68" w:rsidRPr="009A7547" w:rsidRDefault="008D1831" w:rsidP="00F57C60">
            <w:pPr>
              <w:pStyle w:val="FootnoteText"/>
              <w:ind w:left="170" w:right="170"/>
              <w:rPr>
                <w:sz w:val="22"/>
                <w:szCs w:val="22"/>
              </w:rPr>
            </w:pPr>
            <w:r>
              <w:rPr>
                <w:iCs/>
                <w:sz w:val="22"/>
                <w:szCs w:val="22"/>
              </w:rPr>
              <w:t>Projekts šo jomu neskar</w:t>
            </w:r>
            <w:r w:rsidR="00582D68" w:rsidRPr="002B10F0">
              <w:rPr>
                <w:iCs/>
                <w:sz w:val="22"/>
                <w:szCs w:val="22"/>
              </w:rPr>
              <w:t>.</w:t>
            </w:r>
          </w:p>
        </w:tc>
      </w:tr>
      <w:tr w:rsidR="00582D68" w:rsidRPr="00150AB6" w:rsidTr="00333C34">
        <w:trPr>
          <w:trHeight w:val="725"/>
          <w:tblCellSpacing w:w="0" w:type="dxa"/>
        </w:trPr>
        <w:tc>
          <w:tcPr>
            <w:tcW w:w="471" w:type="dxa"/>
            <w:vAlign w:val="center"/>
          </w:tcPr>
          <w:p w:rsidR="00582D68" w:rsidRPr="00C40595" w:rsidRDefault="00582D68" w:rsidP="00AA75EA">
            <w:pPr>
              <w:pStyle w:val="naiskr"/>
              <w:jc w:val="center"/>
              <w:rPr>
                <w:sz w:val="22"/>
                <w:szCs w:val="22"/>
              </w:rPr>
            </w:pPr>
            <w:r w:rsidRPr="00C40595">
              <w:rPr>
                <w:sz w:val="22"/>
                <w:szCs w:val="22"/>
              </w:rPr>
              <w:t>4.</w:t>
            </w:r>
          </w:p>
        </w:tc>
        <w:tc>
          <w:tcPr>
            <w:tcW w:w="2530" w:type="dxa"/>
            <w:vAlign w:val="center"/>
          </w:tcPr>
          <w:p w:rsidR="00582D68" w:rsidRPr="00E341C3" w:rsidRDefault="00582D68" w:rsidP="00AA75EA">
            <w:pPr>
              <w:pStyle w:val="naiskr"/>
              <w:ind w:left="170"/>
            </w:pPr>
            <w:r w:rsidRPr="00E341C3">
              <w:t>Tiesiskā regulējuma mērķis un būtība</w:t>
            </w:r>
          </w:p>
          <w:p w:rsidR="00582D68" w:rsidRPr="00E776E8" w:rsidRDefault="00582D68" w:rsidP="00AA75EA">
            <w:pPr>
              <w:pStyle w:val="naiskr"/>
              <w:ind w:left="360" w:hanging="360"/>
              <w:rPr>
                <w:sz w:val="22"/>
                <w:szCs w:val="22"/>
              </w:rPr>
            </w:pPr>
          </w:p>
          <w:p w:rsidR="00582D68" w:rsidRPr="00E776E8" w:rsidRDefault="00582D68" w:rsidP="00AA75EA">
            <w:pPr>
              <w:pStyle w:val="naiskr"/>
              <w:ind w:left="170"/>
              <w:rPr>
                <w:sz w:val="22"/>
                <w:szCs w:val="22"/>
              </w:rPr>
            </w:pPr>
          </w:p>
        </w:tc>
        <w:tc>
          <w:tcPr>
            <w:tcW w:w="6385" w:type="dxa"/>
            <w:gridSpan w:val="2"/>
            <w:vAlign w:val="center"/>
          </w:tcPr>
          <w:p w:rsidR="001014CE" w:rsidRPr="00B2583D" w:rsidRDefault="001014CE" w:rsidP="001014CE">
            <w:pPr>
              <w:jc w:val="both"/>
            </w:pPr>
            <w:r w:rsidRPr="00B2583D">
              <w:t xml:space="preserve">Tiesiskā regulējuma mērķis ir nodrošināt </w:t>
            </w:r>
            <w:r w:rsidR="005924C7">
              <w:t xml:space="preserve">efektīvu </w:t>
            </w:r>
            <w:r w:rsidRPr="00B2583D">
              <w:t xml:space="preserve">Eiropas Savienības fondu </w:t>
            </w:r>
            <w:r w:rsidR="00333C34">
              <w:t>tehniskās palīdzības aktivitāšu</w:t>
            </w:r>
            <w:r w:rsidRPr="00B2583D">
              <w:t xml:space="preserve"> īstenošanu laika posmā no 2012.gada 1.janvāra līdz 2015.gada 31.decembrim, kā arī </w:t>
            </w:r>
            <w:r w:rsidR="005924C7">
              <w:t>stiprināt un pilnveidot</w:t>
            </w:r>
            <w:r w:rsidR="005924C7" w:rsidRPr="00B2583D">
              <w:t xml:space="preserve"> </w:t>
            </w:r>
            <w:r w:rsidRPr="00B2583D">
              <w:t xml:space="preserve">ES fondu tehniskās palīdzības aktivitāšu ieviešanas </w:t>
            </w:r>
            <w:r w:rsidR="005924C7">
              <w:t>mehānismu</w:t>
            </w:r>
            <w:r w:rsidRPr="00B2583D">
              <w:t>, kas ir noteikta ar MK noteikumiem Nr.</w:t>
            </w:r>
            <w:r w:rsidR="00B2583D">
              <w:t>694</w:t>
            </w:r>
            <w:r w:rsidRPr="00B2583D">
              <w:t>.</w:t>
            </w:r>
          </w:p>
          <w:p w:rsidR="001014CE" w:rsidRPr="00B2583D" w:rsidRDefault="001014CE" w:rsidP="001014CE">
            <w:pPr>
              <w:jc w:val="both"/>
            </w:pPr>
            <w:r w:rsidRPr="00B2583D">
              <w:t>Ministru kabineta noteikumu projekts nosaka:</w:t>
            </w:r>
          </w:p>
          <w:p w:rsidR="00F24653" w:rsidRDefault="00F24653" w:rsidP="005703E8">
            <w:pPr>
              <w:numPr>
                <w:ilvl w:val="1"/>
                <w:numId w:val="18"/>
              </w:numPr>
              <w:spacing w:before="120"/>
              <w:jc w:val="both"/>
            </w:pPr>
            <w:r>
              <w:t>Ņemot vērā, ka 2011. gada 31.decembrī noslēdzās projektu īstenošana</w:t>
            </w:r>
            <w:r w:rsidR="00227440">
              <w:t>,</w:t>
            </w:r>
            <w:r>
              <w:t xml:space="preserve"> tehniskās palīdzības 1. kārtas ietvaros tiek p</w:t>
            </w:r>
            <w:r w:rsidRPr="00D16406">
              <w:t>recizēts ES fondu tehniskās palīdzības aktivitātēm pieejamais finansējums (</w:t>
            </w:r>
            <w:proofErr w:type="spellStart"/>
            <w:r w:rsidRPr="00D16406">
              <w:t>t.sk</w:t>
            </w:r>
            <w:proofErr w:type="spellEnd"/>
            <w:r w:rsidR="00333C34">
              <w:t>.</w:t>
            </w:r>
            <w:r w:rsidRPr="00D16406">
              <w:t xml:space="preserve"> kopējā finansējuma rezerve) laikposmā no 2012. gada 1. janvār</w:t>
            </w:r>
            <w:r w:rsidR="00643510">
              <w:t>a līdz 2015. gada 31. decembrim, palielinot kopējo ES fondu tehniskās palīdzības aktivit</w:t>
            </w:r>
            <w:r w:rsidR="00EE1BDB">
              <w:t xml:space="preserve">ātēm pieejamo finansējumu par 3 516 169 </w:t>
            </w:r>
            <w:r w:rsidR="00643510">
              <w:t>LVL.</w:t>
            </w:r>
          </w:p>
          <w:p w:rsidR="005703E8" w:rsidRDefault="007D1DFC" w:rsidP="00EE77FE">
            <w:pPr>
              <w:numPr>
                <w:ilvl w:val="1"/>
                <w:numId w:val="18"/>
              </w:numPr>
              <w:spacing w:before="120"/>
              <w:jc w:val="both"/>
            </w:pPr>
            <w:r w:rsidRPr="00931DE3">
              <w:rPr>
                <w:rStyle w:val="Emphasis"/>
                <w:i w:val="0"/>
              </w:rPr>
              <w:t xml:space="preserve">Lai novērstu izdevumu </w:t>
            </w:r>
            <w:proofErr w:type="spellStart"/>
            <w:r w:rsidRPr="00931DE3">
              <w:rPr>
                <w:rStyle w:val="Emphasis"/>
                <w:i w:val="0"/>
              </w:rPr>
              <w:t>neattiecināmības</w:t>
            </w:r>
            <w:proofErr w:type="spellEnd"/>
            <w:r w:rsidRPr="00931DE3">
              <w:rPr>
                <w:rStyle w:val="Emphasis"/>
                <w:i w:val="0"/>
              </w:rPr>
              <w:t xml:space="preserve">  riskus </w:t>
            </w:r>
            <w:r w:rsidR="00AC4925">
              <w:rPr>
                <w:rStyle w:val="Emphasis"/>
                <w:i w:val="0"/>
              </w:rPr>
              <w:t>tehniskās palīdzības projektos, tiks noteikts</w:t>
            </w:r>
            <w:r w:rsidR="001014CE" w:rsidRPr="00C85464">
              <w:t xml:space="preserve"> </w:t>
            </w:r>
            <w:r w:rsidR="001014CE" w:rsidRPr="00C85464">
              <w:lastRenderedPageBreak/>
              <w:t xml:space="preserve">regulējums attiecībā uz ES fondu tehniskās palīdzības līdzekļu attiecināšanu </w:t>
            </w:r>
            <w:r w:rsidR="00001AEE">
              <w:t>informatīvo</w:t>
            </w:r>
            <w:r w:rsidR="002325A9">
              <w:t xml:space="preserve">, </w:t>
            </w:r>
            <w:r w:rsidR="00001AEE">
              <w:t xml:space="preserve"> publicitātes</w:t>
            </w:r>
            <w:r w:rsidR="002325A9">
              <w:t xml:space="preserve"> un komunikācijas</w:t>
            </w:r>
            <w:r w:rsidR="00001AEE">
              <w:t xml:space="preserve"> pasākumu īstenošanai.</w:t>
            </w:r>
          </w:p>
          <w:p w:rsidR="0044046C" w:rsidRPr="00EE77FE" w:rsidRDefault="00AD0C22" w:rsidP="00AD0C22">
            <w:pPr>
              <w:numPr>
                <w:ilvl w:val="1"/>
                <w:numId w:val="18"/>
              </w:numPr>
              <w:spacing w:before="120"/>
              <w:jc w:val="both"/>
            </w:pPr>
            <w:r w:rsidRPr="00A6060C">
              <w:t>Lai nodrošinātu veikto un plānoto līdzekļu precizitāti, tiks veikti tehniska ra</w:t>
            </w:r>
            <w:r w:rsidR="002B6A37">
              <w:t xml:space="preserve">kstura precizējumi, precizējot </w:t>
            </w:r>
            <w:r w:rsidRPr="00A6060C">
              <w:t xml:space="preserve">6.09.2011. MK noteikumu </w:t>
            </w:r>
            <w:proofErr w:type="spellStart"/>
            <w:r w:rsidRPr="00A6060C">
              <w:t>Nr</w:t>
            </w:r>
            <w:proofErr w:type="spellEnd"/>
            <w:r w:rsidRPr="00A6060C">
              <w:t xml:space="preserve">. 694 1. pielikumā norādītās izdevumu deklarēšanas proporcijas </w:t>
            </w:r>
            <w:r w:rsidR="007D3178">
              <w:t xml:space="preserve">Ekonomikas ministrijai, </w:t>
            </w:r>
            <w:r w:rsidRPr="00A6060C">
              <w:t>Valsts kancelejai, Centrālajai finanšu un līgumu aģentūrai un  Finanšu ministrijai.</w:t>
            </w:r>
          </w:p>
        </w:tc>
      </w:tr>
      <w:tr w:rsidR="00582D68" w:rsidRPr="00DE1C48" w:rsidTr="00333C34">
        <w:trPr>
          <w:trHeight w:val="476"/>
          <w:tblCellSpacing w:w="0" w:type="dxa"/>
        </w:trPr>
        <w:tc>
          <w:tcPr>
            <w:tcW w:w="471" w:type="dxa"/>
            <w:vAlign w:val="center"/>
          </w:tcPr>
          <w:p w:rsidR="00582D68" w:rsidRPr="00C40595" w:rsidRDefault="00582D68" w:rsidP="00AA75EA">
            <w:pPr>
              <w:pStyle w:val="naiskr"/>
              <w:jc w:val="center"/>
              <w:rPr>
                <w:sz w:val="22"/>
                <w:szCs w:val="22"/>
              </w:rPr>
            </w:pPr>
            <w:r w:rsidRPr="00C40595">
              <w:rPr>
                <w:sz w:val="22"/>
                <w:szCs w:val="22"/>
              </w:rPr>
              <w:lastRenderedPageBreak/>
              <w:t>5.</w:t>
            </w:r>
          </w:p>
        </w:tc>
        <w:tc>
          <w:tcPr>
            <w:tcW w:w="2530" w:type="dxa"/>
            <w:vAlign w:val="center"/>
          </w:tcPr>
          <w:p w:rsidR="00582D68" w:rsidRPr="00E341C3" w:rsidRDefault="00582D68" w:rsidP="00AA75EA">
            <w:pPr>
              <w:pStyle w:val="naiskr"/>
              <w:ind w:left="170"/>
            </w:pPr>
            <w:r w:rsidRPr="00E341C3">
              <w:t xml:space="preserve">Projekta izstrādē iesaistītās institūcijas </w:t>
            </w:r>
          </w:p>
        </w:tc>
        <w:tc>
          <w:tcPr>
            <w:tcW w:w="6385" w:type="dxa"/>
            <w:gridSpan w:val="2"/>
            <w:vAlign w:val="center"/>
          </w:tcPr>
          <w:p w:rsidR="009F2E07" w:rsidRPr="00E341C3" w:rsidRDefault="008D1831" w:rsidP="003E5A52">
            <w:pPr>
              <w:autoSpaceDE w:val="0"/>
              <w:autoSpaceDN w:val="0"/>
              <w:adjustRightInd w:val="0"/>
              <w:ind w:right="170"/>
            </w:pPr>
            <w:r>
              <w:t>Projekts šo jomu neskar</w:t>
            </w:r>
            <w:r w:rsidR="002A5D3E" w:rsidRPr="00E341C3">
              <w:t>.</w:t>
            </w:r>
          </w:p>
        </w:tc>
      </w:tr>
      <w:tr w:rsidR="00582D68" w:rsidRPr="00006166" w:rsidTr="00333C34">
        <w:trPr>
          <w:trHeight w:val="904"/>
          <w:tblCellSpacing w:w="0" w:type="dxa"/>
        </w:trPr>
        <w:tc>
          <w:tcPr>
            <w:tcW w:w="471" w:type="dxa"/>
            <w:vAlign w:val="center"/>
          </w:tcPr>
          <w:p w:rsidR="00582D68" w:rsidRPr="00C40595" w:rsidRDefault="00582D68" w:rsidP="00AA75EA">
            <w:pPr>
              <w:pStyle w:val="naiskr"/>
              <w:jc w:val="center"/>
              <w:rPr>
                <w:sz w:val="22"/>
                <w:szCs w:val="22"/>
              </w:rPr>
            </w:pPr>
            <w:r w:rsidRPr="00C40595">
              <w:rPr>
                <w:sz w:val="22"/>
                <w:szCs w:val="22"/>
              </w:rPr>
              <w:t>6.</w:t>
            </w:r>
          </w:p>
        </w:tc>
        <w:tc>
          <w:tcPr>
            <w:tcW w:w="2530" w:type="dxa"/>
            <w:vAlign w:val="center"/>
          </w:tcPr>
          <w:p w:rsidR="00582D68" w:rsidRPr="00E341C3" w:rsidRDefault="00582D68" w:rsidP="00AA75EA">
            <w:pPr>
              <w:pStyle w:val="naiskr"/>
              <w:ind w:left="170"/>
              <w:rPr>
                <w:i/>
                <w:highlight w:val="yellow"/>
              </w:rPr>
            </w:pPr>
            <w:r w:rsidRPr="00E341C3">
              <w:t>Iemesli, kādēļ netika nodrošināta sabiedrības līdzdalība</w:t>
            </w:r>
          </w:p>
        </w:tc>
        <w:tc>
          <w:tcPr>
            <w:tcW w:w="6385" w:type="dxa"/>
            <w:gridSpan w:val="2"/>
            <w:vAlign w:val="center"/>
          </w:tcPr>
          <w:p w:rsidR="00880410" w:rsidRPr="003974A6" w:rsidRDefault="006D3754" w:rsidP="00880410">
            <w:pPr>
              <w:pStyle w:val="naiskr"/>
              <w:ind w:right="170"/>
              <w:jc w:val="both"/>
            </w:pPr>
            <w:r w:rsidRPr="006D3754">
              <w:t xml:space="preserve">Noteikumu projekts attiecas tikai uz </w:t>
            </w:r>
            <w:r w:rsidR="00542526">
              <w:t xml:space="preserve">šo </w:t>
            </w:r>
            <w:r w:rsidRPr="006D3754">
              <w:t>noteikumu 14.1., 14.2</w:t>
            </w:r>
            <w:r w:rsidR="000E3851">
              <w:t>.</w:t>
            </w:r>
            <w:r w:rsidRPr="006D3754">
              <w:t xml:space="preserve"> un 14.3.</w:t>
            </w:r>
            <w:r w:rsidR="00D6381D">
              <w:t xml:space="preserve"> </w:t>
            </w:r>
            <w:r w:rsidRPr="006D3754">
              <w:t>apakšpunktā m</w:t>
            </w:r>
            <w:r w:rsidR="00C265A7">
              <w:t>inētajām institūcijām, līdz ar t</w:t>
            </w:r>
            <w:r w:rsidRPr="006D3754">
              <w:t>o sabiedrības līdzdalība nav bijusi nepieciešama.</w:t>
            </w:r>
          </w:p>
        </w:tc>
      </w:tr>
      <w:tr w:rsidR="00582D68" w:rsidRPr="00261CAD" w:rsidTr="00333C34">
        <w:trPr>
          <w:tblCellSpacing w:w="0" w:type="dxa"/>
        </w:trPr>
        <w:tc>
          <w:tcPr>
            <w:tcW w:w="471" w:type="dxa"/>
            <w:vAlign w:val="center"/>
          </w:tcPr>
          <w:p w:rsidR="00582D68" w:rsidRPr="00C40595" w:rsidRDefault="00582D68" w:rsidP="00AA75EA">
            <w:pPr>
              <w:pStyle w:val="naiskr"/>
              <w:jc w:val="center"/>
              <w:rPr>
                <w:sz w:val="22"/>
                <w:szCs w:val="22"/>
              </w:rPr>
            </w:pPr>
            <w:r w:rsidRPr="00C40595">
              <w:rPr>
                <w:sz w:val="22"/>
                <w:szCs w:val="22"/>
              </w:rPr>
              <w:t>7.</w:t>
            </w:r>
          </w:p>
        </w:tc>
        <w:tc>
          <w:tcPr>
            <w:tcW w:w="2530" w:type="dxa"/>
            <w:vAlign w:val="center"/>
          </w:tcPr>
          <w:p w:rsidR="00582D68" w:rsidRPr="00E341C3" w:rsidRDefault="00582D68" w:rsidP="00AA75EA">
            <w:pPr>
              <w:pStyle w:val="naiskr"/>
              <w:ind w:left="170"/>
            </w:pPr>
            <w:r w:rsidRPr="00E341C3">
              <w:t>Cita informācija</w:t>
            </w:r>
          </w:p>
        </w:tc>
        <w:tc>
          <w:tcPr>
            <w:tcW w:w="6385" w:type="dxa"/>
            <w:gridSpan w:val="2"/>
            <w:vAlign w:val="center"/>
          </w:tcPr>
          <w:p w:rsidR="00863FC9" w:rsidRDefault="00C04243" w:rsidP="0095398B">
            <w:pPr>
              <w:jc w:val="both"/>
              <w:rPr>
                <w:bCs/>
              </w:rPr>
            </w:pPr>
            <w:r>
              <w:rPr>
                <w:bCs/>
              </w:rPr>
              <w:t>MK noteikumu</w:t>
            </w:r>
            <w:r w:rsidR="00DD4C55">
              <w:rPr>
                <w:bCs/>
              </w:rPr>
              <w:t xml:space="preserve"> </w:t>
            </w:r>
            <w:proofErr w:type="spellStart"/>
            <w:r w:rsidR="00DD4C55">
              <w:rPr>
                <w:bCs/>
              </w:rPr>
              <w:t>Nr</w:t>
            </w:r>
            <w:proofErr w:type="spellEnd"/>
            <w:r w:rsidR="00DD4C55">
              <w:rPr>
                <w:bCs/>
              </w:rPr>
              <w:t xml:space="preserve">. 694 </w:t>
            </w:r>
            <w:r w:rsidR="00DD4C55">
              <w:t xml:space="preserve"> </w:t>
            </w:r>
            <w:r>
              <w:rPr>
                <w:bCs/>
              </w:rPr>
              <w:t>g</w:t>
            </w:r>
            <w:r w:rsidR="00DD4C55" w:rsidRPr="00DD4C55">
              <w:rPr>
                <w:bCs/>
              </w:rPr>
              <w:t xml:space="preserve">rozījumu projektā </w:t>
            </w:r>
            <w:r>
              <w:rPr>
                <w:bCs/>
              </w:rPr>
              <w:t>sākotn</w:t>
            </w:r>
            <w:r w:rsidR="00C83960">
              <w:rPr>
                <w:bCs/>
              </w:rPr>
              <w:t>ēji</w:t>
            </w:r>
            <w:r w:rsidR="00CC5DFC">
              <w:t xml:space="preserve"> </w:t>
            </w:r>
            <w:r w:rsidR="00CC5DFC" w:rsidRPr="00CC5DFC">
              <w:rPr>
                <w:bCs/>
              </w:rPr>
              <w:t xml:space="preserve">iekļautais regulējums </w:t>
            </w:r>
            <w:r w:rsidR="00CC5DFC">
              <w:rPr>
                <w:bCs/>
              </w:rPr>
              <w:t xml:space="preserve">attiecībā </w:t>
            </w:r>
            <w:r w:rsidR="00DD4C55" w:rsidRPr="00DD4C55">
              <w:rPr>
                <w:bCs/>
              </w:rPr>
              <w:t>par mācību maksas atmaksu par kvalifikācijas paaugstināšanas mācī</w:t>
            </w:r>
            <w:r w:rsidR="008B6B8B">
              <w:rPr>
                <w:bCs/>
              </w:rPr>
              <w:t>bu kursos ārvalstīs vai Latvijā</w:t>
            </w:r>
            <w:r>
              <w:rPr>
                <w:bCs/>
              </w:rPr>
              <w:t xml:space="preserve"> ir </w:t>
            </w:r>
            <w:r w:rsidR="006F0AF8">
              <w:rPr>
                <w:bCs/>
              </w:rPr>
              <w:t xml:space="preserve">cieši </w:t>
            </w:r>
            <w:r>
              <w:rPr>
                <w:bCs/>
              </w:rPr>
              <w:t xml:space="preserve">saistīts ar grozījumu projektu </w:t>
            </w:r>
            <w:r w:rsidRPr="00C04243">
              <w:rPr>
                <w:bCs/>
              </w:rPr>
              <w:t xml:space="preserve"> MK 2010. gada 21. jūnija noteikumos </w:t>
            </w:r>
            <w:proofErr w:type="spellStart"/>
            <w:r w:rsidRPr="00C04243">
              <w:rPr>
                <w:bCs/>
              </w:rPr>
              <w:t>Nr</w:t>
            </w:r>
            <w:proofErr w:type="spellEnd"/>
            <w:r w:rsidRPr="00C04243">
              <w:rPr>
                <w:bCs/>
              </w:rPr>
              <w:t>. 565 „Noteikumi par valsts un pašvaldību institūciju amatpersonu un darb</w:t>
            </w:r>
            <w:r>
              <w:rPr>
                <w:bCs/>
              </w:rPr>
              <w:t>inieku sociālajām garantijām”</w:t>
            </w:r>
            <w:r w:rsidR="006A5239">
              <w:rPr>
                <w:bCs/>
              </w:rPr>
              <w:t xml:space="preserve"> (turpmāk – MK noteikumi </w:t>
            </w:r>
            <w:proofErr w:type="spellStart"/>
            <w:r w:rsidR="006A5239">
              <w:rPr>
                <w:bCs/>
              </w:rPr>
              <w:t>Nr</w:t>
            </w:r>
            <w:proofErr w:type="spellEnd"/>
            <w:r w:rsidR="006A5239">
              <w:rPr>
                <w:bCs/>
              </w:rPr>
              <w:t>. 565)</w:t>
            </w:r>
            <w:r>
              <w:rPr>
                <w:bCs/>
              </w:rPr>
              <w:t>, kas</w:t>
            </w:r>
            <w:r w:rsidRPr="00C04243">
              <w:rPr>
                <w:bCs/>
              </w:rPr>
              <w:t xml:space="preserve"> </w:t>
            </w:r>
            <w:r w:rsidR="006A5239">
              <w:rPr>
                <w:bCs/>
              </w:rPr>
              <w:t xml:space="preserve">arī </w:t>
            </w:r>
            <w:r w:rsidRPr="00C04243">
              <w:rPr>
                <w:bCs/>
              </w:rPr>
              <w:t xml:space="preserve">paredz normu </w:t>
            </w:r>
            <w:r w:rsidR="006F0AF8">
              <w:rPr>
                <w:bCs/>
              </w:rPr>
              <w:t xml:space="preserve">attiecībā </w:t>
            </w:r>
            <w:r w:rsidR="00FE4634">
              <w:rPr>
                <w:bCs/>
              </w:rPr>
              <w:t>par</w:t>
            </w:r>
            <w:r w:rsidR="006F0AF8">
              <w:rPr>
                <w:bCs/>
              </w:rPr>
              <w:t xml:space="preserve"> </w:t>
            </w:r>
            <w:r w:rsidRPr="00C04243">
              <w:rPr>
                <w:bCs/>
              </w:rPr>
              <w:t>mācību maksas atmaksu pa</w:t>
            </w:r>
            <w:r w:rsidR="00F8273B">
              <w:rPr>
                <w:bCs/>
              </w:rPr>
              <w:t>r kvalifikācijas paaugstināšanu</w:t>
            </w:r>
            <w:r w:rsidR="00D23FD3">
              <w:rPr>
                <w:bCs/>
              </w:rPr>
              <w:t>.</w:t>
            </w:r>
            <w:r w:rsidRPr="00C04243">
              <w:rPr>
                <w:bCs/>
              </w:rPr>
              <w:t xml:space="preserve"> </w:t>
            </w:r>
            <w:r w:rsidR="00F8273B">
              <w:rPr>
                <w:bCs/>
              </w:rPr>
              <w:t xml:space="preserve"> MK noteikumu </w:t>
            </w:r>
            <w:proofErr w:type="spellStart"/>
            <w:r w:rsidR="00F8273B">
              <w:rPr>
                <w:bCs/>
              </w:rPr>
              <w:t>Nr</w:t>
            </w:r>
            <w:proofErr w:type="spellEnd"/>
            <w:r w:rsidR="00F8273B">
              <w:rPr>
                <w:bCs/>
              </w:rPr>
              <w:t xml:space="preserve">. 694  grozījumu projektā </w:t>
            </w:r>
            <w:r w:rsidRPr="00C04243">
              <w:rPr>
                <w:bCs/>
              </w:rPr>
              <w:t xml:space="preserve"> </w:t>
            </w:r>
            <w:r w:rsidR="00F8273B">
              <w:rPr>
                <w:bCs/>
              </w:rPr>
              <w:t>šī norma ir izslēgta</w:t>
            </w:r>
            <w:r w:rsidR="007A73E1">
              <w:rPr>
                <w:bCs/>
              </w:rPr>
              <w:t>,</w:t>
            </w:r>
            <w:r w:rsidR="00F8273B">
              <w:rPr>
                <w:bCs/>
              </w:rPr>
              <w:t xml:space="preserve"> līdz b</w:t>
            </w:r>
            <w:r w:rsidR="006A5239">
              <w:rPr>
                <w:bCs/>
              </w:rPr>
              <w:t xml:space="preserve">ūs </w:t>
            </w:r>
            <w:r w:rsidR="00311CA3">
              <w:rPr>
                <w:bCs/>
              </w:rPr>
              <w:t xml:space="preserve">panākta vienošanās starp iesaistītajām institūcijām </w:t>
            </w:r>
            <w:r w:rsidR="007A73E1">
              <w:rPr>
                <w:bCs/>
              </w:rPr>
              <w:t>at</w:t>
            </w:r>
            <w:r w:rsidR="00336C3C">
              <w:rPr>
                <w:bCs/>
              </w:rPr>
              <w:t>t</w:t>
            </w:r>
            <w:r w:rsidR="00C15A16">
              <w:rPr>
                <w:bCs/>
              </w:rPr>
              <w:t>iecībā uz šīs normas iekļaušanu un apstiprināšanu</w:t>
            </w:r>
            <w:r w:rsidR="007A73E1">
              <w:rPr>
                <w:bCs/>
              </w:rPr>
              <w:t xml:space="preserve"> MK </w:t>
            </w:r>
            <w:r w:rsidR="0007543F">
              <w:rPr>
                <w:bCs/>
              </w:rPr>
              <w:t xml:space="preserve">noteikumos </w:t>
            </w:r>
            <w:proofErr w:type="spellStart"/>
            <w:r w:rsidR="006A5239">
              <w:rPr>
                <w:bCs/>
              </w:rPr>
              <w:t>Nr</w:t>
            </w:r>
            <w:proofErr w:type="spellEnd"/>
            <w:r w:rsidR="006A5239">
              <w:rPr>
                <w:bCs/>
              </w:rPr>
              <w:t>. 565.</w:t>
            </w:r>
          </w:p>
          <w:p w:rsidR="00D3756A" w:rsidRPr="00451553" w:rsidRDefault="00D3756A" w:rsidP="0095398B">
            <w:pPr>
              <w:jc w:val="both"/>
            </w:pPr>
          </w:p>
          <w:p w:rsidR="00863FC9" w:rsidRPr="00997844" w:rsidRDefault="00863FC9" w:rsidP="00093A4D">
            <w:pPr>
              <w:jc w:val="both"/>
              <w:rPr>
                <w:bCs/>
              </w:rPr>
            </w:pPr>
            <w:r w:rsidRPr="00863FC9">
              <w:rPr>
                <w:bCs/>
              </w:rPr>
              <w:t xml:space="preserve">Indikatīvi 2012. gada </w:t>
            </w:r>
            <w:r w:rsidR="00CD2685">
              <w:rPr>
                <w:bCs/>
              </w:rPr>
              <w:t>rudenī</w:t>
            </w:r>
            <w:r w:rsidRPr="00863FC9">
              <w:rPr>
                <w:bCs/>
              </w:rPr>
              <w:t xml:space="preserve"> </w:t>
            </w:r>
            <w:r w:rsidR="00DC192F">
              <w:rPr>
                <w:bCs/>
              </w:rPr>
              <w:t>virzot jaunus grozījumus</w:t>
            </w:r>
            <w:r w:rsidRPr="00863FC9">
              <w:rPr>
                <w:bCs/>
              </w:rPr>
              <w:t xml:space="preserve"> MK noteikumos </w:t>
            </w:r>
            <w:proofErr w:type="spellStart"/>
            <w:r w:rsidRPr="00863FC9">
              <w:rPr>
                <w:bCs/>
              </w:rPr>
              <w:t>Nr</w:t>
            </w:r>
            <w:proofErr w:type="spellEnd"/>
            <w:r w:rsidRPr="00863FC9">
              <w:rPr>
                <w:bCs/>
              </w:rPr>
              <w:t>. 694, precizējot pieejamo ES fondu tehniskās</w:t>
            </w:r>
            <w:r w:rsidR="009E0B60">
              <w:rPr>
                <w:bCs/>
              </w:rPr>
              <w:t xml:space="preserve"> palīdzības finansējuma rezervi</w:t>
            </w:r>
            <w:r w:rsidR="00093A4D">
              <w:rPr>
                <w:bCs/>
              </w:rPr>
              <w:t>,</w:t>
            </w:r>
            <w:r w:rsidR="009E0B60">
              <w:rPr>
                <w:bCs/>
              </w:rPr>
              <w:t xml:space="preserve"> tiks lemts</w:t>
            </w:r>
            <w:r w:rsidR="00DC192F">
              <w:rPr>
                <w:bCs/>
              </w:rPr>
              <w:t xml:space="preserve"> arī</w:t>
            </w:r>
            <w:r w:rsidR="009E0B60">
              <w:rPr>
                <w:bCs/>
              </w:rPr>
              <w:t xml:space="preserve"> par </w:t>
            </w:r>
            <w:r w:rsidR="00DC192F">
              <w:t xml:space="preserve"> </w:t>
            </w:r>
            <w:r w:rsidR="00DC192F">
              <w:rPr>
                <w:bCs/>
              </w:rPr>
              <w:t>regulējuma</w:t>
            </w:r>
            <w:r w:rsidR="00DC192F" w:rsidRPr="00DC192F">
              <w:rPr>
                <w:bCs/>
              </w:rPr>
              <w:t xml:space="preserve"> attiecībā par mācību maksas atmaksu par kvalifikācijas paaugstināšanas mācību kursos ārvalstīs vai Latvijā</w:t>
            </w:r>
            <w:r w:rsidR="00DC192F">
              <w:rPr>
                <w:bCs/>
              </w:rPr>
              <w:t xml:space="preserve"> iekļaušanu noteikumu projektā</w:t>
            </w:r>
            <w:r w:rsidR="00D23660">
              <w:rPr>
                <w:bCs/>
              </w:rPr>
              <w:t xml:space="preserve"> sinerģijā ar </w:t>
            </w:r>
            <w:r w:rsidR="00D23660">
              <w:t xml:space="preserve"> </w:t>
            </w:r>
            <w:r w:rsidR="00D23660" w:rsidRPr="00D23660">
              <w:rPr>
                <w:bCs/>
              </w:rPr>
              <w:t>MK noteikumi</w:t>
            </w:r>
            <w:r w:rsidR="00D23660">
              <w:rPr>
                <w:bCs/>
              </w:rPr>
              <w:t>em</w:t>
            </w:r>
            <w:r w:rsidR="00D23660" w:rsidRPr="00D23660">
              <w:rPr>
                <w:bCs/>
              </w:rPr>
              <w:t xml:space="preserve"> </w:t>
            </w:r>
            <w:proofErr w:type="spellStart"/>
            <w:r w:rsidR="00D23660" w:rsidRPr="00D23660">
              <w:rPr>
                <w:bCs/>
              </w:rPr>
              <w:t>Nr</w:t>
            </w:r>
            <w:proofErr w:type="spellEnd"/>
            <w:r w:rsidR="00D23660" w:rsidRPr="00D23660">
              <w:rPr>
                <w:bCs/>
              </w:rPr>
              <w:t>. 565</w:t>
            </w:r>
            <w:r w:rsidR="00D23660">
              <w:rPr>
                <w:bCs/>
              </w:rPr>
              <w:t>.</w:t>
            </w:r>
          </w:p>
        </w:tc>
      </w:tr>
      <w:tr w:rsidR="006C4F62" w:rsidRPr="00261CAD" w:rsidTr="00333C34">
        <w:trPr>
          <w:tblCellSpacing w:w="0" w:type="dxa"/>
        </w:trPr>
        <w:tc>
          <w:tcPr>
            <w:tcW w:w="9386" w:type="dxa"/>
            <w:gridSpan w:val="4"/>
            <w:vAlign w:val="center"/>
          </w:tcPr>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2541"/>
              <w:gridCol w:w="6384"/>
            </w:tblGrid>
            <w:tr w:rsidR="00C669E8" w:rsidRPr="00B420D2" w:rsidTr="00861B1E">
              <w:tc>
                <w:tcPr>
                  <w:tcW w:w="9356" w:type="dxa"/>
                  <w:gridSpan w:val="3"/>
                </w:tcPr>
                <w:p w:rsidR="00C669E8" w:rsidRDefault="00C669E8" w:rsidP="00451553">
                  <w:pPr>
                    <w:framePr w:hSpace="180" w:wrap="around" w:vAnchor="text" w:hAnchor="margin" w:xAlign="center" w:y="149"/>
                    <w:jc w:val="center"/>
                    <w:rPr>
                      <w:b/>
                    </w:rPr>
                  </w:pPr>
                  <w:r w:rsidRPr="00212429">
                    <w:rPr>
                      <w:b/>
                    </w:rPr>
                    <w:t>II. Tiesību akta projekta ietekme uz sabiedrību</w:t>
                  </w:r>
                </w:p>
                <w:p w:rsidR="00C21639" w:rsidRPr="00212429" w:rsidRDefault="00C21639" w:rsidP="00451553">
                  <w:pPr>
                    <w:framePr w:hSpace="180" w:wrap="around" w:vAnchor="text" w:hAnchor="margin" w:xAlign="center" w:y="149"/>
                    <w:jc w:val="center"/>
                    <w:rPr>
                      <w:b/>
                    </w:rPr>
                  </w:pPr>
                </w:p>
              </w:tc>
            </w:tr>
            <w:tr w:rsidR="00C669E8" w:rsidRPr="00B420D2" w:rsidTr="00861B1E">
              <w:tc>
                <w:tcPr>
                  <w:tcW w:w="431" w:type="dxa"/>
                </w:tcPr>
                <w:p w:rsidR="00C669E8" w:rsidRPr="00B420D2" w:rsidRDefault="00C669E8" w:rsidP="00B0730C">
                  <w:pPr>
                    <w:framePr w:hSpace="180" w:wrap="around" w:vAnchor="text" w:hAnchor="margin" w:xAlign="center" w:y="149"/>
                  </w:pPr>
                  <w:r w:rsidRPr="00B420D2">
                    <w:t>1.</w:t>
                  </w:r>
                </w:p>
              </w:tc>
              <w:tc>
                <w:tcPr>
                  <w:tcW w:w="2541" w:type="dxa"/>
                </w:tcPr>
                <w:p w:rsidR="00C669E8" w:rsidRPr="00B420D2" w:rsidRDefault="00C669E8" w:rsidP="00B0730C">
                  <w:pPr>
                    <w:framePr w:hSpace="180" w:wrap="around" w:vAnchor="text" w:hAnchor="margin" w:xAlign="center" w:y="149"/>
                  </w:pPr>
                  <w:r w:rsidRPr="00B420D2">
                    <w:t xml:space="preserve">Sabiedrības </w:t>
                  </w:r>
                  <w:proofErr w:type="spellStart"/>
                  <w:r w:rsidRPr="00B420D2">
                    <w:t>mērķgrupa</w:t>
                  </w:r>
                  <w:proofErr w:type="spellEnd"/>
                </w:p>
              </w:tc>
              <w:tc>
                <w:tcPr>
                  <w:tcW w:w="6384" w:type="dxa"/>
                </w:tcPr>
                <w:p w:rsidR="00C669E8" w:rsidRPr="00212429" w:rsidRDefault="00C669E8" w:rsidP="00B57AFA">
                  <w:pPr>
                    <w:framePr w:hSpace="180" w:wrap="around" w:vAnchor="text" w:hAnchor="margin" w:xAlign="center" w:y="149"/>
                    <w:autoSpaceDE w:val="0"/>
                    <w:autoSpaceDN w:val="0"/>
                    <w:adjustRightInd w:val="0"/>
                    <w:jc w:val="both"/>
                  </w:pPr>
                  <w:r w:rsidRPr="00212429">
                    <w:t>MK noteikumu projekts netieši attiecas uz Eiropas Savienības fonda finansējuma saņēmējiem</w:t>
                  </w:r>
                  <w:r w:rsidR="00B57AFA">
                    <w:t>.</w:t>
                  </w:r>
                </w:p>
              </w:tc>
            </w:tr>
            <w:tr w:rsidR="00C669E8" w:rsidRPr="00B420D2" w:rsidTr="00861B1E">
              <w:tc>
                <w:tcPr>
                  <w:tcW w:w="431" w:type="dxa"/>
                </w:tcPr>
                <w:p w:rsidR="00C669E8" w:rsidRPr="00B420D2" w:rsidRDefault="00C669E8" w:rsidP="00B0730C">
                  <w:pPr>
                    <w:framePr w:hSpace="180" w:wrap="around" w:vAnchor="text" w:hAnchor="margin" w:xAlign="center" w:y="149"/>
                  </w:pPr>
                  <w:r w:rsidRPr="00B420D2">
                    <w:t xml:space="preserve">2. </w:t>
                  </w:r>
                </w:p>
              </w:tc>
              <w:tc>
                <w:tcPr>
                  <w:tcW w:w="2541" w:type="dxa"/>
                </w:tcPr>
                <w:p w:rsidR="00C669E8" w:rsidRPr="00B420D2" w:rsidRDefault="00C669E8" w:rsidP="00B0730C">
                  <w:pPr>
                    <w:framePr w:hSpace="180" w:wrap="around" w:vAnchor="text" w:hAnchor="margin" w:xAlign="center" w:y="149"/>
                  </w:pPr>
                  <w:r w:rsidRPr="00B420D2">
                    <w:t xml:space="preserve">Citas sabiedrības grupas (bez </w:t>
                  </w:r>
                  <w:proofErr w:type="spellStart"/>
                  <w:r w:rsidRPr="00B420D2">
                    <w:t>mērķgrupas</w:t>
                  </w:r>
                  <w:proofErr w:type="spellEnd"/>
                  <w:r w:rsidRPr="00B420D2">
                    <w:t xml:space="preserve">), kuras tiesiskais regulējuma arī ietekmē vai varētu </w:t>
                  </w:r>
                  <w:r w:rsidRPr="00B420D2">
                    <w:lastRenderedPageBreak/>
                    <w:t>ietekmēt</w:t>
                  </w:r>
                </w:p>
              </w:tc>
              <w:tc>
                <w:tcPr>
                  <w:tcW w:w="6384" w:type="dxa"/>
                </w:tcPr>
                <w:p w:rsidR="00C669E8" w:rsidRPr="00212429" w:rsidRDefault="008D1831" w:rsidP="00B0730C">
                  <w:pPr>
                    <w:framePr w:hSpace="180" w:wrap="around" w:vAnchor="text" w:hAnchor="margin" w:xAlign="center" w:y="149"/>
                    <w:jc w:val="both"/>
                  </w:pPr>
                  <w:r w:rsidRPr="008D1831">
                    <w:lastRenderedPageBreak/>
                    <w:t>Projekts šo jomu neskar</w:t>
                  </w:r>
                  <w:r w:rsidR="004F0A53">
                    <w:t>.</w:t>
                  </w:r>
                </w:p>
                <w:p w:rsidR="00C669E8" w:rsidRPr="00212429" w:rsidRDefault="00C669E8" w:rsidP="00B0730C">
                  <w:pPr>
                    <w:framePr w:hSpace="180" w:wrap="around" w:vAnchor="text" w:hAnchor="margin" w:xAlign="center" w:y="149"/>
                    <w:jc w:val="both"/>
                  </w:pPr>
                </w:p>
              </w:tc>
            </w:tr>
            <w:tr w:rsidR="00C669E8" w:rsidRPr="00B420D2" w:rsidTr="00861B1E">
              <w:tc>
                <w:tcPr>
                  <w:tcW w:w="431" w:type="dxa"/>
                </w:tcPr>
                <w:p w:rsidR="00C669E8" w:rsidRPr="00B420D2" w:rsidRDefault="00C669E8" w:rsidP="00B0730C">
                  <w:pPr>
                    <w:framePr w:hSpace="180" w:wrap="around" w:vAnchor="text" w:hAnchor="margin" w:xAlign="center" w:y="149"/>
                  </w:pPr>
                  <w:r w:rsidRPr="00B420D2">
                    <w:lastRenderedPageBreak/>
                    <w:t xml:space="preserve">3. </w:t>
                  </w:r>
                </w:p>
              </w:tc>
              <w:tc>
                <w:tcPr>
                  <w:tcW w:w="2541" w:type="dxa"/>
                </w:tcPr>
                <w:p w:rsidR="00C669E8" w:rsidRPr="00B420D2" w:rsidRDefault="00C669E8" w:rsidP="00B0730C">
                  <w:pPr>
                    <w:framePr w:hSpace="180" w:wrap="around" w:vAnchor="text" w:hAnchor="margin" w:xAlign="center" w:y="149"/>
                  </w:pPr>
                  <w:r w:rsidRPr="00B420D2">
                    <w:t>Tiesiskā regulējuma finansiālā ietekme</w:t>
                  </w:r>
                </w:p>
              </w:tc>
              <w:tc>
                <w:tcPr>
                  <w:tcW w:w="6384" w:type="dxa"/>
                </w:tcPr>
                <w:p w:rsidR="00C669E8" w:rsidRPr="00212429" w:rsidRDefault="00B57AFA" w:rsidP="0015391D">
                  <w:pPr>
                    <w:framePr w:hSpace="180" w:wrap="around" w:vAnchor="text" w:hAnchor="margin" w:xAlign="center" w:y="149"/>
                    <w:jc w:val="both"/>
                  </w:pPr>
                  <w:r w:rsidRPr="00B57AFA">
                    <w:t>Projekts šo jomu neskar.</w:t>
                  </w:r>
                </w:p>
              </w:tc>
            </w:tr>
            <w:tr w:rsidR="00C669E8" w:rsidRPr="00B420D2" w:rsidTr="00861B1E">
              <w:tc>
                <w:tcPr>
                  <w:tcW w:w="431" w:type="dxa"/>
                </w:tcPr>
                <w:p w:rsidR="00C669E8" w:rsidRPr="00B420D2" w:rsidRDefault="00C669E8" w:rsidP="00B0730C">
                  <w:pPr>
                    <w:framePr w:hSpace="180" w:wrap="around" w:vAnchor="text" w:hAnchor="margin" w:xAlign="center" w:y="149"/>
                  </w:pPr>
                  <w:r w:rsidRPr="00B420D2">
                    <w:t>4.</w:t>
                  </w:r>
                </w:p>
              </w:tc>
              <w:tc>
                <w:tcPr>
                  <w:tcW w:w="2541" w:type="dxa"/>
                </w:tcPr>
                <w:p w:rsidR="00C669E8" w:rsidRPr="00B420D2" w:rsidRDefault="00C669E8" w:rsidP="00B0730C">
                  <w:pPr>
                    <w:framePr w:hSpace="180" w:wrap="around" w:vAnchor="text" w:hAnchor="margin" w:xAlign="center" w:y="149"/>
                  </w:pPr>
                  <w:r w:rsidRPr="00B420D2">
                    <w:t>Tiesiskā regulējuma nefinansiālā ietekme</w:t>
                  </w:r>
                </w:p>
              </w:tc>
              <w:tc>
                <w:tcPr>
                  <w:tcW w:w="6384" w:type="dxa"/>
                </w:tcPr>
                <w:p w:rsidR="00C669E8" w:rsidRPr="00212429" w:rsidRDefault="00C669E8" w:rsidP="00B0730C">
                  <w:pPr>
                    <w:framePr w:hSpace="180" w:wrap="around" w:vAnchor="text" w:hAnchor="margin" w:xAlign="center" w:y="149"/>
                    <w:autoSpaceDE w:val="0"/>
                    <w:autoSpaceDN w:val="0"/>
                    <w:adjustRightInd w:val="0"/>
                    <w:jc w:val="both"/>
                  </w:pPr>
                  <w:r w:rsidRPr="00212429">
                    <w:t xml:space="preserve"> </w:t>
                  </w:r>
                  <w:r w:rsidR="00183A9E" w:rsidRPr="00212429">
                    <w:rPr>
                      <w:iCs/>
                    </w:rPr>
                    <w:t>Projekts šo jomu neskar</w:t>
                  </w:r>
                  <w:r w:rsidR="004F0A53">
                    <w:rPr>
                      <w:iCs/>
                    </w:rPr>
                    <w:t>.</w:t>
                  </w:r>
                </w:p>
              </w:tc>
            </w:tr>
            <w:tr w:rsidR="00C669E8" w:rsidRPr="00B420D2" w:rsidTr="00861B1E">
              <w:tc>
                <w:tcPr>
                  <w:tcW w:w="431" w:type="dxa"/>
                </w:tcPr>
                <w:p w:rsidR="00C669E8" w:rsidRPr="00B420D2" w:rsidRDefault="00C669E8" w:rsidP="00B0730C">
                  <w:pPr>
                    <w:framePr w:hSpace="180" w:wrap="around" w:vAnchor="text" w:hAnchor="margin" w:xAlign="center" w:y="149"/>
                  </w:pPr>
                  <w:r w:rsidRPr="00B420D2">
                    <w:t>5.</w:t>
                  </w:r>
                </w:p>
              </w:tc>
              <w:tc>
                <w:tcPr>
                  <w:tcW w:w="2541" w:type="dxa"/>
                </w:tcPr>
                <w:p w:rsidR="00C669E8" w:rsidRPr="00B420D2" w:rsidRDefault="00C669E8" w:rsidP="00B0730C">
                  <w:pPr>
                    <w:framePr w:hSpace="180" w:wrap="around" w:vAnchor="text" w:hAnchor="margin" w:xAlign="center" w:y="149"/>
                  </w:pPr>
                  <w:r w:rsidRPr="00B420D2">
                    <w:t>Administratīvās procedūras raksturojums</w:t>
                  </w:r>
                </w:p>
              </w:tc>
              <w:tc>
                <w:tcPr>
                  <w:tcW w:w="6384" w:type="dxa"/>
                </w:tcPr>
                <w:p w:rsidR="00C669E8" w:rsidRPr="00212429" w:rsidRDefault="00104E35" w:rsidP="0015391D">
                  <w:pPr>
                    <w:framePr w:hSpace="180" w:wrap="around" w:vAnchor="text" w:hAnchor="margin" w:xAlign="center" w:y="149"/>
                    <w:tabs>
                      <w:tab w:val="left" w:pos="0"/>
                    </w:tabs>
                    <w:jc w:val="both"/>
                  </w:pPr>
                  <w:r w:rsidRPr="00104E35">
                    <w:t>Projekts šo jomu neskar.</w:t>
                  </w:r>
                </w:p>
              </w:tc>
            </w:tr>
            <w:tr w:rsidR="00C669E8" w:rsidRPr="00B420D2" w:rsidTr="00861B1E">
              <w:tc>
                <w:tcPr>
                  <w:tcW w:w="431" w:type="dxa"/>
                </w:tcPr>
                <w:p w:rsidR="00C669E8" w:rsidRPr="00B420D2" w:rsidRDefault="00C669E8" w:rsidP="00B0730C">
                  <w:pPr>
                    <w:framePr w:hSpace="180" w:wrap="around" w:vAnchor="text" w:hAnchor="margin" w:xAlign="center" w:y="149"/>
                  </w:pPr>
                  <w:r w:rsidRPr="00B420D2">
                    <w:t>6.</w:t>
                  </w:r>
                </w:p>
              </w:tc>
              <w:tc>
                <w:tcPr>
                  <w:tcW w:w="2541" w:type="dxa"/>
                </w:tcPr>
                <w:p w:rsidR="00C669E8" w:rsidRPr="00B420D2" w:rsidRDefault="00C669E8" w:rsidP="00B0730C">
                  <w:pPr>
                    <w:framePr w:hSpace="180" w:wrap="around" w:vAnchor="text" w:hAnchor="margin" w:xAlign="center" w:y="149"/>
                  </w:pPr>
                  <w:r w:rsidRPr="00B420D2">
                    <w:t>Administratīvo izmaksu monetārs novērtējums</w:t>
                  </w:r>
                </w:p>
              </w:tc>
              <w:tc>
                <w:tcPr>
                  <w:tcW w:w="6384" w:type="dxa"/>
                </w:tcPr>
                <w:p w:rsidR="00C669E8" w:rsidRPr="00212429" w:rsidRDefault="00C669E8" w:rsidP="00B0730C">
                  <w:pPr>
                    <w:framePr w:hSpace="180" w:wrap="around" w:vAnchor="text" w:hAnchor="margin" w:xAlign="center" w:y="149"/>
                    <w:jc w:val="both"/>
                  </w:pPr>
                  <w:r w:rsidRPr="00212429">
                    <w:rPr>
                      <w:iCs/>
                    </w:rPr>
                    <w:t>Projekts šo jomu neskar</w:t>
                  </w:r>
                  <w:r w:rsidR="004F0A53">
                    <w:rPr>
                      <w:iCs/>
                    </w:rPr>
                    <w:t>.</w:t>
                  </w:r>
                </w:p>
              </w:tc>
            </w:tr>
            <w:tr w:rsidR="00C669E8" w:rsidRPr="00B420D2" w:rsidTr="00861B1E">
              <w:tc>
                <w:tcPr>
                  <w:tcW w:w="431" w:type="dxa"/>
                </w:tcPr>
                <w:p w:rsidR="00C669E8" w:rsidRPr="00B420D2" w:rsidRDefault="00C669E8" w:rsidP="00B0730C">
                  <w:pPr>
                    <w:framePr w:hSpace="180" w:wrap="around" w:vAnchor="text" w:hAnchor="margin" w:xAlign="center" w:y="149"/>
                  </w:pPr>
                  <w:r w:rsidRPr="00B420D2">
                    <w:t xml:space="preserve">7. </w:t>
                  </w:r>
                </w:p>
              </w:tc>
              <w:tc>
                <w:tcPr>
                  <w:tcW w:w="2541" w:type="dxa"/>
                </w:tcPr>
                <w:p w:rsidR="00C669E8" w:rsidRPr="00B420D2" w:rsidRDefault="00C669E8" w:rsidP="00B0730C">
                  <w:pPr>
                    <w:framePr w:hSpace="180" w:wrap="around" w:vAnchor="text" w:hAnchor="margin" w:xAlign="center" w:y="149"/>
                  </w:pPr>
                  <w:r w:rsidRPr="00B420D2">
                    <w:t>Cita informācija</w:t>
                  </w:r>
                </w:p>
              </w:tc>
              <w:tc>
                <w:tcPr>
                  <w:tcW w:w="6384" w:type="dxa"/>
                </w:tcPr>
                <w:p w:rsidR="00C669E8" w:rsidRPr="00212429" w:rsidRDefault="00C669E8" w:rsidP="00B0730C">
                  <w:pPr>
                    <w:pStyle w:val="naiskr"/>
                    <w:framePr w:hSpace="180" w:wrap="around" w:vAnchor="text" w:hAnchor="margin" w:xAlign="center" w:y="149"/>
                    <w:spacing w:before="0" w:after="0"/>
                    <w:jc w:val="both"/>
                  </w:pPr>
                  <w:r w:rsidRPr="00212429">
                    <w:t>Nav</w:t>
                  </w:r>
                </w:p>
              </w:tc>
            </w:tr>
          </w:tbl>
          <w:p w:rsidR="006C4F62" w:rsidRPr="00C426C3" w:rsidRDefault="006C4F62" w:rsidP="006C4F62">
            <w:pPr>
              <w:pStyle w:val="naisnod"/>
              <w:ind w:left="360"/>
              <w:rPr>
                <w:sz w:val="22"/>
                <w:szCs w:val="22"/>
              </w:rPr>
            </w:pPr>
            <w:r w:rsidRPr="006C4F62">
              <w:t>VII. Tiesību akta projekta izpildes nodrošināšana un tās ietekme uz institūcijām</w:t>
            </w:r>
          </w:p>
        </w:tc>
      </w:tr>
      <w:tr w:rsidR="006C4F62" w:rsidRPr="00261CAD" w:rsidTr="00333C34">
        <w:trPr>
          <w:tblCellSpacing w:w="0" w:type="dxa"/>
        </w:trPr>
        <w:tc>
          <w:tcPr>
            <w:tcW w:w="471" w:type="dxa"/>
            <w:vAlign w:val="center"/>
          </w:tcPr>
          <w:p w:rsidR="006C4F62" w:rsidRPr="00C40595" w:rsidRDefault="006C4F62" w:rsidP="00AA75EA">
            <w:pPr>
              <w:pStyle w:val="naiskr"/>
              <w:jc w:val="center"/>
              <w:rPr>
                <w:sz w:val="22"/>
                <w:szCs w:val="22"/>
              </w:rPr>
            </w:pPr>
            <w:r>
              <w:rPr>
                <w:sz w:val="22"/>
                <w:szCs w:val="22"/>
              </w:rPr>
              <w:lastRenderedPageBreak/>
              <w:t>1.</w:t>
            </w:r>
          </w:p>
        </w:tc>
        <w:tc>
          <w:tcPr>
            <w:tcW w:w="4801" w:type="dxa"/>
            <w:gridSpan w:val="2"/>
            <w:vAlign w:val="center"/>
          </w:tcPr>
          <w:p w:rsidR="006C4F62" w:rsidRPr="00E341C3" w:rsidRDefault="00EC02C1" w:rsidP="005A0D6C">
            <w:pPr>
              <w:pStyle w:val="naiskr"/>
              <w:ind w:left="170"/>
              <w:jc w:val="both"/>
            </w:pPr>
            <w:r w:rsidRPr="00E341C3">
              <w:t>Projekta izpildē iesaistītās institūcijas</w:t>
            </w:r>
          </w:p>
        </w:tc>
        <w:tc>
          <w:tcPr>
            <w:tcW w:w="4114" w:type="dxa"/>
            <w:vAlign w:val="center"/>
          </w:tcPr>
          <w:p w:rsidR="006C4F62" w:rsidRDefault="00E341C3" w:rsidP="00A238C1">
            <w:pPr>
              <w:rPr>
                <w:lang w:eastAsia="en-US"/>
              </w:rPr>
            </w:pPr>
            <w:r w:rsidRPr="00DC5F9C">
              <w:t>Finanšu ministrija, Centrālā finanšu un līgumu aģentūra</w:t>
            </w:r>
            <w:r w:rsidR="00D9135E" w:rsidRPr="00DC5F9C">
              <w:t>,</w:t>
            </w:r>
            <w:r w:rsidR="00DC5F9C" w:rsidRPr="00DC5F9C">
              <w:rPr>
                <w:lang w:eastAsia="en-US"/>
              </w:rPr>
              <w:t xml:space="preserve"> </w:t>
            </w:r>
            <w:r w:rsidR="00DC5F9C">
              <w:rPr>
                <w:lang w:eastAsia="en-US"/>
              </w:rPr>
              <w:t xml:space="preserve">Kultūras ministrija, Satiksmes ministrija, </w:t>
            </w:r>
            <w:r w:rsidR="00DC5F9C" w:rsidRPr="00DC5F9C">
              <w:rPr>
                <w:lang w:eastAsia="en-US"/>
              </w:rPr>
              <w:t>Izglītības un zinātnes</w:t>
            </w:r>
            <w:r w:rsidR="00DC5F9C">
              <w:rPr>
                <w:lang w:eastAsia="en-US"/>
              </w:rPr>
              <w:t xml:space="preserve"> ministrija, Veselības ministrija, Labklājības ministrija, Ekonomikas ministrija</w:t>
            </w:r>
            <w:r w:rsidR="00A238C1">
              <w:rPr>
                <w:lang w:eastAsia="en-US"/>
              </w:rPr>
              <w:t xml:space="preserve">, </w:t>
            </w:r>
            <w:r w:rsidR="00DC5F9C" w:rsidRPr="00DC5F9C">
              <w:rPr>
                <w:lang w:eastAsia="en-US"/>
              </w:rPr>
              <w:t>Vides aizsardzības un r</w:t>
            </w:r>
            <w:r w:rsidR="00A238C1">
              <w:rPr>
                <w:lang w:eastAsia="en-US"/>
              </w:rPr>
              <w:t xml:space="preserve">eģionālās attīstības ministrija, Valsts kanceleja, Valsts kase, </w:t>
            </w:r>
            <w:r w:rsidR="00DC5F9C" w:rsidRPr="00DC5F9C">
              <w:rPr>
                <w:lang w:eastAsia="en-US"/>
              </w:rPr>
              <w:t>Valsts iz</w:t>
            </w:r>
            <w:r w:rsidR="00A238C1">
              <w:rPr>
                <w:lang w:eastAsia="en-US"/>
              </w:rPr>
              <w:t xml:space="preserve">glītības un attīstības aģentūra, </w:t>
            </w:r>
            <w:r w:rsidR="00DC5F9C" w:rsidRPr="00DC5F9C">
              <w:rPr>
                <w:lang w:eastAsia="en-US"/>
              </w:rPr>
              <w:t>Valsts</w:t>
            </w:r>
            <w:r w:rsidR="00A238C1">
              <w:rPr>
                <w:lang w:eastAsia="en-US"/>
              </w:rPr>
              <w:t xml:space="preserve"> reģionālās attīstības aģentūra, </w:t>
            </w:r>
            <w:r w:rsidR="00DC5F9C" w:rsidRPr="00DC5F9C">
              <w:rPr>
                <w:lang w:eastAsia="en-US"/>
              </w:rPr>
              <w:t xml:space="preserve">Latvijas </w:t>
            </w:r>
            <w:r w:rsidR="00A238C1">
              <w:rPr>
                <w:lang w:eastAsia="en-US"/>
              </w:rPr>
              <w:t xml:space="preserve">investīciju </w:t>
            </w:r>
            <w:r w:rsidR="005F5014">
              <w:rPr>
                <w:lang w:eastAsia="en-US"/>
              </w:rPr>
              <w:t xml:space="preserve">un </w:t>
            </w:r>
            <w:r w:rsidR="00A238C1">
              <w:rPr>
                <w:lang w:eastAsia="en-US"/>
              </w:rPr>
              <w:t>attīstības aģentūra, Nodarbinātības valsts aģentūra, Sabiedrības integrācijas fonds, Iepirkumu uzraudzības birojs, Kurzemes plānošanas reģions, Latgales plānošanas reģions, Vidzemes plānošanas reģions, Zemgales plānošanas reģions, Rīgas plānošan</w:t>
            </w:r>
            <w:r w:rsidR="009373D8">
              <w:rPr>
                <w:lang w:eastAsia="en-US"/>
              </w:rPr>
              <w:t>as reģions</w:t>
            </w:r>
            <w:r w:rsidR="00A238C1">
              <w:rPr>
                <w:lang w:eastAsia="en-US"/>
              </w:rPr>
              <w:t>.</w:t>
            </w:r>
          </w:p>
          <w:p w:rsidR="00B25E6C" w:rsidRPr="00E341C3" w:rsidRDefault="00B25E6C" w:rsidP="00A238C1">
            <w:pPr>
              <w:rPr>
                <w:lang w:eastAsia="en-US"/>
              </w:rPr>
            </w:pPr>
          </w:p>
        </w:tc>
      </w:tr>
      <w:tr w:rsidR="006C4F62" w:rsidRPr="00261CAD" w:rsidTr="00333C34">
        <w:trPr>
          <w:tblCellSpacing w:w="0" w:type="dxa"/>
        </w:trPr>
        <w:tc>
          <w:tcPr>
            <w:tcW w:w="471" w:type="dxa"/>
            <w:vAlign w:val="center"/>
          </w:tcPr>
          <w:p w:rsidR="006C4F62" w:rsidRPr="00C40595" w:rsidRDefault="006C4F62" w:rsidP="00AA75EA">
            <w:pPr>
              <w:pStyle w:val="naiskr"/>
              <w:jc w:val="center"/>
              <w:rPr>
                <w:sz w:val="22"/>
                <w:szCs w:val="22"/>
              </w:rPr>
            </w:pPr>
            <w:r>
              <w:rPr>
                <w:sz w:val="22"/>
                <w:szCs w:val="22"/>
              </w:rPr>
              <w:t>2.</w:t>
            </w:r>
          </w:p>
        </w:tc>
        <w:tc>
          <w:tcPr>
            <w:tcW w:w="4801" w:type="dxa"/>
            <w:gridSpan w:val="2"/>
            <w:vAlign w:val="center"/>
          </w:tcPr>
          <w:p w:rsidR="006C4F62" w:rsidRPr="00E341C3" w:rsidRDefault="00EC02C1" w:rsidP="005A0D6C">
            <w:pPr>
              <w:pStyle w:val="naiskr"/>
              <w:ind w:left="170"/>
              <w:jc w:val="both"/>
            </w:pPr>
            <w:r w:rsidRPr="00E341C3">
              <w:t>Projekta izpildes ietekme uz pārvaldes funkcijām</w:t>
            </w:r>
          </w:p>
        </w:tc>
        <w:tc>
          <w:tcPr>
            <w:tcW w:w="4114" w:type="dxa"/>
            <w:vAlign w:val="center"/>
          </w:tcPr>
          <w:p w:rsidR="006C4F62" w:rsidRPr="00C426C3" w:rsidRDefault="005A0D6C" w:rsidP="005A0D6C">
            <w:pPr>
              <w:pStyle w:val="naiskr"/>
              <w:ind w:left="170" w:right="170"/>
              <w:jc w:val="both"/>
              <w:rPr>
                <w:sz w:val="22"/>
                <w:szCs w:val="22"/>
              </w:rPr>
            </w:pPr>
            <w:r>
              <w:t>Projekta izpilde neietekmē institūciju funkcijas un uzdevumus.</w:t>
            </w:r>
          </w:p>
        </w:tc>
      </w:tr>
      <w:tr w:rsidR="006C4F62" w:rsidRPr="00261CAD" w:rsidTr="00333C34">
        <w:trPr>
          <w:tblCellSpacing w:w="0" w:type="dxa"/>
        </w:trPr>
        <w:tc>
          <w:tcPr>
            <w:tcW w:w="471" w:type="dxa"/>
            <w:vAlign w:val="center"/>
          </w:tcPr>
          <w:p w:rsidR="006C4F62" w:rsidRPr="00C40595" w:rsidRDefault="006C4F62" w:rsidP="00AA75EA">
            <w:pPr>
              <w:pStyle w:val="naiskr"/>
              <w:jc w:val="center"/>
              <w:rPr>
                <w:sz w:val="22"/>
                <w:szCs w:val="22"/>
              </w:rPr>
            </w:pPr>
            <w:r>
              <w:rPr>
                <w:sz w:val="22"/>
                <w:szCs w:val="22"/>
              </w:rPr>
              <w:t>3.</w:t>
            </w:r>
          </w:p>
        </w:tc>
        <w:tc>
          <w:tcPr>
            <w:tcW w:w="4801" w:type="dxa"/>
            <w:gridSpan w:val="2"/>
            <w:vAlign w:val="center"/>
          </w:tcPr>
          <w:p w:rsidR="00EC02C1" w:rsidRPr="00EC02C1" w:rsidRDefault="00EC02C1" w:rsidP="005A0D6C">
            <w:pPr>
              <w:pStyle w:val="naiskr"/>
              <w:ind w:left="170"/>
              <w:jc w:val="both"/>
            </w:pPr>
            <w:r w:rsidRPr="00EC02C1">
              <w:t>Projekta izpildes ietekme uz pārvaldes institucionālo struktūru.</w:t>
            </w:r>
          </w:p>
          <w:p w:rsidR="006C4F62" w:rsidRPr="00E341C3" w:rsidRDefault="00EC02C1" w:rsidP="005A0D6C">
            <w:pPr>
              <w:pStyle w:val="naiskr"/>
              <w:ind w:left="170"/>
              <w:jc w:val="both"/>
            </w:pPr>
            <w:r w:rsidRPr="00EC02C1">
              <w:t>Jaunu institūciju izveide</w:t>
            </w:r>
          </w:p>
        </w:tc>
        <w:tc>
          <w:tcPr>
            <w:tcW w:w="4114" w:type="dxa"/>
            <w:vAlign w:val="center"/>
          </w:tcPr>
          <w:p w:rsidR="006C4F62" w:rsidRPr="00C426C3" w:rsidRDefault="005A0D6C" w:rsidP="005A0D6C">
            <w:pPr>
              <w:pStyle w:val="naiskr"/>
              <w:ind w:left="170" w:right="170"/>
              <w:jc w:val="both"/>
              <w:rPr>
                <w:sz w:val="22"/>
                <w:szCs w:val="22"/>
              </w:rPr>
            </w:pPr>
            <w:r>
              <w:t>Saistībā ar projekta izpildi nav nepieciešams veidot jaunas institūcijas.</w:t>
            </w:r>
          </w:p>
        </w:tc>
      </w:tr>
      <w:tr w:rsidR="006C4F62" w:rsidRPr="00261CAD" w:rsidTr="00333C34">
        <w:trPr>
          <w:tblCellSpacing w:w="0" w:type="dxa"/>
        </w:trPr>
        <w:tc>
          <w:tcPr>
            <w:tcW w:w="471" w:type="dxa"/>
            <w:vAlign w:val="center"/>
          </w:tcPr>
          <w:p w:rsidR="006C4F62" w:rsidRDefault="006C4F62" w:rsidP="00AA75EA">
            <w:pPr>
              <w:pStyle w:val="naiskr"/>
              <w:jc w:val="center"/>
              <w:rPr>
                <w:sz w:val="22"/>
                <w:szCs w:val="22"/>
              </w:rPr>
            </w:pPr>
            <w:r>
              <w:rPr>
                <w:sz w:val="22"/>
                <w:szCs w:val="22"/>
              </w:rPr>
              <w:t>4.</w:t>
            </w:r>
          </w:p>
        </w:tc>
        <w:tc>
          <w:tcPr>
            <w:tcW w:w="4801" w:type="dxa"/>
            <w:gridSpan w:val="2"/>
            <w:vAlign w:val="center"/>
          </w:tcPr>
          <w:p w:rsidR="00EC02C1" w:rsidRPr="00EC02C1" w:rsidRDefault="00EC02C1" w:rsidP="005A0D6C">
            <w:pPr>
              <w:pStyle w:val="naiskr"/>
              <w:ind w:left="170"/>
              <w:jc w:val="both"/>
            </w:pPr>
            <w:r w:rsidRPr="00EC02C1">
              <w:t>Projekta izpildes ietekme uz pārvaldes institucionālo struktūru.</w:t>
            </w:r>
          </w:p>
          <w:p w:rsidR="006C4F62" w:rsidRPr="00E341C3" w:rsidRDefault="00EC02C1" w:rsidP="005A0D6C">
            <w:pPr>
              <w:pStyle w:val="naiskr"/>
              <w:ind w:left="170"/>
              <w:jc w:val="both"/>
            </w:pPr>
            <w:r w:rsidRPr="00EC02C1">
              <w:t>Esošu institūciju likvidācija</w:t>
            </w:r>
          </w:p>
        </w:tc>
        <w:tc>
          <w:tcPr>
            <w:tcW w:w="4114" w:type="dxa"/>
            <w:vAlign w:val="center"/>
          </w:tcPr>
          <w:p w:rsidR="006C4F62" w:rsidRPr="00C426C3" w:rsidRDefault="005A0D6C" w:rsidP="00E202AF">
            <w:pPr>
              <w:pStyle w:val="naiskr"/>
              <w:ind w:left="170" w:right="170"/>
              <w:jc w:val="both"/>
              <w:rPr>
                <w:sz w:val="22"/>
                <w:szCs w:val="22"/>
              </w:rPr>
            </w:pPr>
            <w:r>
              <w:t>Saistībā ar projekta izpildi nav plānots likvidēt esoš</w:t>
            </w:r>
            <w:r w:rsidR="00E202AF">
              <w:t>a</w:t>
            </w:r>
            <w:r w:rsidR="008126C5">
              <w:t>s</w:t>
            </w:r>
            <w:r>
              <w:t xml:space="preserve"> </w:t>
            </w:r>
            <w:r w:rsidR="008126C5">
              <w:t>institūcijas</w:t>
            </w:r>
            <w:r>
              <w:t>.</w:t>
            </w:r>
          </w:p>
        </w:tc>
      </w:tr>
      <w:tr w:rsidR="006C4F62" w:rsidRPr="00261CAD" w:rsidTr="00333C34">
        <w:trPr>
          <w:tblCellSpacing w:w="0" w:type="dxa"/>
        </w:trPr>
        <w:tc>
          <w:tcPr>
            <w:tcW w:w="471" w:type="dxa"/>
            <w:vAlign w:val="center"/>
          </w:tcPr>
          <w:p w:rsidR="006C4F62" w:rsidRDefault="006C4F62" w:rsidP="00AA75EA">
            <w:pPr>
              <w:pStyle w:val="naiskr"/>
              <w:jc w:val="center"/>
              <w:rPr>
                <w:sz w:val="22"/>
                <w:szCs w:val="22"/>
              </w:rPr>
            </w:pPr>
            <w:r>
              <w:rPr>
                <w:sz w:val="22"/>
                <w:szCs w:val="22"/>
              </w:rPr>
              <w:t>5.</w:t>
            </w:r>
          </w:p>
        </w:tc>
        <w:tc>
          <w:tcPr>
            <w:tcW w:w="4801" w:type="dxa"/>
            <w:gridSpan w:val="2"/>
            <w:vAlign w:val="center"/>
          </w:tcPr>
          <w:p w:rsidR="00EC02C1" w:rsidRPr="00EC02C1" w:rsidRDefault="00EC02C1" w:rsidP="005A0D6C">
            <w:pPr>
              <w:pStyle w:val="naiskr"/>
              <w:ind w:left="170"/>
              <w:jc w:val="both"/>
            </w:pPr>
            <w:r w:rsidRPr="00EC02C1">
              <w:t>Projekta izpildes ietekme uz pārvaldes institucionālo struktūru.</w:t>
            </w:r>
          </w:p>
          <w:p w:rsidR="006C4F62" w:rsidRPr="00E341C3" w:rsidRDefault="00EC02C1" w:rsidP="005A0D6C">
            <w:pPr>
              <w:pStyle w:val="naiskr"/>
              <w:ind w:left="170"/>
              <w:jc w:val="both"/>
            </w:pPr>
            <w:r w:rsidRPr="00EC02C1">
              <w:t>Esošu institūciju reorganizācija</w:t>
            </w:r>
          </w:p>
        </w:tc>
        <w:tc>
          <w:tcPr>
            <w:tcW w:w="4114" w:type="dxa"/>
            <w:vAlign w:val="center"/>
          </w:tcPr>
          <w:p w:rsidR="006C4F62" w:rsidRPr="00C426C3" w:rsidRDefault="005A0D6C" w:rsidP="00E202AF">
            <w:pPr>
              <w:pStyle w:val="naiskr"/>
              <w:ind w:left="170" w:right="170"/>
              <w:jc w:val="both"/>
              <w:rPr>
                <w:sz w:val="22"/>
                <w:szCs w:val="22"/>
              </w:rPr>
            </w:pPr>
            <w:r>
              <w:t xml:space="preserve">Saistībā ar projekta izpildi nav plānots reorganizēt </w:t>
            </w:r>
            <w:r w:rsidR="00E202AF">
              <w:t xml:space="preserve">esošas institūcijas </w:t>
            </w:r>
            <w:r>
              <w:t>vai arī apvienot esošas institūcijas.</w:t>
            </w:r>
          </w:p>
        </w:tc>
      </w:tr>
      <w:tr w:rsidR="006C4F62" w:rsidRPr="00261CAD" w:rsidTr="00333C34">
        <w:trPr>
          <w:tblCellSpacing w:w="0" w:type="dxa"/>
        </w:trPr>
        <w:tc>
          <w:tcPr>
            <w:tcW w:w="471" w:type="dxa"/>
            <w:vAlign w:val="center"/>
          </w:tcPr>
          <w:p w:rsidR="006C4F62" w:rsidRDefault="006C4F62" w:rsidP="00AA75EA">
            <w:pPr>
              <w:pStyle w:val="naiskr"/>
              <w:jc w:val="center"/>
              <w:rPr>
                <w:sz w:val="22"/>
                <w:szCs w:val="22"/>
              </w:rPr>
            </w:pPr>
            <w:r>
              <w:rPr>
                <w:sz w:val="22"/>
                <w:szCs w:val="22"/>
              </w:rPr>
              <w:lastRenderedPageBreak/>
              <w:t>6.</w:t>
            </w:r>
          </w:p>
        </w:tc>
        <w:tc>
          <w:tcPr>
            <w:tcW w:w="4801" w:type="dxa"/>
            <w:gridSpan w:val="2"/>
            <w:vAlign w:val="center"/>
          </w:tcPr>
          <w:p w:rsidR="006C4F62" w:rsidRPr="00E341C3" w:rsidRDefault="00EC02C1" w:rsidP="005A0D6C">
            <w:pPr>
              <w:pStyle w:val="naiskr"/>
              <w:ind w:left="170"/>
              <w:jc w:val="both"/>
            </w:pPr>
            <w:r w:rsidRPr="00E341C3">
              <w:t>Cita informācija</w:t>
            </w:r>
          </w:p>
        </w:tc>
        <w:tc>
          <w:tcPr>
            <w:tcW w:w="4114" w:type="dxa"/>
            <w:vAlign w:val="center"/>
          </w:tcPr>
          <w:p w:rsidR="006C4F62" w:rsidRDefault="005A0D6C" w:rsidP="005A0D6C">
            <w:pPr>
              <w:pStyle w:val="naiskr"/>
              <w:ind w:left="170" w:right="170"/>
              <w:jc w:val="both"/>
              <w:rPr>
                <w:sz w:val="22"/>
                <w:szCs w:val="22"/>
              </w:rPr>
            </w:pPr>
            <w:r>
              <w:rPr>
                <w:sz w:val="22"/>
                <w:szCs w:val="22"/>
              </w:rPr>
              <w:t>Nav.</w:t>
            </w:r>
          </w:p>
          <w:p w:rsidR="00B25E6C" w:rsidRPr="00C426C3" w:rsidRDefault="00B25E6C" w:rsidP="00B25E6C">
            <w:pPr>
              <w:pStyle w:val="naiskr"/>
              <w:ind w:right="170"/>
              <w:jc w:val="both"/>
              <w:rPr>
                <w:sz w:val="22"/>
                <w:szCs w:val="22"/>
              </w:rPr>
            </w:pPr>
          </w:p>
        </w:tc>
      </w:tr>
    </w:tbl>
    <w:p w:rsidR="000D5243" w:rsidRPr="000D5243" w:rsidRDefault="007B4B15" w:rsidP="006C35EF">
      <w:pPr>
        <w:ind w:right="170"/>
        <w:jc w:val="both"/>
      </w:pPr>
      <w:r>
        <w:t>Anotācijas</w:t>
      </w:r>
      <w:r w:rsidR="00766A94">
        <w:t xml:space="preserve"> III, IV</w:t>
      </w:r>
      <w:r w:rsidR="000D5243">
        <w:t>,</w:t>
      </w:r>
      <w:r w:rsidR="000D5243" w:rsidRPr="000D5243">
        <w:t xml:space="preserve"> </w:t>
      </w:r>
      <w:r w:rsidR="00F66E8D">
        <w:t>V un</w:t>
      </w:r>
      <w:r w:rsidR="00501BBB">
        <w:t xml:space="preserve"> </w:t>
      </w:r>
      <w:r w:rsidR="00F66E8D">
        <w:t>VI</w:t>
      </w:r>
      <w:r w:rsidR="000D5243" w:rsidRPr="000D5243">
        <w:t xml:space="preserve"> sadaļa</w:t>
      </w:r>
      <w:r w:rsidR="00F66E8D">
        <w:t>: noteikumu projekts šo jomu neskar</w:t>
      </w:r>
      <w:r w:rsidR="000D5243" w:rsidRPr="000D5243">
        <w:t>.</w:t>
      </w:r>
    </w:p>
    <w:p w:rsidR="00FF0237" w:rsidRDefault="00FF0237" w:rsidP="00EC498C">
      <w:pPr>
        <w:tabs>
          <w:tab w:val="left" w:pos="6804"/>
        </w:tabs>
        <w:rPr>
          <w:sz w:val="28"/>
          <w:szCs w:val="28"/>
        </w:rPr>
      </w:pPr>
    </w:p>
    <w:p w:rsidR="00F117C1" w:rsidRDefault="00F117C1" w:rsidP="00EC498C">
      <w:pPr>
        <w:tabs>
          <w:tab w:val="left" w:pos="6804"/>
        </w:tabs>
        <w:rPr>
          <w:sz w:val="28"/>
          <w:szCs w:val="28"/>
        </w:rPr>
      </w:pPr>
    </w:p>
    <w:p w:rsidR="008627B9" w:rsidRPr="008627B9" w:rsidRDefault="002838AD" w:rsidP="008627B9">
      <w:pPr>
        <w:tabs>
          <w:tab w:val="left" w:pos="6804"/>
        </w:tabs>
        <w:ind w:left="-142"/>
        <w:rPr>
          <w:bCs/>
          <w:sz w:val="28"/>
          <w:szCs w:val="28"/>
        </w:rPr>
      </w:pPr>
      <w:r>
        <w:rPr>
          <w:bCs/>
          <w:sz w:val="28"/>
          <w:szCs w:val="28"/>
        </w:rPr>
        <w:t>Finanšu ministrs</w:t>
      </w:r>
    </w:p>
    <w:p w:rsidR="002A5D3E" w:rsidRDefault="00A90485" w:rsidP="008627B9">
      <w:pPr>
        <w:tabs>
          <w:tab w:val="left" w:pos="6804"/>
        </w:tabs>
        <w:ind w:left="-142"/>
        <w:rPr>
          <w:sz w:val="28"/>
          <w:szCs w:val="28"/>
        </w:rPr>
      </w:pPr>
      <w:r>
        <w:rPr>
          <w:bCs/>
          <w:sz w:val="28"/>
          <w:szCs w:val="28"/>
        </w:rPr>
        <w:tab/>
      </w:r>
      <w:r>
        <w:rPr>
          <w:bCs/>
          <w:sz w:val="28"/>
          <w:szCs w:val="28"/>
        </w:rPr>
        <w:tab/>
      </w:r>
      <w:r w:rsidR="002838AD">
        <w:rPr>
          <w:bCs/>
          <w:sz w:val="28"/>
          <w:szCs w:val="28"/>
        </w:rPr>
        <w:t>A.Vilks</w:t>
      </w:r>
    </w:p>
    <w:p w:rsidR="001F2998" w:rsidRPr="00F117C1" w:rsidRDefault="001F2998" w:rsidP="00582D68">
      <w:pPr>
        <w:jc w:val="both"/>
        <w:rPr>
          <w:sz w:val="22"/>
          <w:szCs w:val="22"/>
        </w:rPr>
      </w:pPr>
    </w:p>
    <w:p w:rsidR="00E520AC" w:rsidRPr="00F117C1" w:rsidRDefault="00E520AC" w:rsidP="00582D68">
      <w:pPr>
        <w:jc w:val="both"/>
        <w:rPr>
          <w:sz w:val="22"/>
          <w:szCs w:val="22"/>
        </w:rPr>
      </w:pPr>
    </w:p>
    <w:p w:rsidR="002A5D3E" w:rsidRPr="00F117C1" w:rsidRDefault="002A5D3E" w:rsidP="002A5D3E">
      <w:pPr>
        <w:jc w:val="both"/>
        <w:rPr>
          <w:sz w:val="22"/>
          <w:szCs w:val="22"/>
        </w:rPr>
      </w:pPr>
      <w:r w:rsidRPr="00F117C1">
        <w:rPr>
          <w:sz w:val="22"/>
          <w:szCs w:val="22"/>
        </w:rPr>
        <w:fldChar w:fldCharType="begin"/>
      </w:r>
      <w:r w:rsidRPr="00F117C1">
        <w:rPr>
          <w:sz w:val="22"/>
          <w:szCs w:val="22"/>
        </w:rPr>
        <w:instrText xml:space="preserve"> PRINTDATE  \@ "dd.MM.yy. H:mm"  \* MERGEFORMAT </w:instrText>
      </w:r>
      <w:r w:rsidRPr="00F117C1">
        <w:rPr>
          <w:sz w:val="22"/>
          <w:szCs w:val="22"/>
        </w:rPr>
        <w:fldChar w:fldCharType="separate"/>
      </w:r>
      <w:r w:rsidR="0036232E">
        <w:rPr>
          <w:noProof/>
          <w:sz w:val="22"/>
          <w:szCs w:val="22"/>
        </w:rPr>
        <w:t>23</w:t>
      </w:r>
      <w:r w:rsidR="00961764">
        <w:rPr>
          <w:noProof/>
          <w:sz w:val="22"/>
          <w:szCs w:val="22"/>
        </w:rPr>
        <w:t>.05</w:t>
      </w:r>
      <w:r w:rsidR="00EB7734">
        <w:rPr>
          <w:noProof/>
          <w:sz w:val="22"/>
          <w:szCs w:val="22"/>
        </w:rPr>
        <w:t>.12. 15:01</w:t>
      </w:r>
      <w:r w:rsidRPr="00F117C1">
        <w:rPr>
          <w:sz w:val="22"/>
          <w:szCs w:val="22"/>
        </w:rPr>
        <w:fldChar w:fldCharType="end"/>
      </w:r>
    </w:p>
    <w:p w:rsidR="002A5D3E" w:rsidRPr="00F117C1" w:rsidRDefault="00D94CA6" w:rsidP="002A5D3E">
      <w:pPr>
        <w:jc w:val="both"/>
        <w:rPr>
          <w:sz w:val="22"/>
          <w:szCs w:val="22"/>
        </w:rPr>
      </w:pPr>
      <w:r>
        <w:rPr>
          <w:sz w:val="22"/>
          <w:szCs w:val="22"/>
        </w:rPr>
        <w:t>1 048</w:t>
      </w:r>
    </w:p>
    <w:p w:rsidR="002A5D3E" w:rsidRPr="00F117C1" w:rsidRDefault="00D7640D" w:rsidP="002A5D3E">
      <w:pPr>
        <w:jc w:val="both"/>
        <w:rPr>
          <w:noProof/>
          <w:sz w:val="22"/>
          <w:szCs w:val="22"/>
        </w:rPr>
      </w:pPr>
      <w:r w:rsidRPr="00F117C1">
        <w:rPr>
          <w:noProof/>
          <w:sz w:val="22"/>
          <w:szCs w:val="22"/>
        </w:rPr>
        <w:t>Edgars Zandbergs</w:t>
      </w:r>
    </w:p>
    <w:bookmarkStart w:id="0" w:name="_GoBack"/>
    <w:p w:rsidR="00907DFF" w:rsidRPr="00F117C1" w:rsidRDefault="006052D5" w:rsidP="00582D68">
      <w:pPr>
        <w:jc w:val="both"/>
        <w:rPr>
          <w:sz w:val="22"/>
          <w:szCs w:val="22"/>
        </w:rPr>
      </w:pPr>
      <w:r>
        <w:fldChar w:fldCharType="begin"/>
      </w:r>
      <w:r>
        <w:instrText xml:space="preserve"> COMMENTS   \* MERGEFORMAT </w:instrText>
      </w:r>
      <w:r>
        <w:fldChar w:fldCharType="separate"/>
      </w:r>
      <w:r w:rsidR="00D7640D" w:rsidRPr="00F117C1">
        <w:rPr>
          <w:noProof/>
          <w:sz w:val="22"/>
          <w:szCs w:val="22"/>
        </w:rPr>
        <w:t>Edgars.Zandbergs@fm.gov.lv, tālr. 67</w:t>
      </w:r>
      <w:r>
        <w:rPr>
          <w:noProof/>
          <w:sz w:val="22"/>
          <w:szCs w:val="22"/>
        </w:rPr>
        <w:fldChar w:fldCharType="end"/>
      </w:r>
      <w:r w:rsidR="00D7640D" w:rsidRPr="00F117C1">
        <w:rPr>
          <w:noProof/>
          <w:sz w:val="22"/>
          <w:szCs w:val="22"/>
        </w:rPr>
        <w:t>095532</w:t>
      </w:r>
      <w:bookmarkEnd w:id="0"/>
    </w:p>
    <w:sectPr w:rsidR="00907DFF" w:rsidRPr="00F117C1" w:rsidSect="00AA75EA">
      <w:headerReference w:type="even" r:id="rId9"/>
      <w:headerReference w:type="default" r:id="rId10"/>
      <w:footerReference w:type="defaul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2A" w:rsidRDefault="0088682A" w:rsidP="00844DB2">
      <w:pPr>
        <w:pStyle w:val="naiskr"/>
      </w:pPr>
      <w:r>
        <w:separator/>
      </w:r>
    </w:p>
  </w:endnote>
  <w:endnote w:type="continuationSeparator" w:id="0">
    <w:p w:rsidR="0088682A" w:rsidRDefault="0088682A" w:rsidP="00844DB2">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F8" w:rsidRDefault="006F0AF8" w:rsidP="00370D36">
    <w:pPr>
      <w:jc w:val="both"/>
      <w:rPr>
        <w:sz w:val="20"/>
        <w:szCs w:val="20"/>
      </w:rPr>
    </w:pPr>
  </w:p>
  <w:p w:rsidR="006F0AF8" w:rsidRDefault="006F0AF8" w:rsidP="00370D36">
    <w:pPr>
      <w:jc w:val="both"/>
      <w:rPr>
        <w:sz w:val="20"/>
        <w:szCs w:val="20"/>
      </w:rPr>
    </w:pPr>
  </w:p>
  <w:p w:rsidR="006F0AF8" w:rsidRPr="002760A5" w:rsidRDefault="0042310F" w:rsidP="00370D36">
    <w:pPr>
      <w:pStyle w:val="BodyText3"/>
      <w:jc w:val="both"/>
      <w:rPr>
        <w:lang w:val="lv-LV"/>
      </w:rPr>
    </w:pPr>
    <w:r>
      <w:rPr>
        <w:lang w:val="lv-LV"/>
      </w:rPr>
      <w:t>FMAnot_23</w:t>
    </w:r>
    <w:r w:rsidR="00C237A1">
      <w:rPr>
        <w:lang w:val="lv-LV"/>
      </w:rPr>
      <w:t>05</w:t>
    </w:r>
    <w:r w:rsidR="006F0AF8" w:rsidRPr="002760A5">
      <w:rPr>
        <w:lang w:val="lv-LV"/>
      </w:rPr>
      <w:t xml:space="preserve">12_TP </w:t>
    </w:r>
    <w:proofErr w:type="spellStart"/>
    <w:r w:rsidR="006F0AF8" w:rsidRPr="002760A5">
      <w:rPr>
        <w:lang w:val="lv-LV"/>
      </w:rPr>
      <w:t>not</w:t>
    </w:r>
    <w:proofErr w:type="spellEnd"/>
    <w:r w:rsidR="006F0AF8" w:rsidRPr="002760A5">
      <w:rPr>
        <w:lang w:val="lv-LV"/>
      </w:rPr>
      <w:t>.</w:t>
    </w:r>
    <w:r w:rsidR="006F0AF8">
      <w:rPr>
        <w:lang w:val="lv-LV"/>
      </w:rPr>
      <w:t>,</w:t>
    </w:r>
    <w:r w:rsidR="006F0AF8" w:rsidRPr="002760A5">
      <w:rPr>
        <w:lang w:val="lv-LV"/>
      </w:rPr>
      <w:t>: Ministru kabineta noteikumu  projekta “</w:t>
    </w:r>
    <w:r w:rsidR="006F0AF8" w:rsidRPr="002760A5">
      <w:rPr>
        <w:bCs/>
        <w:lang w:val="lv-LV"/>
      </w:rPr>
      <w:t>Grozījumi Ministru kabineta 2011.gada 6. 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w:t>
    </w:r>
    <w:r w:rsidR="006F0AF8" w:rsidRPr="002760A5">
      <w:rPr>
        <w:lang w:val="lv-LV"/>
      </w:rPr>
      <w:t xml:space="preserve"> anotācija</w:t>
    </w:r>
  </w:p>
  <w:p w:rsidR="006F0AF8" w:rsidRDefault="006F0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F8" w:rsidRDefault="006F0AF8" w:rsidP="00AA75EA">
    <w:pPr>
      <w:jc w:val="both"/>
      <w:rPr>
        <w:sz w:val="20"/>
        <w:szCs w:val="20"/>
      </w:rPr>
    </w:pPr>
  </w:p>
  <w:p w:rsidR="006F0AF8" w:rsidRPr="002760A5" w:rsidRDefault="0042310F" w:rsidP="000A7B3E">
    <w:pPr>
      <w:pStyle w:val="BodyText3"/>
      <w:jc w:val="both"/>
      <w:rPr>
        <w:lang w:val="lv-LV"/>
      </w:rPr>
    </w:pPr>
    <w:r>
      <w:rPr>
        <w:lang w:val="lv-LV"/>
      </w:rPr>
      <w:t>FMAnot_23</w:t>
    </w:r>
    <w:r w:rsidR="002B75D0">
      <w:rPr>
        <w:lang w:val="lv-LV"/>
      </w:rPr>
      <w:t>05</w:t>
    </w:r>
    <w:r w:rsidR="006F0AF8" w:rsidRPr="002760A5">
      <w:rPr>
        <w:lang w:val="lv-LV"/>
      </w:rPr>
      <w:t xml:space="preserve">12_TP </w:t>
    </w:r>
    <w:proofErr w:type="spellStart"/>
    <w:r w:rsidR="006F0AF8" w:rsidRPr="002760A5">
      <w:rPr>
        <w:lang w:val="lv-LV"/>
      </w:rPr>
      <w:t>not</w:t>
    </w:r>
    <w:proofErr w:type="spellEnd"/>
    <w:r w:rsidR="006F0AF8" w:rsidRPr="002760A5">
      <w:rPr>
        <w:lang w:val="lv-LV"/>
      </w:rPr>
      <w:t>.</w:t>
    </w:r>
    <w:r w:rsidR="006F0AF8">
      <w:rPr>
        <w:lang w:val="lv-LV"/>
      </w:rPr>
      <w:t>,</w:t>
    </w:r>
    <w:r w:rsidR="006F0AF8" w:rsidRPr="002760A5">
      <w:rPr>
        <w:lang w:val="lv-LV"/>
      </w:rPr>
      <w:t>: Ministru kabineta noteikumu  projekta “</w:t>
    </w:r>
    <w:r w:rsidR="006F0AF8" w:rsidRPr="002760A5">
      <w:rPr>
        <w:bCs/>
        <w:lang w:val="lv-LV"/>
      </w:rPr>
      <w:t>Grozījumi Ministru kabineta 2011.gada 6. 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w:t>
    </w:r>
    <w:r w:rsidR="006F0AF8" w:rsidRPr="002760A5">
      <w:rPr>
        <w:lang w:val="lv-LV"/>
      </w:rPr>
      <w:t xml:space="preserve"> anotācija</w:t>
    </w:r>
  </w:p>
  <w:p w:rsidR="006F0AF8" w:rsidRPr="000A7B3E" w:rsidRDefault="006F0AF8" w:rsidP="002A5D3E">
    <w:pPr>
      <w:ind w:left="-720" w:right="-508"/>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2A" w:rsidRDefault="0088682A" w:rsidP="00844DB2">
      <w:pPr>
        <w:pStyle w:val="naiskr"/>
      </w:pPr>
      <w:r>
        <w:separator/>
      </w:r>
    </w:p>
  </w:footnote>
  <w:footnote w:type="continuationSeparator" w:id="0">
    <w:p w:rsidR="0088682A" w:rsidRDefault="0088682A" w:rsidP="00844DB2">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F8" w:rsidRDefault="006F0AF8" w:rsidP="00AA75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0AF8" w:rsidRDefault="006F0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F8" w:rsidRPr="00DB073B" w:rsidRDefault="006F0AF8" w:rsidP="00AA75EA">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FC6E6F">
      <w:rPr>
        <w:rStyle w:val="PageNumber"/>
        <w:noProof/>
        <w:sz w:val="20"/>
        <w:szCs w:val="20"/>
      </w:rPr>
      <w:t>5</w:t>
    </w:r>
    <w:r w:rsidRPr="00DB073B">
      <w:rPr>
        <w:rStyle w:val="PageNumber"/>
        <w:sz w:val="20"/>
        <w:szCs w:val="20"/>
      </w:rPr>
      <w:fldChar w:fldCharType="end"/>
    </w:r>
  </w:p>
  <w:p w:rsidR="006F0AF8" w:rsidRPr="008F652D" w:rsidRDefault="006F0AF8">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488"/>
    <w:multiLevelType w:val="hybridMultilevel"/>
    <w:tmpl w:val="F8A0DD24"/>
    <w:lvl w:ilvl="0" w:tplc="5AEA324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895559"/>
    <w:multiLevelType w:val="hybridMultilevel"/>
    <w:tmpl w:val="0F52287A"/>
    <w:lvl w:ilvl="0" w:tplc="FD4E37C0">
      <w:start w:val="1"/>
      <w:numFmt w:val="lowerLetter"/>
      <w:lvlText w:val="%1)"/>
      <w:lvlJc w:val="left"/>
      <w:pPr>
        <w:ind w:left="731" w:hanging="360"/>
      </w:pPr>
      <w:rPr>
        <w:rFonts w:hint="default"/>
      </w:rPr>
    </w:lvl>
    <w:lvl w:ilvl="1" w:tplc="04260019" w:tentative="1">
      <w:start w:val="1"/>
      <w:numFmt w:val="lowerLetter"/>
      <w:lvlText w:val="%2."/>
      <w:lvlJc w:val="left"/>
      <w:pPr>
        <w:ind w:left="1451" w:hanging="360"/>
      </w:pPr>
    </w:lvl>
    <w:lvl w:ilvl="2" w:tplc="0426001B" w:tentative="1">
      <w:start w:val="1"/>
      <w:numFmt w:val="lowerRoman"/>
      <w:lvlText w:val="%3."/>
      <w:lvlJc w:val="right"/>
      <w:pPr>
        <w:ind w:left="2171" w:hanging="180"/>
      </w:pPr>
    </w:lvl>
    <w:lvl w:ilvl="3" w:tplc="0426000F" w:tentative="1">
      <w:start w:val="1"/>
      <w:numFmt w:val="decimal"/>
      <w:lvlText w:val="%4."/>
      <w:lvlJc w:val="left"/>
      <w:pPr>
        <w:ind w:left="2891" w:hanging="360"/>
      </w:pPr>
    </w:lvl>
    <w:lvl w:ilvl="4" w:tplc="04260019" w:tentative="1">
      <w:start w:val="1"/>
      <w:numFmt w:val="lowerLetter"/>
      <w:lvlText w:val="%5."/>
      <w:lvlJc w:val="left"/>
      <w:pPr>
        <w:ind w:left="3611" w:hanging="360"/>
      </w:pPr>
    </w:lvl>
    <w:lvl w:ilvl="5" w:tplc="0426001B" w:tentative="1">
      <w:start w:val="1"/>
      <w:numFmt w:val="lowerRoman"/>
      <w:lvlText w:val="%6."/>
      <w:lvlJc w:val="right"/>
      <w:pPr>
        <w:ind w:left="4331" w:hanging="180"/>
      </w:pPr>
    </w:lvl>
    <w:lvl w:ilvl="6" w:tplc="0426000F" w:tentative="1">
      <w:start w:val="1"/>
      <w:numFmt w:val="decimal"/>
      <w:lvlText w:val="%7."/>
      <w:lvlJc w:val="left"/>
      <w:pPr>
        <w:ind w:left="5051" w:hanging="360"/>
      </w:pPr>
    </w:lvl>
    <w:lvl w:ilvl="7" w:tplc="04260019" w:tentative="1">
      <w:start w:val="1"/>
      <w:numFmt w:val="lowerLetter"/>
      <w:lvlText w:val="%8."/>
      <w:lvlJc w:val="left"/>
      <w:pPr>
        <w:ind w:left="5771" w:hanging="360"/>
      </w:pPr>
    </w:lvl>
    <w:lvl w:ilvl="8" w:tplc="0426001B" w:tentative="1">
      <w:start w:val="1"/>
      <w:numFmt w:val="lowerRoman"/>
      <w:lvlText w:val="%9."/>
      <w:lvlJc w:val="right"/>
      <w:pPr>
        <w:ind w:left="6491" w:hanging="180"/>
      </w:pPr>
    </w:lvl>
  </w:abstractNum>
  <w:abstractNum w:abstractNumId="2">
    <w:nsid w:val="1A4511CA"/>
    <w:multiLevelType w:val="hybridMultilevel"/>
    <w:tmpl w:val="4C8020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1201F9E"/>
    <w:multiLevelType w:val="hybridMultilevel"/>
    <w:tmpl w:val="9E78F6A0"/>
    <w:lvl w:ilvl="0" w:tplc="974A9E2C">
      <w:start w:val="1"/>
      <w:numFmt w:val="decimal"/>
      <w:lvlText w:val="%1."/>
      <w:lvlJc w:val="left"/>
      <w:pPr>
        <w:tabs>
          <w:tab w:val="num" w:pos="170"/>
        </w:tabs>
        <w:ind w:left="170" w:hanging="360"/>
      </w:pPr>
      <w:rPr>
        <w:rFonts w:cs="Times New Roman" w:hint="default"/>
      </w:rPr>
    </w:lvl>
    <w:lvl w:ilvl="1" w:tplc="04260019" w:tentative="1">
      <w:start w:val="1"/>
      <w:numFmt w:val="lowerLetter"/>
      <w:lvlText w:val="%2."/>
      <w:lvlJc w:val="left"/>
      <w:pPr>
        <w:tabs>
          <w:tab w:val="num" w:pos="890"/>
        </w:tabs>
        <w:ind w:left="890" w:hanging="360"/>
      </w:pPr>
      <w:rPr>
        <w:rFonts w:cs="Times New Roman"/>
      </w:rPr>
    </w:lvl>
    <w:lvl w:ilvl="2" w:tplc="0426001B" w:tentative="1">
      <w:start w:val="1"/>
      <w:numFmt w:val="lowerRoman"/>
      <w:lvlText w:val="%3."/>
      <w:lvlJc w:val="right"/>
      <w:pPr>
        <w:tabs>
          <w:tab w:val="num" w:pos="1610"/>
        </w:tabs>
        <w:ind w:left="1610" w:hanging="180"/>
      </w:pPr>
      <w:rPr>
        <w:rFonts w:cs="Times New Roman"/>
      </w:rPr>
    </w:lvl>
    <w:lvl w:ilvl="3" w:tplc="0426000F" w:tentative="1">
      <w:start w:val="1"/>
      <w:numFmt w:val="decimal"/>
      <w:lvlText w:val="%4."/>
      <w:lvlJc w:val="left"/>
      <w:pPr>
        <w:tabs>
          <w:tab w:val="num" w:pos="2330"/>
        </w:tabs>
        <w:ind w:left="2330" w:hanging="360"/>
      </w:pPr>
      <w:rPr>
        <w:rFonts w:cs="Times New Roman"/>
      </w:rPr>
    </w:lvl>
    <w:lvl w:ilvl="4" w:tplc="04260019" w:tentative="1">
      <w:start w:val="1"/>
      <w:numFmt w:val="lowerLetter"/>
      <w:lvlText w:val="%5."/>
      <w:lvlJc w:val="left"/>
      <w:pPr>
        <w:tabs>
          <w:tab w:val="num" w:pos="3050"/>
        </w:tabs>
        <w:ind w:left="3050" w:hanging="360"/>
      </w:pPr>
      <w:rPr>
        <w:rFonts w:cs="Times New Roman"/>
      </w:rPr>
    </w:lvl>
    <w:lvl w:ilvl="5" w:tplc="0426001B" w:tentative="1">
      <w:start w:val="1"/>
      <w:numFmt w:val="lowerRoman"/>
      <w:lvlText w:val="%6."/>
      <w:lvlJc w:val="right"/>
      <w:pPr>
        <w:tabs>
          <w:tab w:val="num" w:pos="3770"/>
        </w:tabs>
        <w:ind w:left="3770" w:hanging="180"/>
      </w:pPr>
      <w:rPr>
        <w:rFonts w:cs="Times New Roman"/>
      </w:rPr>
    </w:lvl>
    <w:lvl w:ilvl="6" w:tplc="0426000F" w:tentative="1">
      <w:start w:val="1"/>
      <w:numFmt w:val="decimal"/>
      <w:lvlText w:val="%7."/>
      <w:lvlJc w:val="left"/>
      <w:pPr>
        <w:tabs>
          <w:tab w:val="num" w:pos="4490"/>
        </w:tabs>
        <w:ind w:left="4490" w:hanging="360"/>
      </w:pPr>
      <w:rPr>
        <w:rFonts w:cs="Times New Roman"/>
      </w:rPr>
    </w:lvl>
    <w:lvl w:ilvl="7" w:tplc="04260019" w:tentative="1">
      <w:start w:val="1"/>
      <w:numFmt w:val="lowerLetter"/>
      <w:lvlText w:val="%8."/>
      <w:lvlJc w:val="left"/>
      <w:pPr>
        <w:tabs>
          <w:tab w:val="num" w:pos="5210"/>
        </w:tabs>
        <w:ind w:left="5210" w:hanging="360"/>
      </w:pPr>
      <w:rPr>
        <w:rFonts w:cs="Times New Roman"/>
      </w:rPr>
    </w:lvl>
    <w:lvl w:ilvl="8" w:tplc="0426001B" w:tentative="1">
      <w:start w:val="1"/>
      <w:numFmt w:val="lowerRoman"/>
      <w:lvlText w:val="%9."/>
      <w:lvlJc w:val="right"/>
      <w:pPr>
        <w:tabs>
          <w:tab w:val="num" w:pos="5930"/>
        </w:tabs>
        <w:ind w:left="5930" w:hanging="180"/>
      </w:pPr>
      <w:rPr>
        <w:rFonts w:cs="Times New Roman"/>
      </w:rPr>
    </w:lvl>
  </w:abstractNum>
  <w:abstractNum w:abstractNumId="4">
    <w:nsid w:val="50312C14"/>
    <w:multiLevelType w:val="hybridMultilevel"/>
    <w:tmpl w:val="7DEC2AD6"/>
    <w:lvl w:ilvl="0" w:tplc="9FCCC190">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06D234E"/>
    <w:multiLevelType w:val="hybridMultilevel"/>
    <w:tmpl w:val="EA1CF794"/>
    <w:lvl w:ilvl="0" w:tplc="7012CF0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36D39CE"/>
    <w:multiLevelType w:val="hybridMultilevel"/>
    <w:tmpl w:val="92BE07A8"/>
    <w:lvl w:ilvl="0" w:tplc="B5A4CA0A">
      <w:start w:val="1"/>
      <w:numFmt w:val="decimal"/>
      <w:lvlText w:val="%1."/>
      <w:lvlJc w:val="left"/>
      <w:pPr>
        <w:tabs>
          <w:tab w:val="num" w:pos="735"/>
        </w:tabs>
        <w:ind w:left="735" w:hanging="37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56ED15E1"/>
    <w:multiLevelType w:val="hybridMultilevel"/>
    <w:tmpl w:val="2EE8F0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BB1577F"/>
    <w:multiLevelType w:val="hybridMultilevel"/>
    <w:tmpl w:val="EE806840"/>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9">
    <w:nsid w:val="5C190080"/>
    <w:multiLevelType w:val="hybridMultilevel"/>
    <w:tmpl w:val="B930E4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CE038AE"/>
    <w:multiLevelType w:val="hybridMultilevel"/>
    <w:tmpl w:val="410E43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60CC3E41"/>
    <w:multiLevelType w:val="hybridMultilevel"/>
    <w:tmpl w:val="0512EB5E"/>
    <w:lvl w:ilvl="0" w:tplc="2E0A885C">
      <w:start w:val="2"/>
      <w:numFmt w:val="bullet"/>
      <w:lvlText w:val="-"/>
      <w:lvlJc w:val="left"/>
      <w:pPr>
        <w:ind w:left="720" w:hanging="360"/>
      </w:pPr>
      <w:rPr>
        <w:rFonts w:ascii="Times New Roman" w:eastAsia="Times New Roman" w:hAnsi="Times New Roman" w:cs="Times New Roman"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F">
      <w:start w:val="1"/>
      <w:numFmt w:val="decimal"/>
      <w:lvlText w:val="%4."/>
      <w:lvlJc w:val="left"/>
      <w:pPr>
        <w:ind w:left="2880" w:hanging="360"/>
      </w:pPr>
      <w:rPr>
        <w:rFonts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5FA6D97"/>
    <w:multiLevelType w:val="hybridMultilevel"/>
    <w:tmpl w:val="A8041FBE"/>
    <w:lvl w:ilvl="0" w:tplc="79FE874A">
      <w:start w:val="1"/>
      <w:numFmt w:val="bullet"/>
      <w:lvlText w:val="–"/>
      <w:lvlJc w:val="left"/>
      <w:pPr>
        <w:tabs>
          <w:tab w:val="num" w:pos="420"/>
        </w:tabs>
        <w:ind w:left="420" w:hanging="360"/>
      </w:pPr>
      <w:rPr>
        <w:rFonts w:ascii="Times New Roman" w:eastAsia="Times New Roman" w:hAnsi="Times New Roman" w:hint="default"/>
      </w:rPr>
    </w:lvl>
    <w:lvl w:ilvl="1" w:tplc="04260003" w:tentative="1">
      <w:start w:val="1"/>
      <w:numFmt w:val="bullet"/>
      <w:lvlText w:val="o"/>
      <w:lvlJc w:val="left"/>
      <w:pPr>
        <w:tabs>
          <w:tab w:val="num" w:pos="1140"/>
        </w:tabs>
        <w:ind w:left="1140" w:hanging="360"/>
      </w:pPr>
      <w:rPr>
        <w:rFonts w:ascii="Courier New" w:hAnsi="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13">
    <w:nsid w:val="676903CF"/>
    <w:multiLevelType w:val="hybridMultilevel"/>
    <w:tmpl w:val="22D82AD8"/>
    <w:lvl w:ilvl="0" w:tplc="FC82C9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9133A9D"/>
    <w:multiLevelType w:val="hybridMultilevel"/>
    <w:tmpl w:val="9328F17C"/>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5">
    <w:nsid w:val="6ED53BEB"/>
    <w:multiLevelType w:val="hybridMultilevel"/>
    <w:tmpl w:val="EE523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F667A16"/>
    <w:multiLevelType w:val="hybridMultilevel"/>
    <w:tmpl w:val="3F167D5C"/>
    <w:lvl w:ilvl="0" w:tplc="536E27D4">
      <w:numFmt w:val="bullet"/>
      <w:lvlText w:val="–"/>
      <w:lvlJc w:val="left"/>
      <w:pPr>
        <w:tabs>
          <w:tab w:val="num" w:pos="420"/>
        </w:tabs>
        <w:ind w:left="420" w:hanging="360"/>
      </w:pPr>
      <w:rPr>
        <w:rFonts w:ascii="Times New Roman" w:eastAsia="Times New Roman" w:hAnsi="Times New Roman" w:hint="default"/>
      </w:rPr>
    </w:lvl>
    <w:lvl w:ilvl="1" w:tplc="04260003" w:tentative="1">
      <w:start w:val="1"/>
      <w:numFmt w:val="bullet"/>
      <w:lvlText w:val="o"/>
      <w:lvlJc w:val="left"/>
      <w:pPr>
        <w:tabs>
          <w:tab w:val="num" w:pos="1140"/>
        </w:tabs>
        <w:ind w:left="1140" w:hanging="360"/>
      </w:pPr>
      <w:rPr>
        <w:rFonts w:ascii="Courier New" w:hAnsi="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17">
    <w:nsid w:val="702E67F3"/>
    <w:multiLevelType w:val="hybridMultilevel"/>
    <w:tmpl w:val="96F60ACA"/>
    <w:lvl w:ilvl="0" w:tplc="5C82840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1267F86"/>
    <w:multiLevelType w:val="hybridMultilevel"/>
    <w:tmpl w:val="2312C322"/>
    <w:lvl w:ilvl="0" w:tplc="245A0416">
      <w:start w:val="1"/>
      <w:numFmt w:val="decimal"/>
      <w:lvlText w:val="%1."/>
      <w:lvlJc w:val="left"/>
      <w:pPr>
        <w:ind w:left="435" w:hanging="360"/>
      </w:pPr>
      <w:rPr>
        <w:rFonts w:cs="Times New Roman" w:hint="default"/>
      </w:rPr>
    </w:lvl>
    <w:lvl w:ilvl="1" w:tplc="04260019" w:tentative="1">
      <w:start w:val="1"/>
      <w:numFmt w:val="lowerLetter"/>
      <w:lvlText w:val="%2."/>
      <w:lvlJc w:val="left"/>
      <w:pPr>
        <w:ind w:left="1155" w:hanging="360"/>
      </w:pPr>
      <w:rPr>
        <w:rFonts w:cs="Times New Roman"/>
      </w:rPr>
    </w:lvl>
    <w:lvl w:ilvl="2" w:tplc="0426001B" w:tentative="1">
      <w:start w:val="1"/>
      <w:numFmt w:val="lowerRoman"/>
      <w:lvlText w:val="%3."/>
      <w:lvlJc w:val="right"/>
      <w:pPr>
        <w:ind w:left="1875" w:hanging="180"/>
      </w:pPr>
      <w:rPr>
        <w:rFonts w:cs="Times New Roman"/>
      </w:rPr>
    </w:lvl>
    <w:lvl w:ilvl="3" w:tplc="0426000F" w:tentative="1">
      <w:start w:val="1"/>
      <w:numFmt w:val="decimal"/>
      <w:lvlText w:val="%4."/>
      <w:lvlJc w:val="left"/>
      <w:pPr>
        <w:ind w:left="2595" w:hanging="360"/>
      </w:pPr>
      <w:rPr>
        <w:rFonts w:cs="Times New Roman"/>
      </w:rPr>
    </w:lvl>
    <w:lvl w:ilvl="4" w:tplc="04260019" w:tentative="1">
      <w:start w:val="1"/>
      <w:numFmt w:val="lowerLetter"/>
      <w:lvlText w:val="%5."/>
      <w:lvlJc w:val="left"/>
      <w:pPr>
        <w:ind w:left="3315" w:hanging="360"/>
      </w:pPr>
      <w:rPr>
        <w:rFonts w:cs="Times New Roman"/>
      </w:rPr>
    </w:lvl>
    <w:lvl w:ilvl="5" w:tplc="0426001B" w:tentative="1">
      <w:start w:val="1"/>
      <w:numFmt w:val="lowerRoman"/>
      <w:lvlText w:val="%6."/>
      <w:lvlJc w:val="right"/>
      <w:pPr>
        <w:ind w:left="4035" w:hanging="180"/>
      </w:pPr>
      <w:rPr>
        <w:rFonts w:cs="Times New Roman"/>
      </w:rPr>
    </w:lvl>
    <w:lvl w:ilvl="6" w:tplc="0426000F" w:tentative="1">
      <w:start w:val="1"/>
      <w:numFmt w:val="decimal"/>
      <w:lvlText w:val="%7."/>
      <w:lvlJc w:val="left"/>
      <w:pPr>
        <w:ind w:left="4755" w:hanging="360"/>
      </w:pPr>
      <w:rPr>
        <w:rFonts w:cs="Times New Roman"/>
      </w:rPr>
    </w:lvl>
    <w:lvl w:ilvl="7" w:tplc="04260019" w:tentative="1">
      <w:start w:val="1"/>
      <w:numFmt w:val="lowerLetter"/>
      <w:lvlText w:val="%8."/>
      <w:lvlJc w:val="left"/>
      <w:pPr>
        <w:ind w:left="5475" w:hanging="360"/>
      </w:pPr>
      <w:rPr>
        <w:rFonts w:cs="Times New Roman"/>
      </w:rPr>
    </w:lvl>
    <w:lvl w:ilvl="8" w:tplc="0426001B" w:tentative="1">
      <w:start w:val="1"/>
      <w:numFmt w:val="lowerRoman"/>
      <w:lvlText w:val="%9."/>
      <w:lvlJc w:val="right"/>
      <w:pPr>
        <w:ind w:left="6195" w:hanging="180"/>
      </w:pPr>
      <w:rPr>
        <w:rFonts w:cs="Times New Roman"/>
      </w:rPr>
    </w:lvl>
  </w:abstractNum>
  <w:abstractNum w:abstractNumId="19">
    <w:nsid w:val="763E7F76"/>
    <w:multiLevelType w:val="hybridMultilevel"/>
    <w:tmpl w:val="64B02F0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7F2159D2"/>
    <w:multiLevelType w:val="hybridMultilevel"/>
    <w:tmpl w:val="CF9E7D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6"/>
  </w:num>
  <w:num w:numId="3">
    <w:abstractNumId w:val="9"/>
  </w:num>
  <w:num w:numId="4">
    <w:abstractNumId w:val="6"/>
  </w:num>
  <w:num w:numId="5">
    <w:abstractNumId w:val="10"/>
  </w:num>
  <w:num w:numId="6">
    <w:abstractNumId w:val="8"/>
  </w:num>
  <w:num w:numId="7">
    <w:abstractNumId w:val="12"/>
  </w:num>
  <w:num w:numId="8">
    <w:abstractNumId w:val="3"/>
  </w:num>
  <w:num w:numId="9">
    <w:abstractNumId w:val="18"/>
  </w:num>
  <w:num w:numId="10">
    <w:abstractNumId w:val="19"/>
  </w:num>
  <w:num w:numId="11">
    <w:abstractNumId w:val="0"/>
  </w:num>
  <w:num w:numId="12">
    <w:abstractNumId w:val="15"/>
  </w:num>
  <w:num w:numId="13">
    <w:abstractNumId w:val="20"/>
  </w:num>
  <w:num w:numId="14">
    <w:abstractNumId w:val="7"/>
  </w:num>
  <w:num w:numId="15">
    <w:abstractNumId w:val="17"/>
  </w:num>
  <w:num w:numId="16">
    <w:abstractNumId w:val="5"/>
  </w:num>
  <w:num w:numId="17">
    <w:abstractNumId w:val="1"/>
  </w:num>
  <w:num w:numId="18">
    <w:abstractNumId w:val="11"/>
  </w:num>
  <w:num w:numId="19">
    <w:abstractNumId w:val="2"/>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2D68"/>
    <w:rsid w:val="000009E7"/>
    <w:rsid w:val="000011F3"/>
    <w:rsid w:val="00001AEE"/>
    <w:rsid w:val="00001CE0"/>
    <w:rsid w:val="00003FFE"/>
    <w:rsid w:val="000052E6"/>
    <w:rsid w:val="00006166"/>
    <w:rsid w:val="00006422"/>
    <w:rsid w:val="0000660C"/>
    <w:rsid w:val="00007B96"/>
    <w:rsid w:val="000214A9"/>
    <w:rsid w:val="00026776"/>
    <w:rsid w:val="00030D4D"/>
    <w:rsid w:val="00044BBA"/>
    <w:rsid w:val="00046821"/>
    <w:rsid w:val="000535D8"/>
    <w:rsid w:val="00053E57"/>
    <w:rsid w:val="00073B4F"/>
    <w:rsid w:val="0007543F"/>
    <w:rsid w:val="00082BB9"/>
    <w:rsid w:val="00087454"/>
    <w:rsid w:val="00090D2B"/>
    <w:rsid w:val="00092258"/>
    <w:rsid w:val="00093A4D"/>
    <w:rsid w:val="00093E2E"/>
    <w:rsid w:val="00093FA5"/>
    <w:rsid w:val="00097DDC"/>
    <w:rsid w:val="000A0380"/>
    <w:rsid w:val="000A2D35"/>
    <w:rsid w:val="000A2FE1"/>
    <w:rsid w:val="000A7B3E"/>
    <w:rsid w:val="000B0FF7"/>
    <w:rsid w:val="000B462A"/>
    <w:rsid w:val="000B5A74"/>
    <w:rsid w:val="000C2F3B"/>
    <w:rsid w:val="000C4DC4"/>
    <w:rsid w:val="000C53A3"/>
    <w:rsid w:val="000C777C"/>
    <w:rsid w:val="000D1CEF"/>
    <w:rsid w:val="000D5243"/>
    <w:rsid w:val="000E3851"/>
    <w:rsid w:val="000E3CC9"/>
    <w:rsid w:val="000E7057"/>
    <w:rsid w:val="000F05D8"/>
    <w:rsid w:val="000F278C"/>
    <w:rsid w:val="000F3451"/>
    <w:rsid w:val="000F453D"/>
    <w:rsid w:val="001014CE"/>
    <w:rsid w:val="00104E35"/>
    <w:rsid w:val="00111236"/>
    <w:rsid w:val="00120942"/>
    <w:rsid w:val="0012365A"/>
    <w:rsid w:val="00124155"/>
    <w:rsid w:val="00127789"/>
    <w:rsid w:val="00131040"/>
    <w:rsid w:val="00135286"/>
    <w:rsid w:val="00146EB1"/>
    <w:rsid w:val="00150AB6"/>
    <w:rsid w:val="0015391D"/>
    <w:rsid w:val="00162287"/>
    <w:rsid w:val="00162C57"/>
    <w:rsid w:val="00163804"/>
    <w:rsid w:val="0016439C"/>
    <w:rsid w:val="001702DD"/>
    <w:rsid w:val="00170C5F"/>
    <w:rsid w:val="001764FB"/>
    <w:rsid w:val="001771EA"/>
    <w:rsid w:val="00183A9E"/>
    <w:rsid w:val="00186CEA"/>
    <w:rsid w:val="00193D9D"/>
    <w:rsid w:val="001940F9"/>
    <w:rsid w:val="001973E2"/>
    <w:rsid w:val="001A787A"/>
    <w:rsid w:val="001B057B"/>
    <w:rsid w:val="001C0458"/>
    <w:rsid w:val="001C637F"/>
    <w:rsid w:val="001D062B"/>
    <w:rsid w:val="001D4247"/>
    <w:rsid w:val="001D4BD1"/>
    <w:rsid w:val="001E1874"/>
    <w:rsid w:val="001E2496"/>
    <w:rsid w:val="001F28D1"/>
    <w:rsid w:val="001F2998"/>
    <w:rsid w:val="001F3D1B"/>
    <w:rsid w:val="00202AB0"/>
    <w:rsid w:val="0020382A"/>
    <w:rsid w:val="0020610B"/>
    <w:rsid w:val="00206327"/>
    <w:rsid w:val="00207059"/>
    <w:rsid w:val="0020799D"/>
    <w:rsid w:val="00212429"/>
    <w:rsid w:val="0021277C"/>
    <w:rsid w:val="00213E90"/>
    <w:rsid w:val="002200FE"/>
    <w:rsid w:val="002225DD"/>
    <w:rsid w:val="00226ACD"/>
    <w:rsid w:val="00227440"/>
    <w:rsid w:val="002325A9"/>
    <w:rsid w:val="00241A6C"/>
    <w:rsid w:val="002449C3"/>
    <w:rsid w:val="002454E1"/>
    <w:rsid w:val="00246AE5"/>
    <w:rsid w:val="002472E8"/>
    <w:rsid w:val="002549DF"/>
    <w:rsid w:val="00261CAD"/>
    <w:rsid w:val="0026416E"/>
    <w:rsid w:val="00266A39"/>
    <w:rsid w:val="002672E8"/>
    <w:rsid w:val="00273BF9"/>
    <w:rsid w:val="00275B77"/>
    <w:rsid w:val="002760A5"/>
    <w:rsid w:val="00277929"/>
    <w:rsid w:val="00282C91"/>
    <w:rsid w:val="002838AD"/>
    <w:rsid w:val="00295577"/>
    <w:rsid w:val="00295B3D"/>
    <w:rsid w:val="002A42E0"/>
    <w:rsid w:val="002A5C0D"/>
    <w:rsid w:val="002A5D3E"/>
    <w:rsid w:val="002A74C6"/>
    <w:rsid w:val="002A77C3"/>
    <w:rsid w:val="002B10F0"/>
    <w:rsid w:val="002B6A37"/>
    <w:rsid w:val="002B75D0"/>
    <w:rsid w:val="002C29C8"/>
    <w:rsid w:val="002C661A"/>
    <w:rsid w:val="002C67A6"/>
    <w:rsid w:val="002D3E21"/>
    <w:rsid w:val="002E0B89"/>
    <w:rsid w:val="002E1FD3"/>
    <w:rsid w:val="002E208D"/>
    <w:rsid w:val="002E3782"/>
    <w:rsid w:val="002F62E6"/>
    <w:rsid w:val="002F78C8"/>
    <w:rsid w:val="00300D9E"/>
    <w:rsid w:val="00303B66"/>
    <w:rsid w:val="00311CA3"/>
    <w:rsid w:val="0031244F"/>
    <w:rsid w:val="00315E8E"/>
    <w:rsid w:val="00322D97"/>
    <w:rsid w:val="00323A72"/>
    <w:rsid w:val="00330A61"/>
    <w:rsid w:val="00330EE4"/>
    <w:rsid w:val="00333C34"/>
    <w:rsid w:val="003347B6"/>
    <w:rsid w:val="00336C3C"/>
    <w:rsid w:val="00340ED7"/>
    <w:rsid w:val="00342A3A"/>
    <w:rsid w:val="003530A6"/>
    <w:rsid w:val="00353792"/>
    <w:rsid w:val="00353AB3"/>
    <w:rsid w:val="003555C6"/>
    <w:rsid w:val="003613E8"/>
    <w:rsid w:val="0036232E"/>
    <w:rsid w:val="00363C59"/>
    <w:rsid w:val="00370D36"/>
    <w:rsid w:val="003765C7"/>
    <w:rsid w:val="003957A8"/>
    <w:rsid w:val="0039602C"/>
    <w:rsid w:val="003974A6"/>
    <w:rsid w:val="003A1E22"/>
    <w:rsid w:val="003C324E"/>
    <w:rsid w:val="003C6A31"/>
    <w:rsid w:val="003E33C6"/>
    <w:rsid w:val="003E5A52"/>
    <w:rsid w:val="003E632A"/>
    <w:rsid w:val="003F2095"/>
    <w:rsid w:val="003F22B9"/>
    <w:rsid w:val="003F38DC"/>
    <w:rsid w:val="003F4386"/>
    <w:rsid w:val="00400008"/>
    <w:rsid w:val="00404D29"/>
    <w:rsid w:val="004077E9"/>
    <w:rsid w:val="004107B8"/>
    <w:rsid w:val="0041311B"/>
    <w:rsid w:val="0042310F"/>
    <w:rsid w:val="004244F1"/>
    <w:rsid w:val="00425629"/>
    <w:rsid w:val="0043651D"/>
    <w:rsid w:val="00437A20"/>
    <w:rsid w:val="0044046C"/>
    <w:rsid w:val="00445D7A"/>
    <w:rsid w:val="004511C9"/>
    <w:rsid w:val="00451553"/>
    <w:rsid w:val="004522BB"/>
    <w:rsid w:val="004529F3"/>
    <w:rsid w:val="00460E0A"/>
    <w:rsid w:val="00461C80"/>
    <w:rsid w:val="00466AC1"/>
    <w:rsid w:val="00477836"/>
    <w:rsid w:val="00477AF6"/>
    <w:rsid w:val="004805F0"/>
    <w:rsid w:val="00482326"/>
    <w:rsid w:val="00483462"/>
    <w:rsid w:val="00486570"/>
    <w:rsid w:val="00491B86"/>
    <w:rsid w:val="004A017D"/>
    <w:rsid w:val="004A168B"/>
    <w:rsid w:val="004A58C8"/>
    <w:rsid w:val="004B2A36"/>
    <w:rsid w:val="004B2F41"/>
    <w:rsid w:val="004C2C7E"/>
    <w:rsid w:val="004D4A25"/>
    <w:rsid w:val="004E7C54"/>
    <w:rsid w:val="004F0A53"/>
    <w:rsid w:val="00501BBB"/>
    <w:rsid w:val="005155D1"/>
    <w:rsid w:val="005160D6"/>
    <w:rsid w:val="005255BB"/>
    <w:rsid w:val="00530846"/>
    <w:rsid w:val="00532716"/>
    <w:rsid w:val="005330AF"/>
    <w:rsid w:val="005335B2"/>
    <w:rsid w:val="00541739"/>
    <w:rsid w:val="00542526"/>
    <w:rsid w:val="00543909"/>
    <w:rsid w:val="00545019"/>
    <w:rsid w:val="00552300"/>
    <w:rsid w:val="00553F96"/>
    <w:rsid w:val="00556FC5"/>
    <w:rsid w:val="00563288"/>
    <w:rsid w:val="00563BD7"/>
    <w:rsid w:val="005703E8"/>
    <w:rsid w:val="00573747"/>
    <w:rsid w:val="00581DA3"/>
    <w:rsid w:val="00582D68"/>
    <w:rsid w:val="005924C7"/>
    <w:rsid w:val="005952B5"/>
    <w:rsid w:val="0059605F"/>
    <w:rsid w:val="005972BD"/>
    <w:rsid w:val="005A0D6C"/>
    <w:rsid w:val="005A1B4A"/>
    <w:rsid w:val="005A6CF2"/>
    <w:rsid w:val="005B2CDF"/>
    <w:rsid w:val="005C2FFB"/>
    <w:rsid w:val="005C4930"/>
    <w:rsid w:val="005C6586"/>
    <w:rsid w:val="005C6CD6"/>
    <w:rsid w:val="005D086C"/>
    <w:rsid w:val="005D1CE0"/>
    <w:rsid w:val="005D20A3"/>
    <w:rsid w:val="005D272A"/>
    <w:rsid w:val="005E6D95"/>
    <w:rsid w:val="005F26CB"/>
    <w:rsid w:val="005F369D"/>
    <w:rsid w:val="005F4685"/>
    <w:rsid w:val="005F5014"/>
    <w:rsid w:val="005F79CD"/>
    <w:rsid w:val="006009DC"/>
    <w:rsid w:val="006052D5"/>
    <w:rsid w:val="006164FD"/>
    <w:rsid w:val="00621018"/>
    <w:rsid w:val="00626443"/>
    <w:rsid w:val="00634628"/>
    <w:rsid w:val="00643510"/>
    <w:rsid w:val="00644A79"/>
    <w:rsid w:val="00644A96"/>
    <w:rsid w:val="00645FD8"/>
    <w:rsid w:val="0065174C"/>
    <w:rsid w:val="006525D4"/>
    <w:rsid w:val="00654880"/>
    <w:rsid w:val="00655092"/>
    <w:rsid w:val="00655DE5"/>
    <w:rsid w:val="0065743D"/>
    <w:rsid w:val="00660745"/>
    <w:rsid w:val="006679FD"/>
    <w:rsid w:val="00674356"/>
    <w:rsid w:val="006806E9"/>
    <w:rsid w:val="00683A92"/>
    <w:rsid w:val="00691CE3"/>
    <w:rsid w:val="00693C73"/>
    <w:rsid w:val="00694D91"/>
    <w:rsid w:val="00695B20"/>
    <w:rsid w:val="006A0ACC"/>
    <w:rsid w:val="006A5239"/>
    <w:rsid w:val="006B59E2"/>
    <w:rsid w:val="006B5F50"/>
    <w:rsid w:val="006B774E"/>
    <w:rsid w:val="006C0BCF"/>
    <w:rsid w:val="006C35EF"/>
    <w:rsid w:val="006C4F62"/>
    <w:rsid w:val="006C6102"/>
    <w:rsid w:val="006D3754"/>
    <w:rsid w:val="006D65CA"/>
    <w:rsid w:val="006E0EC4"/>
    <w:rsid w:val="006E0FF8"/>
    <w:rsid w:val="006E4B27"/>
    <w:rsid w:val="006E5C42"/>
    <w:rsid w:val="006E7204"/>
    <w:rsid w:val="006F0013"/>
    <w:rsid w:val="006F07CD"/>
    <w:rsid w:val="006F0AF8"/>
    <w:rsid w:val="006F5494"/>
    <w:rsid w:val="00702B56"/>
    <w:rsid w:val="0070339B"/>
    <w:rsid w:val="00704236"/>
    <w:rsid w:val="00725FF2"/>
    <w:rsid w:val="00726B4A"/>
    <w:rsid w:val="00731382"/>
    <w:rsid w:val="007344AA"/>
    <w:rsid w:val="00736DB3"/>
    <w:rsid w:val="0073738F"/>
    <w:rsid w:val="00740E09"/>
    <w:rsid w:val="007412E5"/>
    <w:rsid w:val="00741F23"/>
    <w:rsid w:val="007436AB"/>
    <w:rsid w:val="00743DBA"/>
    <w:rsid w:val="00755047"/>
    <w:rsid w:val="00755FD2"/>
    <w:rsid w:val="00756CE0"/>
    <w:rsid w:val="00762301"/>
    <w:rsid w:val="00766A94"/>
    <w:rsid w:val="00767818"/>
    <w:rsid w:val="00775DC6"/>
    <w:rsid w:val="00783076"/>
    <w:rsid w:val="0078451C"/>
    <w:rsid w:val="0078524D"/>
    <w:rsid w:val="00785717"/>
    <w:rsid w:val="00795A11"/>
    <w:rsid w:val="007A0E2C"/>
    <w:rsid w:val="007A3AFF"/>
    <w:rsid w:val="007A73E1"/>
    <w:rsid w:val="007B0C92"/>
    <w:rsid w:val="007B347A"/>
    <w:rsid w:val="007B4734"/>
    <w:rsid w:val="007B4B15"/>
    <w:rsid w:val="007C27FE"/>
    <w:rsid w:val="007C4634"/>
    <w:rsid w:val="007D1DFC"/>
    <w:rsid w:val="007D292F"/>
    <w:rsid w:val="007D3178"/>
    <w:rsid w:val="007D6A37"/>
    <w:rsid w:val="007E1407"/>
    <w:rsid w:val="007E2F9B"/>
    <w:rsid w:val="007E3328"/>
    <w:rsid w:val="007E7CEB"/>
    <w:rsid w:val="00800FA1"/>
    <w:rsid w:val="00801748"/>
    <w:rsid w:val="008019EA"/>
    <w:rsid w:val="00805822"/>
    <w:rsid w:val="00805F30"/>
    <w:rsid w:val="00811A29"/>
    <w:rsid w:val="008126C5"/>
    <w:rsid w:val="00814B42"/>
    <w:rsid w:val="00827833"/>
    <w:rsid w:val="00832B35"/>
    <w:rsid w:val="00833D78"/>
    <w:rsid w:val="00834089"/>
    <w:rsid w:val="008417C2"/>
    <w:rsid w:val="0084368C"/>
    <w:rsid w:val="00843AB8"/>
    <w:rsid w:val="008440CF"/>
    <w:rsid w:val="00844DB2"/>
    <w:rsid w:val="0085165F"/>
    <w:rsid w:val="00851FEE"/>
    <w:rsid w:val="00861B1E"/>
    <w:rsid w:val="008627B9"/>
    <w:rsid w:val="00863FC9"/>
    <w:rsid w:val="00864CD5"/>
    <w:rsid w:val="00866BC2"/>
    <w:rsid w:val="00872243"/>
    <w:rsid w:val="008754A5"/>
    <w:rsid w:val="008773B8"/>
    <w:rsid w:val="008773FA"/>
    <w:rsid w:val="00880410"/>
    <w:rsid w:val="0088682A"/>
    <w:rsid w:val="00892D1D"/>
    <w:rsid w:val="0089465B"/>
    <w:rsid w:val="008A4A8C"/>
    <w:rsid w:val="008A7C8F"/>
    <w:rsid w:val="008B2D7C"/>
    <w:rsid w:val="008B6B8B"/>
    <w:rsid w:val="008C0871"/>
    <w:rsid w:val="008C0B50"/>
    <w:rsid w:val="008C3E4F"/>
    <w:rsid w:val="008C6AB2"/>
    <w:rsid w:val="008C6CB8"/>
    <w:rsid w:val="008C6E9B"/>
    <w:rsid w:val="008D1831"/>
    <w:rsid w:val="008D7D6F"/>
    <w:rsid w:val="008E75E9"/>
    <w:rsid w:val="008F1131"/>
    <w:rsid w:val="008F47B5"/>
    <w:rsid w:val="008F480C"/>
    <w:rsid w:val="008F652D"/>
    <w:rsid w:val="0090003F"/>
    <w:rsid w:val="009078D0"/>
    <w:rsid w:val="0090794C"/>
    <w:rsid w:val="00907DFF"/>
    <w:rsid w:val="009107C6"/>
    <w:rsid w:val="00911807"/>
    <w:rsid w:val="009178E3"/>
    <w:rsid w:val="00931DE3"/>
    <w:rsid w:val="00934617"/>
    <w:rsid w:val="009365B4"/>
    <w:rsid w:val="009373D8"/>
    <w:rsid w:val="00937AB7"/>
    <w:rsid w:val="00940E83"/>
    <w:rsid w:val="009477E0"/>
    <w:rsid w:val="0095398B"/>
    <w:rsid w:val="009542FE"/>
    <w:rsid w:val="009546CD"/>
    <w:rsid w:val="00961764"/>
    <w:rsid w:val="00964FCD"/>
    <w:rsid w:val="00982053"/>
    <w:rsid w:val="00995629"/>
    <w:rsid w:val="00997844"/>
    <w:rsid w:val="009A0CA6"/>
    <w:rsid w:val="009A149B"/>
    <w:rsid w:val="009A1D70"/>
    <w:rsid w:val="009A7547"/>
    <w:rsid w:val="009B0158"/>
    <w:rsid w:val="009C70CF"/>
    <w:rsid w:val="009C7402"/>
    <w:rsid w:val="009C7BA8"/>
    <w:rsid w:val="009E0B60"/>
    <w:rsid w:val="009E2178"/>
    <w:rsid w:val="009E2544"/>
    <w:rsid w:val="009E3294"/>
    <w:rsid w:val="009E3B59"/>
    <w:rsid w:val="009F2E07"/>
    <w:rsid w:val="009F37AC"/>
    <w:rsid w:val="009F3AA3"/>
    <w:rsid w:val="00A007F3"/>
    <w:rsid w:val="00A0236E"/>
    <w:rsid w:val="00A139D0"/>
    <w:rsid w:val="00A238C1"/>
    <w:rsid w:val="00A32D7E"/>
    <w:rsid w:val="00A365A8"/>
    <w:rsid w:val="00A40937"/>
    <w:rsid w:val="00A41909"/>
    <w:rsid w:val="00A4244E"/>
    <w:rsid w:val="00A47916"/>
    <w:rsid w:val="00A52407"/>
    <w:rsid w:val="00A5638D"/>
    <w:rsid w:val="00A6060C"/>
    <w:rsid w:val="00A60961"/>
    <w:rsid w:val="00A675E7"/>
    <w:rsid w:val="00A72E5F"/>
    <w:rsid w:val="00A76FF7"/>
    <w:rsid w:val="00A85AA0"/>
    <w:rsid w:val="00A871CC"/>
    <w:rsid w:val="00A90485"/>
    <w:rsid w:val="00A920C4"/>
    <w:rsid w:val="00A931F8"/>
    <w:rsid w:val="00A950C5"/>
    <w:rsid w:val="00AA382C"/>
    <w:rsid w:val="00AA75EA"/>
    <w:rsid w:val="00AB7779"/>
    <w:rsid w:val="00AC4925"/>
    <w:rsid w:val="00AD0C22"/>
    <w:rsid w:val="00AD6F5F"/>
    <w:rsid w:val="00AE4BFD"/>
    <w:rsid w:val="00AF2D14"/>
    <w:rsid w:val="00AF5468"/>
    <w:rsid w:val="00AF7C97"/>
    <w:rsid w:val="00B0730C"/>
    <w:rsid w:val="00B07EE0"/>
    <w:rsid w:val="00B12CC0"/>
    <w:rsid w:val="00B21E27"/>
    <w:rsid w:val="00B2583D"/>
    <w:rsid w:val="00B25E6C"/>
    <w:rsid w:val="00B35A8C"/>
    <w:rsid w:val="00B36A9A"/>
    <w:rsid w:val="00B41DF1"/>
    <w:rsid w:val="00B470E1"/>
    <w:rsid w:val="00B47413"/>
    <w:rsid w:val="00B50F33"/>
    <w:rsid w:val="00B51A43"/>
    <w:rsid w:val="00B5469A"/>
    <w:rsid w:val="00B55BEB"/>
    <w:rsid w:val="00B57AFA"/>
    <w:rsid w:val="00B61EF9"/>
    <w:rsid w:val="00B67226"/>
    <w:rsid w:val="00B67EA8"/>
    <w:rsid w:val="00B70181"/>
    <w:rsid w:val="00B727EE"/>
    <w:rsid w:val="00B732AA"/>
    <w:rsid w:val="00B91B67"/>
    <w:rsid w:val="00BA1FD8"/>
    <w:rsid w:val="00BA623B"/>
    <w:rsid w:val="00BA7EB2"/>
    <w:rsid w:val="00BB0A82"/>
    <w:rsid w:val="00BB36B2"/>
    <w:rsid w:val="00BB4256"/>
    <w:rsid w:val="00BB521D"/>
    <w:rsid w:val="00BC66BB"/>
    <w:rsid w:val="00BD406B"/>
    <w:rsid w:val="00BD48E7"/>
    <w:rsid w:val="00BD660E"/>
    <w:rsid w:val="00BD67CE"/>
    <w:rsid w:val="00BD6EED"/>
    <w:rsid w:val="00BE1E5B"/>
    <w:rsid w:val="00BE2FFA"/>
    <w:rsid w:val="00BE506A"/>
    <w:rsid w:val="00BF04FD"/>
    <w:rsid w:val="00BF0968"/>
    <w:rsid w:val="00BF273A"/>
    <w:rsid w:val="00C04243"/>
    <w:rsid w:val="00C04B93"/>
    <w:rsid w:val="00C159EE"/>
    <w:rsid w:val="00C15A16"/>
    <w:rsid w:val="00C1785E"/>
    <w:rsid w:val="00C21097"/>
    <w:rsid w:val="00C21639"/>
    <w:rsid w:val="00C21A22"/>
    <w:rsid w:val="00C237A1"/>
    <w:rsid w:val="00C265A7"/>
    <w:rsid w:val="00C3079E"/>
    <w:rsid w:val="00C325FD"/>
    <w:rsid w:val="00C40595"/>
    <w:rsid w:val="00C4181C"/>
    <w:rsid w:val="00C426C3"/>
    <w:rsid w:val="00C46FF8"/>
    <w:rsid w:val="00C50883"/>
    <w:rsid w:val="00C51BB3"/>
    <w:rsid w:val="00C64099"/>
    <w:rsid w:val="00C64A5C"/>
    <w:rsid w:val="00C656CA"/>
    <w:rsid w:val="00C669E8"/>
    <w:rsid w:val="00C67103"/>
    <w:rsid w:val="00C76E2A"/>
    <w:rsid w:val="00C81D9F"/>
    <w:rsid w:val="00C83960"/>
    <w:rsid w:val="00C9781C"/>
    <w:rsid w:val="00CA6D3C"/>
    <w:rsid w:val="00CB2331"/>
    <w:rsid w:val="00CB38BD"/>
    <w:rsid w:val="00CB4493"/>
    <w:rsid w:val="00CC5DFC"/>
    <w:rsid w:val="00CC7DD5"/>
    <w:rsid w:val="00CD0229"/>
    <w:rsid w:val="00CD2685"/>
    <w:rsid w:val="00CD5B07"/>
    <w:rsid w:val="00CE310F"/>
    <w:rsid w:val="00CF4562"/>
    <w:rsid w:val="00D10335"/>
    <w:rsid w:val="00D14B75"/>
    <w:rsid w:val="00D16406"/>
    <w:rsid w:val="00D20EB8"/>
    <w:rsid w:val="00D23660"/>
    <w:rsid w:val="00D23FD3"/>
    <w:rsid w:val="00D263E2"/>
    <w:rsid w:val="00D3756A"/>
    <w:rsid w:val="00D37D39"/>
    <w:rsid w:val="00D536C2"/>
    <w:rsid w:val="00D53D72"/>
    <w:rsid w:val="00D5597B"/>
    <w:rsid w:val="00D6381D"/>
    <w:rsid w:val="00D748FE"/>
    <w:rsid w:val="00D7640D"/>
    <w:rsid w:val="00D77612"/>
    <w:rsid w:val="00D816B4"/>
    <w:rsid w:val="00D90F22"/>
    <w:rsid w:val="00D9135E"/>
    <w:rsid w:val="00D94CA6"/>
    <w:rsid w:val="00D953EE"/>
    <w:rsid w:val="00D95D65"/>
    <w:rsid w:val="00DA3BC2"/>
    <w:rsid w:val="00DA4431"/>
    <w:rsid w:val="00DB073B"/>
    <w:rsid w:val="00DB3EC4"/>
    <w:rsid w:val="00DB5358"/>
    <w:rsid w:val="00DC0178"/>
    <w:rsid w:val="00DC192F"/>
    <w:rsid w:val="00DC5F9C"/>
    <w:rsid w:val="00DC7ED9"/>
    <w:rsid w:val="00DD4C55"/>
    <w:rsid w:val="00DE1C48"/>
    <w:rsid w:val="00DE2B70"/>
    <w:rsid w:val="00DE43F9"/>
    <w:rsid w:val="00DE7BC9"/>
    <w:rsid w:val="00DF02ED"/>
    <w:rsid w:val="00DF6ECD"/>
    <w:rsid w:val="00DF74B1"/>
    <w:rsid w:val="00E054EC"/>
    <w:rsid w:val="00E0664E"/>
    <w:rsid w:val="00E07DE9"/>
    <w:rsid w:val="00E202AF"/>
    <w:rsid w:val="00E21D35"/>
    <w:rsid w:val="00E226F0"/>
    <w:rsid w:val="00E32688"/>
    <w:rsid w:val="00E341C3"/>
    <w:rsid w:val="00E34598"/>
    <w:rsid w:val="00E34F1D"/>
    <w:rsid w:val="00E34F30"/>
    <w:rsid w:val="00E354C1"/>
    <w:rsid w:val="00E47EEF"/>
    <w:rsid w:val="00E50672"/>
    <w:rsid w:val="00E520AC"/>
    <w:rsid w:val="00E56D58"/>
    <w:rsid w:val="00E576D0"/>
    <w:rsid w:val="00E57A09"/>
    <w:rsid w:val="00E735F3"/>
    <w:rsid w:val="00E776E8"/>
    <w:rsid w:val="00E80586"/>
    <w:rsid w:val="00E81087"/>
    <w:rsid w:val="00E916AF"/>
    <w:rsid w:val="00E94B21"/>
    <w:rsid w:val="00E955A5"/>
    <w:rsid w:val="00E95F7B"/>
    <w:rsid w:val="00EA1BAD"/>
    <w:rsid w:val="00EA1D39"/>
    <w:rsid w:val="00EA6F07"/>
    <w:rsid w:val="00EB19B2"/>
    <w:rsid w:val="00EB72C2"/>
    <w:rsid w:val="00EB7734"/>
    <w:rsid w:val="00EC0207"/>
    <w:rsid w:val="00EC02C1"/>
    <w:rsid w:val="00EC498C"/>
    <w:rsid w:val="00EC7A47"/>
    <w:rsid w:val="00EC7B0C"/>
    <w:rsid w:val="00ED6049"/>
    <w:rsid w:val="00EE0EE0"/>
    <w:rsid w:val="00EE1BDB"/>
    <w:rsid w:val="00EE77F1"/>
    <w:rsid w:val="00EE77FE"/>
    <w:rsid w:val="00EF1822"/>
    <w:rsid w:val="00EF4AE5"/>
    <w:rsid w:val="00F06C92"/>
    <w:rsid w:val="00F117C1"/>
    <w:rsid w:val="00F14ABB"/>
    <w:rsid w:val="00F2108A"/>
    <w:rsid w:val="00F2159D"/>
    <w:rsid w:val="00F24653"/>
    <w:rsid w:val="00F25E7B"/>
    <w:rsid w:val="00F40279"/>
    <w:rsid w:val="00F43614"/>
    <w:rsid w:val="00F450F6"/>
    <w:rsid w:val="00F45598"/>
    <w:rsid w:val="00F534F7"/>
    <w:rsid w:val="00F57C60"/>
    <w:rsid w:val="00F60BB8"/>
    <w:rsid w:val="00F62CEF"/>
    <w:rsid w:val="00F63935"/>
    <w:rsid w:val="00F647CF"/>
    <w:rsid w:val="00F66E8D"/>
    <w:rsid w:val="00F70139"/>
    <w:rsid w:val="00F7028F"/>
    <w:rsid w:val="00F76382"/>
    <w:rsid w:val="00F76A8B"/>
    <w:rsid w:val="00F77BDF"/>
    <w:rsid w:val="00F80F1D"/>
    <w:rsid w:val="00F8273B"/>
    <w:rsid w:val="00F84A1B"/>
    <w:rsid w:val="00F84B74"/>
    <w:rsid w:val="00F9017E"/>
    <w:rsid w:val="00F92187"/>
    <w:rsid w:val="00F931AF"/>
    <w:rsid w:val="00F9798C"/>
    <w:rsid w:val="00FA16B1"/>
    <w:rsid w:val="00FB45F7"/>
    <w:rsid w:val="00FB4E1F"/>
    <w:rsid w:val="00FB53E7"/>
    <w:rsid w:val="00FC2EE6"/>
    <w:rsid w:val="00FC3575"/>
    <w:rsid w:val="00FC6E6F"/>
    <w:rsid w:val="00FD17DB"/>
    <w:rsid w:val="00FD696B"/>
    <w:rsid w:val="00FD6978"/>
    <w:rsid w:val="00FE4634"/>
    <w:rsid w:val="00FE7B1A"/>
    <w:rsid w:val="00FF0237"/>
    <w:rsid w:val="00FF187C"/>
    <w:rsid w:val="00FF30F7"/>
    <w:rsid w:val="00FF71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68"/>
    <w:rPr>
      <w:sz w:val="24"/>
      <w:szCs w:val="24"/>
    </w:rPr>
  </w:style>
  <w:style w:type="paragraph" w:styleId="Heading1">
    <w:name w:val="heading 1"/>
    <w:basedOn w:val="Normal"/>
    <w:next w:val="Normal"/>
    <w:link w:val="Heading1Char"/>
    <w:uiPriority w:val="9"/>
    <w:qFormat/>
    <w:rsid w:val="00766A94"/>
    <w:pPr>
      <w:keepNext/>
      <w:spacing w:before="240" w:after="60"/>
      <w:jc w:val="both"/>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66A94"/>
    <w:rPr>
      <w:rFonts w:ascii="Arial" w:hAnsi="Arial" w:cs="Arial"/>
      <w:b/>
      <w:bCs/>
      <w:kern w:val="32"/>
      <w:sz w:val="32"/>
      <w:szCs w:val="32"/>
      <w:lang w:eastAsia="en-US"/>
    </w:rPr>
  </w:style>
  <w:style w:type="paragraph" w:styleId="Header">
    <w:name w:val="header"/>
    <w:basedOn w:val="Normal"/>
    <w:link w:val="HeaderChar"/>
    <w:uiPriority w:val="99"/>
    <w:rsid w:val="00582D68"/>
    <w:pPr>
      <w:tabs>
        <w:tab w:val="center" w:pos="4153"/>
        <w:tab w:val="right" w:pos="8306"/>
      </w:tabs>
    </w:pPr>
  </w:style>
  <w:style w:type="character" w:customStyle="1" w:styleId="HeaderChar">
    <w:name w:val="Header Char"/>
    <w:link w:val="Header"/>
    <w:uiPriority w:val="99"/>
    <w:semiHidden/>
    <w:locked/>
    <w:rPr>
      <w:rFonts w:cs="Times New Roman"/>
      <w:sz w:val="24"/>
      <w:szCs w:val="24"/>
      <w:lang w:val="lv-LV" w:eastAsia="lv-LV"/>
    </w:rPr>
  </w:style>
  <w:style w:type="character" w:styleId="PageNumber">
    <w:name w:val="page number"/>
    <w:uiPriority w:val="99"/>
    <w:rsid w:val="00582D68"/>
    <w:rPr>
      <w:rFonts w:cs="Times New Roman"/>
    </w:rPr>
  </w:style>
  <w:style w:type="paragraph" w:customStyle="1" w:styleId="naisf">
    <w:name w:val="naisf"/>
    <w:basedOn w:val="Normal"/>
    <w:uiPriority w:val="99"/>
    <w:rsid w:val="00582D68"/>
    <w:pPr>
      <w:spacing w:before="75" w:after="75"/>
      <w:ind w:firstLine="375"/>
      <w:jc w:val="both"/>
    </w:pPr>
  </w:style>
  <w:style w:type="paragraph" w:customStyle="1" w:styleId="naisnod">
    <w:name w:val="naisnod"/>
    <w:basedOn w:val="Normal"/>
    <w:uiPriority w:val="99"/>
    <w:rsid w:val="00582D68"/>
    <w:pPr>
      <w:spacing w:before="150" w:after="150"/>
      <w:jc w:val="center"/>
    </w:pPr>
    <w:rPr>
      <w:b/>
      <w:bCs/>
    </w:rPr>
  </w:style>
  <w:style w:type="paragraph" w:customStyle="1" w:styleId="naiskr">
    <w:name w:val="naiskr"/>
    <w:basedOn w:val="Normal"/>
    <w:uiPriority w:val="99"/>
    <w:rsid w:val="00582D68"/>
    <w:pPr>
      <w:spacing w:before="75" w:after="75"/>
    </w:pPr>
  </w:style>
  <w:style w:type="paragraph" w:customStyle="1" w:styleId="naisc">
    <w:name w:val="naisc"/>
    <w:basedOn w:val="Normal"/>
    <w:uiPriority w:val="99"/>
    <w:rsid w:val="00582D68"/>
    <w:pPr>
      <w:spacing w:before="75" w:after="75"/>
      <w:jc w:val="center"/>
    </w:pPr>
  </w:style>
  <w:style w:type="paragraph" w:styleId="FootnoteText">
    <w:name w:val="footnote text"/>
    <w:basedOn w:val="Normal"/>
    <w:link w:val="FootnoteTextChar"/>
    <w:uiPriority w:val="99"/>
    <w:semiHidden/>
    <w:rsid w:val="00582D68"/>
    <w:rPr>
      <w:sz w:val="20"/>
      <w:szCs w:val="20"/>
    </w:rPr>
  </w:style>
  <w:style w:type="character" w:customStyle="1" w:styleId="FootnoteTextChar">
    <w:name w:val="Footnote Text Char"/>
    <w:link w:val="FootnoteText"/>
    <w:uiPriority w:val="99"/>
    <w:semiHidden/>
    <w:locked/>
    <w:rPr>
      <w:rFonts w:cs="Times New Roman"/>
      <w:sz w:val="20"/>
      <w:szCs w:val="20"/>
      <w:lang w:val="lv-LV" w:eastAsia="lv-LV"/>
    </w:rPr>
  </w:style>
  <w:style w:type="paragraph" w:styleId="Footer">
    <w:name w:val="footer"/>
    <w:basedOn w:val="Normal"/>
    <w:link w:val="FooterChar"/>
    <w:uiPriority w:val="99"/>
    <w:rsid w:val="00582D68"/>
    <w:pPr>
      <w:tabs>
        <w:tab w:val="center" w:pos="4153"/>
        <w:tab w:val="right" w:pos="8306"/>
      </w:tabs>
    </w:pPr>
  </w:style>
  <w:style w:type="character" w:customStyle="1" w:styleId="FooterChar">
    <w:name w:val="Footer Char"/>
    <w:link w:val="Footer"/>
    <w:uiPriority w:val="99"/>
    <w:semiHidden/>
    <w:locked/>
    <w:rsid w:val="00582D68"/>
    <w:rPr>
      <w:rFonts w:cs="Times New Roman"/>
      <w:sz w:val="24"/>
      <w:szCs w:val="24"/>
      <w:lang w:val="lv-LV" w:eastAsia="lv-LV" w:bidi="ar-SA"/>
    </w:rPr>
  </w:style>
  <w:style w:type="character" w:styleId="Hyperlink">
    <w:name w:val="Hyperlink"/>
    <w:uiPriority w:val="99"/>
    <w:rsid w:val="00582D68"/>
    <w:rPr>
      <w:rFonts w:cs="Times New Roman"/>
      <w:color w:val="0000FF"/>
      <w:u w:val="single"/>
    </w:rPr>
  </w:style>
  <w:style w:type="paragraph" w:styleId="NormalWeb">
    <w:name w:val="Normal (Web)"/>
    <w:basedOn w:val="Normal"/>
    <w:uiPriority w:val="99"/>
    <w:rsid w:val="00582D68"/>
    <w:pPr>
      <w:spacing w:before="100" w:beforeAutospacing="1" w:after="100" w:afterAutospacing="1"/>
    </w:pPr>
  </w:style>
  <w:style w:type="paragraph" w:styleId="BodyTextIndent">
    <w:name w:val="Body Text Indent"/>
    <w:basedOn w:val="Normal"/>
    <w:link w:val="BodyTextIndentChar"/>
    <w:uiPriority w:val="99"/>
    <w:rsid w:val="000C2F3B"/>
    <w:pPr>
      <w:spacing w:after="120"/>
      <w:ind w:left="283"/>
    </w:pPr>
  </w:style>
  <w:style w:type="character" w:customStyle="1" w:styleId="BodyTextIndentChar">
    <w:name w:val="Body Text Indent Char"/>
    <w:link w:val="BodyTextIndent"/>
    <w:uiPriority w:val="99"/>
    <w:locked/>
    <w:rsid w:val="000C2F3B"/>
    <w:rPr>
      <w:rFonts w:cs="Times New Roman"/>
      <w:sz w:val="24"/>
      <w:szCs w:val="24"/>
      <w:lang w:val="lv-LV" w:eastAsia="lv-LV"/>
    </w:rPr>
  </w:style>
  <w:style w:type="paragraph" w:styleId="BodyText3">
    <w:name w:val="Body Text 3"/>
    <w:basedOn w:val="Normal"/>
    <w:link w:val="BodyText3Char"/>
    <w:uiPriority w:val="99"/>
    <w:unhideWhenUsed/>
    <w:rsid w:val="000C2F3B"/>
    <w:pPr>
      <w:spacing w:after="120"/>
    </w:pPr>
    <w:rPr>
      <w:sz w:val="16"/>
      <w:szCs w:val="16"/>
      <w:lang w:val="en-US" w:eastAsia="en-US"/>
    </w:rPr>
  </w:style>
  <w:style w:type="character" w:customStyle="1" w:styleId="BodyText3Char">
    <w:name w:val="Body Text 3 Char"/>
    <w:link w:val="BodyText3"/>
    <w:uiPriority w:val="99"/>
    <w:locked/>
    <w:rsid w:val="000C2F3B"/>
    <w:rPr>
      <w:rFonts w:cs="Times New Roman"/>
      <w:sz w:val="16"/>
      <w:szCs w:val="16"/>
    </w:rPr>
  </w:style>
  <w:style w:type="paragraph" w:customStyle="1" w:styleId="Default">
    <w:name w:val="Default"/>
    <w:rsid w:val="00766A94"/>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rsid w:val="00655092"/>
    <w:rPr>
      <w:rFonts w:ascii="Tahoma" w:hAnsi="Tahoma" w:cs="Tahoma"/>
      <w:sz w:val="16"/>
      <w:szCs w:val="16"/>
    </w:rPr>
  </w:style>
  <w:style w:type="character" w:customStyle="1" w:styleId="BalloonTextChar">
    <w:name w:val="Balloon Text Char"/>
    <w:link w:val="BalloonText"/>
    <w:uiPriority w:val="99"/>
    <w:semiHidden/>
    <w:rsid w:val="00655092"/>
    <w:rPr>
      <w:rFonts w:ascii="Tahoma" w:hAnsi="Tahoma" w:cs="Tahoma"/>
      <w:sz w:val="16"/>
      <w:szCs w:val="16"/>
    </w:rPr>
  </w:style>
  <w:style w:type="character" w:styleId="CommentReference">
    <w:name w:val="annotation reference"/>
    <w:uiPriority w:val="99"/>
    <w:semiHidden/>
    <w:unhideWhenUsed/>
    <w:rsid w:val="008E75E9"/>
    <w:rPr>
      <w:sz w:val="16"/>
      <w:szCs w:val="16"/>
    </w:rPr>
  </w:style>
  <w:style w:type="paragraph" w:styleId="CommentText">
    <w:name w:val="annotation text"/>
    <w:basedOn w:val="Normal"/>
    <w:link w:val="CommentTextChar"/>
    <w:uiPriority w:val="99"/>
    <w:semiHidden/>
    <w:unhideWhenUsed/>
    <w:rsid w:val="008E75E9"/>
    <w:rPr>
      <w:sz w:val="20"/>
      <w:szCs w:val="20"/>
    </w:rPr>
  </w:style>
  <w:style w:type="character" w:customStyle="1" w:styleId="CommentTextChar">
    <w:name w:val="Comment Text Char"/>
    <w:basedOn w:val="DefaultParagraphFont"/>
    <w:link w:val="CommentText"/>
    <w:uiPriority w:val="99"/>
    <w:semiHidden/>
    <w:rsid w:val="008E75E9"/>
  </w:style>
  <w:style w:type="paragraph" w:styleId="CommentSubject">
    <w:name w:val="annotation subject"/>
    <w:basedOn w:val="CommentText"/>
    <w:next w:val="CommentText"/>
    <w:link w:val="CommentSubjectChar"/>
    <w:uiPriority w:val="99"/>
    <w:semiHidden/>
    <w:unhideWhenUsed/>
    <w:rsid w:val="008E75E9"/>
    <w:rPr>
      <w:b/>
      <w:bCs/>
    </w:rPr>
  </w:style>
  <w:style w:type="character" w:customStyle="1" w:styleId="CommentSubjectChar">
    <w:name w:val="Comment Subject Char"/>
    <w:link w:val="CommentSubject"/>
    <w:uiPriority w:val="99"/>
    <w:semiHidden/>
    <w:rsid w:val="008E75E9"/>
    <w:rPr>
      <w:b/>
      <w:bCs/>
    </w:rPr>
  </w:style>
  <w:style w:type="character" w:styleId="Emphasis">
    <w:name w:val="Emphasis"/>
    <w:uiPriority w:val="20"/>
    <w:qFormat/>
    <w:rsid w:val="00273BF9"/>
    <w:rPr>
      <w:i/>
      <w:iCs/>
    </w:rPr>
  </w:style>
  <w:style w:type="paragraph" w:styleId="ListParagraph">
    <w:name w:val="List Paragraph"/>
    <w:basedOn w:val="Normal"/>
    <w:uiPriority w:val="34"/>
    <w:qFormat/>
    <w:rsid w:val="005703E8"/>
    <w:pPr>
      <w:ind w:left="720"/>
      <w:contextualSpacing/>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281">
      <w:bodyDiv w:val="1"/>
      <w:marLeft w:val="0"/>
      <w:marRight w:val="0"/>
      <w:marTop w:val="0"/>
      <w:marBottom w:val="0"/>
      <w:divBdr>
        <w:top w:val="none" w:sz="0" w:space="0" w:color="auto"/>
        <w:left w:val="none" w:sz="0" w:space="0" w:color="auto"/>
        <w:bottom w:val="none" w:sz="0" w:space="0" w:color="auto"/>
        <w:right w:val="none" w:sz="0" w:space="0" w:color="auto"/>
      </w:divBdr>
    </w:div>
    <w:div w:id="427701157">
      <w:bodyDiv w:val="1"/>
      <w:marLeft w:val="0"/>
      <w:marRight w:val="0"/>
      <w:marTop w:val="0"/>
      <w:marBottom w:val="0"/>
      <w:divBdr>
        <w:top w:val="none" w:sz="0" w:space="0" w:color="auto"/>
        <w:left w:val="none" w:sz="0" w:space="0" w:color="auto"/>
        <w:bottom w:val="none" w:sz="0" w:space="0" w:color="auto"/>
        <w:right w:val="none" w:sz="0" w:space="0" w:color="auto"/>
      </w:divBdr>
    </w:div>
    <w:div w:id="434208693">
      <w:marLeft w:val="0"/>
      <w:marRight w:val="0"/>
      <w:marTop w:val="0"/>
      <w:marBottom w:val="0"/>
      <w:divBdr>
        <w:top w:val="none" w:sz="0" w:space="0" w:color="auto"/>
        <w:left w:val="none" w:sz="0" w:space="0" w:color="auto"/>
        <w:bottom w:val="none" w:sz="0" w:space="0" w:color="auto"/>
        <w:right w:val="none" w:sz="0" w:space="0" w:color="auto"/>
      </w:divBdr>
    </w:div>
    <w:div w:id="648749347">
      <w:bodyDiv w:val="1"/>
      <w:marLeft w:val="0"/>
      <w:marRight w:val="0"/>
      <w:marTop w:val="0"/>
      <w:marBottom w:val="0"/>
      <w:divBdr>
        <w:top w:val="none" w:sz="0" w:space="0" w:color="auto"/>
        <w:left w:val="none" w:sz="0" w:space="0" w:color="auto"/>
        <w:bottom w:val="none" w:sz="0" w:space="0" w:color="auto"/>
        <w:right w:val="none" w:sz="0" w:space="0" w:color="auto"/>
      </w:divBdr>
    </w:div>
    <w:div w:id="1050763108">
      <w:bodyDiv w:val="1"/>
      <w:marLeft w:val="45"/>
      <w:marRight w:val="45"/>
      <w:marTop w:val="90"/>
      <w:marBottom w:val="90"/>
      <w:divBdr>
        <w:top w:val="none" w:sz="0" w:space="0" w:color="auto"/>
        <w:left w:val="none" w:sz="0" w:space="0" w:color="auto"/>
        <w:bottom w:val="none" w:sz="0" w:space="0" w:color="auto"/>
        <w:right w:val="none" w:sz="0" w:space="0" w:color="auto"/>
      </w:divBdr>
      <w:divsChild>
        <w:div w:id="49060849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7B6C-65E5-49A2-B9F1-5E973419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5624</Words>
  <Characters>3207</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grozījumu projekta"Noteikumi par darbības programmas "Cilvēkresursi un nodarbinātība" papildinājuma 1.6.1.1. aktivitāti "Programmas vadības un atbalsta funkciju nodrošināšana", darbības programmas "Uzņēmējdarbība un inovācijas</vt:lpstr>
      <vt:lpstr>„Ministru kabineta noteikumu grozījumu projekta"Noteikumi par darbības programmas "Cilvēkresursi un nodarbinātība" papildinājuma 1.6.1.1. aktivitāti "Programmas vadības un atbalsta funkciju nodrošināšana", darbības programmas "Uzņēmējdarbība un inovācijas</vt:lpstr>
    </vt:vector>
  </TitlesOfParts>
  <Company>Finanšu ministrija</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grozījumu projekta"Noteikumi par darbības programmas "Cilvēkresursi un nodarbinātība" papildinājuma 1.6.1.1. aktivitāti "Programmas vadības un atbalsta funkciju nodrošināšana", darbības programmas "Uzņēmējdarbība un inovācijas</dc:title>
  <dc:subject>anotācija</dc:subject>
  <dc:creator>Edgars Zandbergs</dc:creator>
  <dc:description>Edgars.Zandbergs@fm.gov.lv, tālr. 67095532</dc:description>
  <cp:lastModifiedBy>Windows User</cp:lastModifiedBy>
  <cp:revision>266</cp:revision>
  <cp:lastPrinted>2012-02-22T13:01:00Z</cp:lastPrinted>
  <dcterms:created xsi:type="dcterms:W3CDTF">2012-02-21T21:23:00Z</dcterms:created>
  <dcterms:modified xsi:type="dcterms:W3CDTF">2012-05-30T12:32:00Z</dcterms:modified>
</cp:coreProperties>
</file>