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4A" w:rsidRDefault="00AC5C4A" w:rsidP="00AC5C4A">
      <w:pPr>
        <w:pStyle w:val="BodyText"/>
      </w:pPr>
      <w:bookmarkStart w:id="0" w:name="_GoBack"/>
      <w:bookmarkEnd w:id="0"/>
    </w:p>
    <w:p w:rsidR="00AC5C4A" w:rsidRPr="00D6075C" w:rsidRDefault="00AC5C4A" w:rsidP="00AC5C4A">
      <w:pPr>
        <w:pStyle w:val="BodyText"/>
      </w:pPr>
      <w:bookmarkStart w:id="1" w:name="OLE_LINK1"/>
      <w:bookmarkStart w:id="2" w:name="OLE_LINK2"/>
      <w:r w:rsidRPr="00D6075C">
        <w:t xml:space="preserve">Ministru kabineta rīkojuma projekts </w:t>
      </w:r>
    </w:p>
    <w:p w:rsidR="00E562F1" w:rsidRPr="00D6075C" w:rsidRDefault="00AC5C4A" w:rsidP="00AC5C4A">
      <w:pPr>
        <w:pStyle w:val="BodyText"/>
      </w:pPr>
      <w:r w:rsidRPr="00D6075C">
        <w:t>„Grozījumi Ministru kabineta 2012.gada 24.augusta rīkojumā Nr.410 „Par finansējuma piešķiršanu Korupcijas novēršanas un apkarošanas biroja ēku Aristida Briāna ielā 13, Rīgā, būvniecības projekta izdevumu segšanai</w:t>
      </w:r>
      <w:r w:rsidRPr="00D6075C">
        <w:rPr>
          <w:iCs/>
        </w:rPr>
        <w:t>””</w:t>
      </w:r>
      <w:r w:rsidRPr="00D6075C">
        <w:rPr>
          <w:bCs w:val="0"/>
        </w:rPr>
        <w:t xml:space="preserve"> sākotnējās ietekmes novērtējuma </w:t>
      </w:r>
      <w:smartTag w:uri="schemas-tilde-lv/tildestengine" w:element="veidnes">
        <w:smartTagPr>
          <w:attr w:name="id" w:val="-1"/>
          <w:attr w:name="baseform" w:val="ziņojums"/>
          <w:attr w:name="text" w:val="ziņojums"/>
        </w:smartTagPr>
        <w:r w:rsidRPr="00D6075C">
          <w:rPr>
            <w:bCs w:val="0"/>
          </w:rPr>
          <w:t>ziņojums</w:t>
        </w:r>
      </w:smartTag>
      <w:r w:rsidRPr="00D6075C">
        <w:rPr>
          <w:bCs w:val="0"/>
        </w:rPr>
        <w:t xml:space="preserve"> (anotācija)</w:t>
      </w: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1985"/>
        <w:gridCol w:w="6946"/>
      </w:tblGrid>
      <w:tr w:rsidR="00AC5C4A" w:rsidRPr="00D6075C" w:rsidTr="00D43527">
        <w:tc>
          <w:tcPr>
            <w:tcW w:w="5000" w:type="pct"/>
            <w:gridSpan w:val="3"/>
            <w:vAlign w:val="center"/>
          </w:tcPr>
          <w:bookmarkEnd w:id="1"/>
          <w:bookmarkEnd w:id="2"/>
          <w:p w:rsidR="00AC5C4A" w:rsidRPr="00D6075C" w:rsidRDefault="00AC5C4A" w:rsidP="00D43527">
            <w:pPr>
              <w:pStyle w:val="naisnod"/>
              <w:spacing w:before="120" w:beforeAutospacing="0" w:after="120" w:afterAutospacing="0"/>
              <w:jc w:val="center"/>
            </w:pPr>
            <w:r w:rsidRPr="00D6075C">
              <w:t>I. Tiesību akta projekta izstrādes nepieciešamība</w:t>
            </w:r>
          </w:p>
        </w:tc>
      </w:tr>
      <w:tr w:rsidR="00AC5C4A" w:rsidRPr="00D6075C" w:rsidTr="00D43527">
        <w:trPr>
          <w:trHeight w:val="630"/>
        </w:trPr>
        <w:tc>
          <w:tcPr>
            <w:tcW w:w="230" w:type="pct"/>
          </w:tcPr>
          <w:p w:rsidR="00AC5C4A" w:rsidRPr="00D6075C" w:rsidRDefault="00AC5C4A" w:rsidP="00D43527">
            <w:pPr>
              <w:pStyle w:val="naiskr"/>
              <w:spacing w:before="0" w:after="0"/>
            </w:pPr>
            <w:r w:rsidRPr="00D6075C">
              <w:t>1.</w:t>
            </w:r>
          </w:p>
        </w:tc>
        <w:tc>
          <w:tcPr>
            <w:tcW w:w="1060" w:type="pct"/>
          </w:tcPr>
          <w:p w:rsidR="00AC5C4A" w:rsidRPr="00D6075C" w:rsidRDefault="00AC5C4A" w:rsidP="00D43527">
            <w:pPr>
              <w:pStyle w:val="naiskr"/>
              <w:spacing w:before="0" w:after="0"/>
              <w:ind w:hanging="10"/>
            </w:pPr>
            <w:r w:rsidRPr="00D6075C">
              <w:t>Pamatojums</w:t>
            </w:r>
          </w:p>
        </w:tc>
        <w:tc>
          <w:tcPr>
            <w:tcW w:w="3710" w:type="pct"/>
          </w:tcPr>
          <w:p w:rsidR="00AC5C4A" w:rsidRPr="00D6075C" w:rsidRDefault="00AC5C4A" w:rsidP="0042467F">
            <w:pPr>
              <w:spacing w:after="120" w:line="240" w:lineRule="auto"/>
              <w:ind w:left="57" w:right="159" w:firstLine="11"/>
              <w:jc w:val="both"/>
              <w:rPr>
                <w:rFonts w:ascii="Times New Roman" w:hAnsi="Times New Roman"/>
                <w:sz w:val="24"/>
                <w:szCs w:val="24"/>
              </w:rPr>
            </w:pPr>
            <w:r w:rsidRPr="00D6075C">
              <w:rPr>
                <w:rFonts w:ascii="Times New Roman" w:hAnsi="Times New Roman"/>
                <w:sz w:val="24"/>
                <w:szCs w:val="24"/>
              </w:rPr>
              <w:t>Ministru kabineta rīkojuma projekts „Grozījumi Ministru kabineta 2012.gada 24.augusta rīkojumā Nr.410 „Par finansējuma piešķiršanu Korupcijas novēršanas un apkarošanas biroja ēku Aristida Briāna ielā 13, Rīgā, būvniecības projekta izdevumu segšanai”” (turpmāk – Ministru kabineta rīkojuma projekts) sagatavots</w:t>
            </w:r>
            <w:r w:rsidR="0042467F" w:rsidRPr="00D6075C">
              <w:rPr>
                <w:rFonts w:ascii="Times New Roman" w:hAnsi="Times New Roman"/>
                <w:sz w:val="24"/>
                <w:szCs w:val="24"/>
              </w:rPr>
              <w:t>, lai precizētu  Ministru kabineta 2012.gada 24.augusta rīkojumā Nr.410 „Par finansējuma piešķiršanu Korupcijas novēršanas un apkarošanas biroja ēku Aristida Briāna ielā 13, Rīgā, būvniecības projekta izdevumu segšanai” dotos uzdevumus.</w:t>
            </w:r>
          </w:p>
        </w:tc>
      </w:tr>
      <w:tr w:rsidR="00AC5C4A" w:rsidRPr="00D6075C" w:rsidTr="00D43527">
        <w:trPr>
          <w:trHeight w:val="472"/>
        </w:trPr>
        <w:tc>
          <w:tcPr>
            <w:tcW w:w="230" w:type="pct"/>
          </w:tcPr>
          <w:p w:rsidR="00AC5C4A" w:rsidRPr="00D6075C" w:rsidRDefault="00AC5C4A" w:rsidP="00D43527">
            <w:pPr>
              <w:pStyle w:val="naiskr"/>
              <w:spacing w:before="0" w:after="0"/>
            </w:pPr>
            <w:r w:rsidRPr="00D6075C">
              <w:t>2.</w:t>
            </w:r>
          </w:p>
        </w:tc>
        <w:tc>
          <w:tcPr>
            <w:tcW w:w="1060" w:type="pct"/>
          </w:tcPr>
          <w:p w:rsidR="00AC5C4A" w:rsidRPr="00D6075C" w:rsidRDefault="00AC5C4A" w:rsidP="00D43527">
            <w:pPr>
              <w:pStyle w:val="naiskr"/>
              <w:tabs>
                <w:tab w:val="left" w:pos="170"/>
              </w:tabs>
              <w:spacing w:before="0" w:after="0"/>
            </w:pPr>
            <w:r w:rsidRPr="00D6075C">
              <w:t>Pašreizējā situācija un problēmas</w:t>
            </w:r>
          </w:p>
        </w:tc>
        <w:tc>
          <w:tcPr>
            <w:tcW w:w="3710" w:type="pct"/>
          </w:tcPr>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Pamatojoties uz Ministru kabineta 2012.gada 24.augusta rīkojuma Nr.410 „Par finansējuma piešķiršanu Korupcijas novēršanas un apkarošanas biroja ēku Aristida Briāna ielā 13, Rīgā, būvniecības projekta izdevumu segšanai</w:t>
            </w:r>
            <w:r w:rsidRPr="00D6075C">
              <w:rPr>
                <w:rFonts w:ascii="Times New Roman" w:hAnsi="Times New Roman"/>
                <w:iCs/>
                <w:sz w:val="24"/>
                <w:szCs w:val="24"/>
              </w:rPr>
              <w:t xml:space="preserve">” (turpmāk – </w:t>
            </w:r>
            <w:r w:rsidRPr="00D6075C">
              <w:rPr>
                <w:rFonts w:ascii="Times New Roman" w:hAnsi="Times New Roman"/>
                <w:sz w:val="24"/>
                <w:szCs w:val="24"/>
              </w:rPr>
              <w:t>Ministru kabineta rīkojums Nr.410):</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t xml:space="preserve">– </w:t>
            </w:r>
            <w:r w:rsidRPr="00D6075C">
              <w:rPr>
                <w:rFonts w:ascii="Times New Roman" w:hAnsi="Times New Roman"/>
                <w:sz w:val="24"/>
                <w:szCs w:val="24"/>
              </w:rPr>
              <w:t xml:space="preserve">1.1.apakšpunktu, likuma "Par valsts budžetu 2013.gadam" ilgtermiņa saistībās paredzēts finansējums valsts akciju sabiedrībai „Valsts nekustamie īpašumi”  (turpmāk – VNĪ) Korupcijas novēršanas un apkarošanas biroja ēku Aristida Briāna ielā 13, Rīgā, rekonstrukcijas izdevumu segšanai 2 331 199 latu apmērā (2013.gadā </w:t>
            </w:r>
            <w:r w:rsidR="00D43527" w:rsidRPr="00D6075C">
              <w:rPr>
                <w:rFonts w:ascii="Times New Roman" w:hAnsi="Times New Roman"/>
                <w:sz w:val="24"/>
                <w:szCs w:val="24"/>
              </w:rPr>
              <w:t>–</w:t>
            </w:r>
            <w:r w:rsidRPr="00D6075C">
              <w:rPr>
                <w:rFonts w:ascii="Times New Roman" w:hAnsi="Times New Roman"/>
                <w:sz w:val="24"/>
                <w:szCs w:val="24"/>
              </w:rPr>
              <w:t xml:space="preserve"> 183 322 lati un 2014.gadā </w:t>
            </w:r>
            <w:r w:rsidR="00D43527" w:rsidRPr="00D6075C">
              <w:rPr>
                <w:rFonts w:ascii="Times New Roman" w:hAnsi="Times New Roman"/>
                <w:sz w:val="24"/>
                <w:szCs w:val="24"/>
              </w:rPr>
              <w:t xml:space="preserve">– </w:t>
            </w:r>
            <w:r w:rsidRPr="00D6075C">
              <w:rPr>
                <w:rFonts w:ascii="Times New Roman" w:hAnsi="Times New Roman"/>
                <w:sz w:val="24"/>
                <w:szCs w:val="24"/>
              </w:rPr>
              <w:t>2 147 877 lati);</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 xml:space="preserve"> - 1.2.apakšpunktu, Finanšu ministrijai (VNĪ) dots uzdevums nodrošināt Korupcijas novēršanas un apkarošanas biroja ēku Aristida Briāna ielā 13, Rīgā, rekonstrukcijas darbu pabeigšanu līdz 2014.gada 31.decembrim, nosakot, ka plānotais attiecīgās ēkas nomas līguma sākuma termiņš ir 2015.gada 1.janvāris;</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 xml:space="preserve"> - 2.1.apakšpunktu, nomas maksu, Korupcijas novēršanas un apkarošanas birojam, kas maksājama VNĪ pēc rekonstrukcijas darbu pabeigšanas un Korupcijas novēršanas un apkarošanas biroja ēku Aristida Briāna ielā 13, Rīgā, nodošanas ekspluatācijā, jāsedz piešķirto valsts budžeta līdzekļu ietvaros;</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 xml:space="preserve"> - 2.2.apakšpunktu, Korupcijas novēršanas un apkarošanas birojam dots uzdevums sadarbībā ar Finanšu ministriju līdz 2013.gada 15.janvārim iesniegt noteiktā kārtībā Ministru kabinetā rīkojuma projektu par Korupcijas novēršanas un apkarošanas biroja pārcelšanās un aprīkojuma iegādes izdevumu iekļaušanu likumprojekta par valsts budžetu 2014.gadam ilgtermiņa saistībās.</w:t>
            </w:r>
          </w:p>
          <w:p w:rsidR="00D43527" w:rsidRPr="00D6075C" w:rsidRDefault="00D43527"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iCs/>
                <w:sz w:val="24"/>
                <w:szCs w:val="24"/>
              </w:rPr>
              <w:t xml:space="preserve">Ņemot vērā Ministru kabineta rīkojumā Nr.410 dotos uzdevumus, tika uzsākts darbs, lai nodrošinātu </w:t>
            </w:r>
            <w:r w:rsidR="00AC5C4A" w:rsidRPr="00D6075C">
              <w:rPr>
                <w:rFonts w:ascii="Times New Roman" w:hAnsi="Times New Roman"/>
                <w:sz w:val="24"/>
                <w:szCs w:val="24"/>
              </w:rPr>
              <w:t>Korupcijas novēršanas un apkarošanas biroja ēku Aristida Briāna ielā 13, Rīgā, rekonstrukcij</w:t>
            </w:r>
            <w:r w:rsidRPr="00D6075C">
              <w:rPr>
                <w:rFonts w:ascii="Times New Roman" w:hAnsi="Times New Roman"/>
                <w:sz w:val="24"/>
                <w:szCs w:val="24"/>
              </w:rPr>
              <w:t>u.</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lastRenderedPageBreak/>
              <w:t xml:space="preserve">Būvniecības projekta īstenošana tika uzsākta saskaņā ar sākotnējo būvniecības darbu izpildes laika grafiku. No 2012. gada 1.septembra līdz 2012.gada oktobrim tika veikti pirmsprojekta sagatavošanas darbi, saņemta </w:t>
            </w:r>
            <w:r w:rsidR="00404607" w:rsidRPr="00D6075C">
              <w:rPr>
                <w:rFonts w:ascii="Times New Roman" w:hAnsi="Times New Roman"/>
                <w:sz w:val="24"/>
                <w:szCs w:val="24"/>
              </w:rPr>
              <w:t xml:space="preserve"> Korupcijas novēršanas un apkarošanas biroja </w:t>
            </w:r>
            <w:r w:rsidRPr="00D6075C">
              <w:rPr>
                <w:rFonts w:ascii="Times New Roman" w:hAnsi="Times New Roman"/>
                <w:sz w:val="24"/>
                <w:szCs w:val="24"/>
              </w:rPr>
              <w:t xml:space="preserve"> projektēšanas programma, sagatavota tehniskā specifikācija projektēšanas darbu iepirkumam. Iepirkums tehniskā projekta izstrādei noslēdzās 2013.gada 25.februārī.</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 xml:space="preserve">Tomēr, tā kā objektam tika piešķirts valsts noslēpuma statuss un </w:t>
            </w:r>
            <w:r w:rsidR="00404607" w:rsidRPr="00D6075C">
              <w:rPr>
                <w:rFonts w:ascii="Times New Roman" w:hAnsi="Times New Roman"/>
                <w:sz w:val="24"/>
                <w:szCs w:val="24"/>
              </w:rPr>
              <w:t xml:space="preserve"> Korupcijas novēršanas un apkarošanas birojam </w:t>
            </w:r>
            <w:r w:rsidRPr="00D6075C">
              <w:rPr>
                <w:rFonts w:ascii="Times New Roman" w:hAnsi="Times New Roman"/>
                <w:sz w:val="24"/>
                <w:szCs w:val="24"/>
              </w:rPr>
              <w:t xml:space="preserve">bija nepieciešams veikt pārbaudi  par projektēšanas darbos iesaistīto speciālistu  pielaidi valsts noslēpumam, par projektētāju akreditācijas sertifikātiem un par pielietoto informācijas sistēmu atbilstību drošības prasībām, līgums ar SIA „Skonto Būve” par tehniskā projekta izstrādi tika noslēgts 2013.gada 30.maijā. Tehniskā projekta izstrāde tiek plānota līdz 2014.gada februārim. </w:t>
            </w:r>
          </w:p>
          <w:p w:rsidR="00AC5C4A" w:rsidRPr="00D6075C" w:rsidRDefault="00AC5C4A" w:rsidP="00D43527">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Pēc tehniskā projekta dokumentācijas saņemšanas tiks uzsākts darbs pie iepirkuma procedūras būvniecības darbiem</w:t>
            </w:r>
            <w:r w:rsidR="00097B34" w:rsidRPr="00D6075C">
              <w:rPr>
                <w:rFonts w:ascii="Times New Roman" w:hAnsi="Times New Roman"/>
                <w:sz w:val="24"/>
                <w:szCs w:val="24"/>
              </w:rPr>
              <w:t>, kuru plānots pabeigt</w:t>
            </w:r>
            <w:r w:rsidRPr="00D6075C">
              <w:rPr>
                <w:rFonts w:ascii="Times New Roman" w:hAnsi="Times New Roman"/>
                <w:sz w:val="24"/>
                <w:szCs w:val="24"/>
              </w:rPr>
              <w:t xml:space="preserve"> </w:t>
            </w:r>
            <w:r w:rsidR="00097B34" w:rsidRPr="00D6075C">
              <w:rPr>
                <w:rFonts w:ascii="Times New Roman" w:hAnsi="Times New Roman"/>
                <w:sz w:val="24"/>
                <w:szCs w:val="24"/>
              </w:rPr>
              <w:t xml:space="preserve">līdz </w:t>
            </w:r>
            <w:r w:rsidRPr="00D6075C">
              <w:rPr>
                <w:rFonts w:ascii="Times New Roman" w:hAnsi="Times New Roman"/>
                <w:sz w:val="24"/>
                <w:szCs w:val="24"/>
              </w:rPr>
              <w:t>2014.gada maij</w:t>
            </w:r>
            <w:r w:rsidR="00097B34" w:rsidRPr="00D6075C">
              <w:rPr>
                <w:rFonts w:ascii="Times New Roman" w:hAnsi="Times New Roman"/>
                <w:sz w:val="24"/>
                <w:szCs w:val="24"/>
              </w:rPr>
              <w:t xml:space="preserve">am. </w:t>
            </w:r>
            <w:r w:rsidR="00842C93" w:rsidRPr="00D6075C">
              <w:rPr>
                <w:rFonts w:ascii="Times New Roman" w:hAnsi="Times New Roman"/>
                <w:sz w:val="24"/>
                <w:szCs w:val="24"/>
              </w:rPr>
              <w:t>Savukārt b</w:t>
            </w:r>
            <w:r w:rsidRPr="00D6075C">
              <w:rPr>
                <w:rFonts w:ascii="Times New Roman" w:hAnsi="Times New Roman"/>
                <w:sz w:val="24"/>
                <w:szCs w:val="24"/>
              </w:rPr>
              <w:t>ūv</w:t>
            </w:r>
            <w:r w:rsidR="00097B34" w:rsidRPr="00D6075C">
              <w:rPr>
                <w:rFonts w:ascii="Times New Roman" w:hAnsi="Times New Roman"/>
                <w:sz w:val="24"/>
                <w:szCs w:val="24"/>
              </w:rPr>
              <w:t xml:space="preserve">niecības darbus plānots  pabeigt </w:t>
            </w:r>
            <w:r w:rsidRPr="00D6075C">
              <w:rPr>
                <w:rFonts w:ascii="Times New Roman" w:hAnsi="Times New Roman"/>
                <w:sz w:val="24"/>
                <w:szCs w:val="24"/>
              </w:rPr>
              <w:t xml:space="preserve">līdz 2015.gada 30.jūnijam.  </w:t>
            </w:r>
          </w:p>
          <w:p w:rsidR="00E14BD7" w:rsidRPr="00D6075C" w:rsidRDefault="00E14BD7" w:rsidP="00C21CA6">
            <w:pPr>
              <w:spacing w:after="120" w:line="240" w:lineRule="auto"/>
              <w:ind w:left="142" w:right="159" w:firstLine="11"/>
              <w:jc w:val="both"/>
              <w:rPr>
                <w:rFonts w:ascii="Times New Roman" w:hAnsi="Times New Roman"/>
                <w:sz w:val="24"/>
                <w:szCs w:val="24"/>
              </w:rPr>
            </w:pPr>
            <w:r w:rsidRPr="00D6075C">
              <w:rPr>
                <w:rFonts w:ascii="Times New Roman" w:hAnsi="Times New Roman"/>
                <w:sz w:val="24"/>
                <w:szCs w:val="24"/>
              </w:rPr>
              <w:t xml:space="preserve">Līdz ar to atbilstoši precizētajam būvniecības darbu izpildes laika grafikam, nepieciešami grozījumi </w:t>
            </w:r>
            <w:r w:rsidR="00B2564E" w:rsidRPr="00D6075C">
              <w:rPr>
                <w:rFonts w:ascii="Times New Roman" w:hAnsi="Times New Roman"/>
                <w:sz w:val="24"/>
                <w:szCs w:val="24"/>
              </w:rPr>
              <w:t xml:space="preserve">Ministru kabineta </w:t>
            </w:r>
            <w:r w:rsidRPr="00D6075C">
              <w:rPr>
                <w:rFonts w:ascii="Times New Roman" w:hAnsi="Times New Roman"/>
                <w:sz w:val="24"/>
                <w:szCs w:val="24"/>
              </w:rPr>
              <w:t xml:space="preserve">rīkojumā Nr.410, </w:t>
            </w:r>
            <w:r w:rsidR="00186128" w:rsidRPr="00D6075C">
              <w:rPr>
                <w:rFonts w:ascii="Times New Roman" w:hAnsi="Times New Roman"/>
                <w:sz w:val="24"/>
                <w:szCs w:val="24"/>
              </w:rPr>
              <w:t xml:space="preserve">lai </w:t>
            </w:r>
            <w:r w:rsidRPr="00D6075C">
              <w:rPr>
                <w:rFonts w:ascii="Times New Roman" w:hAnsi="Times New Roman"/>
                <w:sz w:val="24"/>
                <w:szCs w:val="24"/>
              </w:rPr>
              <w:t>pagarin</w:t>
            </w:r>
            <w:r w:rsidR="00186128" w:rsidRPr="00D6075C">
              <w:rPr>
                <w:rFonts w:ascii="Times New Roman" w:hAnsi="Times New Roman"/>
                <w:sz w:val="24"/>
                <w:szCs w:val="24"/>
              </w:rPr>
              <w:t>ātu</w:t>
            </w:r>
            <w:r w:rsidRPr="00D6075C">
              <w:rPr>
                <w:rFonts w:ascii="Times New Roman" w:hAnsi="Times New Roman"/>
                <w:sz w:val="24"/>
                <w:szCs w:val="24"/>
              </w:rPr>
              <w:t xml:space="preserve"> </w:t>
            </w:r>
            <w:r w:rsidR="009B23FE" w:rsidRPr="00D6075C">
              <w:rPr>
                <w:rFonts w:ascii="Times New Roman" w:hAnsi="Times New Roman"/>
                <w:sz w:val="24"/>
                <w:szCs w:val="24"/>
              </w:rPr>
              <w:t>(aktualizē</w:t>
            </w:r>
            <w:r w:rsidR="00186128" w:rsidRPr="00D6075C">
              <w:rPr>
                <w:rFonts w:ascii="Times New Roman" w:hAnsi="Times New Roman"/>
                <w:sz w:val="24"/>
                <w:szCs w:val="24"/>
              </w:rPr>
              <w:t>tu</w:t>
            </w:r>
            <w:r w:rsidR="009B23FE" w:rsidRPr="00D6075C">
              <w:rPr>
                <w:rFonts w:ascii="Times New Roman" w:hAnsi="Times New Roman"/>
                <w:sz w:val="24"/>
                <w:szCs w:val="24"/>
              </w:rPr>
              <w:t xml:space="preserve">) </w:t>
            </w:r>
            <w:r w:rsidRPr="00D6075C">
              <w:rPr>
                <w:rFonts w:ascii="Times New Roman" w:hAnsi="Times New Roman"/>
                <w:sz w:val="24"/>
                <w:szCs w:val="24"/>
              </w:rPr>
              <w:t>rekonstrukcijas darbu pabeigšanas termiņu no sākotnēji plānotā 2014.gada 31.decembra līdz 201</w:t>
            </w:r>
            <w:r w:rsidR="002600E0" w:rsidRPr="00D6075C">
              <w:rPr>
                <w:rFonts w:ascii="Times New Roman" w:hAnsi="Times New Roman"/>
                <w:sz w:val="24"/>
                <w:szCs w:val="24"/>
              </w:rPr>
              <w:t>5</w:t>
            </w:r>
            <w:r w:rsidRPr="00D6075C">
              <w:rPr>
                <w:rFonts w:ascii="Times New Roman" w:hAnsi="Times New Roman"/>
                <w:sz w:val="24"/>
                <w:szCs w:val="24"/>
              </w:rPr>
              <w:t xml:space="preserve">.gada </w:t>
            </w:r>
            <w:r w:rsidR="002600E0" w:rsidRPr="00D6075C">
              <w:rPr>
                <w:rFonts w:ascii="Times New Roman" w:hAnsi="Times New Roman"/>
                <w:sz w:val="24"/>
                <w:szCs w:val="24"/>
              </w:rPr>
              <w:t>30.jūnijam</w:t>
            </w:r>
            <w:r w:rsidRPr="00D6075C">
              <w:rPr>
                <w:rFonts w:ascii="Times New Roman" w:hAnsi="Times New Roman"/>
                <w:sz w:val="24"/>
                <w:szCs w:val="24"/>
              </w:rPr>
              <w:t>, precizēt</w:t>
            </w:r>
            <w:r w:rsidR="00186128" w:rsidRPr="00D6075C">
              <w:rPr>
                <w:rFonts w:ascii="Times New Roman" w:hAnsi="Times New Roman"/>
                <w:sz w:val="24"/>
                <w:szCs w:val="24"/>
              </w:rPr>
              <w:t>u</w:t>
            </w:r>
            <w:r w:rsidRPr="00D6075C">
              <w:rPr>
                <w:rFonts w:ascii="Times New Roman" w:hAnsi="Times New Roman"/>
                <w:sz w:val="24"/>
                <w:szCs w:val="24"/>
              </w:rPr>
              <w:t xml:space="preserve"> būvniecībai paredzēto izmaksu sadalījumu pa gadiem (nemainot tā kopējo apmēru), precizē</w:t>
            </w:r>
            <w:r w:rsidR="00186128" w:rsidRPr="00D6075C">
              <w:rPr>
                <w:rFonts w:ascii="Times New Roman" w:hAnsi="Times New Roman"/>
                <w:sz w:val="24"/>
                <w:szCs w:val="24"/>
              </w:rPr>
              <w:t xml:space="preserve">tu </w:t>
            </w:r>
            <w:r w:rsidRPr="00D6075C">
              <w:rPr>
                <w:rFonts w:ascii="Times New Roman" w:hAnsi="Times New Roman"/>
                <w:sz w:val="24"/>
                <w:szCs w:val="24"/>
              </w:rPr>
              <w:t>nomas līguma sākuma termiņu (skatīt anotācijas pielikumā).</w:t>
            </w:r>
            <w:r w:rsidR="00C21CA6" w:rsidRPr="00D6075C">
              <w:rPr>
                <w:rFonts w:ascii="Times New Roman" w:hAnsi="Times New Roman"/>
                <w:sz w:val="24"/>
                <w:szCs w:val="24"/>
              </w:rPr>
              <w:t xml:space="preserve"> </w:t>
            </w:r>
            <w:r w:rsidR="002600E0" w:rsidRPr="00D6075C">
              <w:rPr>
                <w:rFonts w:ascii="Times New Roman" w:hAnsi="Times New Roman"/>
                <w:sz w:val="24"/>
                <w:szCs w:val="24"/>
              </w:rPr>
              <w:t xml:space="preserve">Nomas maksa, </w:t>
            </w:r>
            <w:r w:rsidR="00C21CA6" w:rsidRPr="00D6075C">
              <w:rPr>
                <w:rFonts w:ascii="Times New Roman" w:hAnsi="Times New Roman"/>
                <w:sz w:val="24"/>
                <w:szCs w:val="24"/>
              </w:rPr>
              <w:t xml:space="preserve">kas </w:t>
            </w:r>
            <w:r w:rsidR="002600E0" w:rsidRPr="00D6075C">
              <w:rPr>
                <w:rFonts w:ascii="Times New Roman" w:hAnsi="Times New Roman"/>
                <w:sz w:val="24"/>
                <w:szCs w:val="24"/>
              </w:rPr>
              <w:t xml:space="preserve">Korupcijas novēršanas un apkarošanas birojam, </w:t>
            </w:r>
            <w:r w:rsidR="00C21CA6" w:rsidRPr="00D6075C">
              <w:rPr>
                <w:rFonts w:ascii="Times New Roman" w:hAnsi="Times New Roman"/>
                <w:sz w:val="24"/>
                <w:szCs w:val="24"/>
              </w:rPr>
              <w:t xml:space="preserve">būs </w:t>
            </w:r>
            <w:r w:rsidR="002600E0" w:rsidRPr="00D6075C">
              <w:rPr>
                <w:rFonts w:ascii="Times New Roman" w:hAnsi="Times New Roman"/>
                <w:sz w:val="24"/>
                <w:szCs w:val="24"/>
              </w:rPr>
              <w:t xml:space="preserve">maksājama VNĪ pēc rekonstrukcijas darbu pabeigšanas un Korupcijas novēršanas un apkarošanas biroja ēku Aristida Briāna ielā 13, Rīgā, nodošanas ekspluatācijā, netiek precizēta, jo tā </w:t>
            </w:r>
            <w:r w:rsidR="00C21CA6" w:rsidRPr="00D6075C">
              <w:rPr>
                <w:rFonts w:ascii="Times New Roman" w:hAnsi="Times New Roman"/>
                <w:sz w:val="24"/>
                <w:szCs w:val="24"/>
              </w:rPr>
              <w:t xml:space="preserve">saskaņā ar Ministru kabineta rīkojumu Nr.410 </w:t>
            </w:r>
            <w:r w:rsidR="002600E0" w:rsidRPr="00D6075C">
              <w:rPr>
                <w:rFonts w:ascii="Times New Roman" w:hAnsi="Times New Roman"/>
                <w:sz w:val="24"/>
                <w:szCs w:val="24"/>
              </w:rPr>
              <w:t>tiks segta piešķirto valsts budžeta līdzekļu ietvaros.</w:t>
            </w:r>
          </w:p>
          <w:p w:rsidR="00AC5C4A" w:rsidRPr="00D6075C" w:rsidRDefault="00AC5C4A" w:rsidP="00D43527">
            <w:pPr>
              <w:spacing w:after="120" w:line="240" w:lineRule="auto"/>
              <w:ind w:left="57" w:right="159" w:firstLine="11"/>
              <w:jc w:val="both"/>
              <w:rPr>
                <w:rFonts w:ascii="Times New Roman" w:hAnsi="Times New Roman"/>
                <w:sz w:val="24"/>
                <w:szCs w:val="24"/>
              </w:rPr>
            </w:pPr>
            <w:r w:rsidRPr="00D6075C">
              <w:rPr>
                <w:rFonts w:ascii="Times New Roman" w:hAnsi="Times New Roman"/>
                <w:iCs/>
                <w:sz w:val="24"/>
                <w:szCs w:val="24"/>
              </w:rPr>
              <w:t xml:space="preserve">Vienlaikus nepieciešams precizēt un </w:t>
            </w:r>
            <w:r w:rsidR="00D950A0" w:rsidRPr="00D6075C">
              <w:rPr>
                <w:rFonts w:ascii="Times New Roman" w:hAnsi="Times New Roman"/>
                <w:iCs/>
                <w:sz w:val="24"/>
                <w:szCs w:val="24"/>
              </w:rPr>
              <w:t xml:space="preserve">līdz </w:t>
            </w:r>
            <w:r w:rsidR="00D950A0" w:rsidRPr="00D6075C">
              <w:rPr>
                <w:rFonts w:ascii="Times New Roman" w:hAnsi="Times New Roman"/>
                <w:sz w:val="24"/>
                <w:szCs w:val="24"/>
              </w:rPr>
              <w:t>201</w:t>
            </w:r>
            <w:r w:rsidR="00C941B8" w:rsidRPr="00D6075C">
              <w:rPr>
                <w:rFonts w:ascii="Times New Roman" w:hAnsi="Times New Roman"/>
                <w:sz w:val="24"/>
                <w:szCs w:val="24"/>
              </w:rPr>
              <w:t>4</w:t>
            </w:r>
            <w:r w:rsidR="00D950A0" w:rsidRPr="00D6075C">
              <w:rPr>
                <w:rFonts w:ascii="Times New Roman" w:hAnsi="Times New Roman"/>
                <w:sz w:val="24"/>
                <w:szCs w:val="24"/>
              </w:rPr>
              <w:t xml:space="preserve">.gada 15.janvārim </w:t>
            </w:r>
            <w:r w:rsidRPr="00D6075C">
              <w:rPr>
                <w:rFonts w:ascii="Times New Roman" w:hAnsi="Times New Roman"/>
                <w:iCs/>
                <w:sz w:val="24"/>
                <w:szCs w:val="24"/>
              </w:rPr>
              <w:t xml:space="preserve">pagarināt </w:t>
            </w:r>
            <w:r w:rsidRPr="00D6075C">
              <w:rPr>
                <w:rFonts w:ascii="Times New Roman" w:hAnsi="Times New Roman"/>
                <w:sz w:val="24"/>
                <w:szCs w:val="24"/>
              </w:rPr>
              <w:t xml:space="preserve">Ministru kabineta rīkojuma Nr.410 2.2.apakšpunktā </w:t>
            </w:r>
            <w:r w:rsidR="00B2564E" w:rsidRPr="00D6075C">
              <w:rPr>
                <w:rFonts w:ascii="Times New Roman" w:hAnsi="Times New Roman"/>
                <w:sz w:val="24"/>
                <w:szCs w:val="24"/>
              </w:rPr>
              <w:t xml:space="preserve">dotā uzdevuma </w:t>
            </w:r>
            <w:r w:rsidR="00D950A0" w:rsidRPr="00D6075C">
              <w:rPr>
                <w:rFonts w:ascii="Times New Roman" w:hAnsi="Times New Roman"/>
                <w:sz w:val="24"/>
                <w:szCs w:val="24"/>
              </w:rPr>
              <w:t>izpildi,</w:t>
            </w:r>
            <w:r w:rsidR="00AE173D" w:rsidRPr="00D6075C">
              <w:rPr>
                <w:rFonts w:ascii="Times New Roman" w:hAnsi="Times New Roman"/>
                <w:sz w:val="24"/>
                <w:szCs w:val="24"/>
              </w:rPr>
              <w:t xml:space="preserve"> tas ir, </w:t>
            </w:r>
            <w:r w:rsidRPr="00D6075C">
              <w:rPr>
                <w:rFonts w:ascii="Times New Roman" w:hAnsi="Times New Roman"/>
                <w:sz w:val="24"/>
                <w:szCs w:val="24"/>
              </w:rPr>
              <w:t xml:space="preserve">Korupcijas novēršanas un apkarošanas birojam sadarbībā ar Finanšu ministriju noteiktā kārtībā </w:t>
            </w:r>
            <w:r w:rsidR="00D950A0" w:rsidRPr="00D6075C">
              <w:rPr>
                <w:rFonts w:ascii="Times New Roman" w:hAnsi="Times New Roman"/>
                <w:sz w:val="24"/>
                <w:szCs w:val="24"/>
              </w:rPr>
              <w:t xml:space="preserve">iesniegt </w:t>
            </w:r>
            <w:r w:rsidRPr="00D6075C">
              <w:rPr>
                <w:rFonts w:ascii="Times New Roman" w:hAnsi="Times New Roman"/>
                <w:sz w:val="24"/>
                <w:szCs w:val="24"/>
              </w:rPr>
              <w:t xml:space="preserve">Ministru kabinetā rīkojuma projektu par Korupcijas novēršanas un apkarošanas biroja pārcelšanās un aprīkojuma iegādes izdevumu iekļaušanu likumprojekta par valsts budžetu 2014.gadam ilgtermiņa saistībās. </w:t>
            </w:r>
            <w:r w:rsidR="00D950A0" w:rsidRPr="00D6075C">
              <w:rPr>
                <w:rFonts w:ascii="Times New Roman" w:hAnsi="Times New Roman"/>
                <w:sz w:val="24"/>
                <w:szCs w:val="24"/>
              </w:rPr>
              <w:t xml:space="preserve">Nepieciešams precizēt, ka iepriekš minētie </w:t>
            </w:r>
            <w:r w:rsidRPr="00D6075C">
              <w:rPr>
                <w:rFonts w:ascii="Times New Roman" w:hAnsi="Times New Roman"/>
                <w:sz w:val="24"/>
                <w:szCs w:val="24"/>
              </w:rPr>
              <w:t>pārcelšanās un aprīkojuma iegādes izdevumi jāiekļauj likumprojekta par valsts budžetu 2015.gadam ilgtermiņa saistībās.</w:t>
            </w:r>
          </w:p>
          <w:p w:rsidR="00AC5C4A" w:rsidRPr="00D6075C" w:rsidRDefault="00AC5C4A" w:rsidP="00D43527">
            <w:pPr>
              <w:spacing w:after="120" w:line="240" w:lineRule="auto"/>
              <w:ind w:left="57" w:right="159" w:firstLine="11"/>
              <w:jc w:val="both"/>
              <w:rPr>
                <w:rFonts w:ascii="Times New Roman" w:hAnsi="Times New Roman"/>
                <w:iCs/>
                <w:sz w:val="24"/>
                <w:szCs w:val="24"/>
              </w:rPr>
            </w:pPr>
            <w:r w:rsidRPr="00D6075C">
              <w:rPr>
                <w:rFonts w:ascii="Times New Roman" w:hAnsi="Times New Roman"/>
                <w:iCs/>
                <w:sz w:val="24"/>
                <w:szCs w:val="24"/>
              </w:rPr>
              <w:t>Atbilstoši Ministru kabineta 2009.gada 7.aprīļa noteikumu Nr.300 „Ministru kabineta kārtības rullis” 3.pielikumā ietvertajai politikas jomu klasifikācijai Ministru kabineta rīkojuma projekts atbilst budžeta un finanšu politikas jomai.</w:t>
            </w:r>
          </w:p>
        </w:tc>
      </w:tr>
      <w:tr w:rsidR="00AC5C4A" w:rsidRPr="00D6075C" w:rsidTr="00D43527">
        <w:trPr>
          <w:trHeight w:val="1071"/>
        </w:trPr>
        <w:tc>
          <w:tcPr>
            <w:tcW w:w="230" w:type="pct"/>
          </w:tcPr>
          <w:p w:rsidR="00AC5C4A" w:rsidRPr="00D6075C" w:rsidRDefault="00AC5C4A" w:rsidP="00D43527">
            <w:pPr>
              <w:pStyle w:val="naiskr"/>
              <w:spacing w:before="0" w:after="0"/>
            </w:pPr>
            <w:r w:rsidRPr="00D6075C">
              <w:lastRenderedPageBreak/>
              <w:t>3.</w:t>
            </w:r>
          </w:p>
        </w:tc>
        <w:tc>
          <w:tcPr>
            <w:tcW w:w="1060" w:type="pct"/>
          </w:tcPr>
          <w:p w:rsidR="00AC5C4A" w:rsidRPr="00D6075C" w:rsidRDefault="00AC5C4A" w:rsidP="00D43527">
            <w:pPr>
              <w:pStyle w:val="naiskr"/>
              <w:spacing w:before="0" w:after="0"/>
            </w:pPr>
            <w:r w:rsidRPr="00D6075C">
              <w:t>Saistītie politikas ietekmes novērtējumi un pētījumi</w:t>
            </w:r>
          </w:p>
        </w:tc>
        <w:tc>
          <w:tcPr>
            <w:tcW w:w="3710" w:type="pct"/>
          </w:tcPr>
          <w:p w:rsidR="00AC5C4A" w:rsidRPr="00D6075C" w:rsidRDefault="00AC5C4A" w:rsidP="00D43527">
            <w:pPr>
              <w:pStyle w:val="FootnoteText"/>
              <w:ind w:left="44" w:right="145"/>
              <w:rPr>
                <w:sz w:val="24"/>
                <w:szCs w:val="24"/>
              </w:rPr>
            </w:pPr>
            <w:r w:rsidRPr="00D6075C">
              <w:rPr>
                <w:bCs/>
                <w:sz w:val="24"/>
                <w:szCs w:val="24"/>
              </w:rPr>
              <w:t>Ministru kabineta rīkojuma  p</w:t>
            </w:r>
            <w:r w:rsidRPr="00D6075C">
              <w:rPr>
                <w:sz w:val="24"/>
                <w:szCs w:val="24"/>
              </w:rPr>
              <w:t>rojekts šo jomu neskar.</w:t>
            </w:r>
          </w:p>
        </w:tc>
      </w:tr>
      <w:tr w:rsidR="00AC5C4A" w:rsidRPr="00D6075C" w:rsidTr="00D43527">
        <w:trPr>
          <w:trHeight w:val="705"/>
        </w:trPr>
        <w:tc>
          <w:tcPr>
            <w:tcW w:w="230" w:type="pct"/>
            <w:shd w:val="clear" w:color="auto" w:fill="auto"/>
          </w:tcPr>
          <w:p w:rsidR="00AC5C4A" w:rsidRPr="00D6075C" w:rsidRDefault="00AC5C4A" w:rsidP="00D43527">
            <w:pPr>
              <w:pStyle w:val="naiskr"/>
              <w:spacing w:before="0" w:after="0"/>
            </w:pPr>
            <w:r w:rsidRPr="00D6075C">
              <w:t>4.</w:t>
            </w:r>
          </w:p>
        </w:tc>
        <w:tc>
          <w:tcPr>
            <w:tcW w:w="1060" w:type="pct"/>
            <w:shd w:val="clear" w:color="auto" w:fill="auto"/>
          </w:tcPr>
          <w:p w:rsidR="00AC5C4A" w:rsidRPr="00D6075C" w:rsidRDefault="00AC5C4A" w:rsidP="00D43527">
            <w:pPr>
              <w:pStyle w:val="naiskr"/>
              <w:spacing w:before="0" w:after="0"/>
            </w:pPr>
            <w:r w:rsidRPr="00D6075C">
              <w:t>Tiesiskā regulējuma mērķis un būtība</w:t>
            </w:r>
          </w:p>
        </w:tc>
        <w:tc>
          <w:tcPr>
            <w:tcW w:w="3710" w:type="pct"/>
            <w:shd w:val="clear" w:color="auto" w:fill="auto"/>
          </w:tcPr>
          <w:p w:rsidR="00AC5C4A" w:rsidRPr="00D6075C" w:rsidRDefault="00AC5C4A" w:rsidP="00D43527">
            <w:pPr>
              <w:pStyle w:val="naiskr"/>
              <w:tabs>
                <w:tab w:val="left" w:pos="366"/>
              </w:tabs>
              <w:spacing w:before="0" w:after="60"/>
              <w:ind w:left="61" w:right="158"/>
              <w:jc w:val="both"/>
              <w:rPr>
                <w:bCs/>
              </w:rPr>
            </w:pPr>
            <w:r w:rsidRPr="00D6075C">
              <w:rPr>
                <w:bCs/>
              </w:rPr>
              <w:t>Ministru kabineta rīkojuma projekta tiesiskā regulējuma mērķis ir Ministru kabineta rīkojuma Nr.410 1.1.apakšpunktā minēto ilgtermiņā saistību precizēšana pa gadiem atbilstoši precizētajam būvniecības darbu izpildes laika grafikam un naudas plūsmai (nemainot kopējo finansējuma apmēru), 1.</w:t>
            </w:r>
            <w:r w:rsidR="00444B0B" w:rsidRPr="00D6075C">
              <w:rPr>
                <w:bCs/>
              </w:rPr>
              <w:t>2</w:t>
            </w:r>
            <w:r w:rsidRPr="00D6075C">
              <w:rPr>
                <w:bCs/>
              </w:rPr>
              <w:t xml:space="preserve">.apakšpunktā noteiktā rekonstrukcijas darbu pabeigšanas termiņa precizēšana un </w:t>
            </w:r>
            <w:r w:rsidRPr="00D6075C">
              <w:t>2.2.apakšpunktā noteiktā uzdevuma izpildes termiņa precizēšana.</w:t>
            </w:r>
          </w:p>
          <w:p w:rsidR="00AC5C4A" w:rsidRPr="00D6075C" w:rsidRDefault="00AC5C4A" w:rsidP="00D43527">
            <w:pPr>
              <w:pStyle w:val="naiskr"/>
              <w:tabs>
                <w:tab w:val="left" w:pos="366"/>
              </w:tabs>
              <w:spacing w:before="0" w:after="60"/>
              <w:ind w:left="61" w:right="158"/>
              <w:jc w:val="both"/>
              <w:rPr>
                <w:bCs/>
              </w:rPr>
            </w:pPr>
            <w:r w:rsidRPr="00D6075C">
              <w:rPr>
                <w:bCs/>
              </w:rPr>
              <w:t>Tā ietvaros:</w:t>
            </w:r>
          </w:p>
          <w:p w:rsidR="00AC5C4A" w:rsidRPr="00D6075C" w:rsidRDefault="00AC5C4A" w:rsidP="00D950A0">
            <w:pPr>
              <w:pStyle w:val="naiskr"/>
              <w:numPr>
                <w:ilvl w:val="0"/>
                <w:numId w:val="1"/>
              </w:numPr>
              <w:tabs>
                <w:tab w:val="left" w:pos="142"/>
                <w:tab w:val="left" w:pos="425"/>
              </w:tabs>
              <w:spacing w:before="0" w:after="60"/>
              <w:ind w:left="142" w:right="158" w:firstLine="0"/>
              <w:jc w:val="both"/>
              <w:rPr>
                <w:bCs/>
              </w:rPr>
            </w:pPr>
            <w:r w:rsidRPr="00D6075C">
              <w:rPr>
                <w:bCs/>
              </w:rPr>
              <w:t>tiek svītrots 1.1.apakšpunkts un papildināts ar 1.</w:t>
            </w:r>
            <w:r w:rsidRPr="00D6075C">
              <w:rPr>
                <w:bCs/>
                <w:vertAlign w:val="superscript"/>
              </w:rPr>
              <w:t>1</w:t>
            </w:r>
            <w:r w:rsidRPr="00D6075C">
              <w:rPr>
                <w:bCs/>
              </w:rPr>
              <w:t> punktu, precizējot Finanšu ministrijas budžeta ilgtermiņa saistībās paredzētā finansējuma apmēru pa gadiem, paredzot:</w:t>
            </w:r>
          </w:p>
          <w:p w:rsidR="00AC5C4A" w:rsidRPr="00D6075C" w:rsidRDefault="00AC5C4A" w:rsidP="00ED2A9C">
            <w:pPr>
              <w:pStyle w:val="naiskr"/>
              <w:numPr>
                <w:ilvl w:val="0"/>
                <w:numId w:val="5"/>
              </w:numPr>
              <w:tabs>
                <w:tab w:val="left" w:pos="386"/>
              </w:tabs>
              <w:spacing w:before="0" w:after="60"/>
              <w:ind w:right="123"/>
              <w:jc w:val="both"/>
              <w:rPr>
                <w:iCs/>
              </w:rPr>
            </w:pPr>
            <w:r w:rsidRPr="00D6075C">
              <w:rPr>
                <w:iCs/>
              </w:rPr>
              <w:t xml:space="preserve">2014.gadā – </w:t>
            </w:r>
            <w:r w:rsidR="00CF462B" w:rsidRPr="00D6075C">
              <w:rPr>
                <w:i/>
              </w:rPr>
              <w:t>685 096 euro (481 488 latus)</w:t>
            </w:r>
            <w:r w:rsidRPr="00D6075C">
              <w:rPr>
                <w:iCs/>
              </w:rPr>
              <w:t>;</w:t>
            </w:r>
          </w:p>
          <w:p w:rsidR="00AC5C4A" w:rsidRPr="00D6075C" w:rsidRDefault="00AC5C4A" w:rsidP="00ED2A9C">
            <w:pPr>
              <w:pStyle w:val="naiskr"/>
              <w:numPr>
                <w:ilvl w:val="0"/>
                <w:numId w:val="5"/>
              </w:numPr>
              <w:tabs>
                <w:tab w:val="left" w:pos="386"/>
              </w:tabs>
              <w:spacing w:before="0" w:after="60"/>
              <w:ind w:right="123"/>
              <w:jc w:val="both"/>
              <w:rPr>
                <w:i/>
                <w:iCs/>
              </w:rPr>
            </w:pPr>
            <w:r w:rsidRPr="00D6075C">
              <w:rPr>
                <w:iCs/>
              </w:rPr>
              <w:t xml:space="preserve">2015.gadā </w:t>
            </w:r>
            <w:r w:rsidR="00D950A0" w:rsidRPr="00D6075C">
              <w:rPr>
                <w:iCs/>
              </w:rPr>
              <w:t xml:space="preserve">– </w:t>
            </w:r>
            <w:r w:rsidR="00CF462B" w:rsidRPr="00D6075C">
              <w:rPr>
                <w:i/>
              </w:rPr>
              <w:t>2 594 287</w:t>
            </w:r>
            <w:r w:rsidR="009148C7" w:rsidRPr="00D6075C">
              <w:rPr>
                <w:i/>
              </w:rPr>
              <w:t xml:space="preserve"> </w:t>
            </w:r>
            <w:r w:rsidR="00CF462B" w:rsidRPr="00D6075C">
              <w:rPr>
                <w:i/>
              </w:rPr>
              <w:t>euro (</w:t>
            </w:r>
            <w:r w:rsidR="00CF462B" w:rsidRPr="00D6075C">
              <w:rPr>
                <w:bCs/>
                <w:i/>
              </w:rPr>
              <w:t xml:space="preserve">1 823 275 </w:t>
            </w:r>
            <w:r w:rsidR="00CF462B" w:rsidRPr="00D6075C">
              <w:rPr>
                <w:i/>
              </w:rPr>
              <w:t>latus)</w:t>
            </w:r>
            <w:r w:rsidR="00001DF2" w:rsidRPr="00D6075C">
              <w:rPr>
                <w:i/>
                <w:iCs/>
              </w:rPr>
              <w:t>.</w:t>
            </w:r>
          </w:p>
          <w:p w:rsidR="00CD6D10" w:rsidRPr="00D6075C" w:rsidRDefault="00001DF2" w:rsidP="00D2448C">
            <w:pPr>
              <w:pStyle w:val="ListParagraph"/>
              <w:ind w:left="142" w:right="142"/>
              <w:jc w:val="both"/>
              <w:rPr>
                <w:rFonts w:ascii="Times New Roman" w:hAnsi="Times New Roman"/>
                <w:sz w:val="24"/>
                <w:szCs w:val="24"/>
              </w:rPr>
            </w:pPr>
            <w:r w:rsidRPr="00D6075C">
              <w:rPr>
                <w:rFonts w:ascii="Times New Roman" w:hAnsi="Times New Roman"/>
                <w:iCs/>
                <w:sz w:val="24"/>
                <w:szCs w:val="24"/>
              </w:rPr>
              <w:t xml:space="preserve">Rekonstrukcijas izdevumu segšanai 2013.-2015.gadā paredzētais kopējais finansējuma apmērs ir </w:t>
            </w:r>
            <w:r w:rsidR="00CF462B" w:rsidRPr="00D6075C">
              <w:rPr>
                <w:rFonts w:ascii="Times New Roman" w:hAnsi="Times New Roman"/>
                <w:i/>
                <w:sz w:val="24"/>
                <w:szCs w:val="24"/>
              </w:rPr>
              <w:t>3 316 998 euro (2 331 199 lati)</w:t>
            </w:r>
            <w:r w:rsidR="00CD6D10" w:rsidRPr="00D6075C">
              <w:rPr>
                <w:rFonts w:ascii="Times New Roman" w:hAnsi="Times New Roman"/>
                <w:iCs/>
                <w:sz w:val="24"/>
                <w:szCs w:val="24"/>
              </w:rPr>
              <w:t>.</w:t>
            </w:r>
            <w:r w:rsidR="00CD6D10" w:rsidRPr="00D6075C">
              <w:rPr>
                <w:rFonts w:ascii="Times New Roman" w:hAnsi="Times New Roman"/>
                <w:sz w:val="24"/>
                <w:szCs w:val="24"/>
              </w:rPr>
              <w:t xml:space="preserve"> </w:t>
            </w:r>
          </w:p>
          <w:p w:rsidR="00001DF2" w:rsidRPr="00D6075C" w:rsidRDefault="00CD6D10" w:rsidP="00D2448C">
            <w:pPr>
              <w:pStyle w:val="ListParagraph"/>
              <w:ind w:left="142" w:right="142"/>
              <w:jc w:val="both"/>
              <w:rPr>
                <w:rFonts w:ascii="Times New Roman" w:hAnsi="Times New Roman"/>
                <w:sz w:val="24"/>
                <w:szCs w:val="24"/>
              </w:rPr>
            </w:pPr>
            <w:r w:rsidRPr="00D6075C">
              <w:rPr>
                <w:rFonts w:ascii="Times New Roman" w:hAnsi="Times New Roman"/>
                <w:sz w:val="24"/>
                <w:szCs w:val="24"/>
              </w:rPr>
              <w:t>Korupcijas novēršanas un apkarošanas biroja ēku Aristida Briāna ielā 13, Rīgā, rekonstrukcijas izdevumu segšanai nepieciešamā finansējuma apmērs atbilstoši plānotajiem darbiem 2013.gadā ir 26 436 lati</w:t>
            </w:r>
            <w:r w:rsidR="00C56981" w:rsidRPr="00D6075C">
              <w:rPr>
                <w:rFonts w:ascii="Times New Roman" w:hAnsi="Times New Roman"/>
                <w:sz w:val="24"/>
                <w:szCs w:val="24"/>
              </w:rPr>
              <w:t>.</w:t>
            </w:r>
            <w:r w:rsidRPr="00D6075C">
              <w:rPr>
                <w:rFonts w:ascii="Times New Roman" w:hAnsi="Times New Roman"/>
                <w:sz w:val="24"/>
                <w:szCs w:val="24"/>
              </w:rPr>
              <w:t xml:space="preserve"> </w:t>
            </w:r>
            <w:r w:rsidR="00C56981" w:rsidRPr="00D6075C">
              <w:rPr>
                <w:rFonts w:ascii="Times New Roman" w:hAnsi="Times New Roman"/>
                <w:sz w:val="24"/>
                <w:szCs w:val="24"/>
              </w:rPr>
              <w:t>Piedāvājam 2013.gadā samazināt</w:t>
            </w:r>
            <w:r w:rsidRPr="00D6075C">
              <w:rPr>
                <w:rFonts w:ascii="Times New Roman" w:hAnsi="Times New Roman"/>
                <w:sz w:val="24"/>
                <w:szCs w:val="24"/>
              </w:rPr>
              <w:t xml:space="preserve"> Finanšu ministrijai apropriāciju budžeta programmas 41.00.00 „Maksājumu nodrošināšana citām valsts iestādēm un personām” apakšprogrammā 41.13.00 „Finansējums valsts akciju sabiedrības „Valsts nekustamie īpašumi” īstenotajiem projektiem un pasākumiem” ilgtermiņa saistību pasākumam „Dotācija VAS „VNĪ” KNAB pārcelšanās uz A.Briāna ielu” 156 886 latu apmērā, pārdalot finansējumu uz budžeta  programmas 31.00.00 „Budžeta izpilde un valsts parāda vadība” apakšprogrammu 31.02.00 „Valsts parāda vadība”.</w:t>
            </w:r>
          </w:p>
          <w:p w:rsidR="00B45610" w:rsidRPr="00D6075C" w:rsidRDefault="00B45610" w:rsidP="00B45610">
            <w:pPr>
              <w:pStyle w:val="naiskr"/>
              <w:numPr>
                <w:ilvl w:val="0"/>
                <w:numId w:val="1"/>
              </w:numPr>
              <w:tabs>
                <w:tab w:val="left" w:pos="142"/>
                <w:tab w:val="left" w:pos="425"/>
              </w:tabs>
              <w:spacing w:before="0" w:after="60"/>
              <w:ind w:left="142" w:right="158" w:firstLine="0"/>
              <w:jc w:val="both"/>
              <w:rPr>
                <w:bCs/>
              </w:rPr>
            </w:pPr>
            <w:r w:rsidRPr="00D6075C">
              <w:rPr>
                <w:bCs/>
              </w:rPr>
              <w:t xml:space="preserve">1.2.apakšpunktā precizēts (aktualizēts) Finanšu ministrijai (VNĪ) noteiktais </w:t>
            </w:r>
            <w:r w:rsidRPr="00D6075C">
              <w:t xml:space="preserve"> Korupcijas novēršanas un apkarošanas biroja ēku Aristida Briāna ielā 13, Rīgā, rekonstrukcijas</w:t>
            </w:r>
            <w:r w:rsidRPr="00D6075C">
              <w:rPr>
                <w:bCs/>
              </w:rPr>
              <w:t xml:space="preserve"> darbu pabeigšanas termiņš</w:t>
            </w:r>
            <w:r w:rsidRPr="00D6075C">
              <w:t xml:space="preserve"> līdz 2015.gada 30.jūnijam</w:t>
            </w:r>
            <w:r w:rsidRPr="00D6075C">
              <w:rPr>
                <w:bCs/>
              </w:rPr>
              <w:t xml:space="preserve"> un objekta plānotais nomas līguma sākuma termiņš no 201</w:t>
            </w:r>
            <w:r w:rsidR="00842C93" w:rsidRPr="00D6075C">
              <w:rPr>
                <w:bCs/>
              </w:rPr>
              <w:t>5</w:t>
            </w:r>
            <w:r w:rsidRPr="00D6075C">
              <w:rPr>
                <w:bCs/>
              </w:rPr>
              <w:t>.gada 1.jūlija</w:t>
            </w:r>
            <w:r w:rsidR="00B60429" w:rsidRPr="00D6075C">
              <w:rPr>
                <w:bCs/>
              </w:rPr>
              <w:t>;</w:t>
            </w:r>
          </w:p>
          <w:p w:rsidR="00CA1976" w:rsidRPr="00D6075C" w:rsidRDefault="00CA1976" w:rsidP="00CA1976">
            <w:pPr>
              <w:pStyle w:val="naiskr"/>
              <w:numPr>
                <w:ilvl w:val="0"/>
                <w:numId w:val="1"/>
              </w:numPr>
              <w:tabs>
                <w:tab w:val="left" w:pos="142"/>
                <w:tab w:val="left" w:pos="425"/>
              </w:tabs>
              <w:spacing w:before="0" w:after="60"/>
              <w:ind w:left="142" w:right="158" w:firstLine="0"/>
              <w:jc w:val="both"/>
              <w:rPr>
                <w:bCs/>
              </w:rPr>
            </w:pPr>
            <w:r w:rsidRPr="00D6075C">
              <w:rPr>
                <w:bCs/>
              </w:rPr>
              <w:t>1.3.apakšpunktā precizēta atsauce uz 1.</w:t>
            </w:r>
            <w:r w:rsidRPr="00D6075C">
              <w:rPr>
                <w:bCs/>
                <w:vertAlign w:val="superscript"/>
              </w:rPr>
              <w:t>1</w:t>
            </w:r>
            <w:r w:rsidRPr="00D6075C">
              <w:rPr>
                <w:bCs/>
              </w:rPr>
              <w:t xml:space="preserve"> punktu;</w:t>
            </w:r>
          </w:p>
          <w:p w:rsidR="00272E93" w:rsidRPr="00D6075C" w:rsidRDefault="00B60429" w:rsidP="00272E93">
            <w:pPr>
              <w:pStyle w:val="naiskr"/>
              <w:numPr>
                <w:ilvl w:val="0"/>
                <w:numId w:val="1"/>
              </w:numPr>
              <w:tabs>
                <w:tab w:val="left" w:pos="142"/>
                <w:tab w:val="left" w:pos="425"/>
              </w:tabs>
              <w:spacing w:before="0" w:after="60"/>
              <w:ind w:left="142" w:right="158" w:firstLine="0"/>
              <w:jc w:val="both"/>
              <w:rPr>
                <w:bCs/>
              </w:rPr>
            </w:pPr>
            <w:r w:rsidRPr="00D6075C">
              <w:rPr>
                <w:bCs/>
              </w:rPr>
              <w:t xml:space="preserve">2.2.apakšpunktā precizēts (aktualizēts) uzdevums </w:t>
            </w:r>
            <w:r w:rsidR="00AC5C4A" w:rsidRPr="00D6075C">
              <w:rPr>
                <w:bCs/>
              </w:rPr>
              <w:t xml:space="preserve">Korupcijas novēršanas un apkarošanas birojam sadarbībā ar Finanšu ministriju līdz 2014.gada 15.janvārim </w:t>
            </w:r>
            <w:r w:rsidRPr="00D6075C">
              <w:rPr>
                <w:bCs/>
              </w:rPr>
              <w:t>iesniegt</w:t>
            </w:r>
            <w:r w:rsidR="00AC5C4A" w:rsidRPr="00D6075C">
              <w:rPr>
                <w:bCs/>
              </w:rPr>
              <w:t xml:space="preserve"> noteiktā kārtībā Ministru kabinetā rīkojuma projektu par Korupcijas novēršanas un apkarošanas biroja pārcelšanās un aprīkojuma iegādes izdevumu iekļaušanu likumprojekta par valsts budžetu 2015.gadam ilgtermiņa saistībās</w:t>
            </w:r>
            <w:r w:rsidR="00CA1976" w:rsidRPr="00D6075C">
              <w:rPr>
                <w:bCs/>
              </w:rPr>
              <w:t>.</w:t>
            </w:r>
          </w:p>
          <w:p w:rsidR="00AC5C4A" w:rsidRPr="00D6075C" w:rsidRDefault="00AC5C4A" w:rsidP="00D43527">
            <w:pPr>
              <w:pStyle w:val="naiskr"/>
              <w:tabs>
                <w:tab w:val="left" w:pos="366"/>
              </w:tabs>
              <w:spacing w:before="0" w:after="60"/>
              <w:ind w:left="61" w:right="158"/>
              <w:jc w:val="both"/>
              <w:rPr>
                <w:bCs/>
              </w:rPr>
            </w:pPr>
            <w:r w:rsidRPr="00D6075C">
              <w:rPr>
                <w:bCs/>
              </w:rPr>
              <w:t xml:space="preserve">Ministru kabineta rīkojuma projekts pilnībā atrisina </w:t>
            </w:r>
            <w:r w:rsidR="0059499E" w:rsidRPr="00D6075C">
              <w:rPr>
                <w:bCs/>
              </w:rPr>
              <w:t xml:space="preserve">anotācijas I.sadaļas </w:t>
            </w:r>
            <w:r w:rsidRPr="00D6075C">
              <w:rPr>
                <w:bCs/>
              </w:rPr>
              <w:t>2.punktā minētās problēmas.</w:t>
            </w:r>
          </w:p>
        </w:tc>
      </w:tr>
      <w:tr w:rsidR="00AC5C4A" w:rsidRPr="00D6075C" w:rsidTr="00D43527">
        <w:trPr>
          <w:trHeight w:val="476"/>
        </w:trPr>
        <w:tc>
          <w:tcPr>
            <w:tcW w:w="230" w:type="pct"/>
          </w:tcPr>
          <w:p w:rsidR="00AC5C4A" w:rsidRPr="00D6075C" w:rsidRDefault="00AC5C4A" w:rsidP="00D43527">
            <w:pPr>
              <w:pStyle w:val="naiskr"/>
              <w:spacing w:before="0" w:after="0"/>
            </w:pPr>
            <w:r w:rsidRPr="00D6075C">
              <w:t>5.</w:t>
            </w:r>
          </w:p>
        </w:tc>
        <w:tc>
          <w:tcPr>
            <w:tcW w:w="1060" w:type="pct"/>
          </w:tcPr>
          <w:p w:rsidR="00AC5C4A" w:rsidRPr="00D6075C" w:rsidRDefault="00AC5C4A" w:rsidP="00D43527">
            <w:pPr>
              <w:pStyle w:val="naiskr"/>
              <w:spacing w:before="0" w:after="0"/>
            </w:pPr>
            <w:r w:rsidRPr="00D6075C">
              <w:t>Projekta izstrādē iesaistītās institūcijas</w:t>
            </w:r>
          </w:p>
        </w:tc>
        <w:tc>
          <w:tcPr>
            <w:tcW w:w="3710" w:type="pct"/>
          </w:tcPr>
          <w:p w:rsidR="00AC5C4A" w:rsidRPr="00D6075C" w:rsidRDefault="00AC5C4A" w:rsidP="00D43527">
            <w:pPr>
              <w:spacing w:line="240" w:lineRule="auto"/>
              <w:ind w:left="44" w:right="145"/>
              <w:jc w:val="both"/>
              <w:rPr>
                <w:rFonts w:ascii="Times New Roman" w:hAnsi="Times New Roman"/>
                <w:sz w:val="24"/>
                <w:szCs w:val="24"/>
              </w:rPr>
            </w:pPr>
            <w:r w:rsidRPr="00D6075C">
              <w:rPr>
                <w:rFonts w:ascii="Times New Roman" w:hAnsi="Times New Roman"/>
                <w:bCs/>
                <w:sz w:val="24"/>
                <w:szCs w:val="24"/>
              </w:rPr>
              <w:t>Finanšu ministrija (VNĪ).</w:t>
            </w:r>
          </w:p>
        </w:tc>
      </w:tr>
      <w:tr w:rsidR="00AC5C4A" w:rsidRPr="00D6075C" w:rsidTr="00D43527">
        <w:trPr>
          <w:trHeight w:val="416"/>
        </w:trPr>
        <w:tc>
          <w:tcPr>
            <w:tcW w:w="230" w:type="pct"/>
          </w:tcPr>
          <w:p w:rsidR="00AC5C4A" w:rsidRPr="00D6075C" w:rsidRDefault="00AC5C4A" w:rsidP="00D43527">
            <w:pPr>
              <w:pStyle w:val="naiskr"/>
              <w:spacing w:before="0" w:after="0"/>
            </w:pPr>
            <w:r w:rsidRPr="00D6075C">
              <w:t>6.</w:t>
            </w:r>
          </w:p>
        </w:tc>
        <w:tc>
          <w:tcPr>
            <w:tcW w:w="1060" w:type="pct"/>
          </w:tcPr>
          <w:p w:rsidR="00AC5C4A" w:rsidRPr="00D6075C" w:rsidRDefault="00AC5C4A" w:rsidP="00D43527">
            <w:pPr>
              <w:pStyle w:val="naiskr"/>
              <w:spacing w:before="0" w:after="0"/>
              <w:rPr>
                <w:i/>
              </w:rPr>
            </w:pPr>
            <w:r w:rsidRPr="00D6075C">
              <w:t>Iemesli, kādēļ netika nodrošināta sabiedrības līdzdalība</w:t>
            </w:r>
          </w:p>
        </w:tc>
        <w:tc>
          <w:tcPr>
            <w:tcW w:w="3710" w:type="pct"/>
          </w:tcPr>
          <w:p w:rsidR="00AC5C4A" w:rsidRPr="00D6075C" w:rsidRDefault="00AC5C4A" w:rsidP="00D43527">
            <w:pPr>
              <w:spacing w:line="240" w:lineRule="auto"/>
              <w:ind w:left="44" w:right="145"/>
              <w:jc w:val="both"/>
              <w:rPr>
                <w:sz w:val="24"/>
                <w:szCs w:val="24"/>
              </w:rPr>
            </w:pPr>
            <w:r w:rsidRPr="00D6075C">
              <w:rPr>
                <w:rFonts w:ascii="Times New Roman" w:hAnsi="Times New Roman"/>
                <w:bCs/>
                <w:sz w:val="24"/>
                <w:szCs w:val="24"/>
              </w:rPr>
              <w:t>Ministru kabineta rīkojuma  projekts šo jomu neskar.</w:t>
            </w:r>
          </w:p>
        </w:tc>
      </w:tr>
      <w:tr w:rsidR="00AC5C4A" w:rsidRPr="00D6075C" w:rsidTr="00D43527">
        <w:tc>
          <w:tcPr>
            <w:tcW w:w="230" w:type="pct"/>
          </w:tcPr>
          <w:p w:rsidR="00AC5C4A" w:rsidRPr="00D6075C" w:rsidRDefault="00AC5C4A" w:rsidP="00D43527">
            <w:pPr>
              <w:pStyle w:val="naiskr"/>
              <w:spacing w:before="0" w:after="0"/>
            </w:pPr>
            <w:r w:rsidRPr="00D6075C">
              <w:t>7.</w:t>
            </w:r>
          </w:p>
        </w:tc>
        <w:tc>
          <w:tcPr>
            <w:tcW w:w="1060" w:type="pct"/>
          </w:tcPr>
          <w:p w:rsidR="00AC5C4A" w:rsidRPr="00D6075C" w:rsidRDefault="00AC5C4A" w:rsidP="00D43527">
            <w:pPr>
              <w:pStyle w:val="naiskr"/>
              <w:spacing w:before="0" w:after="0"/>
            </w:pPr>
            <w:r w:rsidRPr="00D6075C">
              <w:t>Cita informācija</w:t>
            </w:r>
          </w:p>
        </w:tc>
        <w:tc>
          <w:tcPr>
            <w:tcW w:w="3710" w:type="pct"/>
          </w:tcPr>
          <w:p w:rsidR="00AC5C4A" w:rsidRPr="00D6075C" w:rsidRDefault="00AC5C4A" w:rsidP="00D43527">
            <w:pPr>
              <w:spacing w:line="240" w:lineRule="auto"/>
              <w:ind w:left="44" w:right="145"/>
              <w:jc w:val="both"/>
              <w:rPr>
                <w:rFonts w:ascii="Times New Roman" w:hAnsi="Times New Roman"/>
                <w:sz w:val="24"/>
                <w:szCs w:val="24"/>
              </w:rPr>
            </w:pPr>
            <w:r w:rsidRPr="00D6075C">
              <w:rPr>
                <w:rFonts w:ascii="Times New Roman" w:hAnsi="Times New Roman"/>
                <w:bCs/>
                <w:sz w:val="24"/>
                <w:szCs w:val="24"/>
              </w:rPr>
              <w:t>Nav</w:t>
            </w:r>
          </w:p>
        </w:tc>
      </w:tr>
    </w:tbl>
    <w:p w:rsidR="00AC5C4A" w:rsidRPr="00D6075C" w:rsidRDefault="00AC5C4A" w:rsidP="00AC5C4A">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196"/>
        <w:gridCol w:w="1306"/>
        <w:gridCol w:w="1306"/>
        <w:gridCol w:w="1306"/>
        <w:gridCol w:w="1302"/>
      </w:tblGrid>
      <w:tr w:rsidR="00AC5C4A" w:rsidRPr="00D6075C" w:rsidTr="00D43527">
        <w:trPr>
          <w:trHeight w:val="290"/>
          <w:jc w:val="center"/>
        </w:trPr>
        <w:tc>
          <w:tcPr>
            <w:tcW w:w="5000" w:type="pct"/>
            <w:gridSpan w:val="6"/>
          </w:tcPr>
          <w:p w:rsidR="00AC5C4A" w:rsidRPr="00D6075C" w:rsidRDefault="00AC5C4A" w:rsidP="00D43527">
            <w:pPr>
              <w:pStyle w:val="naisnod"/>
              <w:spacing w:before="0" w:after="0"/>
              <w:jc w:val="center"/>
              <w:rPr>
                <w:b/>
                <w:i/>
              </w:rPr>
            </w:pPr>
            <w:r w:rsidRPr="00D6075C">
              <w:rPr>
                <w:b/>
              </w:rPr>
              <w:br w:type="page"/>
              <w:t>III. Tiesību akta projekta ietekme uz valsts budžetu un pašvaldību budžetiem</w:t>
            </w:r>
          </w:p>
        </w:tc>
      </w:tr>
      <w:tr w:rsidR="00AC5C4A" w:rsidRPr="00D6075C" w:rsidTr="00090DD1">
        <w:trPr>
          <w:jc w:val="center"/>
        </w:trPr>
        <w:tc>
          <w:tcPr>
            <w:tcW w:w="1546" w:type="pct"/>
            <w:vMerge w:val="restart"/>
            <w:vAlign w:val="center"/>
          </w:tcPr>
          <w:p w:rsidR="00AC5C4A" w:rsidRPr="00D6075C" w:rsidRDefault="00AC5C4A" w:rsidP="00D43527">
            <w:pPr>
              <w:pStyle w:val="naisf"/>
              <w:spacing w:before="0" w:after="0"/>
              <w:ind w:firstLine="0"/>
              <w:jc w:val="center"/>
            </w:pPr>
            <w:r w:rsidRPr="00D6075C">
              <w:t>Rādītāji</w:t>
            </w:r>
          </w:p>
        </w:tc>
        <w:tc>
          <w:tcPr>
            <w:tcW w:w="1347" w:type="pct"/>
            <w:gridSpan w:val="2"/>
            <w:vMerge w:val="restart"/>
            <w:vAlign w:val="center"/>
          </w:tcPr>
          <w:p w:rsidR="00AC5C4A" w:rsidRPr="00D6075C" w:rsidRDefault="00AC5C4A" w:rsidP="00D43527">
            <w:pPr>
              <w:pStyle w:val="naisf"/>
              <w:spacing w:before="0" w:after="0"/>
              <w:ind w:firstLine="0"/>
              <w:jc w:val="center"/>
            </w:pPr>
            <w:r w:rsidRPr="00D6075C">
              <w:t>2013.gads</w:t>
            </w:r>
          </w:p>
        </w:tc>
        <w:tc>
          <w:tcPr>
            <w:tcW w:w="2107" w:type="pct"/>
            <w:gridSpan w:val="3"/>
            <w:vAlign w:val="center"/>
          </w:tcPr>
          <w:p w:rsidR="00AC5C4A" w:rsidRPr="00D6075C" w:rsidRDefault="00AC5C4A" w:rsidP="00D43527">
            <w:pPr>
              <w:pStyle w:val="naisf"/>
              <w:spacing w:before="0" w:after="0"/>
              <w:ind w:firstLine="0"/>
              <w:jc w:val="center"/>
              <w:rPr>
                <w:i/>
              </w:rPr>
            </w:pPr>
            <w:r w:rsidRPr="00D6075C">
              <w:t>Turpmākie trīs gadi (tūkst</w:t>
            </w:r>
            <w:smartTag w:uri="schemas-tilde-lv/tildestengine" w:element="currency2">
              <w:smartTagPr>
                <w:attr w:name="currency_text" w:val="latu"/>
                <w:attr w:name="currency_value" w:val="."/>
                <w:attr w:name="currency_key" w:val="LVL"/>
                <w:attr w:name="currency_id" w:val="48"/>
              </w:smartTagPr>
              <w:r w:rsidRPr="00D6075C">
                <w:t>. latu</w:t>
              </w:r>
            </w:smartTag>
            <w:r w:rsidRPr="00D6075C">
              <w:t>)</w:t>
            </w:r>
          </w:p>
        </w:tc>
      </w:tr>
      <w:tr w:rsidR="00AC5C4A" w:rsidRPr="00D6075C" w:rsidTr="00090DD1">
        <w:trPr>
          <w:jc w:val="center"/>
        </w:trPr>
        <w:tc>
          <w:tcPr>
            <w:tcW w:w="1546" w:type="pct"/>
            <w:vMerge/>
            <w:vAlign w:val="center"/>
          </w:tcPr>
          <w:p w:rsidR="00AC5C4A" w:rsidRPr="00D6075C" w:rsidRDefault="00AC5C4A" w:rsidP="00D43527">
            <w:pPr>
              <w:pStyle w:val="naisf"/>
              <w:spacing w:before="0" w:after="0"/>
              <w:ind w:firstLine="0"/>
              <w:jc w:val="left"/>
              <w:rPr>
                <w:i/>
              </w:rPr>
            </w:pPr>
          </w:p>
        </w:tc>
        <w:tc>
          <w:tcPr>
            <w:tcW w:w="1347" w:type="pct"/>
            <w:gridSpan w:val="2"/>
            <w:vMerge/>
            <w:vAlign w:val="center"/>
          </w:tcPr>
          <w:p w:rsidR="00AC5C4A" w:rsidRPr="00D6075C" w:rsidRDefault="00AC5C4A" w:rsidP="00D43527">
            <w:pPr>
              <w:pStyle w:val="naisf"/>
              <w:spacing w:before="0" w:after="0"/>
              <w:ind w:firstLine="0"/>
              <w:jc w:val="center"/>
              <w:rPr>
                <w:i/>
              </w:rPr>
            </w:pPr>
          </w:p>
        </w:tc>
        <w:tc>
          <w:tcPr>
            <w:tcW w:w="703" w:type="pct"/>
            <w:vAlign w:val="center"/>
          </w:tcPr>
          <w:p w:rsidR="00AC5C4A" w:rsidRPr="00D6075C" w:rsidRDefault="00AC5C4A" w:rsidP="00D43527">
            <w:pPr>
              <w:pStyle w:val="naisf"/>
              <w:spacing w:before="0" w:after="0"/>
              <w:ind w:firstLine="0"/>
              <w:jc w:val="center"/>
              <w:rPr>
                <w:i/>
              </w:rPr>
            </w:pPr>
            <w:r w:rsidRPr="00D6075C">
              <w:rPr>
                <w:bCs/>
              </w:rPr>
              <w:t>2014.g.</w:t>
            </w:r>
          </w:p>
        </w:tc>
        <w:tc>
          <w:tcPr>
            <w:tcW w:w="703" w:type="pct"/>
            <w:vAlign w:val="center"/>
          </w:tcPr>
          <w:p w:rsidR="00AC5C4A" w:rsidRPr="00D6075C" w:rsidRDefault="00AC5C4A" w:rsidP="00D43527">
            <w:pPr>
              <w:pStyle w:val="naisf"/>
              <w:spacing w:before="0" w:after="0"/>
              <w:ind w:firstLine="0"/>
              <w:jc w:val="center"/>
              <w:rPr>
                <w:i/>
              </w:rPr>
            </w:pPr>
            <w:r w:rsidRPr="00D6075C">
              <w:rPr>
                <w:bCs/>
              </w:rPr>
              <w:t>2015.g.</w:t>
            </w:r>
          </w:p>
        </w:tc>
        <w:tc>
          <w:tcPr>
            <w:tcW w:w="701" w:type="pct"/>
            <w:vAlign w:val="center"/>
          </w:tcPr>
          <w:p w:rsidR="00AC5C4A" w:rsidRPr="00D6075C" w:rsidRDefault="00AC5C4A" w:rsidP="00D43527">
            <w:pPr>
              <w:pStyle w:val="naisf"/>
              <w:spacing w:before="0" w:after="0"/>
              <w:ind w:firstLine="0"/>
              <w:jc w:val="center"/>
              <w:rPr>
                <w:i/>
              </w:rPr>
            </w:pPr>
            <w:r w:rsidRPr="00D6075C">
              <w:rPr>
                <w:bCs/>
              </w:rPr>
              <w:t>2016.g.</w:t>
            </w:r>
          </w:p>
        </w:tc>
      </w:tr>
      <w:tr w:rsidR="00AC5C4A" w:rsidRPr="00D6075C" w:rsidTr="00090DD1">
        <w:trPr>
          <w:jc w:val="center"/>
        </w:trPr>
        <w:tc>
          <w:tcPr>
            <w:tcW w:w="1546" w:type="pct"/>
            <w:vMerge/>
            <w:vAlign w:val="center"/>
          </w:tcPr>
          <w:p w:rsidR="00AC5C4A" w:rsidRPr="00D6075C" w:rsidRDefault="00AC5C4A" w:rsidP="00D43527">
            <w:pPr>
              <w:pStyle w:val="naisf"/>
              <w:spacing w:before="0" w:after="0"/>
              <w:ind w:firstLine="0"/>
              <w:jc w:val="left"/>
              <w:rPr>
                <w:i/>
              </w:rPr>
            </w:pPr>
          </w:p>
        </w:tc>
        <w:tc>
          <w:tcPr>
            <w:tcW w:w="644" w:type="pct"/>
            <w:vAlign w:val="center"/>
          </w:tcPr>
          <w:p w:rsidR="00AC5C4A" w:rsidRPr="00D6075C" w:rsidRDefault="00AC5C4A" w:rsidP="00D43527">
            <w:pPr>
              <w:pStyle w:val="naisf"/>
              <w:spacing w:before="0" w:after="0"/>
              <w:ind w:firstLine="0"/>
              <w:jc w:val="center"/>
              <w:rPr>
                <w:i/>
              </w:rPr>
            </w:pPr>
            <w:r w:rsidRPr="00D6075C">
              <w:t>Saskaņā ar valsts budžetu kārtējam gadam</w:t>
            </w:r>
          </w:p>
        </w:tc>
        <w:tc>
          <w:tcPr>
            <w:tcW w:w="703" w:type="pct"/>
            <w:vAlign w:val="center"/>
          </w:tcPr>
          <w:p w:rsidR="00AC5C4A" w:rsidRPr="00D6075C" w:rsidRDefault="00AC5C4A" w:rsidP="00D43527">
            <w:pPr>
              <w:pStyle w:val="naisf"/>
              <w:spacing w:before="0" w:after="0"/>
              <w:ind w:firstLine="0"/>
              <w:jc w:val="center"/>
              <w:rPr>
                <w:i/>
              </w:rPr>
            </w:pPr>
            <w:r w:rsidRPr="00D6075C">
              <w:t>Izmaiņas kārtējā gadā, salīdzinot ar budžetu kārtējam gadam</w:t>
            </w:r>
          </w:p>
        </w:tc>
        <w:tc>
          <w:tcPr>
            <w:tcW w:w="703" w:type="pct"/>
            <w:vAlign w:val="center"/>
          </w:tcPr>
          <w:p w:rsidR="00AC5C4A" w:rsidRPr="00D6075C" w:rsidRDefault="00AC5C4A" w:rsidP="00D43527">
            <w:pPr>
              <w:pStyle w:val="naisf"/>
              <w:spacing w:before="0" w:after="0"/>
              <w:ind w:firstLine="0"/>
              <w:jc w:val="center"/>
              <w:rPr>
                <w:i/>
              </w:rPr>
            </w:pPr>
            <w:r w:rsidRPr="00D6075C">
              <w:t>Izmaiņas, salīdzinot ar kārtējo gadu</w:t>
            </w:r>
          </w:p>
        </w:tc>
        <w:tc>
          <w:tcPr>
            <w:tcW w:w="703" w:type="pct"/>
            <w:vAlign w:val="center"/>
          </w:tcPr>
          <w:p w:rsidR="00AC5C4A" w:rsidRPr="00D6075C" w:rsidRDefault="00AC5C4A" w:rsidP="00D43527">
            <w:pPr>
              <w:pStyle w:val="naisf"/>
              <w:spacing w:before="0" w:after="0"/>
              <w:ind w:firstLine="0"/>
              <w:jc w:val="center"/>
              <w:rPr>
                <w:i/>
              </w:rPr>
            </w:pPr>
            <w:r w:rsidRPr="00D6075C">
              <w:t>Izmaiņas, salīdzinot ar kārtējo gadu</w:t>
            </w:r>
          </w:p>
        </w:tc>
        <w:tc>
          <w:tcPr>
            <w:tcW w:w="701" w:type="pct"/>
            <w:vAlign w:val="center"/>
          </w:tcPr>
          <w:p w:rsidR="00AC5C4A" w:rsidRPr="00D6075C" w:rsidRDefault="00AC5C4A" w:rsidP="00D43527">
            <w:pPr>
              <w:pStyle w:val="naisf"/>
              <w:spacing w:before="0" w:after="0"/>
              <w:ind w:firstLine="0"/>
              <w:jc w:val="center"/>
              <w:rPr>
                <w:i/>
              </w:rPr>
            </w:pPr>
            <w:r w:rsidRPr="00D6075C">
              <w:t>Izmaiņas, salīdzinot ar kārtējo gadu</w:t>
            </w:r>
          </w:p>
        </w:tc>
      </w:tr>
      <w:tr w:rsidR="00AC5C4A" w:rsidRPr="00D6075C" w:rsidTr="00090DD1">
        <w:trPr>
          <w:jc w:val="center"/>
        </w:trPr>
        <w:tc>
          <w:tcPr>
            <w:tcW w:w="1546" w:type="pct"/>
            <w:vAlign w:val="center"/>
          </w:tcPr>
          <w:p w:rsidR="00AC5C4A" w:rsidRPr="00D6075C" w:rsidRDefault="00AC5C4A" w:rsidP="00D43527">
            <w:pPr>
              <w:pStyle w:val="naisf"/>
              <w:spacing w:before="0" w:after="0"/>
              <w:ind w:firstLine="0"/>
              <w:jc w:val="center"/>
              <w:rPr>
                <w:bCs/>
              </w:rPr>
            </w:pPr>
            <w:r w:rsidRPr="00D6075C">
              <w:rPr>
                <w:bCs/>
              </w:rPr>
              <w:t>1</w:t>
            </w:r>
          </w:p>
        </w:tc>
        <w:tc>
          <w:tcPr>
            <w:tcW w:w="644" w:type="pct"/>
            <w:vAlign w:val="center"/>
          </w:tcPr>
          <w:p w:rsidR="00AC5C4A" w:rsidRPr="00D6075C" w:rsidRDefault="00AC5C4A" w:rsidP="00D43527">
            <w:pPr>
              <w:pStyle w:val="naisf"/>
              <w:spacing w:before="0" w:after="0"/>
              <w:ind w:firstLine="0"/>
              <w:jc w:val="center"/>
              <w:rPr>
                <w:bCs/>
              </w:rPr>
            </w:pPr>
            <w:r w:rsidRPr="00D6075C">
              <w:rPr>
                <w:bCs/>
              </w:rPr>
              <w:t>2</w:t>
            </w:r>
          </w:p>
        </w:tc>
        <w:tc>
          <w:tcPr>
            <w:tcW w:w="703" w:type="pct"/>
            <w:vAlign w:val="center"/>
          </w:tcPr>
          <w:p w:rsidR="00AC5C4A" w:rsidRPr="00D6075C" w:rsidRDefault="00AC5C4A" w:rsidP="00D43527">
            <w:pPr>
              <w:pStyle w:val="naisf"/>
              <w:spacing w:before="0" w:after="0"/>
              <w:ind w:firstLine="0"/>
              <w:jc w:val="center"/>
              <w:rPr>
                <w:bCs/>
              </w:rPr>
            </w:pPr>
            <w:r w:rsidRPr="00D6075C">
              <w:rPr>
                <w:bCs/>
              </w:rPr>
              <w:t>3</w:t>
            </w:r>
          </w:p>
        </w:tc>
        <w:tc>
          <w:tcPr>
            <w:tcW w:w="703" w:type="pct"/>
            <w:vAlign w:val="center"/>
          </w:tcPr>
          <w:p w:rsidR="00AC5C4A" w:rsidRPr="00D6075C" w:rsidRDefault="00AC5C4A" w:rsidP="00D43527">
            <w:pPr>
              <w:pStyle w:val="naisf"/>
              <w:spacing w:before="0" w:after="0"/>
              <w:ind w:firstLine="0"/>
              <w:jc w:val="center"/>
              <w:rPr>
                <w:bCs/>
              </w:rPr>
            </w:pPr>
            <w:r w:rsidRPr="00D6075C">
              <w:rPr>
                <w:bCs/>
              </w:rPr>
              <w:t>4</w:t>
            </w:r>
          </w:p>
        </w:tc>
        <w:tc>
          <w:tcPr>
            <w:tcW w:w="703" w:type="pct"/>
            <w:vAlign w:val="center"/>
          </w:tcPr>
          <w:p w:rsidR="00AC5C4A" w:rsidRPr="00D6075C" w:rsidRDefault="00AC5C4A" w:rsidP="00D43527">
            <w:pPr>
              <w:pStyle w:val="naisf"/>
              <w:spacing w:before="0" w:after="0"/>
              <w:ind w:firstLine="0"/>
              <w:jc w:val="center"/>
              <w:rPr>
                <w:bCs/>
              </w:rPr>
            </w:pPr>
            <w:r w:rsidRPr="00D6075C">
              <w:rPr>
                <w:bCs/>
              </w:rPr>
              <w:t>5</w:t>
            </w:r>
          </w:p>
        </w:tc>
        <w:tc>
          <w:tcPr>
            <w:tcW w:w="701" w:type="pct"/>
            <w:vAlign w:val="center"/>
          </w:tcPr>
          <w:p w:rsidR="00AC5C4A" w:rsidRPr="00D6075C" w:rsidRDefault="00AC5C4A" w:rsidP="00D43527">
            <w:pPr>
              <w:pStyle w:val="naisf"/>
              <w:spacing w:before="0" w:after="0"/>
              <w:ind w:firstLine="0"/>
              <w:jc w:val="center"/>
              <w:rPr>
                <w:bCs/>
              </w:rPr>
            </w:pPr>
            <w:r w:rsidRPr="00D6075C">
              <w:rPr>
                <w:bCs/>
              </w:rPr>
              <w:t>6</w:t>
            </w:r>
          </w:p>
        </w:tc>
      </w:tr>
      <w:tr w:rsidR="00AC5C4A" w:rsidRPr="00D6075C" w:rsidTr="00090DD1">
        <w:trPr>
          <w:jc w:val="center"/>
        </w:trPr>
        <w:tc>
          <w:tcPr>
            <w:tcW w:w="1546" w:type="pct"/>
          </w:tcPr>
          <w:p w:rsidR="00AC5C4A" w:rsidRPr="00D6075C" w:rsidRDefault="00AC5C4A" w:rsidP="00D43527">
            <w:pPr>
              <w:pStyle w:val="naiskr"/>
              <w:spacing w:before="0" w:after="0"/>
            </w:pPr>
            <w:r w:rsidRPr="00D6075C">
              <w:t>1. Budžeta ieņēmumi:</w:t>
            </w:r>
          </w:p>
        </w:tc>
        <w:tc>
          <w:tcPr>
            <w:tcW w:w="644" w:type="pct"/>
          </w:tcPr>
          <w:p w:rsidR="00AC5C4A" w:rsidRPr="00D6075C" w:rsidRDefault="00FC0EA9" w:rsidP="00D43527">
            <w:pPr>
              <w:pStyle w:val="naisf"/>
              <w:spacing w:before="0" w:after="0"/>
              <w:ind w:firstLine="0"/>
              <w:jc w:val="center"/>
            </w:pPr>
            <w:r w:rsidRPr="00D6075C">
              <w:t>0</w:t>
            </w:r>
          </w:p>
        </w:tc>
        <w:tc>
          <w:tcPr>
            <w:tcW w:w="703" w:type="pct"/>
          </w:tcPr>
          <w:p w:rsidR="00AC5C4A" w:rsidRPr="00D6075C" w:rsidRDefault="00FC0EA9" w:rsidP="00D43527">
            <w:pPr>
              <w:pStyle w:val="naisf"/>
              <w:spacing w:before="0" w:after="0"/>
              <w:ind w:firstLine="0"/>
              <w:jc w:val="center"/>
            </w:pPr>
            <w:r w:rsidRPr="00D6075C">
              <w:t>0</w:t>
            </w:r>
          </w:p>
        </w:tc>
        <w:tc>
          <w:tcPr>
            <w:tcW w:w="703" w:type="pct"/>
          </w:tcPr>
          <w:p w:rsidR="00AC5C4A" w:rsidRPr="00D6075C" w:rsidRDefault="00FC0EA9" w:rsidP="00D43527">
            <w:pPr>
              <w:pStyle w:val="naisf"/>
              <w:spacing w:before="0" w:after="0"/>
              <w:ind w:firstLine="0"/>
              <w:jc w:val="center"/>
            </w:pPr>
            <w:r w:rsidRPr="00D6075C">
              <w:t>0</w:t>
            </w:r>
          </w:p>
        </w:tc>
        <w:tc>
          <w:tcPr>
            <w:tcW w:w="703" w:type="pct"/>
          </w:tcPr>
          <w:p w:rsidR="00AC5C4A" w:rsidRPr="00D6075C" w:rsidRDefault="00FC0EA9" w:rsidP="00D43527">
            <w:pPr>
              <w:pStyle w:val="naisf"/>
              <w:spacing w:before="0" w:after="0"/>
              <w:ind w:firstLine="0"/>
              <w:jc w:val="center"/>
            </w:pPr>
            <w:r w:rsidRPr="00D6075C">
              <w:t>0</w:t>
            </w:r>
          </w:p>
        </w:tc>
        <w:tc>
          <w:tcPr>
            <w:tcW w:w="701" w:type="pct"/>
          </w:tcPr>
          <w:p w:rsidR="00AC5C4A" w:rsidRPr="00D6075C" w:rsidRDefault="00AC5C4A" w:rsidP="00D43527">
            <w:pPr>
              <w:pStyle w:val="naisf"/>
              <w:spacing w:before="0" w:after="0"/>
              <w:ind w:firstLine="0"/>
              <w:jc w:val="center"/>
            </w:pPr>
            <w:r w:rsidRPr="00D6075C">
              <w:t>0</w:t>
            </w:r>
          </w:p>
        </w:tc>
      </w:tr>
      <w:tr w:rsidR="00AC5C4A" w:rsidRPr="00D6075C" w:rsidTr="00090DD1">
        <w:trPr>
          <w:jc w:val="center"/>
        </w:trPr>
        <w:tc>
          <w:tcPr>
            <w:tcW w:w="1546" w:type="pct"/>
          </w:tcPr>
          <w:p w:rsidR="00AC5C4A" w:rsidRPr="00D6075C" w:rsidRDefault="00AC5C4A" w:rsidP="00D43527">
            <w:pPr>
              <w:pStyle w:val="naiskr"/>
              <w:spacing w:before="0" w:after="0"/>
            </w:pPr>
            <w:r w:rsidRPr="00D6075C">
              <w:t>1.1. valsts pamatbudžets, tai skaitā ieņēmumi no maksas pakalpojumiem un citi pašu ieņēmumi</w:t>
            </w:r>
          </w:p>
        </w:tc>
        <w:tc>
          <w:tcPr>
            <w:tcW w:w="644" w:type="pct"/>
            <w:vAlign w:val="center"/>
          </w:tcPr>
          <w:p w:rsidR="00AC5C4A" w:rsidRPr="00D6075C" w:rsidRDefault="00FC0EA9" w:rsidP="00D43527">
            <w:pPr>
              <w:pStyle w:val="naisf"/>
              <w:spacing w:before="0" w:after="0"/>
              <w:ind w:firstLine="0"/>
              <w:jc w:val="center"/>
            </w:pPr>
            <w:r w:rsidRPr="00D6075C">
              <w:t>0</w:t>
            </w:r>
          </w:p>
        </w:tc>
        <w:tc>
          <w:tcPr>
            <w:tcW w:w="703" w:type="pct"/>
            <w:vAlign w:val="center"/>
          </w:tcPr>
          <w:p w:rsidR="00AC5C4A" w:rsidRPr="00D6075C" w:rsidRDefault="00FC0EA9" w:rsidP="00D43527">
            <w:pPr>
              <w:pStyle w:val="naisf"/>
              <w:spacing w:before="0" w:after="0"/>
              <w:ind w:firstLine="0"/>
              <w:jc w:val="center"/>
            </w:pPr>
            <w:r w:rsidRPr="00D6075C">
              <w:t>0</w:t>
            </w:r>
          </w:p>
        </w:tc>
        <w:tc>
          <w:tcPr>
            <w:tcW w:w="703" w:type="pct"/>
            <w:vAlign w:val="center"/>
          </w:tcPr>
          <w:p w:rsidR="00AC5C4A" w:rsidRPr="00D6075C" w:rsidRDefault="00FC0EA9" w:rsidP="00D43527">
            <w:pPr>
              <w:pStyle w:val="naisf"/>
              <w:spacing w:before="0" w:after="0"/>
              <w:ind w:firstLine="0"/>
              <w:jc w:val="center"/>
            </w:pPr>
            <w:r w:rsidRPr="00D6075C">
              <w:t>0</w:t>
            </w:r>
          </w:p>
        </w:tc>
        <w:tc>
          <w:tcPr>
            <w:tcW w:w="703" w:type="pct"/>
            <w:vAlign w:val="center"/>
          </w:tcPr>
          <w:p w:rsidR="00AC5C4A" w:rsidRPr="00D6075C" w:rsidRDefault="00FC0EA9" w:rsidP="00D43527">
            <w:pPr>
              <w:pStyle w:val="naisf"/>
              <w:spacing w:before="0" w:after="0"/>
              <w:ind w:firstLine="0"/>
              <w:jc w:val="center"/>
            </w:pPr>
            <w:r w:rsidRPr="00D6075C">
              <w:t>0</w:t>
            </w:r>
          </w:p>
        </w:tc>
        <w:tc>
          <w:tcPr>
            <w:tcW w:w="701" w:type="pct"/>
            <w:vAlign w:val="center"/>
          </w:tcPr>
          <w:p w:rsidR="00AC5C4A" w:rsidRPr="00D6075C" w:rsidRDefault="00AC5C4A" w:rsidP="00D43527">
            <w:pPr>
              <w:pStyle w:val="naisf"/>
              <w:spacing w:before="0" w:after="0"/>
              <w:ind w:firstLine="0"/>
              <w:jc w:val="center"/>
            </w:pPr>
            <w:r w:rsidRPr="00D6075C">
              <w:t>0</w:t>
            </w:r>
          </w:p>
        </w:tc>
      </w:tr>
      <w:tr w:rsidR="00AC5C4A" w:rsidRPr="00D6075C" w:rsidTr="00090DD1">
        <w:trPr>
          <w:trHeight w:val="445"/>
          <w:jc w:val="center"/>
        </w:trPr>
        <w:tc>
          <w:tcPr>
            <w:tcW w:w="1546" w:type="pct"/>
          </w:tcPr>
          <w:p w:rsidR="00AC5C4A" w:rsidRPr="00D6075C" w:rsidRDefault="00AC5C4A" w:rsidP="00D43527">
            <w:pPr>
              <w:pStyle w:val="naiskr"/>
              <w:spacing w:before="0" w:after="0"/>
            </w:pPr>
            <w:r w:rsidRPr="00D6075C">
              <w:t>1.2. valsts speciālais budžets</w:t>
            </w:r>
          </w:p>
        </w:tc>
        <w:tc>
          <w:tcPr>
            <w:tcW w:w="644" w:type="pct"/>
            <w:vAlign w:val="center"/>
          </w:tcPr>
          <w:p w:rsidR="00AC5C4A" w:rsidRPr="00D6075C" w:rsidRDefault="00AC5C4A" w:rsidP="00D43527">
            <w:pPr>
              <w:pStyle w:val="naisf"/>
              <w:spacing w:before="0" w:after="0"/>
              <w:ind w:firstLine="0"/>
              <w:jc w:val="center"/>
            </w:pPr>
            <w:r w:rsidRPr="00D6075C">
              <w:t>0</w:t>
            </w:r>
          </w:p>
        </w:tc>
        <w:tc>
          <w:tcPr>
            <w:tcW w:w="703" w:type="pct"/>
            <w:vAlign w:val="center"/>
          </w:tcPr>
          <w:p w:rsidR="00AC5C4A" w:rsidRPr="00D6075C" w:rsidRDefault="00AC5C4A" w:rsidP="00D43527">
            <w:pPr>
              <w:pStyle w:val="naisf"/>
              <w:spacing w:before="0" w:after="0"/>
              <w:ind w:firstLine="0"/>
              <w:jc w:val="center"/>
            </w:pPr>
            <w:r w:rsidRPr="00D6075C">
              <w:t>0</w:t>
            </w:r>
          </w:p>
        </w:tc>
        <w:tc>
          <w:tcPr>
            <w:tcW w:w="703" w:type="pct"/>
            <w:vAlign w:val="center"/>
          </w:tcPr>
          <w:p w:rsidR="00AC5C4A" w:rsidRPr="00D6075C" w:rsidRDefault="00AC5C4A" w:rsidP="00D43527">
            <w:pPr>
              <w:pStyle w:val="naisf"/>
              <w:spacing w:before="0" w:after="0"/>
              <w:ind w:firstLine="0"/>
              <w:jc w:val="center"/>
            </w:pPr>
            <w:r w:rsidRPr="00D6075C">
              <w:t>0</w:t>
            </w:r>
          </w:p>
        </w:tc>
        <w:tc>
          <w:tcPr>
            <w:tcW w:w="703" w:type="pct"/>
            <w:vAlign w:val="center"/>
          </w:tcPr>
          <w:p w:rsidR="00AC5C4A" w:rsidRPr="00D6075C" w:rsidRDefault="00AC5C4A" w:rsidP="00D43527">
            <w:pPr>
              <w:pStyle w:val="naisf"/>
              <w:spacing w:before="0" w:after="0"/>
              <w:ind w:firstLine="0"/>
              <w:jc w:val="center"/>
            </w:pPr>
            <w:r w:rsidRPr="00D6075C">
              <w:t>0</w:t>
            </w:r>
          </w:p>
        </w:tc>
        <w:tc>
          <w:tcPr>
            <w:tcW w:w="701" w:type="pct"/>
            <w:vAlign w:val="center"/>
          </w:tcPr>
          <w:p w:rsidR="00AC5C4A" w:rsidRPr="00D6075C" w:rsidRDefault="00AC5C4A" w:rsidP="00D43527">
            <w:pPr>
              <w:pStyle w:val="naisf"/>
              <w:spacing w:before="0" w:after="0"/>
              <w:ind w:firstLine="0"/>
              <w:jc w:val="center"/>
            </w:pPr>
            <w:r w:rsidRPr="00D6075C">
              <w:t>0</w:t>
            </w:r>
          </w:p>
        </w:tc>
      </w:tr>
      <w:tr w:rsidR="00AC5C4A" w:rsidRPr="00D6075C" w:rsidTr="00090DD1">
        <w:trPr>
          <w:jc w:val="center"/>
        </w:trPr>
        <w:tc>
          <w:tcPr>
            <w:tcW w:w="1546" w:type="pct"/>
          </w:tcPr>
          <w:p w:rsidR="00AC5C4A" w:rsidRPr="00D6075C" w:rsidRDefault="00AC5C4A" w:rsidP="00D43527">
            <w:pPr>
              <w:pStyle w:val="naiskr"/>
              <w:spacing w:before="0" w:after="0"/>
            </w:pPr>
            <w:r w:rsidRPr="00D6075C">
              <w:t>1.3. pašvaldību budžets</w:t>
            </w:r>
          </w:p>
        </w:tc>
        <w:tc>
          <w:tcPr>
            <w:tcW w:w="644" w:type="pct"/>
            <w:vAlign w:val="center"/>
          </w:tcPr>
          <w:p w:rsidR="00AC5C4A" w:rsidRPr="00D6075C" w:rsidRDefault="00AC5C4A" w:rsidP="00D43527">
            <w:pPr>
              <w:pStyle w:val="naisf"/>
              <w:spacing w:before="0" w:after="0"/>
              <w:ind w:firstLine="0"/>
              <w:jc w:val="center"/>
            </w:pPr>
            <w:r w:rsidRPr="00D6075C">
              <w:t>0</w:t>
            </w:r>
          </w:p>
        </w:tc>
        <w:tc>
          <w:tcPr>
            <w:tcW w:w="703" w:type="pct"/>
            <w:vAlign w:val="center"/>
          </w:tcPr>
          <w:p w:rsidR="00AC5C4A" w:rsidRPr="00D6075C" w:rsidRDefault="00AC5C4A" w:rsidP="00D43527">
            <w:pPr>
              <w:pStyle w:val="naisf"/>
              <w:spacing w:before="0" w:after="0"/>
              <w:ind w:firstLine="0"/>
              <w:jc w:val="center"/>
            </w:pPr>
            <w:r w:rsidRPr="00D6075C">
              <w:t>0</w:t>
            </w:r>
          </w:p>
        </w:tc>
        <w:tc>
          <w:tcPr>
            <w:tcW w:w="703" w:type="pct"/>
            <w:vAlign w:val="center"/>
          </w:tcPr>
          <w:p w:rsidR="00AC5C4A" w:rsidRPr="00D6075C" w:rsidRDefault="00AC5C4A" w:rsidP="00D43527">
            <w:pPr>
              <w:pStyle w:val="naisf"/>
              <w:spacing w:before="0" w:after="0"/>
              <w:ind w:firstLine="0"/>
              <w:jc w:val="center"/>
            </w:pPr>
            <w:r w:rsidRPr="00D6075C">
              <w:t>0</w:t>
            </w:r>
          </w:p>
        </w:tc>
        <w:tc>
          <w:tcPr>
            <w:tcW w:w="703" w:type="pct"/>
            <w:vAlign w:val="center"/>
          </w:tcPr>
          <w:p w:rsidR="00AC5C4A" w:rsidRPr="00D6075C" w:rsidRDefault="00AC5C4A" w:rsidP="00D43527">
            <w:pPr>
              <w:pStyle w:val="naisf"/>
              <w:spacing w:before="0" w:after="0"/>
              <w:ind w:firstLine="0"/>
              <w:jc w:val="center"/>
            </w:pPr>
            <w:r w:rsidRPr="00D6075C">
              <w:t>0</w:t>
            </w:r>
          </w:p>
        </w:tc>
        <w:tc>
          <w:tcPr>
            <w:tcW w:w="701" w:type="pct"/>
            <w:vAlign w:val="center"/>
          </w:tcPr>
          <w:p w:rsidR="00AC5C4A" w:rsidRPr="00D6075C" w:rsidRDefault="00AC5C4A" w:rsidP="00D43527">
            <w:pPr>
              <w:pStyle w:val="naisf"/>
              <w:spacing w:before="0" w:after="0"/>
              <w:ind w:firstLine="0"/>
              <w:jc w:val="center"/>
            </w:pPr>
            <w:r w:rsidRPr="00D6075C">
              <w:t>0</w:t>
            </w:r>
          </w:p>
        </w:tc>
      </w:tr>
      <w:tr w:rsidR="007F5480" w:rsidRPr="00D6075C" w:rsidTr="00090DD1">
        <w:trPr>
          <w:jc w:val="center"/>
        </w:trPr>
        <w:tc>
          <w:tcPr>
            <w:tcW w:w="1546" w:type="pct"/>
          </w:tcPr>
          <w:p w:rsidR="007F5480" w:rsidRPr="00D6075C" w:rsidRDefault="007F5480" w:rsidP="00D43527">
            <w:pPr>
              <w:pStyle w:val="naiskr"/>
              <w:spacing w:before="0" w:after="0"/>
            </w:pPr>
            <w:r w:rsidRPr="00D6075C">
              <w:t>2. Budžeta izdevumi:</w:t>
            </w:r>
          </w:p>
        </w:tc>
        <w:tc>
          <w:tcPr>
            <w:tcW w:w="644" w:type="pct"/>
          </w:tcPr>
          <w:p w:rsidR="007F5480" w:rsidRPr="00D6075C" w:rsidRDefault="007F5480" w:rsidP="00D43527">
            <w:pPr>
              <w:pStyle w:val="naisf"/>
              <w:spacing w:before="0" w:after="0"/>
              <w:ind w:firstLine="0"/>
              <w:jc w:val="center"/>
              <w:rPr>
                <w:color w:val="FF0000"/>
              </w:rPr>
            </w:pPr>
            <w:r w:rsidRPr="00D6075C">
              <w:t>0</w:t>
            </w:r>
          </w:p>
        </w:tc>
        <w:tc>
          <w:tcPr>
            <w:tcW w:w="703" w:type="pct"/>
          </w:tcPr>
          <w:p w:rsidR="007F5480" w:rsidRDefault="007F5480" w:rsidP="007F5480">
            <w:pPr>
              <w:pStyle w:val="naisf"/>
              <w:spacing w:before="0" w:after="0"/>
              <w:ind w:firstLine="0"/>
              <w:jc w:val="center"/>
            </w:pPr>
            <w:r w:rsidRPr="00464B65">
              <w:t>0</w:t>
            </w:r>
          </w:p>
        </w:tc>
        <w:tc>
          <w:tcPr>
            <w:tcW w:w="703" w:type="pct"/>
          </w:tcPr>
          <w:p w:rsidR="007F5480" w:rsidRPr="00D6075C" w:rsidRDefault="007F5480" w:rsidP="00D43527">
            <w:pPr>
              <w:pStyle w:val="naisf"/>
              <w:spacing w:before="0" w:after="0"/>
              <w:ind w:firstLine="0"/>
              <w:jc w:val="center"/>
              <w:rPr>
                <w:color w:val="FF0000"/>
              </w:rPr>
            </w:pPr>
            <w:r w:rsidRPr="00D6075C">
              <w:t>-1 666,4</w:t>
            </w:r>
          </w:p>
        </w:tc>
        <w:tc>
          <w:tcPr>
            <w:tcW w:w="703" w:type="pct"/>
          </w:tcPr>
          <w:p w:rsidR="007F5480" w:rsidRPr="00D6075C" w:rsidRDefault="007F5480" w:rsidP="00D43527">
            <w:pPr>
              <w:pStyle w:val="naisf"/>
              <w:spacing w:before="0" w:after="0"/>
              <w:ind w:firstLine="0"/>
              <w:jc w:val="center"/>
            </w:pPr>
            <w:r w:rsidRPr="00D6075C">
              <w:t>1 823,3</w:t>
            </w:r>
          </w:p>
        </w:tc>
        <w:tc>
          <w:tcPr>
            <w:tcW w:w="701" w:type="pct"/>
          </w:tcPr>
          <w:p w:rsidR="007F5480" w:rsidRPr="00D6075C" w:rsidRDefault="007F5480" w:rsidP="00D43527">
            <w:pPr>
              <w:pStyle w:val="naisf"/>
              <w:spacing w:before="0" w:after="0"/>
              <w:ind w:firstLine="0"/>
              <w:jc w:val="center"/>
            </w:pPr>
            <w:r w:rsidRPr="00D6075C">
              <w:t>0</w:t>
            </w:r>
          </w:p>
        </w:tc>
      </w:tr>
      <w:tr w:rsidR="007F5480" w:rsidRPr="00D6075C" w:rsidTr="00090DD1">
        <w:trPr>
          <w:trHeight w:val="195"/>
          <w:jc w:val="center"/>
        </w:trPr>
        <w:tc>
          <w:tcPr>
            <w:tcW w:w="1546" w:type="pct"/>
          </w:tcPr>
          <w:p w:rsidR="007F5480" w:rsidRPr="00D6075C" w:rsidRDefault="007F5480" w:rsidP="00D43527">
            <w:pPr>
              <w:pStyle w:val="naiskr"/>
              <w:spacing w:before="0" w:after="0"/>
            </w:pPr>
            <w:r w:rsidRPr="00D6075C">
              <w:t>2.1. valsts pamatbudžets</w:t>
            </w:r>
          </w:p>
        </w:tc>
        <w:tc>
          <w:tcPr>
            <w:tcW w:w="644" w:type="pct"/>
          </w:tcPr>
          <w:p w:rsidR="007F5480" w:rsidRPr="00D6075C" w:rsidRDefault="007F5480" w:rsidP="00D43527">
            <w:pPr>
              <w:pStyle w:val="naisf"/>
              <w:spacing w:before="0" w:after="0"/>
              <w:ind w:firstLine="0"/>
              <w:jc w:val="center"/>
              <w:rPr>
                <w:color w:val="FF0000"/>
              </w:rPr>
            </w:pPr>
            <w:r w:rsidRPr="00D6075C">
              <w:t>0</w:t>
            </w:r>
          </w:p>
        </w:tc>
        <w:tc>
          <w:tcPr>
            <w:tcW w:w="703" w:type="pct"/>
          </w:tcPr>
          <w:p w:rsidR="007F5480" w:rsidRDefault="007F5480" w:rsidP="007F5480">
            <w:pPr>
              <w:pStyle w:val="naisf"/>
              <w:spacing w:before="0" w:after="0"/>
              <w:ind w:firstLine="0"/>
              <w:jc w:val="center"/>
            </w:pPr>
            <w:r w:rsidRPr="00464B65">
              <w:t>0</w:t>
            </w:r>
          </w:p>
        </w:tc>
        <w:tc>
          <w:tcPr>
            <w:tcW w:w="703" w:type="pct"/>
          </w:tcPr>
          <w:p w:rsidR="007F5480" w:rsidRPr="00D6075C" w:rsidRDefault="007F5480" w:rsidP="002A7B0D">
            <w:pPr>
              <w:pStyle w:val="naisf"/>
              <w:spacing w:before="0" w:after="0"/>
              <w:ind w:firstLine="0"/>
              <w:jc w:val="center"/>
              <w:rPr>
                <w:color w:val="FF0000"/>
              </w:rPr>
            </w:pPr>
            <w:r w:rsidRPr="00D6075C">
              <w:t>-1 666,4</w:t>
            </w:r>
          </w:p>
        </w:tc>
        <w:tc>
          <w:tcPr>
            <w:tcW w:w="703" w:type="pct"/>
          </w:tcPr>
          <w:p w:rsidR="007F5480" w:rsidRPr="00D6075C" w:rsidRDefault="007F5480" w:rsidP="002A7B0D">
            <w:pPr>
              <w:pStyle w:val="naisf"/>
              <w:spacing w:before="0" w:after="0"/>
              <w:ind w:firstLine="0"/>
              <w:jc w:val="center"/>
            </w:pPr>
            <w:r w:rsidRPr="00D6075C">
              <w:t>1 823,3</w:t>
            </w:r>
          </w:p>
        </w:tc>
        <w:tc>
          <w:tcPr>
            <w:tcW w:w="701" w:type="pct"/>
          </w:tcPr>
          <w:p w:rsidR="007F5480" w:rsidRPr="00D6075C" w:rsidRDefault="007F5480" w:rsidP="00D43527">
            <w:pPr>
              <w:pStyle w:val="naisf"/>
              <w:spacing w:before="0" w:after="0"/>
              <w:ind w:firstLine="0"/>
              <w:jc w:val="center"/>
            </w:pPr>
            <w:r w:rsidRPr="00D6075C">
              <w:t>0</w:t>
            </w:r>
          </w:p>
        </w:tc>
      </w:tr>
      <w:tr w:rsidR="007F5480" w:rsidRPr="00D6075C" w:rsidTr="0029563F">
        <w:trPr>
          <w:jc w:val="center"/>
        </w:trPr>
        <w:tc>
          <w:tcPr>
            <w:tcW w:w="1546" w:type="pct"/>
          </w:tcPr>
          <w:p w:rsidR="007F5480" w:rsidRPr="00D6075C" w:rsidRDefault="007F5480" w:rsidP="00D43527">
            <w:pPr>
              <w:pStyle w:val="naiskr"/>
              <w:spacing w:before="0" w:after="0"/>
            </w:pPr>
            <w:r w:rsidRPr="00D6075C">
              <w:t>2.2. valsts speciālais budžets</w:t>
            </w:r>
          </w:p>
        </w:tc>
        <w:tc>
          <w:tcPr>
            <w:tcW w:w="644" w:type="pct"/>
            <w:vAlign w:val="center"/>
          </w:tcPr>
          <w:p w:rsidR="007F5480" w:rsidRPr="00D6075C" w:rsidRDefault="007F5480" w:rsidP="00D43527">
            <w:pPr>
              <w:pStyle w:val="naisf"/>
              <w:spacing w:before="0" w:after="0"/>
              <w:ind w:firstLine="0"/>
              <w:jc w:val="center"/>
              <w:rPr>
                <w:b/>
              </w:rPr>
            </w:pPr>
            <w:r w:rsidRPr="00D6075C">
              <w:t>0</w:t>
            </w:r>
          </w:p>
        </w:tc>
        <w:tc>
          <w:tcPr>
            <w:tcW w:w="703" w:type="pct"/>
          </w:tcPr>
          <w:p w:rsidR="007F5480" w:rsidRDefault="007F5480" w:rsidP="007F5480">
            <w:pPr>
              <w:pStyle w:val="naisf"/>
              <w:spacing w:before="0" w:after="0"/>
              <w:ind w:firstLine="0"/>
              <w:jc w:val="center"/>
            </w:pPr>
            <w:r w:rsidRPr="00464B65">
              <w:t>0</w:t>
            </w:r>
          </w:p>
        </w:tc>
        <w:tc>
          <w:tcPr>
            <w:tcW w:w="703" w:type="pct"/>
            <w:vAlign w:val="center"/>
          </w:tcPr>
          <w:p w:rsidR="007F5480" w:rsidRPr="00D6075C" w:rsidRDefault="007F5480" w:rsidP="00D43527">
            <w:pPr>
              <w:pStyle w:val="naisf"/>
              <w:spacing w:before="0" w:after="0"/>
              <w:ind w:firstLine="0"/>
              <w:jc w:val="center"/>
              <w:rPr>
                <w:b/>
              </w:rPr>
            </w:pPr>
            <w:r w:rsidRPr="00D6075C">
              <w:t>0</w:t>
            </w:r>
          </w:p>
        </w:tc>
        <w:tc>
          <w:tcPr>
            <w:tcW w:w="703" w:type="pct"/>
            <w:vAlign w:val="center"/>
          </w:tcPr>
          <w:p w:rsidR="007F5480" w:rsidRPr="00D6075C" w:rsidRDefault="007F5480" w:rsidP="00D43527">
            <w:pPr>
              <w:pStyle w:val="naisf"/>
              <w:spacing w:before="0" w:after="0"/>
              <w:ind w:firstLine="0"/>
              <w:jc w:val="center"/>
              <w:rPr>
                <w:b/>
              </w:rPr>
            </w:pPr>
            <w:r w:rsidRPr="00D6075C">
              <w:t>0</w:t>
            </w:r>
          </w:p>
        </w:tc>
        <w:tc>
          <w:tcPr>
            <w:tcW w:w="701" w:type="pct"/>
            <w:vAlign w:val="center"/>
          </w:tcPr>
          <w:p w:rsidR="007F5480" w:rsidRPr="00D6075C" w:rsidRDefault="007F5480" w:rsidP="00D43527">
            <w:pPr>
              <w:pStyle w:val="naisf"/>
              <w:spacing w:before="0" w:after="0"/>
              <w:ind w:firstLine="0"/>
              <w:jc w:val="center"/>
              <w:rPr>
                <w:b/>
              </w:rPr>
            </w:pPr>
            <w:r w:rsidRPr="00D6075C">
              <w:t>0</w:t>
            </w:r>
          </w:p>
        </w:tc>
      </w:tr>
      <w:tr w:rsidR="007F5480" w:rsidRPr="00D6075C" w:rsidTr="0029563F">
        <w:trPr>
          <w:jc w:val="center"/>
        </w:trPr>
        <w:tc>
          <w:tcPr>
            <w:tcW w:w="1546" w:type="pct"/>
          </w:tcPr>
          <w:p w:rsidR="007F5480" w:rsidRPr="00D6075C" w:rsidRDefault="007F5480" w:rsidP="00D43527">
            <w:pPr>
              <w:pStyle w:val="naiskr"/>
              <w:spacing w:before="0" w:after="0"/>
            </w:pPr>
            <w:r w:rsidRPr="00D6075C">
              <w:t xml:space="preserve">2.3. pašvaldību budžets </w:t>
            </w:r>
          </w:p>
        </w:tc>
        <w:tc>
          <w:tcPr>
            <w:tcW w:w="644" w:type="pct"/>
            <w:vAlign w:val="center"/>
          </w:tcPr>
          <w:p w:rsidR="007F5480" w:rsidRPr="00D6075C" w:rsidRDefault="007F5480" w:rsidP="00D43527">
            <w:pPr>
              <w:pStyle w:val="naisf"/>
              <w:spacing w:before="0" w:after="0"/>
              <w:ind w:firstLine="0"/>
              <w:jc w:val="center"/>
              <w:rPr>
                <w:b/>
              </w:rPr>
            </w:pPr>
            <w:r w:rsidRPr="00D6075C">
              <w:t>0</w:t>
            </w:r>
          </w:p>
        </w:tc>
        <w:tc>
          <w:tcPr>
            <w:tcW w:w="703" w:type="pct"/>
          </w:tcPr>
          <w:p w:rsidR="007F5480" w:rsidRDefault="007F5480" w:rsidP="007F5480">
            <w:pPr>
              <w:pStyle w:val="naisf"/>
              <w:spacing w:before="0" w:after="0"/>
              <w:ind w:firstLine="0"/>
              <w:jc w:val="center"/>
            </w:pPr>
            <w:r w:rsidRPr="00464B65">
              <w:t>0</w:t>
            </w:r>
          </w:p>
        </w:tc>
        <w:tc>
          <w:tcPr>
            <w:tcW w:w="703" w:type="pct"/>
            <w:vAlign w:val="center"/>
          </w:tcPr>
          <w:p w:rsidR="007F5480" w:rsidRPr="00D6075C" w:rsidRDefault="007F5480" w:rsidP="00D43527">
            <w:pPr>
              <w:pStyle w:val="naisf"/>
              <w:spacing w:before="0" w:after="0"/>
              <w:ind w:firstLine="0"/>
              <w:jc w:val="center"/>
              <w:rPr>
                <w:b/>
              </w:rPr>
            </w:pPr>
            <w:r w:rsidRPr="00D6075C">
              <w:t>0</w:t>
            </w:r>
          </w:p>
        </w:tc>
        <w:tc>
          <w:tcPr>
            <w:tcW w:w="703" w:type="pct"/>
            <w:vAlign w:val="center"/>
          </w:tcPr>
          <w:p w:rsidR="007F5480" w:rsidRPr="00D6075C" w:rsidRDefault="007F5480" w:rsidP="00D43527">
            <w:pPr>
              <w:pStyle w:val="naisf"/>
              <w:spacing w:before="0" w:after="0"/>
              <w:ind w:firstLine="0"/>
              <w:jc w:val="center"/>
              <w:rPr>
                <w:b/>
              </w:rPr>
            </w:pPr>
            <w:r w:rsidRPr="00D6075C">
              <w:t>0</w:t>
            </w:r>
          </w:p>
        </w:tc>
        <w:tc>
          <w:tcPr>
            <w:tcW w:w="701" w:type="pct"/>
            <w:vAlign w:val="center"/>
          </w:tcPr>
          <w:p w:rsidR="007F5480" w:rsidRPr="00D6075C" w:rsidRDefault="007F5480" w:rsidP="00D43527">
            <w:pPr>
              <w:pStyle w:val="naisf"/>
              <w:spacing w:before="0" w:after="0"/>
              <w:ind w:firstLine="0"/>
              <w:jc w:val="center"/>
              <w:rPr>
                <w:b/>
              </w:rPr>
            </w:pPr>
            <w:r w:rsidRPr="00D6075C">
              <w:t>0</w:t>
            </w:r>
          </w:p>
        </w:tc>
      </w:tr>
      <w:tr w:rsidR="007F5480" w:rsidRPr="00D6075C" w:rsidTr="0029563F">
        <w:trPr>
          <w:jc w:val="center"/>
        </w:trPr>
        <w:tc>
          <w:tcPr>
            <w:tcW w:w="1546" w:type="pct"/>
          </w:tcPr>
          <w:p w:rsidR="007F5480" w:rsidRPr="00D6075C" w:rsidRDefault="007F5480" w:rsidP="00D43527">
            <w:pPr>
              <w:pStyle w:val="naiskr"/>
              <w:spacing w:before="0" w:after="0"/>
            </w:pPr>
            <w:r w:rsidRPr="00D6075C">
              <w:t>3. Finansiālā ietekme:</w:t>
            </w:r>
          </w:p>
        </w:tc>
        <w:tc>
          <w:tcPr>
            <w:tcW w:w="644" w:type="pct"/>
            <w:shd w:val="clear" w:color="auto" w:fill="auto"/>
            <w:vAlign w:val="center"/>
          </w:tcPr>
          <w:p w:rsidR="007F5480" w:rsidRPr="00D6075C" w:rsidRDefault="007F5480" w:rsidP="00D43527">
            <w:pPr>
              <w:pStyle w:val="naisf"/>
              <w:spacing w:before="0" w:after="0"/>
              <w:ind w:firstLine="0"/>
              <w:jc w:val="center"/>
            </w:pPr>
            <w:r w:rsidRPr="00D6075C">
              <w:t>0</w:t>
            </w:r>
          </w:p>
        </w:tc>
        <w:tc>
          <w:tcPr>
            <w:tcW w:w="703" w:type="pct"/>
          </w:tcPr>
          <w:p w:rsidR="007F5480" w:rsidRDefault="007F5480" w:rsidP="007F5480">
            <w:pPr>
              <w:pStyle w:val="naisf"/>
              <w:spacing w:before="0" w:after="0"/>
              <w:ind w:firstLine="0"/>
              <w:jc w:val="center"/>
            </w:pPr>
            <w:r w:rsidRPr="00464B65">
              <w:t>0</w:t>
            </w:r>
          </w:p>
        </w:tc>
        <w:tc>
          <w:tcPr>
            <w:tcW w:w="703" w:type="pct"/>
            <w:vAlign w:val="center"/>
          </w:tcPr>
          <w:p w:rsidR="007F5480" w:rsidRPr="00D6075C" w:rsidRDefault="007F5480" w:rsidP="00D43527">
            <w:pPr>
              <w:pStyle w:val="naisf"/>
              <w:spacing w:before="0" w:after="0"/>
              <w:ind w:firstLine="0"/>
              <w:jc w:val="center"/>
            </w:pPr>
            <w:r w:rsidRPr="00D6075C">
              <w:t>1 666,4</w:t>
            </w:r>
          </w:p>
        </w:tc>
        <w:tc>
          <w:tcPr>
            <w:tcW w:w="703" w:type="pct"/>
            <w:vAlign w:val="center"/>
          </w:tcPr>
          <w:p w:rsidR="007F5480" w:rsidRPr="00D6075C" w:rsidRDefault="007F5480" w:rsidP="00ED4F8C">
            <w:pPr>
              <w:pStyle w:val="naisf"/>
              <w:spacing w:before="0" w:after="0"/>
              <w:ind w:firstLine="0"/>
              <w:jc w:val="center"/>
            </w:pPr>
            <w:r w:rsidRPr="00D6075C">
              <w:t>-1 823,3</w:t>
            </w:r>
          </w:p>
        </w:tc>
        <w:tc>
          <w:tcPr>
            <w:tcW w:w="701" w:type="pct"/>
            <w:vAlign w:val="center"/>
          </w:tcPr>
          <w:p w:rsidR="007F5480" w:rsidRPr="00D6075C" w:rsidRDefault="007F5480" w:rsidP="00D43527">
            <w:pPr>
              <w:pStyle w:val="naisf"/>
              <w:spacing w:before="0" w:after="0"/>
              <w:ind w:firstLine="0"/>
              <w:jc w:val="center"/>
            </w:pPr>
            <w:r w:rsidRPr="00D6075C">
              <w:t>0</w:t>
            </w:r>
          </w:p>
        </w:tc>
      </w:tr>
      <w:tr w:rsidR="007F5480" w:rsidRPr="00D6075C" w:rsidTr="0029563F">
        <w:trPr>
          <w:jc w:val="center"/>
        </w:trPr>
        <w:tc>
          <w:tcPr>
            <w:tcW w:w="1546" w:type="pct"/>
          </w:tcPr>
          <w:p w:rsidR="007F5480" w:rsidRPr="00D6075C" w:rsidRDefault="007F5480" w:rsidP="00D43527">
            <w:pPr>
              <w:pStyle w:val="naiskr"/>
              <w:spacing w:before="0" w:after="0"/>
            </w:pPr>
            <w:r w:rsidRPr="00D6075C">
              <w:t>3.1. valsts pamatbudžets</w:t>
            </w:r>
          </w:p>
        </w:tc>
        <w:tc>
          <w:tcPr>
            <w:tcW w:w="644" w:type="pct"/>
            <w:shd w:val="clear" w:color="auto" w:fill="auto"/>
            <w:vAlign w:val="center"/>
          </w:tcPr>
          <w:p w:rsidR="007F5480" w:rsidRPr="00D6075C" w:rsidRDefault="007F5480" w:rsidP="00D43527">
            <w:pPr>
              <w:pStyle w:val="naisf"/>
              <w:spacing w:before="0" w:after="0"/>
              <w:ind w:firstLine="0"/>
              <w:jc w:val="center"/>
            </w:pPr>
            <w:r w:rsidRPr="00D6075C">
              <w:t>0</w:t>
            </w:r>
          </w:p>
        </w:tc>
        <w:tc>
          <w:tcPr>
            <w:tcW w:w="703" w:type="pct"/>
          </w:tcPr>
          <w:p w:rsidR="007F5480" w:rsidRDefault="007F5480" w:rsidP="007F5480">
            <w:pPr>
              <w:pStyle w:val="naisf"/>
              <w:spacing w:before="0" w:after="0"/>
              <w:ind w:firstLine="0"/>
              <w:jc w:val="center"/>
            </w:pPr>
            <w:r w:rsidRPr="00464B65">
              <w:t>0</w:t>
            </w:r>
          </w:p>
        </w:tc>
        <w:tc>
          <w:tcPr>
            <w:tcW w:w="703" w:type="pct"/>
            <w:vAlign w:val="center"/>
          </w:tcPr>
          <w:p w:rsidR="007F5480" w:rsidRPr="00D6075C" w:rsidRDefault="007F5480" w:rsidP="002A7B0D">
            <w:pPr>
              <w:pStyle w:val="naisf"/>
              <w:spacing w:before="0" w:after="0"/>
              <w:ind w:firstLine="0"/>
              <w:jc w:val="center"/>
            </w:pPr>
            <w:r w:rsidRPr="00D6075C">
              <w:t>1 666,4</w:t>
            </w:r>
          </w:p>
        </w:tc>
        <w:tc>
          <w:tcPr>
            <w:tcW w:w="703" w:type="pct"/>
            <w:vAlign w:val="center"/>
          </w:tcPr>
          <w:p w:rsidR="007F5480" w:rsidRPr="00D6075C" w:rsidRDefault="007F5480" w:rsidP="002A7B0D">
            <w:pPr>
              <w:pStyle w:val="naisf"/>
              <w:spacing w:before="0" w:after="0"/>
              <w:ind w:firstLine="0"/>
              <w:jc w:val="center"/>
            </w:pPr>
            <w:r w:rsidRPr="00D6075C">
              <w:t>-1 823,3</w:t>
            </w:r>
          </w:p>
        </w:tc>
        <w:tc>
          <w:tcPr>
            <w:tcW w:w="701" w:type="pct"/>
            <w:vAlign w:val="center"/>
          </w:tcPr>
          <w:p w:rsidR="007F5480" w:rsidRPr="00D6075C" w:rsidRDefault="007F5480" w:rsidP="00D43527">
            <w:pPr>
              <w:pStyle w:val="naisf"/>
              <w:spacing w:before="0" w:after="0"/>
              <w:ind w:firstLine="0"/>
              <w:jc w:val="center"/>
            </w:pPr>
            <w:r w:rsidRPr="00D6075C">
              <w:t>0</w:t>
            </w:r>
          </w:p>
        </w:tc>
      </w:tr>
      <w:tr w:rsidR="00090DD1" w:rsidRPr="00D6075C" w:rsidTr="00090DD1">
        <w:trPr>
          <w:jc w:val="center"/>
        </w:trPr>
        <w:tc>
          <w:tcPr>
            <w:tcW w:w="1546" w:type="pct"/>
          </w:tcPr>
          <w:p w:rsidR="00090DD1" w:rsidRPr="00D6075C" w:rsidRDefault="00090DD1" w:rsidP="00D43527">
            <w:pPr>
              <w:pStyle w:val="naiskr"/>
              <w:spacing w:before="0" w:after="0"/>
            </w:pPr>
            <w:r w:rsidRPr="00D6075C">
              <w:t>3.2. speciālais budžets</w:t>
            </w:r>
          </w:p>
        </w:tc>
        <w:tc>
          <w:tcPr>
            <w:tcW w:w="644" w:type="pct"/>
            <w:shd w:val="clear" w:color="auto" w:fill="auto"/>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1" w:type="pct"/>
            <w:vAlign w:val="center"/>
          </w:tcPr>
          <w:p w:rsidR="00090DD1" w:rsidRPr="00D6075C" w:rsidRDefault="00090DD1" w:rsidP="00D43527">
            <w:pPr>
              <w:pStyle w:val="naisf"/>
              <w:spacing w:before="0" w:after="0"/>
              <w:ind w:firstLine="0"/>
              <w:jc w:val="center"/>
            </w:pPr>
            <w:r w:rsidRPr="00D6075C">
              <w:t>0</w:t>
            </w:r>
          </w:p>
        </w:tc>
      </w:tr>
      <w:tr w:rsidR="00090DD1" w:rsidRPr="00D6075C" w:rsidTr="00090DD1">
        <w:trPr>
          <w:jc w:val="center"/>
        </w:trPr>
        <w:tc>
          <w:tcPr>
            <w:tcW w:w="1546" w:type="pct"/>
          </w:tcPr>
          <w:p w:rsidR="00090DD1" w:rsidRPr="00D6075C" w:rsidRDefault="00090DD1" w:rsidP="00D43527">
            <w:pPr>
              <w:pStyle w:val="naiskr"/>
              <w:spacing w:before="0" w:after="0"/>
            </w:pPr>
            <w:r w:rsidRPr="00D6075C">
              <w:t xml:space="preserve">3.3. pašvaldību budžets </w:t>
            </w:r>
          </w:p>
        </w:tc>
        <w:tc>
          <w:tcPr>
            <w:tcW w:w="644" w:type="pct"/>
            <w:shd w:val="clear" w:color="auto" w:fill="auto"/>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1" w:type="pct"/>
            <w:vAlign w:val="center"/>
          </w:tcPr>
          <w:p w:rsidR="00090DD1" w:rsidRPr="00D6075C" w:rsidRDefault="00090DD1" w:rsidP="00D43527">
            <w:pPr>
              <w:pStyle w:val="naisf"/>
              <w:spacing w:before="0" w:after="0"/>
              <w:ind w:firstLine="0"/>
              <w:jc w:val="center"/>
            </w:pPr>
            <w:r w:rsidRPr="00D6075C">
              <w:t>0</w:t>
            </w:r>
          </w:p>
        </w:tc>
      </w:tr>
      <w:tr w:rsidR="00090DD1" w:rsidRPr="00D6075C" w:rsidTr="00090DD1">
        <w:trPr>
          <w:jc w:val="center"/>
        </w:trPr>
        <w:tc>
          <w:tcPr>
            <w:tcW w:w="1546" w:type="pct"/>
            <w:vMerge w:val="restart"/>
          </w:tcPr>
          <w:p w:rsidR="00090DD1" w:rsidRPr="00D6075C" w:rsidRDefault="00090DD1" w:rsidP="00D43527">
            <w:pPr>
              <w:pStyle w:val="naiskr"/>
              <w:spacing w:before="0" w:after="0"/>
            </w:pPr>
            <w:r w:rsidRPr="00D6075C">
              <w:t>4. Finanšu līdzekļi papildu izde</w:t>
            </w:r>
            <w:r w:rsidRPr="00D6075C">
              <w:softHyphen/>
              <w:t>vumu finansēšanai (kompensējošu izdevumu samazinājumu norāda ar "+" zīmi)</w:t>
            </w:r>
          </w:p>
        </w:tc>
        <w:tc>
          <w:tcPr>
            <w:tcW w:w="644" w:type="pct"/>
            <w:vMerge w:val="restart"/>
            <w:vAlign w:val="center"/>
          </w:tcPr>
          <w:p w:rsidR="00090DD1" w:rsidRPr="00D6075C" w:rsidRDefault="00090DD1" w:rsidP="00D43527">
            <w:pPr>
              <w:pStyle w:val="naisf"/>
              <w:spacing w:before="0" w:after="0"/>
              <w:ind w:firstLine="0"/>
              <w:jc w:val="center"/>
            </w:pPr>
            <w:r w:rsidRPr="00D6075C">
              <w:t>X</w:t>
            </w:r>
          </w:p>
        </w:tc>
        <w:tc>
          <w:tcPr>
            <w:tcW w:w="703" w:type="pct"/>
            <w:vMerge w:val="restar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1" w:type="pct"/>
            <w:vAlign w:val="center"/>
          </w:tcPr>
          <w:p w:rsidR="00090DD1" w:rsidRPr="00D6075C" w:rsidRDefault="00090DD1" w:rsidP="00D43527">
            <w:pPr>
              <w:pStyle w:val="Header"/>
              <w:jc w:val="center"/>
              <w:rPr>
                <w:rFonts w:ascii="Times New Roman" w:hAnsi="Times New Roman"/>
                <w:sz w:val="24"/>
                <w:szCs w:val="24"/>
              </w:rPr>
            </w:pPr>
            <w:r w:rsidRPr="00D6075C">
              <w:rPr>
                <w:rFonts w:ascii="Times New Roman" w:hAnsi="Times New Roman"/>
                <w:sz w:val="24"/>
                <w:szCs w:val="24"/>
              </w:rPr>
              <w:t>0</w:t>
            </w:r>
          </w:p>
        </w:tc>
      </w:tr>
      <w:tr w:rsidR="00090DD1" w:rsidRPr="00D6075C" w:rsidTr="00090DD1">
        <w:trPr>
          <w:jc w:val="center"/>
        </w:trPr>
        <w:tc>
          <w:tcPr>
            <w:tcW w:w="1546" w:type="pct"/>
            <w:vMerge/>
          </w:tcPr>
          <w:p w:rsidR="00090DD1" w:rsidRPr="00D6075C" w:rsidRDefault="00090DD1" w:rsidP="00D43527">
            <w:pPr>
              <w:rPr>
                <w:rFonts w:ascii="Times New Roman" w:hAnsi="Times New Roman"/>
                <w:sz w:val="24"/>
                <w:szCs w:val="24"/>
              </w:rPr>
            </w:pPr>
          </w:p>
        </w:tc>
        <w:tc>
          <w:tcPr>
            <w:tcW w:w="644" w:type="pct"/>
            <w:vMerge/>
          </w:tcPr>
          <w:p w:rsidR="00090DD1" w:rsidRPr="00D6075C" w:rsidRDefault="00090DD1" w:rsidP="00D43527">
            <w:pPr>
              <w:pStyle w:val="Header"/>
              <w:jc w:val="center"/>
              <w:rPr>
                <w:rFonts w:ascii="Times New Roman" w:hAnsi="Times New Roman"/>
                <w:sz w:val="24"/>
                <w:szCs w:val="24"/>
              </w:rPr>
            </w:pPr>
          </w:p>
        </w:tc>
        <w:tc>
          <w:tcPr>
            <w:tcW w:w="703" w:type="pct"/>
            <w:vMerge/>
            <w:vAlign w:val="center"/>
          </w:tcPr>
          <w:p w:rsidR="00090DD1" w:rsidRPr="00D6075C" w:rsidRDefault="00090DD1" w:rsidP="00D43527">
            <w:pPr>
              <w:pStyle w:val="naisf"/>
              <w:jc w:val="center"/>
            </w:pPr>
          </w:p>
        </w:tc>
        <w:tc>
          <w:tcPr>
            <w:tcW w:w="703" w:type="pct"/>
            <w:vAlign w:val="center"/>
          </w:tcPr>
          <w:p w:rsidR="00090DD1" w:rsidRPr="00D6075C" w:rsidRDefault="00090DD1" w:rsidP="00D43527">
            <w:pPr>
              <w:pStyle w:val="naisf"/>
              <w:spacing w:before="0" w:after="0"/>
              <w:ind w:firstLine="0"/>
              <w:jc w:val="center"/>
            </w:pPr>
            <w:r w:rsidRPr="00D6075C">
              <w:t>0</w:t>
            </w:r>
          </w:p>
        </w:tc>
        <w:tc>
          <w:tcPr>
            <w:tcW w:w="703" w:type="pct"/>
            <w:vAlign w:val="center"/>
          </w:tcPr>
          <w:p w:rsidR="00090DD1" w:rsidRPr="00D6075C" w:rsidRDefault="00090DD1" w:rsidP="00D43527">
            <w:pPr>
              <w:pStyle w:val="naisf"/>
              <w:spacing w:before="0" w:after="0"/>
              <w:ind w:firstLine="0"/>
              <w:jc w:val="center"/>
            </w:pPr>
            <w:r w:rsidRPr="00D6075C">
              <w:t>0</w:t>
            </w:r>
          </w:p>
        </w:tc>
        <w:tc>
          <w:tcPr>
            <w:tcW w:w="701" w:type="pct"/>
            <w:vAlign w:val="center"/>
          </w:tcPr>
          <w:p w:rsidR="00090DD1" w:rsidRPr="00D6075C" w:rsidRDefault="00090DD1" w:rsidP="00D43527">
            <w:pPr>
              <w:pStyle w:val="Header"/>
              <w:jc w:val="center"/>
              <w:rPr>
                <w:rFonts w:ascii="Times New Roman" w:hAnsi="Times New Roman"/>
                <w:sz w:val="24"/>
                <w:szCs w:val="24"/>
              </w:rPr>
            </w:pPr>
            <w:r w:rsidRPr="00D6075C">
              <w:rPr>
                <w:rFonts w:ascii="Times New Roman" w:hAnsi="Times New Roman"/>
                <w:sz w:val="24"/>
                <w:szCs w:val="24"/>
              </w:rPr>
              <w:t>0</w:t>
            </w:r>
          </w:p>
        </w:tc>
      </w:tr>
      <w:tr w:rsidR="00090DD1" w:rsidRPr="00D6075C" w:rsidTr="00090DD1">
        <w:trPr>
          <w:jc w:val="center"/>
        </w:trPr>
        <w:tc>
          <w:tcPr>
            <w:tcW w:w="1546" w:type="pct"/>
            <w:vMerge/>
          </w:tcPr>
          <w:p w:rsidR="00090DD1" w:rsidRPr="00D6075C" w:rsidRDefault="00090DD1" w:rsidP="00D43527">
            <w:pPr>
              <w:rPr>
                <w:rFonts w:ascii="Times New Roman" w:hAnsi="Times New Roman"/>
                <w:sz w:val="24"/>
                <w:szCs w:val="24"/>
              </w:rPr>
            </w:pPr>
          </w:p>
        </w:tc>
        <w:tc>
          <w:tcPr>
            <w:tcW w:w="644" w:type="pct"/>
            <w:vMerge/>
          </w:tcPr>
          <w:p w:rsidR="00090DD1" w:rsidRPr="00D6075C" w:rsidRDefault="00090DD1" w:rsidP="00D43527">
            <w:pPr>
              <w:pStyle w:val="Header"/>
              <w:jc w:val="center"/>
              <w:rPr>
                <w:rFonts w:ascii="Times New Roman" w:hAnsi="Times New Roman"/>
                <w:sz w:val="24"/>
                <w:szCs w:val="24"/>
              </w:rPr>
            </w:pPr>
          </w:p>
        </w:tc>
        <w:tc>
          <w:tcPr>
            <w:tcW w:w="703" w:type="pct"/>
            <w:vMerge/>
            <w:vAlign w:val="center"/>
          </w:tcPr>
          <w:p w:rsidR="00090DD1" w:rsidRPr="00D6075C" w:rsidRDefault="00090DD1" w:rsidP="00D43527">
            <w:pPr>
              <w:pStyle w:val="naisf"/>
              <w:spacing w:before="0" w:after="0"/>
              <w:ind w:firstLine="0"/>
              <w:jc w:val="center"/>
            </w:pPr>
          </w:p>
        </w:tc>
        <w:tc>
          <w:tcPr>
            <w:tcW w:w="703" w:type="pct"/>
            <w:vAlign w:val="center"/>
          </w:tcPr>
          <w:p w:rsidR="00090DD1" w:rsidRPr="00D6075C" w:rsidRDefault="00090DD1" w:rsidP="00D43527">
            <w:pPr>
              <w:pStyle w:val="naislab"/>
              <w:spacing w:before="0" w:after="0"/>
              <w:jc w:val="center"/>
            </w:pPr>
            <w:r w:rsidRPr="00D6075C">
              <w:t>0</w:t>
            </w:r>
          </w:p>
        </w:tc>
        <w:tc>
          <w:tcPr>
            <w:tcW w:w="703" w:type="pct"/>
            <w:vAlign w:val="center"/>
          </w:tcPr>
          <w:p w:rsidR="00090DD1" w:rsidRPr="00D6075C" w:rsidRDefault="00090DD1" w:rsidP="00D43527">
            <w:pPr>
              <w:pStyle w:val="naislab"/>
              <w:spacing w:before="0" w:after="0"/>
              <w:jc w:val="center"/>
            </w:pPr>
            <w:r w:rsidRPr="00D6075C">
              <w:t>0</w:t>
            </w:r>
          </w:p>
        </w:tc>
        <w:tc>
          <w:tcPr>
            <w:tcW w:w="701" w:type="pct"/>
            <w:vAlign w:val="center"/>
          </w:tcPr>
          <w:p w:rsidR="00090DD1" w:rsidRPr="00D6075C" w:rsidRDefault="00090DD1" w:rsidP="00D43527">
            <w:pPr>
              <w:pStyle w:val="Header"/>
              <w:jc w:val="center"/>
              <w:rPr>
                <w:rFonts w:ascii="Times New Roman" w:hAnsi="Times New Roman"/>
                <w:sz w:val="24"/>
                <w:szCs w:val="24"/>
              </w:rPr>
            </w:pPr>
            <w:r w:rsidRPr="00D6075C">
              <w:rPr>
                <w:rFonts w:ascii="Times New Roman" w:hAnsi="Times New Roman"/>
                <w:sz w:val="24"/>
                <w:szCs w:val="24"/>
              </w:rPr>
              <w:t>0</w:t>
            </w:r>
          </w:p>
        </w:tc>
      </w:tr>
      <w:tr w:rsidR="007F5480" w:rsidRPr="00D6075C" w:rsidTr="00AF11E6">
        <w:trPr>
          <w:jc w:val="center"/>
        </w:trPr>
        <w:tc>
          <w:tcPr>
            <w:tcW w:w="1546" w:type="pct"/>
          </w:tcPr>
          <w:p w:rsidR="007F5480" w:rsidRPr="00D6075C" w:rsidRDefault="007F5480" w:rsidP="00D43527">
            <w:pPr>
              <w:pStyle w:val="naiskr"/>
              <w:spacing w:before="0" w:after="0"/>
            </w:pPr>
            <w:r w:rsidRPr="00D6075C">
              <w:t>5. Precizēta finansiālā ietekme:</w:t>
            </w:r>
          </w:p>
        </w:tc>
        <w:tc>
          <w:tcPr>
            <w:tcW w:w="644" w:type="pct"/>
            <w:vMerge w:val="restart"/>
            <w:vAlign w:val="center"/>
          </w:tcPr>
          <w:p w:rsidR="007F5480" w:rsidRPr="00D6075C" w:rsidRDefault="007F5480" w:rsidP="00D43527">
            <w:pPr>
              <w:pStyle w:val="Header"/>
              <w:jc w:val="center"/>
              <w:rPr>
                <w:rFonts w:ascii="Times New Roman" w:hAnsi="Times New Roman"/>
                <w:sz w:val="24"/>
                <w:szCs w:val="24"/>
              </w:rPr>
            </w:pPr>
            <w:r w:rsidRPr="00D6075C">
              <w:rPr>
                <w:rFonts w:ascii="Times New Roman" w:hAnsi="Times New Roman"/>
                <w:sz w:val="24"/>
                <w:szCs w:val="24"/>
              </w:rPr>
              <w:t>X</w:t>
            </w:r>
          </w:p>
        </w:tc>
        <w:tc>
          <w:tcPr>
            <w:tcW w:w="703" w:type="pct"/>
          </w:tcPr>
          <w:p w:rsidR="007F5480" w:rsidRDefault="007F5480" w:rsidP="007F5480">
            <w:pPr>
              <w:pStyle w:val="naisf"/>
              <w:spacing w:before="0" w:after="0"/>
              <w:ind w:firstLine="0"/>
              <w:jc w:val="center"/>
            </w:pPr>
            <w:r w:rsidRPr="00BD72A3">
              <w:t>0</w:t>
            </w:r>
          </w:p>
        </w:tc>
        <w:tc>
          <w:tcPr>
            <w:tcW w:w="703" w:type="pct"/>
            <w:vAlign w:val="center"/>
          </w:tcPr>
          <w:p w:rsidR="007F5480" w:rsidRPr="00D6075C" w:rsidRDefault="007F5480" w:rsidP="002A7B0D">
            <w:pPr>
              <w:pStyle w:val="naisf"/>
              <w:spacing w:before="0" w:after="0"/>
              <w:ind w:firstLine="0"/>
              <w:jc w:val="center"/>
            </w:pPr>
            <w:r w:rsidRPr="00D6075C">
              <w:t>1 666,4</w:t>
            </w:r>
          </w:p>
        </w:tc>
        <w:tc>
          <w:tcPr>
            <w:tcW w:w="703" w:type="pct"/>
            <w:vAlign w:val="center"/>
          </w:tcPr>
          <w:p w:rsidR="007F5480" w:rsidRPr="00D6075C" w:rsidRDefault="007F5480" w:rsidP="002A7B0D">
            <w:pPr>
              <w:pStyle w:val="naisf"/>
              <w:spacing w:before="0" w:after="0"/>
              <w:ind w:firstLine="0"/>
              <w:jc w:val="center"/>
            </w:pPr>
            <w:r w:rsidRPr="00D6075C">
              <w:t>-1 823,3</w:t>
            </w:r>
          </w:p>
        </w:tc>
        <w:tc>
          <w:tcPr>
            <w:tcW w:w="701" w:type="pct"/>
            <w:vAlign w:val="center"/>
          </w:tcPr>
          <w:p w:rsidR="007F5480" w:rsidRPr="00D6075C" w:rsidRDefault="007F5480" w:rsidP="00D43527">
            <w:pPr>
              <w:pStyle w:val="naisf"/>
              <w:spacing w:before="0" w:after="0"/>
              <w:ind w:firstLine="0"/>
              <w:jc w:val="center"/>
            </w:pPr>
            <w:r w:rsidRPr="00D6075C">
              <w:t>0</w:t>
            </w:r>
          </w:p>
        </w:tc>
      </w:tr>
      <w:tr w:rsidR="007F5480" w:rsidRPr="00D6075C" w:rsidTr="00AF11E6">
        <w:trPr>
          <w:jc w:val="center"/>
        </w:trPr>
        <w:tc>
          <w:tcPr>
            <w:tcW w:w="1546" w:type="pct"/>
          </w:tcPr>
          <w:p w:rsidR="007F5480" w:rsidRPr="00D6075C" w:rsidRDefault="007F5480" w:rsidP="00D43527">
            <w:pPr>
              <w:pStyle w:val="naiskr"/>
              <w:spacing w:before="0" w:after="0"/>
            </w:pPr>
            <w:r w:rsidRPr="00D6075C">
              <w:t>5.1. valsts pamatbudžets</w:t>
            </w:r>
          </w:p>
        </w:tc>
        <w:tc>
          <w:tcPr>
            <w:tcW w:w="644" w:type="pct"/>
            <w:vMerge/>
            <w:vAlign w:val="center"/>
          </w:tcPr>
          <w:p w:rsidR="007F5480" w:rsidRPr="00D6075C" w:rsidRDefault="007F5480" w:rsidP="00D43527">
            <w:pPr>
              <w:pStyle w:val="naisf"/>
              <w:spacing w:before="0" w:after="0"/>
              <w:ind w:firstLine="0"/>
              <w:jc w:val="center"/>
            </w:pPr>
          </w:p>
        </w:tc>
        <w:tc>
          <w:tcPr>
            <w:tcW w:w="703" w:type="pct"/>
          </w:tcPr>
          <w:p w:rsidR="007F5480" w:rsidRDefault="007F5480" w:rsidP="007F5480">
            <w:pPr>
              <w:pStyle w:val="naisf"/>
              <w:spacing w:before="0" w:after="0"/>
              <w:ind w:firstLine="0"/>
              <w:jc w:val="center"/>
            </w:pPr>
            <w:r w:rsidRPr="00BD72A3">
              <w:t>0</w:t>
            </w:r>
          </w:p>
        </w:tc>
        <w:tc>
          <w:tcPr>
            <w:tcW w:w="703" w:type="pct"/>
            <w:vAlign w:val="center"/>
          </w:tcPr>
          <w:p w:rsidR="007F5480" w:rsidRPr="00D6075C" w:rsidRDefault="007F5480" w:rsidP="002A7B0D">
            <w:pPr>
              <w:pStyle w:val="naisf"/>
              <w:spacing w:before="0" w:after="0"/>
              <w:ind w:firstLine="0"/>
              <w:jc w:val="center"/>
            </w:pPr>
            <w:r w:rsidRPr="00D6075C">
              <w:t>1 666,4</w:t>
            </w:r>
          </w:p>
        </w:tc>
        <w:tc>
          <w:tcPr>
            <w:tcW w:w="703" w:type="pct"/>
            <w:vAlign w:val="center"/>
          </w:tcPr>
          <w:p w:rsidR="007F5480" w:rsidRPr="00D6075C" w:rsidRDefault="007F5480" w:rsidP="002A7B0D">
            <w:pPr>
              <w:pStyle w:val="naisf"/>
              <w:spacing w:before="0" w:after="0"/>
              <w:ind w:firstLine="0"/>
              <w:jc w:val="center"/>
            </w:pPr>
            <w:r w:rsidRPr="00D6075C">
              <w:t>-1 823,3</w:t>
            </w:r>
          </w:p>
        </w:tc>
        <w:tc>
          <w:tcPr>
            <w:tcW w:w="701" w:type="pct"/>
            <w:vAlign w:val="center"/>
          </w:tcPr>
          <w:p w:rsidR="007F5480" w:rsidRPr="00D6075C" w:rsidRDefault="007F5480" w:rsidP="00D43527">
            <w:pPr>
              <w:pStyle w:val="naisf"/>
              <w:spacing w:before="0" w:after="0"/>
              <w:ind w:firstLine="0"/>
              <w:jc w:val="center"/>
            </w:pPr>
            <w:r w:rsidRPr="00D6075C">
              <w:t>0</w:t>
            </w:r>
          </w:p>
        </w:tc>
      </w:tr>
      <w:tr w:rsidR="00090DD1" w:rsidRPr="00D6075C" w:rsidTr="00090DD1">
        <w:trPr>
          <w:jc w:val="center"/>
        </w:trPr>
        <w:tc>
          <w:tcPr>
            <w:tcW w:w="1546" w:type="pct"/>
          </w:tcPr>
          <w:p w:rsidR="00090DD1" w:rsidRPr="00D6075C" w:rsidRDefault="00090DD1" w:rsidP="00D43527">
            <w:pPr>
              <w:pStyle w:val="naiskr"/>
              <w:spacing w:before="0" w:after="0"/>
            </w:pPr>
            <w:r w:rsidRPr="00D6075C">
              <w:t>5.2. speciālais budžets</w:t>
            </w:r>
          </w:p>
        </w:tc>
        <w:tc>
          <w:tcPr>
            <w:tcW w:w="644" w:type="pct"/>
            <w:vMerge/>
            <w:vAlign w:val="center"/>
          </w:tcPr>
          <w:p w:rsidR="00090DD1" w:rsidRPr="00D6075C" w:rsidRDefault="00090DD1" w:rsidP="00D43527">
            <w:pPr>
              <w:pStyle w:val="naisf"/>
              <w:spacing w:before="0" w:after="0"/>
              <w:ind w:firstLine="0"/>
              <w:jc w:val="center"/>
            </w:pPr>
          </w:p>
        </w:tc>
        <w:tc>
          <w:tcPr>
            <w:tcW w:w="703" w:type="pct"/>
            <w:vAlign w:val="center"/>
          </w:tcPr>
          <w:p w:rsidR="00090DD1" w:rsidRPr="00D6075C" w:rsidRDefault="00090DD1" w:rsidP="00D43527">
            <w:pPr>
              <w:pStyle w:val="naisf"/>
              <w:spacing w:before="0" w:after="0"/>
              <w:ind w:firstLine="0"/>
              <w:jc w:val="center"/>
              <w:rPr>
                <w:b/>
              </w:rPr>
            </w:pPr>
            <w:r w:rsidRPr="00D6075C">
              <w:t>0</w:t>
            </w:r>
          </w:p>
        </w:tc>
        <w:tc>
          <w:tcPr>
            <w:tcW w:w="703" w:type="pct"/>
            <w:vAlign w:val="center"/>
          </w:tcPr>
          <w:p w:rsidR="00090DD1" w:rsidRPr="00D6075C" w:rsidRDefault="00090DD1" w:rsidP="00D43527">
            <w:pPr>
              <w:pStyle w:val="naisf"/>
              <w:spacing w:before="0" w:after="0"/>
              <w:ind w:firstLine="0"/>
              <w:jc w:val="center"/>
              <w:rPr>
                <w:b/>
              </w:rPr>
            </w:pPr>
            <w:r w:rsidRPr="00D6075C">
              <w:t>0</w:t>
            </w:r>
          </w:p>
        </w:tc>
        <w:tc>
          <w:tcPr>
            <w:tcW w:w="703" w:type="pct"/>
            <w:vAlign w:val="center"/>
          </w:tcPr>
          <w:p w:rsidR="00090DD1" w:rsidRPr="00D6075C" w:rsidRDefault="00090DD1" w:rsidP="00D43527">
            <w:pPr>
              <w:pStyle w:val="naisf"/>
              <w:spacing w:before="0" w:after="0"/>
              <w:ind w:firstLine="0"/>
              <w:jc w:val="center"/>
              <w:rPr>
                <w:b/>
              </w:rPr>
            </w:pPr>
            <w:r w:rsidRPr="00D6075C">
              <w:t>0</w:t>
            </w:r>
          </w:p>
        </w:tc>
        <w:tc>
          <w:tcPr>
            <w:tcW w:w="701" w:type="pct"/>
            <w:vAlign w:val="center"/>
          </w:tcPr>
          <w:p w:rsidR="00090DD1" w:rsidRPr="00D6075C" w:rsidRDefault="00090DD1" w:rsidP="00D43527">
            <w:pPr>
              <w:pStyle w:val="naisf"/>
              <w:spacing w:before="0" w:after="0"/>
              <w:ind w:firstLine="0"/>
              <w:jc w:val="center"/>
              <w:rPr>
                <w:b/>
              </w:rPr>
            </w:pPr>
            <w:r w:rsidRPr="00D6075C">
              <w:t>0</w:t>
            </w:r>
          </w:p>
        </w:tc>
      </w:tr>
      <w:tr w:rsidR="00090DD1" w:rsidRPr="00D6075C" w:rsidTr="00090DD1">
        <w:trPr>
          <w:jc w:val="center"/>
        </w:trPr>
        <w:tc>
          <w:tcPr>
            <w:tcW w:w="1546" w:type="pct"/>
          </w:tcPr>
          <w:p w:rsidR="00090DD1" w:rsidRPr="00D6075C" w:rsidRDefault="00090DD1" w:rsidP="00D43527">
            <w:pPr>
              <w:pStyle w:val="naiskr"/>
              <w:spacing w:before="0" w:after="0"/>
            </w:pPr>
            <w:r w:rsidRPr="00D6075C">
              <w:t xml:space="preserve">5.3. pašvaldību budžets </w:t>
            </w:r>
          </w:p>
        </w:tc>
        <w:tc>
          <w:tcPr>
            <w:tcW w:w="644" w:type="pct"/>
            <w:vMerge/>
            <w:vAlign w:val="center"/>
          </w:tcPr>
          <w:p w:rsidR="00090DD1" w:rsidRPr="00D6075C" w:rsidRDefault="00090DD1" w:rsidP="00D43527">
            <w:pPr>
              <w:pStyle w:val="naisf"/>
              <w:spacing w:before="0" w:after="0"/>
              <w:ind w:firstLine="0"/>
              <w:jc w:val="center"/>
            </w:pPr>
          </w:p>
        </w:tc>
        <w:tc>
          <w:tcPr>
            <w:tcW w:w="703" w:type="pct"/>
            <w:vAlign w:val="center"/>
          </w:tcPr>
          <w:p w:rsidR="00090DD1" w:rsidRPr="00D6075C" w:rsidRDefault="00090DD1" w:rsidP="00D43527">
            <w:pPr>
              <w:pStyle w:val="naisf"/>
              <w:spacing w:before="0" w:after="0"/>
              <w:ind w:firstLine="0"/>
              <w:jc w:val="center"/>
              <w:rPr>
                <w:b/>
              </w:rPr>
            </w:pPr>
            <w:r w:rsidRPr="00D6075C">
              <w:t>0</w:t>
            </w:r>
          </w:p>
        </w:tc>
        <w:tc>
          <w:tcPr>
            <w:tcW w:w="703" w:type="pct"/>
            <w:vAlign w:val="center"/>
          </w:tcPr>
          <w:p w:rsidR="00090DD1" w:rsidRPr="00D6075C" w:rsidRDefault="00090DD1" w:rsidP="00D43527">
            <w:pPr>
              <w:pStyle w:val="naisf"/>
              <w:spacing w:before="0" w:after="0"/>
              <w:ind w:firstLine="0"/>
              <w:jc w:val="center"/>
              <w:rPr>
                <w:b/>
              </w:rPr>
            </w:pPr>
            <w:r w:rsidRPr="00D6075C">
              <w:t>0</w:t>
            </w:r>
          </w:p>
        </w:tc>
        <w:tc>
          <w:tcPr>
            <w:tcW w:w="703" w:type="pct"/>
            <w:vAlign w:val="center"/>
          </w:tcPr>
          <w:p w:rsidR="00090DD1" w:rsidRPr="00D6075C" w:rsidRDefault="00090DD1" w:rsidP="00D43527">
            <w:pPr>
              <w:pStyle w:val="naisf"/>
              <w:spacing w:before="0" w:after="0"/>
              <w:ind w:firstLine="0"/>
              <w:jc w:val="center"/>
              <w:rPr>
                <w:b/>
              </w:rPr>
            </w:pPr>
            <w:r w:rsidRPr="00D6075C">
              <w:t>0</w:t>
            </w:r>
          </w:p>
        </w:tc>
        <w:tc>
          <w:tcPr>
            <w:tcW w:w="701" w:type="pct"/>
            <w:vAlign w:val="center"/>
          </w:tcPr>
          <w:p w:rsidR="00090DD1" w:rsidRPr="00D6075C" w:rsidRDefault="00090DD1" w:rsidP="00D43527">
            <w:pPr>
              <w:pStyle w:val="naisf"/>
              <w:spacing w:before="0" w:after="0"/>
              <w:ind w:firstLine="0"/>
              <w:jc w:val="center"/>
              <w:rPr>
                <w:b/>
              </w:rPr>
            </w:pPr>
            <w:r w:rsidRPr="00D6075C">
              <w:t>0</w:t>
            </w:r>
          </w:p>
        </w:tc>
      </w:tr>
      <w:tr w:rsidR="00090DD1" w:rsidRPr="00D6075C" w:rsidTr="00D43527">
        <w:trPr>
          <w:jc w:val="center"/>
        </w:trPr>
        <w:tc>
          <w:tcPr>
            <w:tcW w:w="1546" w:type="pct"/>
          </w:tcPr>
          <w:p w:rsidR="00090DD1" w:rsidRPr="00D6075C" w:rsidRDefault="00090DD1" w:rsidP="00D43527">
            <w:pPr>
              <w:pStyle w:val="naiskr"/>
              <w:spacing w:before="0" w:after="0"/>
            </w:pPr>
            <w:r w:rsidRPr="00D6075C">
              <w:t>6. Detalizēts ieņēmumu un izdevu</w:t>
            </w:r>
            <w:r w:rsidRPr="00D6075C">
              <w:softHyphen/>
              <w:t>mu aprēķins (ja nepieciešams, detalizētu ieņēmumu un izdevumu aprēķinu var pievienot anotācijas pielikumā):</w:t>
            </w:r>
          </w:p>
        </w:tc>
        <w:tc>
          <w:tcPr>
            <w:tcW w:w="3454" w:type="pct"/>
            <w:gridSpan w:val="5"/>
            <w:vMerge w:val="restart"/>
          </w:tcPr>
          <w:p w:rsidR="00090DD1" w:rsidRPr="00D6075C" w:rsidRDefault="00090DD1" w:rsidP="00F123C8">
            <w:pPr>
              <w:spacing w:after="0" w:line="240" w:lineRule="auto"/>
              <w:jc w:val="both"/>
              <w:rPr>
                <w:rFonts w:ascii="Times New Roman" w:eastAsia="Times New Roman" w:hAnsi="Times New Roman" w:cs="Times New Roman"/>
                <w:sz w:val="24"/>
                <w:szCs w:val="24"/>
              </w:rPr>
            </w:pPr>
            <w:r w:rsidRPr="00D6075C">
              <w:rPr>
                <w:rFonts w:ascii="Times New Roman" w:eastAsia="Times New Roman" w:hAnsi="Times New Roman" w:cs="Times New Roman"/>
                <w:sz w:val="24"/>
                <w:szCs w:val="24"/>
              </w:rPr>
              <w:t>2013.gadā finansējums budžeta programmas 41.00.00 „Maksājumu nodrošināšana citām valsts iestādēm un personām” apakšprogrammā 41.13.00 „Finansējums valsts akciju sabiedrības „Valsts nekustamie īpašumi" īstenotajiem projektiem un pasākumiem" ilgtermiņa saistību pasākumam „Dotācija VAS „VNĪ” KNAB pārcelšanās uz A.Briāna ielu” 156 886 latu apmērā tiks samazināts un pārdalīts Finanšu ministrijas budžeta ietvaros uz budžeta programmas 31.00.00 „Budžeta izpilde un valsts parāda vadība” apakšprogrammu 31.02.00 "Valsts parāda vadība".</w:t>
            </w:r>
          </w:p>
          <w:p w:rsidR="00090DD1" w:rsidRPr="00D6075C" w:rsidRDefault="00090DD1" w:rsidP="00036D16">
            <w:pPr>
              <w:pStyle w:val="FootnoteText"/>
              <w:ind w:left="44" w:right="147"/>
              <w:jc w:val="both"/>
              <w:rPr>
                <w:bCs/>
                <w:sz w:val="24"/>
                <w:szCs w:val="24"/>
              </w:rPr>
            </w:pPr>
            <w:r w:rsidRPr="00D6075C">
              <w:rPr>
                <w:bCs/>
                <w:sz w:val="24"/>
                <w:szCs w:val="24"/>
              </w:rPr>
              <w:t xml:space="preserve">Detalizētu informāciju </w:t>
            </w:r>
            <w:r w:rsidRPr="00D6075C">
              <w:rPr>
                <w:sz w:val="24"/>
                <w:szCs w:val="24"/>
              </w:rPr>
              <w:t xml:space="preserve">par precizētajiem </w:t>
            </w:r>
            <w:r w:rsidRPr="00D6075C">
              <w:rPr>
                <w:bCs/>
                <w:sz w:val="24"/>
                <w:szCs w:val="24"/>
              </w:rPr>
              <w:t xml:space="preserve">izdevumiem ilgtermiņa saistībām </w:t>
            </w:r>
            <w:r w:rsidRPr="00D6075C">
              <w:rPr>
                <w:sz w:val="24"/>
                <w:szCs w:val="24"/>
              </w:rPr>
              <w:t>skatīt anotācijas pielikumā</w:t>
            </w:r>
            <w:r w:rsidRPr="00D6075C">
              <w:rPr>
                <w:bCs/>
                <w:sz w:val="24"/>
                <w:szCs w:val="24"/>
              </w:rPr>
              <w:t>.</w:t>
            </w:r>
          </w:p>
        </w:tc>
      </w:tr>
      <w:tr w:rsidR="00090DD1" w:rsidRPr="00D6075C" w:rsidTr="00D43527">
        <w:trPr>
          <w:jc w:val="center"/>
        </w:trPr>
        <w:tc>
          <w:tcPr>
            <w:tcW w:w="1546" w:type="pct"/>
          </w:tcPr>
          <w:p w:rsidR="00090DD1" w:rsidRPr="00D6075C" w:rsidRDefault="00090DD1" w:rsidP="00D43527">
            <w:pPr>
              <w:pStyle w:val="naiskr"/>
              <w:spacing w:before="0" w:after="0"/>
            </w:pPr>
            <w:r w:rsidRPr="00D6075C">
              <w:t>6.1. detalizēts ieņēmumu aprēķins</w:t>
            </w:r>
          </w:p>
        </w:tc>
        <w:tc>
          <w:tcPr>
            <w:tcW w:w="3454" w:type="pct"/>
            <w:gridSpan w:val="5"/>
            <w:vMerge/>
          </w:tcPr>
          <w:p w:rsidR="00090DD1" w:rsidRPr="00D6075C" w:rsidRDefault="00090DD1" w:rsidP="00D43527">
            <w:pPr>
              <w:pStyle w:val="naisf"/>
              <w:spacing w:before="0" w:after="0"/>
              <w:ind w:firstLine="0"/>
              <w:rPr>
                <w:b/>
                <w:i/>
              </w:rPr>
            </w:pPr>
          </w:p>
        </w:tc>
      </w:tr>
      <w:tr w:rsidR="00090DD1" w:rsidRPr="00D6075C" w:rsidTr="00D43527">
        <w:trPr>
          <w:jc w:val="center"/>
        </w:trPr>
        <w:tc>
          <w:tcPr>
            <w:tcW w:w="1546" w:type="pct"/>
          </w:tcPr>
          <w:p w:rsidR="00090DD1" w:rsidRPr="00D6075C" w:rsidRDefault="00090DD1" w:rsidP="00D43527">
            <w:pPr>
              <w:pStyle w:val="naiskr"/>
              <w:spacing w:before="0" w:after="0"/>
            </w:pPr>
            <w:r w:rsidRPr="00D6075C">
              <w:t>6.2. detalizēts izdevumu aprēķins</w:t>
            </w:r>
          </w:p>
        </w:tc>
        <w:tc>
          <w:tcPr>
            <w:tcW w:w="3454" w:type="pct"/>
            <w:gridSpan w:val="5"/>
            <w:vMerge/>
          </w:tcPr>
          <w:p w:rsidR="00090DD1" w:rsidRPr="00D6075C" w:rsidRDefault="00090DD1" w:rsidP="00D43527">
            <w:pPr>
              <w:pStyle w:val="naisf"/>
              <w:spacing w:before="0" w:after="0"/>
              <w:ind w:firstLine="0"/>
              <w:rPr>
                <w:b/>
                <w:i/>
              </w:rPr>
            </w:pPr>
          </w:p>
        </w:tc>
      </w:tr>
      <w:tr w:rsidR="00090DD1" w:rsidRPr="00D6075C" w:rsidTr="00D43527">
        <w:trPr>
          <w:jc w:val="center"/>
        </w:trPr>
        <w:tc>
          <w:tcPr>
            <w:tcW w:w="1546" w:type="pct"/>
          </w:tcPr>
          <w:p w:rsidR="00090DD1" w:rsidRPr="00D6075C" w:rsidRDefault="00090DD1" w:rsidP="00D43527">
            <w:pPr>
              <w:pStyle w:val="naiskr"/>
              <w:spacing w:before="0" w:after="0"/>
            </w:pPr>
            <w:r w:rsidRPr="00D6075C">
              <w:t>7. Cita informācija</w:t>
            </w:r>
          </w:p>
        </w:tc>
        <w:tc>
          <w:tcPr>
            <w:tcW w:w="3454" w:type="pct"/>
            <w:gridSpan w:val="5"/>
          </w:tcPr>
          <w:p w:rsidR="00090DD1" w:rsidRDefault="00090DD1" w:rsidP="00D43527">
            <w:pPr>
              <w:pStyle w:val="NormalWeb"/>
              <w:spacing w:before="0" w:after="0"/>
              <w:jc w:val="both"/>
            </w:pPr>
            <w:r w:rsidRPr="00D6075C">
              <w:rPr>
                <w:bCs/>
              </w:rPr>
              <w:t>Ministru kabineta r</w:t>
            </w:r>
            <w:r w:rsidRPr="00D6075C">
              <w:t>īkojuma projekta ietvaros provizoriski aprēķinātais kapitālieguldījumu apmērs var tikt precizēts pēc būvniecības tehniskā projekta izstrādes, pēc būvniecības līguma noslēgšanas vai būvniecības darbu laikā.</w:t>
            </w:r>
          </w:p>
          <w:p w:rsidR="00EB4E86" w:rsidRDefault="00EB4E86" w:rsidP="00D43527">
            <w:pPr>
              <w:pStyle w:val="NormalWeb"/>
              <w:spacing w:before="0" w:after="0"/>
              <w:jc w:val="both"/>
              <w:rPr>
                <w:i/>
                <w:iCs/>
              </w:rPr>
            </w:pPr>
            <w:r w:rsidRPr="00EB259F">
              <w:t xml:space="preserve">Lai ievērotu normatīvo aktu pielāgošanas </w:t>
            </w:r>
            <w:r w:rsidRPr="00EB259F">
              <w:rPr>
                <w:i/>
                <w:iCs/>
              </w:rPr>
              <w:t>euro</w:t>
            </w:r>
            <w:r w:rsidRPr="00EB259F">
              <w:t xml:space="preserve"> ieviešanas vadlīnijas, uzskatāmībai anotācijas pielikumā </w:t>
            </w:r>
            <w:r>
              <w:t xml:space="preserve">norādīta </w:t>
            </w:r>
            <w:r w:rsidRPr="00EB259F">
              <w:t xml:space="preserve">informāciju par skaitlisku pārrēķinu uz </w:t>
            </w:r>
            <w:r w:rsidRPr="00EB259F">
              <w:rPr>
                <w:i/>
                <w:iCs/>
              </w:rPr>
              <w:t>euro.</w:t>
            </w:r>
          </w:p>
          <w:p w:rsidR="00906DA2" w:rsidRPr="00D6075C" w:rsidRDefault="00906DA2" w:rsidP="00906DA2">
            <w:pPr>
              <w:pStyle w:val="NormalWeb"/>
              <w:spacing w:before="0" w:after="0"/>
              <w:jc w:val="both"/>
            </w:pPr>
            <w:r w:rsidRPr="00C454BA">
              <w:rPr>
                <w:iCs/>
              </w:rPr>
              <w:t>Pielikumā s</w:t>
            </w:r>
            <w:r w:rsidRPr="00C454BA">
              <w:t xml:space="preserve">kaitlis </w:t>
            </w:r>
            <w:r>
              <w:t>37615</w:t>
            </w:r>
            <w:r w:rsidRPr="00C454BA">
              <w:t xml:space="preserve"> ir apaļots pretēji budžeta pārrēķina principiem, ņemot vērā EIKL 4.panta nosacījumus, lai netiktu palielināta kopsumma Finanšu ministrijai ilgtermiņu saistību </w:t>
            </w:r>
            <w:r w:rsidRPr="00C454BA">
              <w:br/>
              <w:t>būvniecības izdevumu segšanai.</w:t>
            </w:r>
          </w:p>
        </w:tc>
      </w:tr>
    </w:tbl>
    <w:p w:rsidR="00AC5C4A" w:rsidRPr="00D6075C" w:rsidRDefault="00AC5C4A" w:rsidP="00AC5C4A">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1"/>
        <w:gridCol w:w="4735"/>
        <w:gridCol w:w="3901"/>
      </w:tblGrid>
      <w:tr w:rsidR="00AC5C4A" w:rsidRPr="00D6075C" w:rsidTr="00D43527">
        <w:trPr>
          <w:trHeight w:val="320"/>
          <w:jc w:val="center"/>
        </w:trPr>
        <w:tc>
          <w:tcPr>
            <w:tcW w:w="5000" w:type="pct"/>
            <w:gridSpan w:val="3"/>
          </w:tcPr>
          <w:p w:rsidR="00AC5C4A" w:rsidRPr="00D6075C" w:rsidRDefault="00AC5C4A" w:rsidP="00D43527">
            <w:pPr>
              <w:pStyle w:val="naisnod"/>
              <w:spacing w:before="120" w:beforeAutospacing="0" w:after="120" w:afterAutospacing="0"/>
              <w:ind w:left="57" w:right="57"/>
              <w:jc w:val="center"/>
              <w:rPr>
                <w:b/>
              </w:rPr>
            </w:pPr>
            <w:r w:rsidRPr="00D6075C">
              <w:rPr>
                <w:b/>
              </w:rPr>
              <w:t>VII. Tiesību akta projekta izpildes nodrošināšana un tās ietekme uz institūcijām</w:t>
            </w:r>
          </w:p>
        </w:tc>
      </w:tr>
      <w:tr w:rsidR="00AC5C4A" w:rsidRPr="00D6075C" w:rsidTr="00D43527">
        <w:trPr>
          <w:trHeight w:val="427"/>
          <w:jc w:val="center"/>
        </w:trPr>
        <w:tc>
          <w:tcPr>
            <w:tcW w:w="269" w:type="pct"/>
          </w:tcPr>
          <w:p w:rsidR="00AC5C4A" w:rsidRPr="00D6075C" w:rsidRDefault="00AC5C4A" w:rsidP="00D43527">
            <w:pPr>
              <w:pStyle w:val="naisnod"/>
              <w:spacing w:before="0" w:after="0"/>
              <w:ind w:left="57" w:right="57"/>
            </w:pPr>
            <w:r w:rsidRPr="00D6075C">
              <w:t>1.</w:t>
            </w:r>
          </w:p>
        </w:tc>
        <w:tc>
          <w:tcPr>
            <w:tcW w:w="2594" w:type="pct"/>
          </w:tcPr>
          <w:p w:rsidR="00AC5C4A" w:rsidRPr="00D6075C" w:rsidRDefault="00AC5C4A" w:rsidP="00D43527">
            <w:pPr>
              <w:pStyle w:val="naisf"/>
              <w:spacing w:before="0" w:after="0"/>
              <w:ind w:left="57" w:right="57" w:firstLine="0"/>
              <w:jc w:val="left"/>
            </w:pPr>
            <w:r w:rsidRPr="00D6075C">
              <w:t xml:space="preserve">Projekta izpildē iesaistītās institūcijas </w:t>
            </w:r>
          </w:p>
        </w:tc>
        <w:tc>
          <w:tcPr>
            <w:tcW w:w="2137" w:type="pct"/>
          </w:tcPr>
          <w:p w:rsidR="00AC5C4A" w:rsidRPr="00D6075C" w:rsidRDefault="00AC5C4A" w:rsidP="00D43527">
            <w:pPr>
              <w:pStyle w:val="naisnod"/>
              <w:ind w:right="57"/>
              <w:jc w:val="both"/>
            </w:pPr>
            <w:r w:rsidRPr="00D6075C">
              <w:rPr>
                <w:iCs/>
              </w:rPr>
              <w:t>Finanšu ministrija (VNĪ).</w:t>
            </w:r>
          </w:p>
        </w:tc>
      </w:tr>
      <w:tr w:rsidR="00AC5C4A" w:rsidRPr="00D6075C" w:rsidTr="00D43527">
        <w:trPr>
          <w:trHeight w:val="463"/>
          <w:jc w:val="center"/>
        </w:trPr>
        <w:tc>
          <w:tcPr>
            <w:tcW w:w="269" w:type="pct"/>
          </w:tcPr>
          <w:p w:rsidR="00AC5C4A" w:rsidRPr="00D6075C" w:rsidRDefault="00AC5C4A" w:rsidP="00D43527">
            <w:pPr>
              <w:pStyle w:val="naisnod"/>
              <w:spacing w:before="0" w:after="0"/>
              <w:ind w:left="57" w:right="57"/>
            </w:pPr>
            <w:r w:rsidRPr="00D6075C">
              <w:t>2.</w:t>
            </w:r>
          </w:p>
        </w:tc>
        <w:tc>
          <w:tcPr>
            <w:tcW w:w="2594" w:type="pct"/>
          </w:tcPr>
          <w:p w:rsidR="00AC5C4A" w:rsidRPr="00D6075C" w:rsidRDefault="00AC5C4A" w:rsidP="00D43527">
            <w:pPr>
              <w:pStyle w:val="naisf"/>
              <w:spacing w:before="0" w:after="0"/>
              <w:ind w:left="57" w:right="57" w:firstLine="0"/>
              <w:jc w:val="left"/>
            </w:pPr>
            <w:r w:rsidRPr="00D6075C">
              <w:t xml:space="preserve">Projekta izpildes ietekme uz pārvaldes funkcijām </w:t>
            </w:r>
          </w:p>
        </w:tc>
        <w:tc>
          <w:tcPr>
            <w:tcW w:w="2137" w:type="pct"/>
          </w:tcPr>
          <w:p w:rsidR="00AC5C4A" w:rsidRPr="00D6075C" w:rsidRDefault="00AC5C4A" w:rsidP="00D43527">
            <w:pPr>
              <w:pStyle w:val="naisnod"/>
              <w:spacing w:before="0" w:after="0"/>
              <w:ind w:right="57"/>
              <w:jc w:val="both"/>
            </w:pPr>
            <w:r w:rsidRPr="00D6075C">
              <w:rPr>
                <w:iCs/>
              </w:rPr>
              <w:t>Ministru kabineta rīkojuma projekts</w:t>
            </w:r>
            <w:r w:rsidRPr="00D6075C">
              <w:t xml:space="preserve"> šo jomu neskar.</w:t>
            </w:r>
          </w:p>
        </w:tc>
      </w:tr>
      <w:tr w:rsidR="00AC5C4A" w:rsidRPr="00D6075C" w:rsidTr="00D43527">
        <w:trPr>
          <w:trHeight w:val="725"/>
          <w:jc w:val="center"/>
        </w:trPr>
        <w:tc>
          <w:tcPr>
            <w:tcW w:w="269" w:type="pct"/>
          </w:tcPr>
          <w:p w:rsidR="00AC5C4A" w:rsidRPr="00D6075C" w:rsidRDefault="00AC5C4A" w:rsidP="00D43527">
            <w:pPr>
              <w:pStyle w:val="naisnod"/>
              <w:spacing w:before="0" w:after="0"/>
              <w:ind w:left="57" w:right="57"/>
            </w:pPr>
            <w:r w:rsidRPr="00D6075C">
              <w:t>3.</w:t>
            </w:r>
          </w:p>
        </w:tc>
        <w:tc>
          <w:tcPr>
            <w:tcW w:w="2594" w:type="pct"/>
          </w:tcPr>
          <w:p w:rsidR="00AC5C4A" w:rsidRPr="00D6075C" w:rsidRDefault="00AC5C4A" w:rsidP="00D43527">
            <w:pPr>
              <w:pStyle w:val="naisf"/>
              <w:spacing w:before="0" w:after="0"/>
              <w:ind w:left="57" w:right="57" w:firstLine="0"/>
              <w:jc w:val="left"/>
            </w:pPr>
            <w:r w:rsidRPr="00D6075C">
              <w:t>Projekta izpildes ietekme uz pārvaldes institucionālo struktūru.</w:t>
            </w:r>
          </w:p>
          <w:p w:rsidR="00AC5C4A" w:rsidRPr="00D6075C" w:rsidRDefault="00AC5C4A" w:rsidP="00D43527">
            <w:pPr>
              <w:pStyle w:val="naisf"/>
              <w:spacing w:before="0" w:after="0"/>
              <w:ind w:left="57" w:right="57" w:firstLine="0"/>
              <w:jc w:val="left"/>
            </w:pPr>
            <w:r w:rsidRPr="00D6075C">
              <w:t>Jaunu institūciju izveide</w:t>
            </w:r>
          </w:p>
        </w:tc>
        <w:tc>
          <w:tcPr>
            <w:tcW w:w="2137" w:type="pct"/>
          </w:tcPr>
          <w:p w:rsidR="00AC5C4A" w:rsidRPr="00D6075C" w:rsidRDefault="00AC5C4A" w:rsidP="00D43527">
            <w:pPr>
              <w:pStyle w:val="naisnod"/>
              <w:spacing w:before="0" w:after="0"/>
              <w:ind w:right="57"/>
              <w:jc w:val="both"/>
            </w:pPr>
            <w:r w:rsidRPr="00D6075C">
              <w:rPr>
                <w:iCs/>
              </w:rPr>
              <w:t>Ministru kabineta rīkojuma projekts</w:t>
            </w:r>
            <w:r w:rsidRPr="00D6075C">
              <w:t xml:space="preserve"> šo jomu neskar.</w:t>
            </w:r>
          </w:p>
        </w:tc>
      </w:tr>
      <w:tr w:rsidR="00AC5C4A" w:rsidRPr="00D6075C" w:rsidTr="00D43527">
        <w:trPr>
          <w:trHeight w:val="780"/>
          <w:jc w:val="center"/>
        </w:trPr>
        <w:tc>
          <w:tcPr>
            <w:tcW w:w="269" w:type="pct"/>
          </w:tcPr>
          <w:p w:rsidR="00AC5C4A" w:rsidRPr="00D6075C" w:rsidRDefault="00AC5C4A" w:rsidP="00D43527">
            <w:pPr>
              <w:pStyle w:val="naisnod"/>
              <w:spacing w:before="0" w:after="0"/>
              <w:ind w:left="57" w:right="57"/>
            </w:pPr>
            <w:r w:rsidRPr="00D6075C">
              <w:t>4.</w:t>
            </w:r>
          </w:p>
        </w:tc>
        <w:tc>
          <w:tcPr>
            <w:tcW w:w="2594" w:type="pct"/>
          </w:tcPr>
          <w:p w:rsidR="00AC5C4A" w:rsidRPr="00D6075C" w:rsidRDefault="00AC5C4A" w:rsidP="00D43527">
            <w:pPr>
              <w:pStyle w:val="naisf"/>
              <w:spacing w:before="0" w:after="0"/>
              <w:ind w:left="57" w:right="57" w:firstLine="0"/>
              <w:jc w:val="left"/>
            </w:pPr>
            <w:r w:rsidRPr="00D6075C">
              <w:t>Projekta izpildes ietekme uz pārvaldes institucionālo struktūru.</w:t>
            </w:r>
          </w:p>
          <w:p w:rsidR="00AC5C4A" w:rsidRPr="00D6075C" w:rsidRDefault="00AC5C4A" w:rsidP="00D43527">
            <w:pPr>
              <w:pStyle w:val="naisf"/>
              <w:spacing w:before="0" w:after="0"/>
              <w:ind w:left="57" w:right="57" w:firstLine="0"/>
              <w:jc w:val="left"/>
            </w:pPr>
            <w:r w:rsidRPr="00D6075C">
              <w:t>Esošu institūciju likvidācija</w:t>
            </w:r>
          </w:p>
        </w:tc>
        <w:tc>
          <w:tcPr>
            <w:tcW w:w="2137" w:type="pct"/>
          </w:tcPr>
          <w:p w:rsidR="00AC5C4A" w:rsidRPr="00D6075C" w:rsidRDefault="00AC5C4A" w:rsidP="00D43527">
            <w:pPr>
              <w:pStyle w:val="naisnod"/>
              <w:spacing w:before="0" w:after="0"/>
              <w:ind w:right="57"/>
              <w:jc w:val="both"/>
            </w:pPr>
            <w:r w:rsidRPr="00D6075C">
              <w:rPr>
                <w:iCs/>
              </w:rPr>
              <w:t>Ministru kabineta rīkojuma projekts</w:t>
            </w:r>
            <w:r w:rsidRPr="00D6075C">
              <w:t xml:space="preserve"> šo jomu neskar.</w:t>
            </w:r>
          </w:p>
        </w:tc>
      </w:tr>
      <w:tr w:rsidR="00AC5C4A" w:rsidRPr="00D6075C" w:rsidTr="00D43527">
        <w:trPr>
          <w:trHeight w:val="703"/>
          <w:jc w:val="center"/>
        </w:trPr>
        <w:tc>
          <w:tcPr>
            <w:tcW w:w="269" w:type="pct"/>
          </w:tcPr>
          <w:p w:rsidR="00AC5C4A" w:rsidRPr="00D6075C" w:rsidRDefault="00AC5C4A" w:rsidP="00D43527">
            <w:pPr>
              <w:pStyle w:val="naisnod"/>
              <w:spacing w:before="0" w:after="0"/>
              <w:ind w:left="57" w:right="57"/>
            </w:pPr>
            <w:r w:rsidRPr="00D6075C">
              <w:t>5.</w:t>
            </w:r>
          </w:p>
        </w:tc>
        <w:tc>
          <w:tcPr>
            <w:tcW w:w="2594" w:type="pct"/>
          </w:tcPr>
          <w:p w:rsidR="00AC5C4A" w:rsidRPr="00D6075C" w:rsidRDefault="00AC5C4A" w:rsidP="00D43527">
            <w:pPr>
              <w:pStyle w:val="naisf"/>
              <w:spacing w:before="0" w:after="0"/>
              <w:ind w:left="57" w:right="57" w:firstLine="0"/>
              <w:jc w:val="left"/>
            </w:pPr>
            <w:r w:rsidRPr="00D6075C">
              <w:t>Projekta izpildes ietekme uz pārvaldes institucionālo struktūru.</w:t>
            </w:r>
          </w:p>
          <w:p w:rsidR="00AC5C4A" w:rsidRPr="00D6075C" w:rsidRDefault="00AC5C4A" w:rsidP="00D43527">
            <w:pPr>
              <w:pStyle w:val="naisf"/>
              <w:spacing w:before="0" w:after="0"/>
              <w:ind w:left="57" w:right="57" w:firstLine="0"/>
              <w:jc w:val="left"/>
            </w:pPr>
            <w:r w:rsidRPr="00D6075C">
              <w:t>Esošu institūciju reorganizācija</w:t>
            </w:r>
          </w:p>
        </w:tc>
        <w:tc>
          <w:tcPr>
            <w:tcW w:w="2137" w:type="pct"/>
          </w:tcPr>
          <w:p w:rsidR="00AC5C4A" w:rsidRPr="00D6075C" w:rsidRDefault="00AC5C4A" w:rsidP="00D43527">
            <w:pPr>
              <w:pStyle w:val="naisnod"/>
              <w:spacing w:before="0" w:after="0"/>
              <w:ind w:right="57"/>
              <w:jc w:val="both"/>
            </w:pPr>
            <w:r w:rsidRPr="00D6075C">
              <w:rPr>
                <w:iCs/>
              </w:rPr>
              <w:t>Ministru kabineta rīkojuma projekts</w:t>
            </w:r>
            <w:r w:rsidRPr="00D6075C">
              <w:t xml:space="preserve"> šo jomu neskar.</w:t>
            </w:r>
          </w:p>
        </w:tc>
      </w:tr>
      <w:tr w:rsidR="00AC5C4A" w:rsidRPr="00D6075C" w:rsidTr="00D43527">
        <w:trPr>
          <w:trHeight w:val="476"/>
          <w:jc w:val="center"/>
        </w:trPr>
        <w:tc>
          <w:tcPr>
            <w:tcW w:w="269" w:type="pct"/>
          </w:tcPr>
          <w:p w:rsidR="00AC5C4A" w:rsidRPr="00D6075C" w:rsidRDefault="00AC5C4A" w:rsidP="00D43527">
            <w:pPr>
              <w:pStyle w:val="naiskr"/>
              <w:spacing w:before="0" w:after="0"/>
              <w:ind w:left="57" w:right="57"/>
            </w:pPr>
            <w:r w:rsidRPr="00D6075C">
              <w:t>6.</w:t>
            </w:r>
          </w:p>
        </w:tc>
        <w:tc>
          <w:tcPr>
            <w:tcW w:w="2594" w:type="pct"/>
          </w:tcPr>
          <w:p w:rsidR="00AC5C4A" w:rsidRPr="00D6075C" w:rsidRDefault="00AC5C4A" w:rsidP="00D43527">
            <w:pPr>
              <w:pStyle w:val="naiskr"/>
              <w:spacing w:before="0" w:after="0"/>
              <w:ind w:left="57" w:right="57"/>
            </w:pPr>
            <w:r w:rsidRPr="00D6075C">
              <w:t>Cita informācija</w:t>
            </w:r>
          </w:p>
        </w:tc>
        <w:tc>
          <w:tcPr>
            <w:tcW w:w="2137" w:type="pct"/>
          </w:tcPr>
          <w:p w:rsidR="00AC5C4A" w:rsidRPr="00D6075C" w:rsidRDefault="00AC5C4A" w:rsidP="00D43527">
            <w:pPr>
              <w:pStyle w:val="naiskr"/>
              <w:spacing w:before="0" w:after="0"/>
              <w:ind w:right="57"/>
            </w:pPr>
            <w:r w:rsidRPr="00D6075C">
              <w:t>Nav</w:t>
            </w:r>
          </w:p>
        </w:tc>
      </w:tr>
    </w:tbl>
    <w:p w:rsidR="00AC5C4A" w:rsidRPr="00D6075C" w:rsidRDefault="00AC5C4A" w:rsidP="00AC5C4A">
      <w:pPr>
        <w:spacing w:after="0" w:line="240" w:lineRule="auto"/>
        <w:ind w:firstLine="375"/>
        <w:jc w:val="both"/>
        <w:rPr>
          <w:rFonts w:eastAsia="Times New Roman"/>
          <w:szCs w:val="24"/>
        </w:rPr>
      </w:pPr>
      <w:r w:rsidRPr="00D6075C">
        <w:rPr>
          <w:rFonts w:eastAsia="Times New Roman"/>
          <w:szCs w:val="24"/>
        </w:rPr>
        <w:t> </w:t>
      </w:r>
    </w:p>
    <w:p w:rsidR="00AC5C4A" w:rsidRPr="00D6075C" w:rsidRDefault="00AC5C4A" w:rsidP="00AC5C4A">
      <w:pPr>
        <w:spacing w:before="75" w:after="75" w:line="240" w:lineRule="auto"/>
        <w:rPr>
          <w:rFonts w:ascii="Times New Roman" w:eastAsia="Times New Roman" w:hAnsi="Times New Roman"/>
          <w:iCs/>
          <w:sz w:val="24"/>
          <w:szCs w:val="24"/>
        </w:rPr>
      </w:pPr>
      <w:r w:rsidRPr="00D6075C">
        <w:rPr>
          <w:rFonts w:ascii="Times New Roman" w:eastAsia="Times New Roman" w:hAnsi="Times New Roman"/>
          <w:iCs/>
          <w:sz w:val="24"/>
          <w:szCs w:val="24"/>
        </w:rPr>
        <w:t xml:space="preserve">Anotācijas II, IV, V un VI sadaļa – projekts šīs jomas neskar. </w:t>
      </w:r>
    </w:p>
    <w:p w:rsidR="00AC5C4A" w:rsidRPr="00D6075C" w:rsidRDefault="00AC5C4A" w:rsidP="00AC5C4A">
      <w:pPr>
        <w:pStyle w:val="naisvisr"/>
        <w:spacing w:before="0" w:after="0" w:line="20" w:lineRule="atLeast"/>
        <w:rPr>
          <w:sz w:val="24"/>
          <w:szCs w:val="24"/>
        </w:rPr>
      </w:pPr>
    </w:p>
    <w:p w:rsidR="00AC5C4A" w:rsidRPr="00D6075C" w:rsidRDefault="00AC5C4A" w:rsidP="00AC5C4A">
      <w:pPr>
        <w:pStyle w:val="naisvisr"/>
        <w:spacing w:before="0" w:after="0" w:line="20" w:lineRule="atLeast"/>
        <w:rPr>
          <w:sz w:val="24"/>
          <w:szCs w:val="24"/>
        </w:rPr>
      </w:pPr>
    </w:p>
    <w:p w:rsidR="00AC5C4A" w:rsidRPr="00D6075C" w:rsidRDefault="00AC5C4A" w:rsidP="00AC5C4A">
      <w:pPr>
        <w:pStyle w:val="naisvisr"/>
        <w:spacing w:before="0" w:after="0" w:line="20" w:lineRule="atLeast"/>
        <w:rPr>
          <w:sz w:val="24"/>
          <w:szCs w:val="24"/>
        </w:rPr>
      </w:pPr>
    </w:p>
    <w:p w:rsidR="0097491A" w:rsidRPr="00D6075C" w:rsidRDefault="00AC5C4A" w:rsidP="00AC5C4A">
      <w:pPr>
        <w:pStyle w:val="PlainText"/>
        <w:tabs>
          <w:tab w:val="left" w:pos="7200"/>
          <w:tab w:val="right" w:pos="9072"/>
        </w:tabs>
        <w:jc w:val="both"/>
        <w:rPr>
          <w:rFonts w:ascii="Times New Roman" w:hAnsi="Times New Roman"/>
          <w:sz w:val="24"/>
          <w:szCs w:val="24"/>
        </w:rPr>
      </w:pPr>
      <w:r w:rsidRPr="00D6075C">
        <w:rPr>
          <w:rFonts w:ascii="Times New Roman" w:hAnsi="Times New Roman"/>
          <w:sz w:val="24"/>
          <w:szCs w:val="24"/>
        </w:rPr>
        <w:t>Finanšu ministrs</w:t>
      </w:r>
      <w:r w:rsidRPr="00D6075C">
        <w:rPr>
          <w:rFonts w:ascii="Times New Roman" w:hAnsi="Times New Roman"/>
          <w:sz w:val="24"/>
          <w:szCs w:val="24"/>
        </w:rPr>
        <w:tab/>
        <w:t>A. Vilks</w:t>
      </w:r>
    </w:p>
    <w:p w:rsidR="0097491A" w:rsidRPr="00D6075C" w:rsidRDefault="0097491A" w:rsidP="00AC5C4A">
      <w:pPr>
        <w:pStyle w:val="PlainText"/>
        <w:tabs>
          <w:tab w:val="left" w:pos="7200"/>
          <w:tab w:val="right" w:pos="9072"/>
        </w:tabs>
        <w:jc w:val="both"/>
        <w:rPr>
          <w:rFonts w:ascii="Times New Roman" w:hAnsi="Times New Roman"/>
          <w:szCs w:val="28"/>
        </w:rPr>
      </w:pPr>
    </w:p>
    <w:p w:rsidR="0097491A" w:rsidRPr="00D6075C" w:rsidRDefault="0097491A" w:rsidP="00AC5C4A">
      <w:pPr>
        <w:pStyle w:val="PlainText"/>
        <w:tabs>
          <w:tab w:val="left" w:pos="7200"/>
          <w:tab w:val="right" w:pos="9072"/>
        </w:tabs>
        <w:jc w:val="both"/>
        <w:rPr>
          <w:rFonts w:ascii="Times New Roman" w:hAnsi="Times New Roman"/>
          <w:szCs w:val="28"/>
        </w:rPr>
      </w:pPr>
    </w:p>
    <w:p w:rsidR="00AC5C4A" w:rsidRPr="00D6075C" w:rsidRDefault="00AC5C4A" w:rsidP="00AC5C4A">
      <w:pPr>
        <w:pStyle w:val="PlainText"/>
        <w:tabs>
          <w:tab w:val="left" w:pos="7200"/>
          <w:tab w:val="right" w:pos="9072"/>
        </w:tabs>
        <w:jc w:val="both"/>
        <w:rPr>
          <w:rFonts w:ascii="Times New Roman" w:hAnsi="Times New Roman"/>
          <w:szCs w:val="28"/>
        </w:rPr>
      </w:pPr>
    </w:p>
    <w:p w:rsidR="00AC5C4A" w:rsidRPr="00D6075C" w:rsidRDefault="00B738A4" w:rsidP="00AC5C4A">
      <w:pPr>
        <w:pStyle w:val="Header"/>
        <w:tabs>
          <w:tab w:val="clear" w:pos="4153"/>
          <w:tab w:val="clear" w:pos="8306"/>
        </w:tabs>
        <w:rPr>
          <w:rFonts w:ascii="Times New Roman" w:hAnsi="Times New Roman"/>
        </w:rPr>
      </w:pPr>
      <w:r>
        <w:rPr>
          <w:rFonts w:ascii="Times New Roman" w:hAnsi="Times New Roman"/>
        </w:rPr>
        <w:t>06.09</w:t>
      </w:r>
      <w:r w:rsidR="00AC5C4A" w:rsidRPr="00D6075C">
        <w:rPr>
          <w:rFonts w:ascii="Times New Roman" w:hAnsi="Times New Roman"/>
        </w:rPr>
        <w:t xml:space="preserve">.2013. </w:t>
      </w:r>
      <w:r>
        <w:rPr>
          <w:rFonts w:ascii="Times New Roman" w:hAnsi="Times New Roman"/>
        </w:rPr>
        <w:t>1</w:t>
      </w:r>
      <w:r w:rsidR="00682092" w:rsidRPr="00D6075C">
        <w:rPr>
          <w:rFonts w:ascii="Times New Roman" w:hAnsi="Times New Roman"/>
        </w:rPr>
        <w:t>2:</w:t>
      </w:r>
      <w:r w:rsidR="00580C21" w:rsidRPr="00D6075C">
        <w:rPr>
          <w:rFonts w:ascii="Times New Roman" w:hAnsi="Times New Roman"/>
        </w:rPr>
        <w:t>1</w:t>
      </w:r>
      <w:r w:rsidR="00682092" w:rsidRPr="00D6075C">
        <w:rPr>
          <w:rFonts w:ascii="Times New Roman" w:hAnsi="Times New Roman"/>
        </w:rPr>
        <w:t>8</w:t>
      </w:r>
    </w:p>
    <w:p w:rsidR="00AC5C4A" w:rsidRPr="00D6075C" w:rsidRDefault="007E20A4" w:rsidP="00AC5C4A">
      <w:pPr>
        <w:pStyle w:val="Header"/>
        <w:tabs>
          <w:tab w:val="clear" w:pos="4153"/>
          <w:tab w:val="clear" w:pos="8306"/>
        </w:tabs>
        <w:rPr>
          <w:rFonts w:ascii="Times New Roman" w:hAnsi="Times New Roman"/>
        </w:rPr>
      </w:pPr>
      <w:r>
        <w:rPr>
          <w:rFonts w:ascii="Times New Roman" w:hAnsi="Times New Roman"/>
        </w:rPr>
        <w:t>1499</w:t>
      </w:r>
    </w:p>
    <w:p w:rsidR="00AC5C4A" w:rsidRPr="00D6075C" w:rsidRDefault="00AC5C4A" w:rsidP="00AC5C4A">
      <w:pPr>
        <w:pStyle w:val="Header"/>
        <w:tabs>
          <w:tab w:val="clear" w:pos="4153"/>
          <w:tab w:val="clear" w:pos="8306"/>
        </w:tabs>
        <w:rPr>
          <w:rFonts w:ascii="Times New Roman" w:hAnsi="Times New Roman"/>
        </w:rPr>
      </w:pPr>
      <w:bookmarkStart w:id="3" w:name="OLE_LINK8"/>
      <w:bookmarkStart w:id="4" w:name="OLE_LINK15"/>
      <w:bookmarkStart w:id="5" w:name="OLE_LINK12"/>
      <w:bookmarkStart w:id="6" w:name="OLE_LINK3"/>
      <w:bookmarkStart w:id="7" w:name="OLE_LINK4"/>
      <w:r w:rsidRPr="00D6075C">
        <w:rPr>
          <w:rFonts w:ascii="Times New Roman" w:hAnsi="Times New Roman"/>
        </w:rPr>
        <w:t>A.Gulbe</w:t>
      </w:r>
    </w:p>
    <w:p w:rsidR="00AC5C4A" w:rsidRPr="004558D6" w:rsidRDefault="00AC5C4A" w:rsidP="00AC5C4A">
      <w:pPr>
        <w:pStyle w:val="Header"/>
        <w:tabs>
          <w:tab w:val="clear" w:pos="4153"/>
          <w:tab w:val="clear" w:pos="8306"/>
        </w:tabs>
      </w:pPr>
      <w:r w:rsidRPr="00D6075C">
        <w:rPr>
          <w:rFonts w:ascii="Times New Roman" w:hAnsi="Times New Roman"/>
        </w:rPr>
        <w:t>67024698, aiga.gulbe@vni.lv</w:t>
      </w:r>
      <w:bookmarkEnd w:id="3"/>
      <w:bookmarkEnd w:id="4"/>
      <w:bookmarkEnd w:id="5"/>
    </w:p>
    <w:bookmarkEnd w:id="6"/>
    <w:bookmarkEnd w:id="7"/>
    <w:p w:rsidR="00AC5C4A" w:rsidRDefault="00AC5C4A"/>
    <w:sectPr w:rsidR="00AC5C4A" w:rsidSect="00AC5C4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77" w:left="1701" w:header="720" w:footer="6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98" w:rsidRDefault="00B47D98" w:rsidP="00AC5C4A">
      <w:pPr>
        <w:spacing w:after="0" w:line="240" w:lineRule="auto"/>
      </w:pPr>
      <w:r>
        <w:separator/>
      </w:r>
    </w:p>
  </w:endnote>
  <w:endnote w:type="continuationSeparator" w:id="0">
    <w:p w:rsidR="00B47D98" w:rsidRDefault="00B47D98"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6" w:rsidRDefault="00EB4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6" w:rsidRPr="008B04A2" w:rsidRDefault="0087448A" w:rsidP="0097491A">
    <w:pPr>
      <w:pStyle w:val="BodyText"/>
      <w:jc w:val="both"/>
      <w:rPr>
        <w:sz w:val="16"/>
        <w:szCs w:val="16"/>
      </w:rPr>
    </w:pPr>
    <w:r w:rsidRPr="008B04A2">
      <w:rPr>
        <w:b w:val="0"/>
        <w:sz w:val="16"/>
        <w:szCs w:val="16"/>
      </w:rPr>
      <w:fldChar w:fldCharType="begin"/>
    </w:r>
    <w:r w:rsidR="00EB4E86" w:rsidRPr="008B04A2">
      <w:rPr>
        <w:b w:val="0"/>
        <w:sz w:val="16"/>
        <w:szCs w:val="16"/>
      </w:rPr>
      <w:instrText xml:space="preserve"> FILENAME </w:instrText>
    </w:r>
    <w:r w:rsidRPr="008B04A2">
      <w:rPr>
        <w:b w:val="0"/>
        <w:sz w:val="16"/>
        <w:szCs w:val="16"/>
      </w:rPr>
      <w:fldChar w:fldCharType="separate"/>
    </w:r>
    <w:r w:rsidR="00B738A4">
      <w:rPr>
        <w:b w:val="0"/>
        <w:noProof/>
        <w:sz w:val="16"/>
        <w:szCs w:val="16"/>
      </w:rPr>
      <w:t>FMAnot_230813_GrozMKrik410</w:t>
    </w:r>
    <w:r w:rsidRPr="008B04A2">
      <w:rPr>
        <w:b w:val="0"/>
        <w:sz w:val="16"/>
        <w:szCs w:val="16"/>
      </w:rPr>
      <w:fldChar w:fldCharType="end"/>
    </w:r>
    <w:r w:rsidR="00EB4E86" w:rsidRPr="008B04A2">
      <w:rPr>
        <w:b w:val="0"/>
        <w:sz w:val="16"/>
        <w:szCs w:val="16"/>
      </w:rPr>
      <w:t>; Ministru kabineta rīkojuma projekts „Grozījumi Ministru kabineta 2012.gada 24.augusta rīkojumā Nr.410 „Par finansējuma piešķiršanu Korupcijas novēršanas un apkarošanas biroja ēku Aristida Briāna ielā 13, Rīgā, būvniecības projekta izdevumu segšanai</w:t>
    </w:r>
    <w:r w:rsidR="00EB4E86" w:rsidRPr="008B04A2">
      <w:rPr>
        <w:b w:val="0"/>
        <w:iCs/>
        <w:sz w:val="16"/>
        <w:szCs w:val="16"/>
      </w:rPr>
      <w:t>””</w:t>
    </w:r>
    <w:r w:rsidR="00EB4E86" w:rsidRPr="008B04A2">
      <w:rPr>
        <w:b w:val="0"/>
        <w:bCs w:val="0"/>
        <w:sz w:val="16"/>
        <w:szCs w:val="16"/>
      </w:rPr>
      <w:t xml:space="preserve"> sākotnējās ietekmes novērtējuma </w:t>
    </w:r>
    <w:smartTag w:uri="schemas-tilde-lv/tildestengine" w:element="veidnes">
      <w:smartTagPr>
        <w:attr w:name="text" w:val="ziņojums"/>
        <w:attr w:name="baseform" w:val="ziņojums"/>
        <w:attr w:name="id" w:val="-1"/>
      </w:smartTagPr>
      <w:r w:rsidR="00EB4E86" w:rsidRPr="008B04A2">
        <w:rPr>
          <w:b w:val="0"/>
          <w:bCs w:val="0"/>
          <w:sz w:val="16"/>
          <w:szCs w:val="16"/>
        </w:rPr>
        <w:t>ziņojums</w:t>
      </w:r>
    </w:smartTag>
    <w:r w:rsidR="00EB4E86" w:rsidRPr="008B04A2">
      <w:rPr>
        <w:b w:val="0"/>
        <w:bCs w:val="0"/>
        <w:sz w:val="16"/>
        <w:szCs w:val="16"/>
      </w:rPr>
      <w:t xml:space="preserve"> (anotācija)</w:t>
    </w:r>
  </w:p>
  <w:p w:rsidR="00EB4E86" w:rsidRPr="008B04A2" w:rsidRDefault="00EB4E86" w:rsidP="0097491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6" w:rsidRDefault="00EB4E86">
    <w:pPr>
      <w:pStyle w:val="Footer"/>
      <w:jc w:val="center"/>
    </w:pPr>
  </w:p>
  <w:p w:rsidR="00EB4E86" w:rsidRPr="008B04A2" w:rsidRDefault="0087448A" w:rsidP="0097491A">
    <w:pPr>
      <w:pStyle w:val="BodyText"/>
      <w:jc w:val="both"/>
      <w:rPr>
        <w:sz w:val="16"/>
        <w:szCs w:val="16"/>
      </w:rPr>
    </w:pPr>
    <w:r w:rsidRPr="008B04A2">
      <w:rPr>
        <w:b w:val="0"/>
        <w:sz w:val="16"/>
        <w:szCs w:val="16"/>
      </w:rPr>
      <w:fldChar w:fldCharType="begin"/>
    </w:r>
    <w:r w:rsidR="00EB4E86" w:rsidRPr="008B04A2">
      <w:rPr>
        <w:b w:val="0"/>
        <w:sz w:val="16"/>
        <w:szCs w:val="16"/>
      </w:rPr>
      <w:instrText xml:space="preserve"> FILENAME </w:instrText>
    </w:r>
    <w:r w:rsidRPr="008B04A2">
      <w:rPr>
        <w:b w:val="0"/>
        <w:sz w:val="16"/>
        <w:szCs w:val="16"/>
      </w:rPr>
      <w:fldChar w:fldCharType="separate"/>
    </w:r>
    <w:r w:rsidR="00B738A4">
      <w:rPr>
        <w:b w:val="0"/>
        <w:noProof/>
        <w:sz w:val="16"/>
        <w:szCs w:val="16"/>
      </w:rPr>
      <w:t>FMAnot_230813_GrozMKrik410</w:t>
    </w:r>
    <w:r w:rsidRPr="008B04A2">
      <w:rPr>
        <w:b w:val="0"/>
        <w:sz w:val="16"/>
        <w:szCs w:val="16"/>
      </w:rPr>
      <w:fldChar w:fldCharType="end"/>
    </w:r>
    <w:r w:rsidR="00EB4E86" w:rsidRPr="008B04A2">
      <w:rPr>
        <w:b w:val="0"/>
        <w:sz w:val="16"/>
        <w:szCs w:val="16"/>
      </w:rPr>
      <w:t>; Ministru kabineta rīkojuma projekts „Grozījumi Ministru kabineta 2012.gada 24.augusta rīkojumā Nr.410 „Par finansējuma piešķiršanu Korupcijas novēršanas un apkarošanas biroja ēku Aristida Briāna ielā 13, Rīgā, būvniecības projekta izdevumu segšanai</w:t>
    </w:r>
    <w:r w:rsidR="00EB4E86" w:rsidRPr="008B04A2">
      <w:rPr>
        <w:b w:val="0"/>
        <w:iCs/>
        <w:sz w:val="16"/>
        <w:szCs w:val="16"/>
      </w:rPr>
      <w:t>””</w:t>
    </w:r>
    <w:r w:rsidR="00EB4E86" w:rsidRPr="008B04A2">
      <w:rPr>
        <w:b w:val="0"/>
        <w:bCs w:val="0"/>
        <w:sz w:val="16"/>
        <w:szCs w:val="16"/>
      </w:rPr>
      <w:t xml:space="preserve"> sākotnējās ietekmes novērtējuma </w:t>
    </w:r>
    <w:smartTag w:uri="schemas-tilde-lv/tildestengine" w:element="veidnes">
      <w:smartTagPr>
        <w:attr w:name="text" w:val="ziņojums"/>
        <w:attr w:name="baseform" w:val="ziņojums"/>
        <w:attr w:name="id" w:val="-1"/>
      </w:smartTagPr>
      <w:r w:rsidR="00EB4E86" w:rsidRPr="008B04A2">
        <w:rPr>
          <w:b w:val="0"/>
          <w:bCs w:val="0"/>
          <w:sz w:val="16"/>
          <w:szCs w:val="16"/>
        </w:rPr>
        <w:t>ziņojums</w:t>
      </w:r>
    </w:smartTag>
    <w:r w:rsidR="00EB4E86" w:rsidRPr="008B04A2">
      <w:rPr>
        <w:b w:val="0"/>
        <w:bCs w:val="0"/>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98" w:rsidRDefault="00B47D98" w:rsidP="00AC5C4A">
      <w:pPr>
        <w:spacing w:after="0" w:line="240" w:lineRule="auto"/>
      </w:pPr>
      <w:r>
        <w:separator/>
      </w:r>
    </w:p>
  </w:footnote>
  <w:footnote w:type="continuationSeparator" w:id="0">
    <w:p w:rsidR="00B47D98" w:rsidRDefault="00B47D98"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6" w:rsidRDefault="00EB4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271"/>
      <w:docPartObj>
        <w:docPartGallery w:val="Page Numbers (Top of Page)"/>
        <w:docPartUnique/>
      </w:docPartObj>
    </w:sdtPr>
    <w:sdtEndPr>
      <w:rPr>
        <w:rFonts w:ascii="Times New Roman" w:hAnsi="Times New Roman"/>
      </w:rPr>
    </w:sdtEndPr>
    <w:sdtContent>
      <w:p w:rsidR="00EB4E86" w:rsidRPr="0097491A" w:rsidRDefault="0087448A">
        <w:pPr>
          <w:pStyle w:val="Header"/>
          <w:jc w:val="center"/>
          <w:rPr>
            <w:rFonts w:ascii="Times New Roman" w:hAnsi="Times New Roman"/>
          </w:rPr>
        </w:pPr>
        <w:r w:rsidRPr="0097491A">
          <w:rPr>
            <w:rFonts w:ascii="Times New Roman" w:hAnsi="Times New Roman"/>
          </w:rPr>
          <w:fldChar w:fldCharType="begin"/>
        </w:r>
        <w:r w:rsidR="00EB4E86" w:rsidRPr="0097491A">
          <w:rPr>
            <w:rFonts w:ascii="Times New Roman" w:hAnsi="Times New Roman"/>
          </w:rPr>
          <w:instrText xml:space="preserve"> PAGE   \* MERGEFORMAT </w:instrText>
        </w:r>
        <w:r w:rsidRPr="0097491A">
          <w:rPr>
            <w:rFonts w:ascii="Times New Roman" w:hAnsi="Times New Roman"/>
          </w:rPr>
          <w:fldChar w:fldCharType="separate"/>
        </w:r>
        <w:r w:rsidR="00980779">
          <w:rPr>
            <w:rFonts w:ascii="Times New Roman" w:hAnsi="Times New Roman"/>
            <w:noProof/>
          </w:rPr>
          <w:t>2</w:t>
        </w:r>
        <w:r w:rsidRPr="0097491A">
          <w:rPr>
            <w:rFonts w:ascii="Times New Roman" w:hAnsi="Times New Roman"/>
          </w:rPr>
          <w:fldChar w:fldCharType="end"/>
        </w:r>
      </w:p>
    </w:sdtContent>
  </w:sdt>
  <w:p w:rsidR="00EB4E86" w:rsidRPr="0097491A" w:rsidRDefault="00EB4E86" w:rsidP="00974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86" w:rsidRDefault="00EB4E86">
    <w:pPr>
      <w:pStyle w:val="Header"/>
      <w:jc w:val="center"/>
    </w:pPr>
  </w:p>
  <w:p w:rsidR="00EB4E86" w:rsidRDefault="00EB4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3">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5">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A"/>
    <w:rsid w:val="00001DF2"/>
    <w:rsid w:val="00036D16"/>
    <w:rsid w:val="000477BC"/>
    <w:rsid w:val="00090DD1"/>
    <w:rsid w:val="00097B34"/>
    <w:rsid w:val="000A1036"/>
    <w:rsid w:val="000A7AFF"/>
    <w:rsid w:val="000B29EA"/>
    <w:rsid w:val="000E07D2"/>
    <w:rsid w:val="00123817"/>
    <w:rsid w:val="00177481"/>
    <w:rsid w:val="00186128"/>
    <w:rsid w:val="001A3B43"/>
    <w:rsid w:val="001F21D2"/>
    <w:rsid w:val="00234C8D"/>
    <w:rsid w:val="002531B5"/>
    <w:rsid w:val="002600E0"/>
    <w:rsid w:val="00272C4A"/>
    <w:rsid w:val="00272E93"/>
    <w:rsid w:val="002A7B0D"/>
    <w:rsid w:val="002B0F39"/>
    <w:rsid w:val="002F5B39"/>
    <w:rsid w:val="00303031"/>
    <w:rsid w:val="00303ECB"/>
    <w:rsid w:val="003062CF"/>
    <w:rsid w:val="00313CBA"/>
    <w:rsid w:val="003217B4"/>
    <w:rsid w:val="003A284A"/>
    <w:rsid w:val="003F6F40"/>
    <w:rsid w:val="00404607"/>
    <w:rsid w:val="0042467F"/>
    <w:rsid w:val="00444B0B"/>
    <w:rsid w:val="004635FC"/>
    <w:rsid w:val="00496E09"/>
    <w:rsid w:val="004C3822"/>
    <w:rsid w:val="004E1C0C"/>
    <w:rsid w:val="00512D1C"/>
    <w:rsid w:val="005572DD"/>
    <w:rsid w:val="00560D8A"/>
    <w:rsid w:val="00580C21"/>
    <w:rsid w:val="00582538"/>
    <w:rsid w:val="0059499E"/>
    <w:rsid w:val="006138C2"/>
    <w:rsid w:val="00682092"/>
    <w:rsid w:val="00683B69"/>
    <w:rsid w:val="006C0411"/>
    <w:rsid w:val="006E11E5"/>
    <w:rsid w:val="0073224E"/>
    <w:rsid w:val="00776D01"/>
    <w:rsid w:val="007E20A4"/>
    <w:rsid w:val="007F5480"/>
    <w:rsid w:val="00842C93"/>
    <w:rsid w:val="00856C91"/>
    <w:rsid w:val="00861D6F"/>
    <w:rsid w:val="00866B17"/>
    <w:rsid w:val="0087448A"/>
    <w:rsid w:val="00875DD5"/>
    <w:rsid w:val="008B04A2"/>
    <w:rsid w:val="00906DA2"/>
    <w:rsid w:val="009148C7"/>
    <w:rsid w:val="0097491A"/>
    <w:rsid w:val="00980779"/>
    <w:rsid w:val="00990F90"/>
    <w:rsid w:val="009B23FE"/>
    <w:rsid w:val="009C743A"/>
    <w:rsid w:val="00A4482A"/>
    <w:rsid w:val="00AA6B62"/>
    <w:rsid w:val="00AB16AA"/>
    <w:rsid w:val="00AC5C4A"/>
    <w:rsid w:val="00AE173D"/>
    <w:rsid w:val="00AE4A03"/>
    <w:rsid w:val="00B112B1"/>
    <w:rsid w:val="00B2564E"/>
    <w:rsid w:val="00B36792"/>
    <w:rsid w:val="00B45610"/>
    <w:rsid w:val="00B47D98"/>
    <w:rsid w:val="00B60429"/>
    <w:rsid w:val="00B6076C"/>
    <w:rsid w:val="00B738A4"/>
    <w:rsid w:val="00B934E9"/>
    <w:rsid w:val="00C21CA6"/>
    <w:rsid w:val="00C31FD7"/>
    <w:rsid w:val="00C56981"/>
    <w:rsid w:val="00C941B8"/>
    <w:rsid w:val="00CA1976"/>
    <w:rsid w:val="00CD6D10"/>
    <w:rsid w:val="00CF462B"/>
    <w:rsid w:val="00D2230E"/>
    <w:rsid w:val="00D2448C"/>
    <w:rsid w:val="00D33276"/>
    <w:rsid w:val="00D43527"/>
    <w:rsid w:val="00D6075C"/>
    <w:rsid w:val="00D950A0"/>
    <w:rsid w:val="00E14BD7"/>
    <w:rsid w:val="00E562F1"/>
    <w:rsid w:val="00E57BD2"/>
    <w:rsid w:val="00EB3002"/>
    <w:rsid w:val="00EB4E86"/>
    <w:rsid w:val="00EC2C61"/>
    <w:rsid w:val="00ED2A9C"/>
    <w:rsid w:val="00ED4F8C"/>
    <w:rsid w:val="00EF4F23"/>
    <w:rsid w:val="00F123C8"/>
    <w:rsid w:val="00F42C36"/>
    <w:rsid w:val="00F5340F"/>
    <w:rsid w:val="00F8781B"/>
    <w:rsid w:val="00FA7655"/>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uiPriority w:val="99"/>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uiPriority w:val="99"/>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701CE-4854-484A-91D8-3BEF52E6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7585</Words>
  <Characters>4325</Characters>
  <Application>Microsoft Office Word</Application>
  <DocSecurity>4</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S.Bajāre</Manager>
  <Company>Finanšu ministrija (VNĪ)</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sākotnējās ietekmes novērtējuma ziņojums (anotācija)</dc:title>
  <dc:subject>Anotācija</dc:subject>
  <dc:creator>A.Gulbe</dc:creator>
  <dc:description>A.Gulbe
67024698, aiga.gulbe@vni.lv</dc:description>
  <cp:lastModifiedBy>Santa Lūse</cp:lastModifiedBy>
  <cp:revision>2</cp:revision>
  <cp:lastPrinted>2013-09-06T15:13:00Z</cp:lastPrinted>
  <dcterms:created xsi:type="dcterms:W3CDTF">2013-09-11T14:07:00Z</dcterms:created>
  <dcterms:modified xsi:type="dcterms:W3CDTF">2013-09-11T14:07:00Z</dcterms:modified>
</cp:coreProperties>
</file>