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F1" w:rsidRDefault="006C4EB7" w:rsidP="000F41F1">
      <w:pPr>
        <w:pStyle w:val="Heading4"/>
        <w:jc w:val="center"/>
      </w:pPr>
      <w:r>
        <w:t>Ministru kabineta noteikumu projekta „</w:t>
      </w:r>
      <w:r w:rsidR="00891890" w:rsidRPr="00891890">
        <w:t>Noteikumi par saimnieciskā gada pārskata sagatavošanas kārtību</w:t>
      </w:r>
      <w:r w:rsidR="003F1668">
        <w:t>”</w:t>
      </w:r>
      <w:r w:rsidR="000F41F1">
        <w:t xml:space="preserve"> sākotnējās ietekmes novērtējuma ziņojums (anotācija)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2592"/>
        <w:gridCol w:w="6300"/>
      </w:tblGrid>
      <w:tr w:rsidR="006C4EB7" w:rsidTr="00A83BDB">
        <w:tc>
          <w:tcPr>
            <w:tcW w:w="9288" w:type="dxa"/>
            <w:gridSpan w:val="3"/>
            <w:shd w:val="clear" w:color="auto" w:fill="auto"/>
          </w:tcPr>
          <w:p w:rsidR="006C4EB7" w:rsidRDefault="006C4EB7" w:rsidP="001F20CA">
            <w:pPr>
              <w:pStyle w:val="NormalWeb"/>
            </w:pPr>
            <w:r w:rsidRPr="00A83BDB">
              <w:rPr>
                <w:b/>
                <w:bCs/>
              </w:rPr>
              <w:t>I. Tiesību akta projekta izstrādes nepieciešamība</w:t>
            </w:r>
          </w:p>
        </w:tc>
      </w:tr>
      <w:tr w:rsidR="0049512E" w:rsidTr="00A83BDB">
        <w:tc>
          <w:tcPr>
            <w:tcW w:w="396" w:type="dxa"/>
            <w:shd w:val="clear" w:color="auto" w:fill="auto"/>
          </w:tcPr>
          <w:p w:rsidR="0049512E" w:rsidRDefault="0049512E" w:rsidP="001F20CA">
            <w:pPr>
              <w:pStyle w:val="NormalWeb"/>
            </w:pPr>
            <w:r>
              <w:t>1.</w:t>
            </w:r>
          </w:p>
        </w:tc>
        <w:tc>
          <w:tcPr>
            <w:tcW w:w="2592" w:type="dxa"/>
            <w:shd w:val="clear" w:color="auto" w:fill="auto"/>
          </w:tcPr>
          <w:p w:rsidR="0049512E" w:rsidRDefault="0049512E" w:rsidP="001F20CA">
            <w:pPr>
              <w:pStyle w:val="NormalWeb"/>
            </w:pPr>
            <w:r>
              <w:t>Pamatojums</w:t>
            </w:r>
          </w:p>
        </w:tc>
        <w:tc>
          <w:tcPr>
            <w:tcW w:w="6300" w:type="dxa"/>
            <w:shd w:val="clear" w:color="auto" w:fill="auto"/>
          </w:tcPr>
          <w:p w:rsidR="0049512E" w:rsidRPr="00E477D5" w:rsidRDefault="00891890" w:rsidP="00891890">
            <w:pPr>
              <w:pStyle w:val="BodyText"/>
              <w:tabs>
                <w:tab w:val="left" w:pos="1026"/>
              </w:tabs>
              <w:rPr>
                <w:lang w:eastAsia="en-US"/>
              </w:rPr>
            </w:pPr>
            <w:r w:rsidRPr="00891890">
              <w:rPr>
                <w:lang w:eastAsia="en-US"/>
              </w:rPr>
              <w:t>Ministru kabineta noteikumu projekts “Noteikumi par saimnieciskā gada pārskata sagatavošanas kārtību” (turpmāk – Noteikumu projekts) izstrādāts pamatojoties uz Likuma par budžetu un finanšu vadību</w:t>
            </w:r>
            <w:r w:rsidR="00802F19">
              <w:rPr>
                <w:lang w:eastAsia="en-US"/>
              </w:rPr>
              <w:t xml:space="preserve"> </w:t>
            </w:r>
            <w:r w:rsidRPr="00891890">
              <w:rPr>
                <w:lang w:eastAsia="en-US"/>
              </w:rPr>
              <w:t>(turpmāk – Likums)</w:t>
            </w:r>
            <w:r>
              <w:rPr>
                <w:lang w:eastAsia="en-US"/>
              </w:rPr>
              <w:t xml:space="preserve"> 31.panta otro daļu.</w:t>
            </w:r>
          </w:p>
        </w:tc>
      </w:tr>
      <w:tr w:rsidR="0049512E" w:rsidTr="00A83BDB">
        <w:tc>
          <w:tcPr>
            <w:tcW w:w="396" w:type="dxa"/>
            <w:shd w:val="clear" w:color="auto" w:fill="auto"/>
          </w:tcPr>
          <w:p w:rsidR="0049512E" w:rsidRDefault="0049512E" w:rsidP="001F20CA">
            <w:pPr>
              <w:pStyle w:val="NormalWeb"/>
            </w:pPr>
            <w:r>
              <w:t>2.</w:t>
            </w:r>
          </w:p>
        </w:tc>
        <w:tc>
          <w:tcPr>
            <w:tcW w:w="2592" w:type="dxa"/>
            <w:shd w:val="clear" w:color="auto" w:fill="auto"/>
          </w:tcPr>
          <w:p w:rsidR="0049512E" w:rsidRDefault="0049512E" w:rsidP="001F20CA">
            <w:pPr>
              <w:pStyle w:val="NormalWeb"/>
            </w:pPr>
            <w:r>
              <w:t>Pašreizējā situācija un problēmas</w:t>
            </w:r>
          </w:p>
        </w:tc>
        <w:tc>
          <w:tcPr>
            <w:tcW w:w="6300" w:type="dxa"/>
            <w:shd w:val="clear" w:color="auto" w:fill="auto"/>
          </w:tcPr>
          <w:p w:rsidR="00891890" w:rsidRDefault="00891890" w:rsidP="00891890">
            <w:pPr>
              <w:pStyle w:val="BodyText"/>
              <w:tabs>
                <w:tab w:val="left" w:pos="1026"/>
              </w:tabs>
              <w:rPr>
                <w:lang w:eastAsia="en-US"/>
              </w:rPr>
            </w:pPr>
            <w:r>
              <w:rPr>
                <w:lang w:eastAsia="en-US"/>
              </w:rPr>
              <w:t xml:space="preserve">2011.gada 15.decembrī </w:t>
            </w:r>
            <w:r w:rsidR="009534F9">
              <w:rPr>
                <w:lang w:val="lv-LV" w:eastAsia="en-US"/>
              </w:rPr>
              <w:t xml:space="preserve">izdarīti </w:t>
            </w:r>
            <w:r>
              <w:rPr>
                <w:lang w:eastAsia="en-US"/>
              </w:rPr>
              <w:t>grozījumi</w:t>
            </w:r>
            <w:r w:rsidR="009534F9">
              <w:rPr>
                <w:lang w:val="lv-LV" w:eastAsia="en-US"/>
              </w:rPr>
              <w:t xml:space="preserve"> </w:t>
            </w:r>
            <w:r w:rsidR="009534F9">
              <w:rPr>
                <w:lang w:eastAsia="en-US"/>
              </w:rPr>
              <w:t>Likuma 31.pantā</w:t>
            </w:r>
            <w:r w:rsidR="009534F9">
              <w:rPr>
                <w:lang w:val="lv-LV" w:eastAsia="en-US"/>
              </w:rPr>
              <w:t>, kas stājas spēkā ar 2012.gada 1.janvāri</w:t>
            </w:r>
            <w:r>
              <w:rPr>
                <w:lang w:eastAsia="en-US"/>
              </w:rPr>
              <w:t>:</w:t>
            </w:r>
          </w:p>
          <w:p w:rsidR="004C06AC" w:rsidRDefault="00891890" w:rsidP="006B7A58">
            <w:pPr>
              <w:pStyle w:val="naisf"/>
              <w:spacing w:after="120"/>
              <w:ind w:left="40" w:right="113" w:firstLine="28"/>
              <w:rPr>
                <w:sz w:val="28"/>
                <w:lang w:eastAsia="en-US"/>
              </w:rPr>
            </w:pPr>
            <w:r>
              <w:rPr>
                <w:lang w:eastAsia="en-US"/>
              </w:rPr>
              <w:t>1.</w:t>
            </w:r>
            <w:r w:rsidRPr="00891890">
              <w:rPr>
                <w:lang w:eastAsia="en-US"/>
              </w:rPr>
              <w:t>otrā daļa izteikta jaunā redakcijā: „Ministru kabinets nosaka kārtību un apjomu, kādā Finanšu ministrija sagatavo saimnieciskā gada pārskatu, tajā ietverot Finanšu ministrijas vadības ziņojumu par saimnieciskā gada pārskatu, valsts konsolidēto grāmatvedības bilanci un tās pielikumus, pārskatu par konsolidētā kopbudžeta izpildi un tā pielikumus un pārskatu par valsts konsolidēto parādu un tā pielikumus”</w:t>
            </w:r>
            <w:r w:rsidR="00DC490F">
              <w:rPr>
                <w:lang w:eastAsia="en-US"/>
              </w:rPr>
              <w:t xml:space="preserve">, jo </w:t>
            </w:r>
            <w:r w:rsidR="00DC490F" w:rsidRPr="00EE2F55">
              <w:rPr>
                <w:lang w:eastAsia="en-US"/>
              </w:rPr>
              <w:t xml:space="preserve">Likuma 31.panta otrajā daļā </w:t>
            </w:r>
            <w:r w:rsidR="00DC490F">
              <w:rPr>
                <w:lang w:eastAsia="en-US"/>
              </w:rPr>
              <w:t xml:space="preserve">iepriekš </w:t>
            </w:r>
            <w:r w:rsidR="00DC490F" w:rsidRPr="00EE2F55">
              <w:rPr>
                <w:lang w:eastAsia="en-US"/>
              </w:rPr>
              <w:t>noteikt</w:t>
            </w:r>
            <w:r w:rsidR="00DC490F">
              <w:rPr>
                <w:lang w:eastAsia="en-US"/>
              </w:rPr>
              <w:t>ai</w:t>
            </w:r>
            <w:r w:rsidR="00DC490F" w:rsidRPr="00EE2F55">
              <w:rPr>
                <w:lang w:eastAsia="en-US"/>
              </w:rPr>
              <w:t xml:space="preserve">s saimnieciskā gada pārskata saturs </w:t>
            </w:r>
            <w:r w:rsidR="00DC490F">
              <w:rPr>
                <w:lang w:eastAsia="en-US"/>
              </w:rPr>
              <w:t xml:space="preserve">bija </w:t>
            </w:r>
            <w:r w:rsidR="00DC490F" w:rsidRPr="00EE2F55">
              <w:rPr>
                <w:lang w:eastAsia="en-US"/>
              </w:rPr>
              <w:t>novecojis</w:t>
            </w:r>
            <w:r w:rsidR="00DC490F">
              <w:rPr>
                <w:lang w:eastAsia="en-US"/>
              </w:rPr>
              <w:t xml:space="preserve">, </w:t>
            </w:r>
            <w:r w:rsidR="00DC490F" w:rsidRPr="00EE2F55">
              <w:rPr>
                <w:lang w:eastAsia="en-US"/>
              </w:rPr>
              <w:t>neatbi</w:t>
            </w:r>
            <w:r w:rsidR="00DC490F">
              <w:rPr>
                <w:lang w:eastAsia="en-US"/>
              </w:rPr>
              <w:t>lda</w:t>
            </w:r>
            <w:r w:rsidR="00DC490F" w:rsidRPr="00EE2F55">
              <w:rPr>
                <w:lang w:eastAsia="en-US"/>
              </w:rPr>
              <w:t xml:space="preserve"> esošajai situācijai</w:t>
            </w:r>
            <w:r w:rsidR="00DC490F">
              <w:rPr>
                <w:lang w:eastAsia="en-US"/>
              </w:rPr>
              <w:t xml:space="preserve"> un labākajai pārskatu sagatavošanas praksei, tāpēc tika preciz</w:t>
            </w:r>
            <w:r w:rsidR="005B4610">
              <w:rPr>
                <w:lang w:eastAsia="en-US"/>
              </w:rPr>
              <w:t xml:space="preserve">ēta Likuma 31.panta otrās daļas redakcija </w:t>
            </w:r>
            <w:r w:rsidR="00DC490F">
              <w:rPr>
                <w:lang w:eastAsia="en-US"/>
              </w:rPr>
              <w:t>un atbilstoši izstrādāt</w:t>
            </w:r>
            <w:r w:rsidR="005B4610">
              <w:rPr>
                <w:lang w:eastAsia="en-US"/>
              </w:rPr>
              <w:t>s jauns</w:t>
            </w:r>
            <w:r w:rsidR="00DC490F">
              <w:rPr>
                <w:lang w:eastAsia="en-US"/>
              </w:rPr>
              <w:t xml:space="preserve"> Noteikumu projekt</w:t>
            </w:r>
            <w:r w:rsidR="00486E33">
              <w:rPr>
                <w:lang w:eastAsia="en-US"/>
              </w:rPr>
              <w:t>s</w:t>
            </w:r>
            <w:r w:rsidRPr="00891890">
              <w:rPr>
                <w:lang w:eastAsia="en-US"/>
              </w:rPr>
              <w:t>;</w:t>
            </w:r>
          </w:p>
          <w:p w:rsidR="004C06AC" w:rsidRPr="00D46EA7" w:rsidRDefault="00891890" w:rsidP="006B7A58">
            <w:pPr>
              <w:pStyle w:val="NormalWeb"/>
              <w:tabs>
                <w:tab w:val="left" w:pos="972"/>
              </w:tabs>
              <w:spacing w:before="0" w:beforeAutospacing="0" w:after="120" w:afterAutospacing="0"/>
              <w:jc w:val="both"/>
              <w:rPr>
                <w:sz w:val="28"/>
                <w:lang w:eastAsia="en-US"/>
              </w:rPr>
            </w:pPr>
            <w:r>
              <w:rPr>
                <w:lang w:eastAsia="en-US"/>
              </w:rPr>
              <w:t>2.</w:t>
            </w:r>
            <w:r w:rsidRPr="00891890">
              <w:rPr>
                <w:lang w:eastAsia="en-US"/>
              </w:rPr>
              <w:t>izslēgta ceturtā daļa, atbilstoši kurai izdoti Ministru kabineta 2008.gada 26.maija noteikumi Nr.362 “Noteikumi par saimnieciskā gada pārskata sagatavošanas kārtību” (turpmāk – noteikumi Nr.362).</w:t>
            </w:r>
          </w:p>
          <w:p w:rsidR="00BD3BBB" w:rsidRPr="00D46EA7" w:rsidRDefault="00BD3BBB" w:rsidP="00CA2446">
            <w:pPr>
              <w:pStyle w:val="NormalWeb"/>
              <w:tabs>
                <w:tab w:val="left" w:pos="972"/>
              </w:tabs>
              <w:spacing w:before="0" w:beforeAutospacing="0" w:after="0" w:afterAutospacing="0"/>
              <w:jc w:val="both"/>
              <w:rPr>
                <w:lang w:eastAsia="en-US"/>
              </w:rPr>
            </w:pPr>
            <w:r w:rsidRPr="00D46EA7">
              <w:rPr>
                <w:lang w:eastAsia="en-US"/>
              </w:rPr>
              <w:t xml:space="preserve">Izstrādājot noteikumu projektu </w:t>
            </w:r>
            <w:r w:rsidR="00B35FBE" w:rsidRPr="00D46EA7">
              <w:rPr>
                <w:lang w:eastAsia="en-US"/>
              </w:rPr>
              <w:t>atbilstoši Likumā noteiktajam deleģējumam un izvērtējot noteikumus Nr.362</w:t>
            </w:r>
            <w:r w:rsidRPr="00D46EA7">
              <w:rPr>
                <w:lang w:eastAsia="en-US"/>
              </w:rPr>
              <w:t>, secināts, ka:</w:t>
            </w:r>
          </w:p>
          <w:p w:rsidR="00BD3BBB" w:rsidRPr="00D46EA7" w:rsidRDefault="00BD3BBB" w:rsidP="00BD3BBB">
            <w:pPr>
              <w:pStyle w:val="NormalWeb"/>
              <w:tabs>
                <w:tab w:val="left" w:pos="972"/>
              </w:tabs>
              <w:spacing w:before="0" w:beforeAutospacing="0" w:after="0" w:afterAutospacing="0"/>
              <w:jc w:val="both"/>
              <w:rPr>
                <w:lang w:eastAsia="en-US"/>
              </w:rPr>
            </w:pPr>
            <w:r w:rsidRPr="00D46EA7">
              <w:rPr>
                <w:lang w:eastAsia="en-US"/>
              </w:rPr>
              <w:t xml:space="preserve">1. </w:t>
            </w:r>
            <w:r w:rsidR="00693998" w:rsidRPr="00D46EA7">
              <w:rPr>
                <w:lang w:eastAsia="en-US"/>
              </w:rPr>
              <w:t>saimnieciskā gada pārskatā</w:t>
            </w:r>
            <w:r w:rsidR="00B35FBE" w:rsidRPr="00D46EA7">
              <w:rPr>
                <w:lang w:eastAsia="en-US"/>
              </w:rPr>
              <w:t xml:space="preserve"> atsevišķos pielikumos</w:t>
            </w:r>
            <w:r w:rsidR="00883283" w:rsidRPr="00D46EA7">
              <w:rPr>
                <w:lang w:eastAsia="en-US"/>
              </w:rPr>
              <w:t xml:space="preserve"> </w:t>
            </w:r>
            <w:r w:rsidR="007A0BB1" w:rsidRPr="00D46EA7">
              <w:rPr>
                <w:lang w:eastAsia="en-US"/>
              </w:rPr>
              <w:t>daļa</w:t>
            </w:r>
            <w:r w:rsidR="00CA2446" w:rsidRPr="00D46EA7">
              <w:rPr>
                <w:lang w:eastAsia="en-US"/>
              </w:rPr>
              <w:t xml:space="preserve"> informācija</w:t>
            </w:r>
            <w:r w:rsidR="007A0BB1" w:rsidRPr="00D46EA7">
              <w:rPr>
                <w:lang w:eastAsia="en-US"/>
              </w:rPr>
              <w:t>s jau</w:t>
            </w:r>
            <w:r w:rsidR="00CA2446" w:rsidRPr="00D46EA7">
              <w:rPr>
                <w:lang w:eastAsia="en-US"/>
              </w:rPr>
              <w:t xml:space="preserve"> ir sniegta citos finanšu pārskatu pielikumos un skaidrojumos</w:t>
            </w:r>
            <w:r w:rsidR="00693998" w:rsidRPr="00D46EA7">
              <w:rPr>
                <w:lang w:eastAsia="en-US"/>
              </w:rPr>
              <w:t xml:space="preserve">, kas </w:t>
            </w:r>
            <w:r w:rsidR="00B35FBE" w:rsidRPr="00D46EA7">
              <w:rPr>
                <w:lang w:eastAsia="en-US"/>
              </w:rPr>
              <w:t>nevajadzīgi palielina saimnieciskā gada pārskata</w:t>
            </w:r>
            <w:r w:rsidR="00802F19" w:rsidRPr="00D46EA7">
              <w:rPr>
                <w:lang w:eastAsia="en-US"/>
              </w:rPr>
              <w:t xml:space="preserve"> </w:t>
            </w:r>
            <w:r w:rsidR="00B35FBE" w:rsidRPr="00D46EA7">
              <w:rPr>
                <w:lang w:eastAsia="en-US"/>
              </w:rPr>
              <w:t xml:space="preserve">apjomu un </w:t>
            </w:r>
            <w:r w:rsidR="00693998" w:rsidRPr="00D46EA7">
              <w:rPr>
                <w:lang w:eastAsia="en-US"/>
              </w:rPr>
              <w:t xml:space="preserve">padara </w:t>
            </w:r>
            <w:r w:rsidR="00B35FBE" w:rsidRPr="00D46EA7">
              <w:rPr>
                <w:lang w:eastAsia="en-US"/>
              </w:rPr>
              <w:t xml:space="preserve">to </w:t>
            </w:r>
            <w:r w:rsidR="00693998" w:rsidRPr="00D46EA7">
              <w:rPr>
                <w:lang w:eastAsia="en-US"/>
              </w:rPr>
              <w:t>nepārskatāmu lietotājiem</w:t>
            </w:r>
            <w:r w:rsidR="00CA2446" w:rsidRPr="00D46EA7">
              <w:rPr>
                <w:lang w:eastAsia="en-US"/>
              </w:rPr>
              <w:t>. Saimnieciskā gada pārskata apjoma optimizācijai un tā kvalitātes uzlabošanai nepieciešams izslēgt atsevišķus pielikumus</w:t>
            </w:r>
            <w:r w:rsidR="007A0BB1" w:rsidRPr="00D46EA7">
              <w:rPr>
                <w:lang w:eastAsia="en-US"/>
              </w:rPr>
              <w:t>;</w:t>
            </w:r>
          </w:p>
          <w:p w:rsidR="00DC4C9B" w:rsidRDefault="00BD3BBB" w:rsidP="00CA2446">
            <w:pPr>
              <w:pStyle w:val="NormalWeb"/>
              <w:tabs>
                <w:tab w:val="left" w:pos="972"/>
              </w:tabs>
              <w:spacing w:before="0" w:beforeAutospacing="0" w:after="0" w:afterAutospacing="0"/>
              <w:jc w:val="both"/>
              <w:rPr>
                <w:lang w:eastAsia="en-US"/>
              </w:rPr>
            </w:pPr>
            <w:r w:rsidRPr="00D46EA7">
              <w:rPr>
                <w:lang w:eastAsia="en-US"/>
              </w:rPr>
              <w:t>2. saimnieciskā gada pārskata saturs atbilstoši noteikumu Nr.362 prasībām neietv</w:t>
            </w:r>
            <w:r w:rsidR="007A0BB1" w:rsidRPr="00D46EA7">
              <w:rPr>
                <w:lang w:eastAsia="en-US"/>
              </w:rPr>
              <w:t>ēra</w:t>
            </w:r>
            <w:r w:rsidRPr="00D46EA7">
              <w:rPr>
                <w:lang w:eastAsia="en-US"/>
              </w:rPr>
              <w:t xml:space="preserve"> vairākus valsts konsolidētos finanšu pārskatus, kuri sniedzami atbilstoši starptautiski pieņemtai labākajai pārskatu sagatavošanas praksei un kurus šobrīd saskaņā ar normatīvo aktu prasībām sagatavo budžeta iestādes, no valsts budžeta daļēji finansētas atvasinātas publiskas personas un budžeta nefinansētas iestādes – finansiālās darbības pārskatu, pašu kapitāla (neto aktīvu) izmaiņu pārskatu un naudas plūsmas pārskatu.</w:t>
            </w:r>
          </w:p>
        </w:tc>
      </w:tr>
      <w:tr w:rsidR="0049512E" w:rsidTr="00A83BDB">
        <w:tc>
          <w:tcPr>
            <w:tcW w:w="396" w:type="dxa"/>
            <w:shd w:val="clear" w:color="auto" w:fill="auto"/>
          </w:tcPr>
          <w:p w:rsidR="0049512E" w:rsidRDefault="0049512E" w:rsidP="001F20CA">
            <w:pPr>
              <w:pStyle w:val="NormalWeb"/>
            </w:pPr>
            <w:r>
              <w:t>3.</w:t>
            </w:r>
          </w:p>
        </w:tc>
        <w:tc>
          <w:tcPr>
            <w:tcW w:w="2592" w:type="dxa"/>
            <w:shd w:val="clear" w:color="auto" w:fill="auto"/>
          </w:tcPr>
          <w:p w:rsidR="0049512E" w:rsidRDefault="0049512E" w:rsidP="001F20CA">
            <w:pPr>
              <w:pStyle w:val="NormalWeb"/>
            </w:pPr>
            <w:r>
              <w:t xml:space="preserve">Saistītie politikas ietekmes novērtējumi un </w:t>
            </w:r>
            <w:r>
              <w:lastRenderedPageBreak/>
              <w:t>pētījumi</w:t>
            </w:r>
          </w:p>
        </w:tc>
        <w:tc>
          <w:tcPr>
            <w:tcW w:w="6300" w:type="dxa"/>
            <w:shd w:val="clear" w:color="auto" w:fill="auto"/>
          </w:tcPr>
          <w:p w:rsidR="0049512E" w:rsidRDefault="0049512E" w:rsidP="001F20CA">
            <w:pPr>
              <w:pStyle w:val="NormalWeb"/>
            </w:pPr>
            <w:r>
              <w:lastRenderedPageBreak/>
              <w:t>Projekts šo jomu neskar</w:t>
            </w:r>
            <w:r w:rsidR="000849E6">
              <w:t>.</w:t>
            </w:r>
          </w:p>
        </w:tc>
      </w:tr>
      <w:tr w:rsidR="0049512E" w:rsidTr="00A83BDB">
        <w:tc>
          <w:tcPr>
            <w:tcW w:w="396" w:type="dxa"/>
            <w:shd w:val="clear" w:color="auto" w:fill="auto"/>
          </w:tcPr>
          <w:p w:rsidR="0049512E" w:rsidRDefault="0049512E" w:rsidP="001F20CA">
            <w:pPr>
              <w:pStyle w:val="NormalWeb"/>
            </w:pPr>
            <w:r>
              <w:lastRenderedPageBreak/>
              <w:t>4.</w:t>
            </w:r>
          </w:p>
        </w:tc>
        <w:tc>
          <w:tcPr>
            <w:tcW w:w="2592" w:type="dxa"/>
            <w:shd w:val="clear" w:color="auto" w:fill="auto"/>
          </w:tcPr>
          <w:p w:rsidR="0049512E" w:rsidRDefault="0049512E" w:rsidP="001F20CA">
            <w:pPr>
              <w:pStyle w:val="NormalWeb"/>
            </w:pPr>
            <w:r>
              <w:t>Tiesiskā regulējuma mērķis un būtība</w:t>
            </w:r>
          </w:p>
        </w:tc>
        <w:tc>
          <w:tcPr>
            <w:tcW w:w="6300" w:type="dxa"/>
            <w:shd w:val="clear" w:color="auto" w:fill="auto"/>
          </w:tcPr>
          <w:p w:rsidR="00964CD1" w:rsidRPr="00964CD1" w:rsidRDefault="00891890" w:rsidP="00964CD1">
            <w:pPr>
              <w:pStyle w:val="BodyTextIndent"/>
              <w:tabs>
                <w:tab w:val="left" w:pos="840"/>
              </w:tabs>
              <w:spacing w:after="120"/>
              <w:ind w:firstLine="0"/>
              <w:jc w:val="both"/>
              <w:rPr>
                <w:sz w:val="24"/>
              </w:rPr>
            </w:pPr>
            <w:r w:rsidRPr="00964CD1">
              <w:rPr>
                <w:sz w:val="24"/>
              </w:rPr>
              <w:t xml:space="preserve">Noteikumu projekts sagatavots atbilstoši Likumā noteiktajam deleģējumam, aizstājot noteikumus Nr.362. </w:t>
            </w:r>
          </w:p>
          <w:p w:rsidR="00C9099C" w:rsidRDefault="00964CD1" w:rsidP="003F7F27">
            <w:pPr>
              <w:pStyle w:val="BodyTextIndent"/>
              <w:tabs>
                <w:tab w:val="left" w:pos="840"/>
              </w:tabs>
              <w:spacing w:after="120"/>
              <w:ind w:firstLine="0"/>
              <w:jc w:val="both"/>
              <w:rPr>
                <w:sz w:val="24"/>
              </w:rPr>
            </w:pPr>
            <w:r>
              <w:rPr>
                <w:sz w:val="24"/>
              </w:rPr>
              <w:t>Noteikumu projekts</w:t>
            </w:r>
            <w:r w:rsidR="003D5F7F">
              <w:rPr>
                <w:sz w:val="24"/>
              </w:rPr>
              <w:t xml:space="preserve"> </w:t>
            </w:r>
            <w:r>
              <w:rPr>
                <w:sz w:val="24"/>
              </w:rPr>
              <w:t>nosaka</w:t>
            </w:r>
            <w:r w:rsidR="003D5F7F">
              <w:rPr>
                <w:sz w:val="24"/>
              </w:rPr>
              <w:t xml:space="preserve"> </w:t>
            </w:r>
            <w:r w:rsidR="003F7F27">
              <w:rPr>
                <w:sz w:val="24"/>
              </w:rPr>
              <w:t xml:space="preserve">Finanšu ministrijas (Valsts kases) sagatavotā </w:t>
            </w:r>
            <w:r>
              <w:rPr>
                <w:sz w:val="24"/>
              </w:rPr>
              <w:t>s</w:t>
            </w:r>
            <w:r w:rsidR="00E333AB">
              <w:rPr>
                <w:sz w:val="24"/>
              </w:rPr>
              <w:t>aimnieciskā</w:t>
            </w:r>
            <w:r w:rsidR="00891890" w:rsidRPr="00964CD1">
              <w:rPr>
                <w:sz w:val="24"/>
              </w:rPr>
              <w:t xml:space="preserve"> gada pārskata apjomu</w:t>
            </w:r>
            <w:r w:rsidR="00BE5934">
              <w:rPr>
                <w:sz w:val="24"/>
              </w:rPr>
              <w:t xml:space="preserve"> un</w:t>
            </w:r>
            <w:r w:rsidR="003F7F27">
              <w:rPr>
                <w:sz w:val="24"/>
              </w:rPr>
              <w:t xml:space="preserve"> t</w:t>
            </w:r>
            <w:r w:rsidR="00891890" w:rsidRPr="003F7F27">
              <w:rPr>
                <w:sz w:val="24"/>
              </w:rPr>
              <w:t>ā sagatavošanas kārtību.</w:t>
            </w:r>
          </w:p>
          <w:p w:rsidR="004C06AC" w:rsidRPr="00D46EA7" w:rsidRDefault="005B4610" w:rsidP="006B7A58">
            <w:pPr>
              <w:pStyle w:val="BodyTextIndent"/>
              <w:tabs>
                <w:tab w:val="left" w:pos="840"/>
              </w:tabs>
              <w:ind w:firstLine="0"/>
              <w:jc w:val="both"/>
              <w:rPr>
                <w:sz w:val="24"/>
              </w:rPr>
            </w:pPr>
            <w:r>
              <w:rPr>
                <w:sz w:val="24"/>
              </w:rPr>
              <w:t xml:space="preserve">Noteikumu projekts izstrādāts, lai sniegtu publiski saprotamāku informāciju, kas </w:t>
            </w:r>
            <w:r w:rsidR="0003577D">
              <w:rPr>
                <w:sz w:val="24"/>
              </w:rPr>
              <w:t>balstīta uz labāko</w:t>
            </w:r>
            <w:r>
              <w:rPr>
                <w:sz w:val="24"/>
              </w:rPr>
              <w:t xml:space="preserve"> pārskatu sagatavošanas praksi</w:t>
            </w:r>
            <w:r w:rsidR="0003577D">
              <w:rPr>
                <w:sz w:val="24"/>
              </w:rPr>
              <w:t>, vienlaikus nodrošinot</w:t>
            </w:r>
            <w:r w:rsidR="00802F19">
              <w:rPr>
                <w:sz w:val="24"/>
              </w:rPr>
              <w:t xml:space="preserve"> </w:t>
            </w:r>
            <w:r w:rsidR="0003577D">
              <w:rPr>
                <w:sz w:val="24"/>
              </w:rPr>
              <w:t xml:space="preserve">pārskatu lietotājiem </w:t>
            </w:r>
            <w:r w:rsidR="00486E33">
              <w:rPr>
                <w:sz w:val="24"/>
              </w:rPr>
              <w:t xml:space="preserve">(analītiķiem) </w:t>
            </w:r>
            <w:r w:rsidR="0003577D">
              <w:rPr>
                <w:sz w:val="24"/>
              </w:rPr>
              <w:t>saimnieciskā gada pārskata analīzei detalizētāku papildus informāciju Valsts kases mājas lapā</w:t>
            </w:r>
            <w:r w:rsidR="00BD3BBB" w:rsidRPr="00D46EA7">
              <w:rPr>
                <w:sz w:val="24"/>
              </w:rPr>
              <w:t>. Noteikumu projekts salīdzinājumā ar noteikumu Nr.362 prasībām</w:t>
            </w:r>
            <w:r w:rsidR="003D5F7F" w:rsidRPr="00D46EA7">
              <w:rPr>
                <w:sz w:val="24"/>
              </w:rPr>
              <w:t xml:space="preserve"> </w:t>
            </w:r>
            <w:r w:rsidR="00BD3BBB" w:rsidRPr="00D46EA7">
              <w:rPr>
                <w:sz w:val="24"/>
              </w:rPr>
              <w:t>paredz</w:t>
            </w:r>
            <w:r w:rsidR="007A0BB1" w:rsidRPr="00D46EA7">
              <w:rPr>
                <w:sz w:val="24"/>
              </w:rPr>
              <w:t>:</w:t>
            </w:r>
          </w:p>
          <w:p w:rsidR="004C06AC" w:rsidRPr="00D46EA7" w:rsidRDefault="00BD3BBB" w:rsidP="006B7A58">
            <w:pPr>
              <w:pStyle w:val="BodyTextIndent"/>
              <w:tabs>
                <w:tab w:val="left" w:pos="840"/>
              </w:tabs>
              <w:ind w:firstLine="0"/>
              <w:jc w:val="both"/>
              <w:rPr>
                <w:sz w:val="24"/>
              </w:rPr>
            </w:pPr>
            <w:r w:rsidRPr="00D46EA7">
              <w:rPr>
                <w:sz w:val="24"/>
              </w:rPr>
              <w:t>1.</w:t>
            </w:r>
            <w:r w:rsidR="00B64AE6" w:rsidRPr="00D46EA7">
              <w:rPr>
                <w:sz w:val="24"/>
              </w:rPr>
              <w:t xml:space="preserve">saimnieciskā gada pārskatā iekļaut papildus finanšu pārskatus atbilstoši labākajai pārskatu sagatavošanas praksei – </w:t>
            </w:r>
            <w:r w:rsidRPr="00D46EA7">
              <w:rPr>
                <w:sz w:val="24"/>
              </w:rPr>
              <w:t>valsts konsolidēt</w:t>
            </w:r>
            <w:r w:rsidR="00B64AE6" w:rsidRPr="00D46EA7">
              <w:rPr>
                <w:sz w:val="24"/>
              </w:rPr>
              <w:t>o</w:t>
            </w:r>
            <w:r w:rsidR="00802F19" w:rsidRPr="00D46EA7">
              <w:rPr>
                <w:sz w:val="24"/>
              </w:rPr>
              <w:t xml:space="preserve"> </w:t>
            </w:r>
            <w:r w:rsidRPr="00D46EA7">
              <w:rPr>
                <w:sz w:val="24"/>
              </w:rPr>
              <w:t>finansiālās darbības pārskat</w:t>
            </w:r>
            <w:r w:rsidR="00B64AE6" w:rsidRPr="00D46EA7">
              <w:rPr>
                <w:sz w:val="24"/>
              </w:rPr>
              <w:t>u</w:t>
            </w:r>
            <w:r w:rsidRPr="00D46EA7">
              <w:rPr>
                <w:sz w:val="24"/>
              </w:rPr>
              <w:t>, pašu kapitāla (neto aktīvu) izmaiņu pārskat</w:t>
            </w:r>
            <w:r w:rsidR="00B64AE6" w:rsidRPr="00D46EA7">
              <w:rPr>
                <w:sz w:val="24"/>
              </w:rPr>
              <w:t>u</w:t>
            </w:r>
            <w:r w:rsidRPr="00D46EA7">
              <w:rPr>
                <w:sz w:val="24"/>
              </w:rPr>
              <w:t xml:space="preserve"> un naudas plūsmas pārskat</w:t>
            </w:r>
            <w:r w:rsidR="00B64AE6" w:rsidRPr="00D46EA7">
              <w:rPr>
                <w:sz w:val="24"/>
              </w:rPr>
              <w:t>u</w:t>
            </w:r>
            <w:r w:rsidRPr="00D46EA7">
              <w:rPr>
                <w:sz w:val="24"/>
              </w:rPr>
              <w:t>;</w:t>
            </w:r>
          </w:p>
          <w:p w:rsidR="005B4610" w:rsidRPr="00D46EA7" w:rsidRDefault="00BD3BBB" w:rsidP="00BD3BBB">
            <w:pPr>
              <w:pStyle w:val="BodyTextIndent"/>
              <w:tabs>
                <w:tab w:val="left" w:pos="840"/>
              </w:tabs>
              <w:spacing w:after="120"/>
              <w:ind w:firstLine="0"/>
              <w:jc w:val="both"/>
              <w:rPr>
                <w:sz w:val="24"/>
              </w:rPr>
            </w:pPr>
            <w:r w:rsidRPr="00D46EA7">
              <w:rPr>
                <w:sz w:val="24"/>
              </w:rPr>
              <w:t>2. izslēgt atsevišķus pielikumus</w:t>
            </w:r>
            <w:r w:rsidR="00B64AE6" w:rsidRPr="00D46EA7">
              <w:rPr>
                <w:sz w:val="24"/>
              </w:rPr>
              <w:t>, kuros minētā informācija uzrādīta citos finanšu pārskatu pielikumos</w:t>
            </w:r>
            <w:r w:rsidRPr="00D46EA7">
              <w:rPr>
                <w:sz w:val="24"/>
              </w:rPr>
              <w:t>, šo informāciju turpmāk publicējot Valsts kases mājas lapā.</w:t>
            </w:r>
          </w:p>
          <w:p w:rsidR="00891890" w:rsidRDefault="00964CD1" w:rsidP="00C9099C">
            <w:pPr>
              <w:pStyle w:val="BodyTextIndent"/>
              <w:tabs>
                <w:tab w:val="left" w:pos="840"/>
              </w:tabs>
              <w:spacing w:after="120"/>
              <w:ind w:firstLine="0"/>
              <w:jc w:val="both"/>
              <w:rPr>
                <w:sz w:val="24"/>
              </w:rPr>
            </w:pPr>
            <w:r w:rsidRPr="003F7F27">
              <w:rPr>
                <w:sz w:val="24"/>
              </w:rPr>
              <w:t xml:space="preserve">Noteikumu projektā noteikti saimnieciskā gada pārskata sagatavošanas </w:t>
            </w:r>
            <w:r w:rsidR="00AD26B5" w:rsidRPr="003F7F27">
              <w:rPr>
                <w:sz w:val="24"/>
              </w:rPr>
              <w:t>un</w:t>
            </w:r>
            <w:r w:rsidRPr="003F7F27">
              <w:rPr>
                <w:sz w:val="24"/>
              </w:rPr>
              <w:t xml:space="preserve"> konsolidācijas</w:t>
            </w:r>
            <w:r w:rsidR="003F7F27" w:rsidRPr="003F7F27">
              <w:rPr>
                <w:sz w:val="24"/>
              </w:rPr>
              <w:t xml:space="preserve"> pamatprincipi</w:t>
            </w:r>
            <w:r w:rsidRPr="003F7F27">
              <w:rPr>
                <w:sz w:val="24"/>
              </w:rPr>
              <w:t>.</w:t>
            </w:r>
          </w:p>
          <w:p w:rsidR="00BA0887" w:rsidRDefault="00BA0887" w:rsidP="00C9099C">
            <w:pPr>
              <w:pStyle w:val="BodyTextIndent"/>
              <w:tabs>
                <w:tab w:val="left" w:pos="414"/>
              </w:tabs>
              <w:spacing w:after="120"/>
              <w:ind w:firstLine="0"/>
              <w:jc w:val="both"/>
              <w:rPr>
                <w:sz w:val="24"/>
              </w:rPr>
            </w:pPr>
            <w:r>
              <w:rPr>
                <w:sz w:val="24"/>
              </w:rPr>
              <w:t>Budžeta izpildes informācija</w:t>
            </w:r>
            <w:r w:rsidR="00BE5934">
              <w:rPr>
                <w:sz w:val="24"/>
              </w:rPr>
              <w:t xml:space="preserve"> sagatavojama</w:t>
            </w:r>
            <w:r>
              <w:rPr>
                <w:sz w:val="24"/>
              </w:rPr>
              <w:t xml:space="preserve"> atbilst</w:t>
            </w:r>
            <w:r w:rsidR="00BE5934">
              <w:rPr>
                <w:sz w:val="24"/>
              </w:rPr>
              <w:t>oši</w:t>
            </w:r>
            <w:r>
              <w:rPr>
                <w:sz w:val="24"/>
              </w:rPr>
              <w:t xml:space="preserve"> Likum</w:t>
            </w:r>
            <w:r w:rsidR="00BE5934">
              <w:rPr>
                <w:sz w:val="24"/>
              </w:rPr>
              <w:t>ā</w:t>
            </w:r>
            <w:r>
              <w:rPr>
                <w:sz w:val="24"/>
              </w:rPr>
              <w:t xml:space="preserve"> par</w:t>
            </w:r>
            <w:r w:rsidR="00C9099C">
              <w:rPr>
                <w:sz w:val="24"/>
              </w:rPr>
              <w:t xml:space="preserve"> valsts budžetu kārtējam gadam, pašvaldību saistošajos noteikumos</w:t>
            </w:r>
            <w:r>
              <w:rPr>
                <w:sz w:val="24"/>
              </w:rPr>
              <w:t xml:space="preserve"> un daļēji no valsts budžeta finansētu atvasinātu publisku personu</w:t>
            </w:r>
            <w:r w:rsidR="00C9099C">
              <w:rPr>
                <w:sz w:val="24"/>
              </w:rPr>
              <w:t xml:space="preserve"> un budžeta nefinansētu institūciju</w:t>
            </w:r>
            <w:r>
              <w:rPr>
                <w:sz w:val="24"/>
              </w:rPr>
              <w:t xml:space="preserve"> budže</w:t>
            </w:r>
            <w:r w:rsidR="00C9099C">
              <w:rPr>
                <w:sz w:val="24"/>
              </w:rPr>
              <w:t>tos noteiktajai struktūrai</w:t>
            </w:r>
            <w:r w:rsidR="00BE5934">
              <w:rPr>
                <w:sz w:val="24"/>
              </w:rPr>
              <w:t xml:space="preserve"> un normatīvajos aktos par budžetu </w:t>
            </w:r>
            <w:proofErr w:type="spellStart"/>
            <w:r w:rsidR="000E7315">
              <w:rPr>
                <w:sz w:val="24"/>
              </w:rPr>
              <w:t>klasifikācijām</w:t>
            </w:r>
            <w:proofErr w:type="spellEnd"/>
            <w:r w:rsidR="00BE5934">
              <w:rPr>
                <w:sz w:val="24"/>
              </w:rPr>
              <w:t xml:space="preserve"> noteiktajam.</w:t>
            </w:r>
          </w:p>
          <w:p w:rsidR="003F7F27" w:rsidRPr="00964CD1" w:rsidRDefault="003F7F27" w:rsidP="00BE5934">
            <w:pPr>
              <w:pStyle w:val="BodyTextIndent"/>
              <w:tabs>
                <w:tab w:val="left" w:pos="414"/>
              </w:tabs>
              <w:spacing w:after="120"/>
              <w:ind w:firstLine="0"/>
              <w:jc w:val="both"/>
              <w:rPr>
                <w:sz w:val="24"/>
              </w:rPr>
            </w:pPr>
            <w:r>
              <w:rPr>
                <w:sz w:val="24"/>
              </w:rPr>
              <w:t>Finanšu informācija sagatavojama</w:t>
            </w:r>
            <w:r w:rsidR="00E333AB">
              <w:rPr>
                <w:sz w:val="24"/>
              </w:rPr>
              <w:t>,</w:t>
            </w:r>
            <w:r>
              <w:rPr>
                <w:sz w:val="24"/>
              </w:rPr>
              <w:t xml:space="preserve"> ņemot vērā Starptautisko publiskā sektora grāmatvedības standartu pamatnostādnes</w:t>
            </w:r>
            <w:r w:rsidR="00BE5934">
              <w:rPr>
                <w:sz w:val="24"/>
              </w:rPr>
              <w:t xml:space="preserve"> un normatīvajos aktos par grāmatvedības uzskaiti un pārskatu sagatavošanu noteikto</w:t>
            </w:r>
            <w:r>
              <w:rPr>
                <w:sz w:val="24"/>
              </w:rPr>
              <w:t>.</w:t>
            </w:r>
          </w:p>
        </w:tc>
      </w:tr>
      <w:tr w:rsidR="0049512E" w:rsidRPr="00A83BDB" w:rsidTr="00A83BDB">
        <w:tc>
          <w:tcPr>
            <w:tcW w:w="396" w:type="dxa"/>
            <w:shd w:val="clear" w:color="auto" w:fill="auto"/>
          </w:tcPr>
          <w:p w:rsidR="0049512E" w:rsidRDefault="0049512E" w:rsidP="001F20CA">
            <w:pPr>
              <w:pStyle w:val="NormalWeb"/>
            </w:pPr>
            <w:r>
              <w:t>5.</w:t>
            </w:r>
          </w:p>
        </w:tc>
        <w:tc>
          <w:tcPr>
            <w:tcW w:w="2592" w:type="dxa"/>
            <w:shd w:val="clear" w:color="auto" w:fill="auto"/>
          </w:tcPr>
          <w:p w:rsidR="0049512E" w:rsidRDefault="0049512E" w:rsidP="001F20CA">
            <w:pPr>
              <w:pStyle w:val="NormalWeb"/>
            </w:pPr>
            <w:r>
              <w:t>Projekta izstrādē iesaistītās institūcijas</w:t>
            </w:r>
          </w:p>
        </w:tc>
        <w:tc>
          <w:tcPr>
            <w:tcW w:w="6300" w:type="dxa"/>
            <w:shd w:val="clear" w:color="auto" w:fill="auto"/>
          </w:tcPr>
          <w:p w:rsidR="0049512E" w:rsidRDefault="000849E6" w:rsidP="007001A8">
            <w:pPr>
              <w:pStyle w:val="NormalWeb"/>
              <w:spacing w:before="0" w:beforeAutospacing="0" w:after="0" w:afterAutospacing="0"/>
              <w:jc w:val="both"/>
            </w:pPr>
            <w:r w:rsidRPr="000849E6">
              <w:t>Projekts šo jomu neskar</w:t>
            </w:r>
          </w:p>
        </w:tc>
      </w:tr>
      <w:tr w:rsidR="0049512E" w:rsidTr="00A83BDB">
        <w:tc>
          <w:tcPr>
            <w:tcW w:w="396" w:type="dxa"/>
            <w:shd w:val="clear" w:color="auto" w:fill="auto"/>
          </w:tcPr>
          <w:p w:rsidR="0049512E" w:rsidRDefault="0049512E" w:rsidP="001F20CA">
            <w:pPr>
              <w:pStyle w:val="NormalWeb"/>
            </w:pPr>
            <w:r>
              <w:t>6.</w:t>
            </w:r>
          </w:p>
        </w:tc>
        <w:tc>
          <w:tcPr>
            <w:tcW w:w="2592" w:type="dxa"/>
            <w:shd w:val="clear" w:color="auto" w:fill="auto"/>
          </w:tcPr>
          <w:p w:rsidR="0049512E" w:rsidRDefault="0049512E" w:rsidP="002372C0">
            <w:pPr>
              <w:pStyle w:val="NormalWeb"/>
              <w:jc w:val="both"/>
            </w:pPr>
            <w:r>
              <w:t>Iemesli, kādēļ netika nodrošināta sabiedrības līdzdalība</w:t>
            </w:r>
          </w:p>
        </w:tc>
        <w:tc>
          <w:tcPr>
            <w:tcW w:w="6300" w:type="dxa"/>
            <w:shd w:val="clear" w:color="auto" w:fill="auto"/>
          </w:tcPr>
          <w:p w:rsidR="0049512E" w:rsidRPr="00D46EA7" w:rsidRDefault="00830346" w:rsidP="00830346">
            <w:pPr>
              <w:pStyle w:val="NormalWeb"/>
              <w:spacing w:before="0" w:beforeAutospacing="0" w:after="0" w:afterAutospacing="0"/>
              <w:jc w:val="both"/>
            </w:pPr>
            <w:r w:rsidRPr="00D46EA7">
              <w:t>Sabiedrības līdzdalība netika nodrošināta, jo Noteikumu projekts attiecināms vienīgi uz Finanšu ministrijas darbiniekiem un neskar citu sabiedrības locekļu tiesības un pienākumus.</w:t>
            </w:r>
          </w:p>
        </w:tc>
      </w:tr>
      <w:tr w:rsidR="0049512E" w:rsidRPr="00A83BDB" w:rsidTr="00A83BDB">
        <w:tc>
          <w:tcPr>
            <w:tcW w:w="396" w:type="dxa"/>
            <w:shd w:val="clear" w:color="auto" w:fill="auto"/>
          </w:tcPr>
          <w:p w:rsidR="0049512E" w:rsidRDefault="0049512E" w:rsidP="001F20CA">
            <w:pPr>
              <w:pStyle w:val="NormalWeb"/>
            </w:pPr>
            <w:r>
              <w:t>7.</w:t>
            </w:r>
          </w:p>
        </w:tc>
        <w:tc>
          <w:tcPr>
            <w:tcW w:w="2592" w:type="dxa"/>
            <w:shd w:val="clear" w:color="auto" w:fill="auto"/>
          </w:tcPr>
          <w:p w:rsidR="0049512E" w:rsidRDefault="0049512E" w:rsidP="001F20CA">
            <w:pPr>
              <w:pStyle w:val="NormalWeb"/>
            </w:pPr>
            <w:r>
              <w:t>Cita informācija</w:t>
            </w:r>
          </w:p>
        </w:tc>
        <w:tc>
          <w:tcPr>
            <w:tcW w:w="6300" w:type="dxa"/>
            <w:shd w:val="clear" w:color="auto" w:fill="auto"/>
          </w:tcPr>
          <w:p w:rsidR="0049512E" w:rsidRDefault="00830346" w:rsidP="00830346">
            <w:pPr>
              <w:jc w:val="both"/>
            </w:pPr>
            <w:r>
              <w:t>Noteikumu projekts</w:t>
            </w:r>
            <w:r w:rsidR="000849E6" w:rsidRPr="000849E6">
              <w:t xml:space="preserve"> sekmē </w:t>
            </w:r>
            <w:r w:rsidR="00BE5934">
              <w:t xml:space="preserve">pārskatāmāku </w:t>
            </w:r>
            <w:r w:rsidR="000849E6" w:rsidRPr="000849E6">
              <w:t xml:space="preserve">pārskatu sagatavošanas un informācijas sniegšanas kārtību, tādējādi uzlabojot finanšu pārskatu ticamību un salīdzināmību, kā rezultātā paaugstināsies </w:t>
            </w:r>
            <w:r w:rsidR="000849E6">
              <w:t>saimnieciskā gada pārskata</w:t>
            </w:r>
            <w:r w:rsidR="000849E6" w:rsidRPr="000849E6">
              <w:t xml:space="preserve"> kvalitāte.</w:t>
            </w:r>
          </w:p>
          <w:p w:rsidR="00A501FF" w:rsidRDefault="00A501FF" w:rsidP="00A501FF">
            <w:pPr>
              <w:ind w:left="34"/>
              <w:jc w:val="both"/>
            </w:pPr>
          </w:p>
          <w:p w:rsidR="00A501FF" w:rsidRDefault="00BA0887" w:rsidP="00A501FF">
            <w:pPr>
              <w:ind w:left="34"/>
              <w:jc w:val="both"/>
            </w:pPr>
            <w:r w:rsidRPr="00BA0887">
              <w:t xml:space="preserve">Lai nodrošinātu </w:t>
            </w:r>
            <w:r w:rsidR="00BE5934">
              <w:t xml:space="preserve">pārskata lietotājus </w:t>
            </w:r>
            <w:r w:rsidRPr="00BA0887">
              <w:t>ar detalizētu informāciju par saimnieciskā gada pārskatā ietvertiem</w:t>
            </w:r>
            <w:r w:rsidR="00AD26B5">
              <w:t xml:space="preserve"> budžeta izpildes un </w:t>
            </w:r>
            <w:r w:rsidR="00AD26B5">
              <w:lastRenderedPageBreak/>
              <w:t>finanšu rādītājiem</w:t>
            </w:r>
            <w:r w:rsidRPr="00BA0887">
              <w:t xml:space="preserve">, Valsts kase </w:t>
            </w:r>
            <w:r w:rsidR="00A501FF">
              <w:t>papildus saimnieciskā gada pārskatam sagatavo</w:t>
            </w:r>
            <w:r>
              <w:t>s</w:t>
            </w:r>
            <w:r w:rsidR="00802F19">
              <w:t xml:space="preserve"> </w:t>
            </w:r>
            <w:r w:rsidRPr="00BA0887">
              <w:t>un pub</w:t>
            </w:r>
            <w:r>
              <w:t>l</w:t>
            </w:r>
            <w:r w:rsidRPr="00BA0887">
              <w:t>i</w:t>
            </w:r>
            <w:r>
              <w:t>s</w:t>
            </w:r>
            <w:r w:rsidRPr="00BA0887">
              <w:t xml:space="preserve">kos </w:t>
            </w:r>
            <w:r w:rsidR="00A501FF">
              <w:t>šādu informāciju:</w:t>
            </w:r>
          </w:p>
          <w:p w:rsidR="00A501FF" w:rsidRDefault="00A501FF" w:rsidP="00E333AB">
            <w:pPr>
              <w:tabs>
                <w:tab w:val="left" w:pos="273"/>
              </w:tabs>
              <w:ind w:left="34"/>
              <w:jc w:val="both"/>
            </w:pPr>
            <w:r>
              <w:t>1.</w:t>
            </w:r>
            <w:r>
              <w:tab/>
              <w:t>konsolidētā  kopbudžeta izpilde saimnieciskajā gadā  (ieskaitot ziedojumus un dāvinājumus);</w:t>
            </w:r>
          </w:p>
          <w:p w:rsidR="00A501FF" w:rsidRDefault="00A501FF" w:rsidP="00E333AB">
            <w:pPr>
              <w:tabs>
                <w:tab w:val="left" w:pos="408"/>
              </w:tabs>
              <w:ind w:left="34"/>
              <w:jc w:val="both"/>
            </w:pPr>
            <w:r>
              <w:t>2.</w:t>
            </w:r>
            <w:r>
              <w:tab/>
              <w:t>valsts konsolidētā budžeta izpilde saimnieciskajā gadā (ieskaitot  ziedojumus un dāvinājumus);</w:t>
            </w:r>
          </w:p>
          <w:p w:rsidR="00A501FF" w:rsidRDefault="00A501FF" w:rsidP="00E333AB">
            <w:pPr>
              <w:tabs>
                <w:tab w:val="left" w:pos="408"/>
              </w:tabs>
              <w:ind w:left="34"/>
              <w:jc w:val="both"/>
            </w:pPr>
            <w:r>
              <w:t>3.</w:t>
            </w:r>
            <w:r>
              <w:tab/>
              <w:t>pašvaldību konsolidētā budžeta izpilde saimnieciskajā gadā (ieskaitot ziedojumus un dāvinājumus);</w:t>
            </w:r>
          </w:p>
          <w:p w:rsidR="00A501FF" w:rsidRDefault="00A501FF" w:rsidP="00E333AB">
            <w:pPr>
              <w:tabs>
                <w:tab w:val="left" w:pos="408"/>
              </w:tabs>
              <w:ind w:left="34"/>
              <w:jc w:val="both"/>
            </w:pPr>
            <w:r>
              <w:t>4.</w:t>
            </w:r>
            <w:r>
              <w:tab/>
              <w:t>valsts budžeta aizdevumi un aizdevumu atmaksas saimnieciskajā gadā;</w:t>
            </w:r>
          </w:p>
          <w:p w:rsidR="00A501FF" w:rsidRDefault="00A501FF" w:rsidP="00E333AB">
            <w:pPr>
              <w:tabs>
                <w:tab w:val="left" w:pos="408"/>
              </w:tabs>
              <w:ind w:left="34"/>
              <w:jc w:val="both"/>
            </w:pPr>
            <w:r>
              <w:t>5.</w:t>
            </w:r>
            <w:r>
              <w:tab/>
              <w:t>kopsavilkums par ministriju un centrālo valsts iestāžu ilgtermiņa finanšu ieguldījumu kustību saimnieciskajā gadā;</w:t>
            </w:r>
          </w:p>
          <w:p w:rsidR="00A501FF" w:rsidRDefault="00A501FF" w:rsidP="00E333AB">
            <w:pPr>
              <w:tabs>
                <w:tab w:val="left" w:pos="408"/>
              </w:tabs>
              <w:ind w:left="34"/>
              <w:jc w:val="both"/>
            </w:pPr>
            <w:r>
              <w:t>6.</w:t>
            </w:r>
            <w:r>
              <w:tab/>
              <w:t>kopsavilkums par ministriju un centrālo valsts iestāžu īstermiņa finanšu ieguldījumu kustību saimnieciskajā gadā;</w:t>
            </w:r>
          </w:p>
          <w:p w:rsidR="00A501FF" w:rsidRDefault="00A501FF" w:rsidP="00E333AB">
            <w:pPr>
              <w:tabs>
                <w:tab w:val="left" w:pos="408"/>
              </w:tabs>
              <w:ind w:left="34"/>
              <w:jc w:val="both"/>
            </w:pPr>
            <w:r>
              <w:t>7.</w:t>
            </w:r>
            <w:r>
              <w:tab/>
              <w:t>kopsavilkums par pašvaldību budžeta iestāžu ilgtermiņa finanšu ieguldījumu kustību saimnieciskajā gadā;</w:t>
            </w:r>
          </w:p>
          <w:p w:rsidR="00A501FF" w:rsidRDefault="00A501FF" w:rsidP="00E333AB">
            <w:pPr>
              <w:tabs>
                <w:tab w:val="left" w:pos="408"/>
              </w:tabs>
              <w:ind w:left="34"/>
              <w:jc w:val="both"/>
            </w:pPr>
            <w:r>
              <w:t>8.</w:t>
            </w:r>
            <w:r>
              <w:tab/>
              <w:t>kopsavilkums par pašvaldību budžeta iestāžu īstermiņa finanšu ieguldījumu kustību saimnieciskajā gadā;</w:t>
            </w:r>
          </w:p>
          <w:p w:rsidR="00A501FF" w:rsidRDefault="00A501FF" w:rsidP="00E333AB">
            <w:pPr>
              <w:tabs>
                <w:tab w:val="left" w:pos="408"/>
              </w:tabs>
              <w:ind w:left="34"/>
              <w:jc w:val="both"/>
            </w:pPr>
            <w:r>
              <w:t>9.</w:t>
            </w:r>
            <w:r>
              <w:tab/>
              <w:t xml:space="preserve">kopsavilkums par valsts aizdevumiem </w:t>
            </w:r>
            <w:r w:rsidR="0048581B">
              <w:t xml:space="preserve">saimnieciskā </w:t>
            </w:r>
            <w:r>
              <w:t xml:space="preserve">gada 31.decembrī; </w:t>
            </w:r>
          </w:p>
          <w:p w:rsidR="00A501FF" w:rsidRDefault="00A501FF" w:rsidP="00E333AB">
            <w:pPr>
              <w:tabs>
                <w:tab w:val="left" w:pos="408"/>
              </w:tabs>
              <w:ind w:left="34"/>
              <w:jc w:val="both"/>
            </w:pPr>
            <w:r>
              <w:t>10.</w:t>
            </w:r>
            <w:r>
              <w:tab/>
              <w:t>kopsavilkums par ministriju un centrālo valsts iestāžu  naudas līdzekļu, to ekvivalentu un depozītu atlikumiem saimnieciskā gada 31.decembrī;</w:t>
            </w:r>
          </w:p>
          <w:p w:rsidR="00A501FF" w:rsidRDefault="00A501FF" w:rsidP="00E333AB">
            <w:pPr>
              <w:tabs>
                <w:tab w:val="left" w:pos="408"/>
              </w:tabs>
              <w:ind w:left="34"/>
              <w:jc w:val="both"/>
            </w:pPr>
            <w:r>
              <w:t>11.</w:t>
            </w:r>
            <w:r>
              <w:tab/>
              <w:t>kopsavilkums par pašvaldību naudas līdzekļu, to ekvivalentu un depozītu atlikumiem saimnieciskā gada 31.decembrī;</w:t>
            </w:r>
          </w:p>
          <w:p w:rsidR="00A501FF" w:rsidRDefault="00A501FF" w:rsidP="00E333AB">
            <w:pPr>
              <w:tabs>
                <w:tab w:val="left" w:pos="408"/>
              </w:tabs>
              <w:ind w:left="34"/>
              <w:jc w:val="both"/>
            </w:pPr>
            <w:r>
              <w:t>12.</w:t>
            </w:r>
            <w:r>
              <w:tab/>
              <w:t>izziņa par valsts budžeta līdzekļu atlikumiem saimnieciskā gada 31.decembrī;</w:t>
            </w:r>
          </w:p>
          <w:p w:rsidR="00A501FF" w:rsidRDefault="00A501FF" w:rsidP="00E333AB">
            <w:pPr>
              <w:tabs>
                <w:tab w:val="left" w:pos="408"/>
              </w:tabs>
              <w:ind w:left="34"/>
              <w:jc w:val="both"/>
            </w:pPr>
            <w:r>
              <w:t>13.</w:t>
            </w:r>
            <w:r>
              <w:tab/>
              <w:t>pašvaldību galvojumu saraksts saimnieciskā gada 31.decembrī (ar kopsavilkumu pa sektoriem un valūtām);</w:t>
            </w:r>
          </w:p>
          <w:p w:rsidR="00A501FF" w:rsidRPr="000849E6" w:rsidRDefault="00A154D3" w:rsidP="00A501FF">
            <w:pPr>
              <w:ind w:left="34"/>
              <w:jc w:val="both"/>
            </w:pPr>
            <w:r>
              <w:t xml:space="preserve">14. </w:t>
            </w:r>
            <w:r w:rsidR="00A501FF">
              <w:t>valsts izsniegto galvojumu saraksts saimnieciskajā gada 31.decembrī.</w:t>
            </w:r>
          </w:p>
        </w:tc>
      </w:tr>
    </w:tbl>
    <w:p w:rsidR="000F41F1" w:rsidRDefault="000F41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1980"/>
        <w:gridCol w:w="6839"/>
      </w:tblGrid>
      <w:tr w:rsidR="006C4EB7" w:rsidTr="00A83BDB">
        <w:tc>
          <w:tcPr>
            <w:tcW w:w="9288" w:type="dxa"/>
            <w:gridSpan w:val="3"/>
            <w:shd w:val="clear" w:color="auto" w:fill="auto"/>
          </w:tcPr>
          <w:p w:rsidR="006C4EB7" w:rsidRDefault="006C4EB7" w:rsidP="00A83BDB">
            <w:pPr>
              <w:pStyle w:val="NormalWeb"/>
              <w:jc w:val="center"/>
            </w:pPr>
            <w:r w:rsidRPr="00A83BDB">
              <w:rPr>
                <w:b/>
                <w:bCs/>
              </w:rPr>
              <w:t>II. Tiesību akta projekta ietekme uz sabiedrību</w:t>
            </w:r>
          </w:p>
        </w:tc>
      </w:tr>
      <w:tr w:rsidR="006C4EB7" w:rsidTr="00A83BDB">
        <w:tc>
          <w:tcPr>
            <w:tcW w:w="468" w:type="dxa"/>
            <w:shd w:val="clear" w:color="auto" w:fill="auto"/>
          </w:tcPr>
          <w:p w:rsidR="006C4EB7" w:rsidRDefault="006C4EB7" w:rsidP="001F20CA">
            <w:pPr>
              <w:pStyle w:val="NormalWeb"/>
            </w:pPr>
            <w:r>
              <w:t>1.</w:t>
            </w:r>
          </w:p>
        </w:tc>
        <w:tc>
          <w:tcPr>
            <w:tcW w:w="1980" w:type="dxa"/>
            <w:shd w:val="clear" w:color="auto" w:fill="auto"/>
          </w:tcPr>
          <w:p w:rsidR="006C4EB7" w:rsidRDefault="006C4EB7" w:rsidP="001F20CA">
            <w:pPr>
              <w:pStyle w:val="NormalWeb"/>
            </w:pPr>
            <w:r>
              <w:t xml:space="preserve">Sabiedrības </w:t>
            </w:r>
            <w:proofErr w:type="spellStart"/>
            <w:r>
              <w:t>mērķgrupa</w:t>
            </w:r>
            <w:proofErr w:type="spellEnd"/>
          </w:p>
        </w:tc>
        <w:tc>
          <w:tcPr>
            <w:tcW w:w="6840" w:type="dxa"/>
            <w:shd w:val="clear" w:color="auto" w:fill="auto"/>
          </w:tcPr>
          <w:p w:rsidR="006C4EB7" w:rsidRPr="00D46EA7" w:rsidRDefault="00E81E66" w:rsidP="007A0BB1">
            <w:pPr>
              <w:pStyle w:val="NormalWeb"/>
              <w:jc w:val="both"/>
            </w:pPr>
            <w:r w:rsidRPr="00D46EA7">
              <w:t xml:space="preserve">Projekts attiecināms uz </w:t>
            </w:r>
            <w:r w:rsidR="00146CB3" w:rsidRPr="00D46EA7">
              <w:t>Valsts kases</w:t>
            </w:r>
            <w:r w:rsidR="00342934" w:rsidRPr="00D46EA7">
              <w:t xml:space="preserve"> </w:t>
            </w:r>
            <w:r w:rsidR="00146CB3" w:rsidRPr="00D46EA7">
              <w:t>un</w:t>
            </w:r>
            <w:r w:rsidR="00802F19" w:rsidRPr="00D46EA7">
              <w:t xml:space="preserve"> </w:t>
            </w:r>
            <w:r w:rsidR="000849E6" w:rsidRPr="00D46EA7">
              <w:t>Finanšu ministrija</w:t>
            </w:r>
            <w:r w:rsidRPr="00D46EA7">
              <w:t>s darbiniekiem, kuri sagatavos saimnieciskā gada pārskatu</w:t>
            </w:r>
            <w:r w:rsidR="00146CB3" w:rsidRPr="00D46EA7">
              <w:t xml:space="preserve"> – aptuveni</w:t>
            </w:r>
            <w:r w:rsidR="00342934" w:rsidRPr="00D46EA7">
              <w:t xml:space="preserve"> </w:t>
            </w:r>
            <w:r w:rsidR="007A0BB1" w:rsidRPr="00D46EA7">
              <w:t>30 darbinieki</w:t>
            </w:r>
            <w:r w:rsidR="00146CB3" w:rsidRPr="00D46EA7">
              <w:t>.</w:t>
            </w:r>
          </w:p>
        </w:tc>
      </w:tr>
      <w:tr w:rsidR="006C4EB7" w:rsidTr="00A83BDB">
        <w:tc>
          <w:tcPr>
            <w:tcW w:w="468" w:type="dxa"/>
            <w:shd w:val="clear" w:color="auto" w:fill="auto"/>
          </w:tcPr>
          <w:p w:rsidR="006C4EB7" w:rsidRDefault="006C4EB7" w:rsidP="001F20CA">
            <w:pPr>
              <w:pStyle w:val="NormalWeb"/>
            </w:pPr>
            <w:r>
              <w:t>2.</w:t>
            </w:r>
          </w:p>
        </w:tc>
        <w:tc>
          <w:tcPr>
            <w:tcW w:w="1980" w:type="dxa"/>
            <w:shd w:val="clear" w:color="auto" w:fill="auto"/>
          </w:tcPr>
          <w:p w:rsidR="006C4EB7" w:rsidRDefault="006C4EB7" w:rsidP="001F20CA">
            <w:pPr>
              <w:pStyle w:val="NormalWeb"/>
            </w:pPr>
            <w:r>
              <w:t xml:space="preserve">Citas sabiedrības grupas (bez </w:t>
            </w:r>
            <w:proofErr w:type="spellStart"/>
            <w:r>
              <w:t>mērķgrupas</w:t>
            </w:r>
            <w:proofErr w:type="spellEnd"/>
            <w:r>
              <w:t>), kuras tiesiskais regulējums arī ietekmē vai varētu ietekmēt</w:t>
            </w:r>
          </w:p>
        </w:tc>
        <w:tc>
          <w:tcPr>
            <w:tcW w:w="6840" w:type="dxa"/>
            <w:shd w:val="clear" w:color="auto" w:fill="auto"/>
          </w:tcPr>
          <w:p w:rsidR="006C4EB7" w:rsidRPr="00D46EA7" w:rsidRDefault="000849E6" w:rsidP="00A83BDB">
            <w:pPr>
              <w:pStyle w:val="NormalWeb"/>
              <w:jc w:val="both"/>
            </w:pPr>
            <w:r w:rsidRPr="00D46EA7">
              <w:t>Projekts šo jomu neskar</w:t>
            </w:r>
          </w:p>
        </w:tc>
      </w:tr>
      <w:tr w:rsidR="006C4EB7" w:rsidTr="00A83BDB">
        <w:tc>
          <w:tcPr>
            <w:tcW w:w="468" w:type="dxa"/>
            <w:shd w:val="clear" w:color="auto" w:fill="auto"/>
          </w:tcPr>
          <w:p w:rsidR="006C4EB7" w:rsidRDefault="006C4EB7" w:rsidP="001F20CA">
            <w:pPr>
              <w:pStyle w:val="NormalWeb"/>
            </w:pPr>
            <w:r>
              <w:t>3.</w:t>
            </w:r>
          </w:p>
        </w:tc>
        <w:tc>
          <w:tcPr>
            <w:tcW w:w="1980" w:type="dxa"/>
            <w:shd w:val="clear" w:color="auto" w:fill="auto"/>
          </w:tcPr>
          <w:p w:rsidR="006C4EB7" w:rsidRDefault="006C4EB7" w:rsidP="001F20CA">
            <w:pPr>
              <w:pStyle w:val="NormalWeb"/>
            </w:pPr>
            <w:r>
              <w:t>Tiesiskā regulējuma finansiālā ietekme</w:t>
            </w:r>
          </w:p>
        </w:tc>
        <w:tc>
          <w:tcPr>
            <w:tcW w:w="6840" w:type="dxa"/>
            <w:shd w:val="clear" w:color="auto" w:fill="auto"/>
          </w:tcPr>
          <w:p w:rsidR="006C4EB7" w:rsidRPr="00D46EA7" w:rsidRDefault="00EA0CB5" w:rsidP="001F20CA">
            <w:pPr>
              <w:pStyle w:val="NormalWeb"/>
            </w:pPr>
            <w:r w:rsidRPr="00D46EA7">
              <w:t>Projekts šo jomu neskar</w:t>
            </w:r>
          </w:p>
        </w:tc>
      </w:tr>
      <w:tr w:rsidR="006C4EB7" w:rsidTr="00A83BDB">
        <w:tc>
          <w:tcPr>
            <w:tcW w:w="468" w:type="dxa"/>
            <w:shd w:val="clear" w:color="auto" w:fill="auto"/>
          </w:tcPr>
          <w:p w:rsidR="006C4EB7" w:rsidRDefault="006C4EB7" w:rsidP="001F20CA">
            <w:pPr>
              <w:pStyle w:val="NormalWeb"/>
            </w:pPr>
            <w:r>
              <w:t>4.</w:t>
            </w:r>
          </w:p>
        </w:tc>
        <w:tc>
          <w:tcPr>
            <w:tcW w:w="1980" w:type="dxa"/>
            <w:shd w:val="clear" w:color="auto" w:fill="auto"/>
          </w:tcPr>
          <w:p w:rsidR="006C4EB7" w:rsidRDefault="006C4EB7" w:rsidP="001F20CA">
            <w:pPr>
              <w:pStyle w:val="NormalWeb"/>
            </w:pPr>
            <w:r>
              <w:t xml:space="preserve">Tiesiskā </w:t>
            </w:r>
            <w:r>
              <w:lastRenderedPageBreak/>
              <w:t>regulējuma nefinansiālā ietekme</w:t>
            </w:r>
          </w:p>
        </w:tc>
        <w:tc>
          <w:tcPr>
            <w:tcW w:w="6840" w:type="dxa"/>
            <w:shd w:val="clear" w:color="auto" w:fill="auto"/>
          </w:tcPr>
          <w:p w:rsidR="006C4EB7" w:rsidRPr="00D46EA7" w:rsidRDefault="00146CB3" w:rsidP="00B64AE6">
            <w:pPr>
              <w:pStyle w:val="NormalWeb"/>
              <w:jc w:val="both"/>
            </w:pPr>
            <w:r w:rsidRPr="00D46EA7">
              <w:lastRenderedPageBreak/>
              <w:t xml:space="preserve">Noteikumu projekts paredz papildus sagatavot valsts konsolidēto </w:t>
            </w:r>
            <w:r w:rsidRPr="00D46EA7">
              <w:lastRenderedPageBreak/>
              <w:t>finansiālās darbības pārskatu, pašu kapitāla (neto aktīvu) izmaiņu pārskatu un naudas plūsmas pārskatu.</w:t>
            </w:r>
          </w:p>
        </w:tc>
      </w:tr>
      <w:tr w:rsidR="006C4EB7" w:rsidTr="00A83BDB">
        <w:tc>
          <w:tcPr>
            <w:tcW w:w="468" w:type="dxa"/>
            <w:shd w:val="clear" w:color="auto" w:fill="auto"/>
          </w:tcPr>
          <w:p w:rsidR="006C4EB7" w:rsidRDefault="006C4EB7" w:rsidP="001F20CA">
            <w:pPr>
              <w:pStyle w:val="NormalWeb"/>
            </w:pPr>
            <w:r>
              <w:lastRenderedPageBreak/>
              <w:t>5.</w:t>
            </w:r>
          </w:p>
        </w:tc>
        <w:tc>
          <w:tcPr>
            <w:tcW w:w="1980" w:type="dxa"/>
            <w:shd w:val="clear" w:color="auto" w:fill="auto"/>
          </w:tcPr>
          <w:p w:rsidR="006C4EB7" w:rsidRDefault="006C4EB7" w:rsidP="001F20CA">
            <w:pPr>
              <w:pStyle w:val="NormalWeb"/>
            </w:pPr>
            <w:r>
              <w:t>Administratīvās procedūras raksturojums</w:t>
            </w:r>
          </w:p>
        </w:tc>
        <w:tc>
          <w:tcPr>
            <w:tcW w:w="6840" w:type="dxa"/>
            <w:shd w:val="clear" w:color="auto" w:fill="auto"/>
          </w:tcPr>
          <w:p w:rsidR="00C07AF1" w:rsidRDefault="00EA0CB5" w:rsidP="00A83BDB">
            <w:pPr>
              <w:pStyle w:val="NormalWeb"/>
              <w:spacing w:before="0" w:beforeAutospacing="0" w:after="0" w:afterAutospacing="0"/>
              <w:jc w:val="both"/>
            </w:pPr>
            <w:r>
              <w:t>Projekts šo jomu neskar</w:t>
            </w:r>
          </w:p>
        </w:tc>
      </w:tr>
      <w:tr w:rsidR="006C4EB7" w:rsidTr="00A83BDB">
        <w:tc>
          <w:tcPr>
            <w:tcW w:w="468" w:type="dxa"/>
            <w:shd w:val="clear" w:color="auto" w:fill="auto"/>
          </w:tcPr>
          <w:p w:rsidR="006C4EB7" w:rsidRDefault="006C4EB7" w:rsidP="001F20CA">
            <w:pPr>
              <w:pStyle w:val="NormalWeb"/>
            </w:pPr>
            <w:r>
              <w:t>6.</w:t>
            </w:r>
          </w:p>
        </w:tc>
        <w:tc>
          <w:tcPr>
            <w:tcW w:w="1980" w:type="dxa"/>
            <w:shd w:val="clear" w:color="auto" w:fill="auto"/>
          </w:tcPr>
          <w:p w:rsidR="006C4EB7" w:rsidRDefault="006C4EB7" w:rsidP="001F20CA">
            <w:pPr>
              <w:pStyle w:val="NormalWeb"/>
            </w:pPr>
            <w:r>
              <w:t>Administratīvo izmaksu monetārs novērtējums</w:t>
            </w:r>
          </w:p>
        </w:tc>
        <w:tc>
          <w:tcPr>
            <w:tcW w:w="6840" w:type="dxa"/>
            <w:shd w:val="clear" w:color="auto" w:fill="auto"/>
          </w:tcPr>
          <w:p w:rsidR="006C4EB7" w:rsidRDefault="00EA0CB5" w:rsidP="001F20CA">
            <w:pPr>
              <w:pStyle w:val="NormalWeb"/>
            </w:pPr>
            <w:r>
              <w:t>Projekts šo jomu neskar</w:t>
            </w:r>
          </w:p>
        </w:tc>
      </w:tr>
      <w:tr w:rsidR="006C4EB7" w:rsidTr="00A83BDB">
        <w:tc>
          <w:tcPr>
            <w:tcW w:w="468" w:type="dxa"/>
            <w:shd w:val="clear" w:color="auto" w:fill="auto"/>
          </w:tcPr>
          <w:p w:rsidR="006C4EB7" w:rsidRDefault="006C4EB7" w:rsidP="001F20CA">
            <w:pPr>
              <w:pStyle w:val="NormalWeb"/>
            </w:pPr>
            <w:r>
              <w:t>7.</w:t>
            </w:r>
          </w:p>
        </w:tc>
        <w:tc>
          <w:tcPr>
            <w:tcW w:w="1980" w:type="dxa"/>
            <w:shd w:val="clear" w:color="auto" w:fill="auto"/>
          </w:tcPr>
          <w:p w:rsidR="006C4EB7" w:rsidRDefault="006C4EB7" w:rsidP="001F20CA">
            <w:pPr>
              <w:pStyle w:val="NormalWeb"/>
            </w:pPr>
            <w:r>
              <w:t>Cita informācija</w:t>
            </w:r>
          </w:p>
        </w:tc>
        <w:tc>
          <w:tcPr>
            <w:tcW w:w="6840" w:type="dxa"/>
            <w:shd w:val="clear" w:color="auto" w:fill="auto"/>
          </w:tcPr>
          <w:p w:rsidR="006C4EB7" w:rsidRDefault="00393820" w:rsidP="001F20CA">
            <w:pPr>
              <w:pStyle w:val="NormalWeb"/>
            </w:pPr>
            <w:r>
              <w:t>Nav</w:t>
            </w:r>
          </w:p>
        </w:tc>
      </w:tr>
    </w:tbl>
    <w:p w:rsidR="006C4EB7" w:rsidRDefault="006C4EB7"/>
    <w:p w:rsidR="00574FB0" w:rsidRPr="00574FB0" w:rsidRDefault="00574FB0" w:rsidP="00574FB0">
      <w:pPr>
        <w:rPr>
          <w:b/>
        </w:rPr>
      </w:pPr>
      <w:r w:rsidRPr="00574FB0">
        <w:rPr>
          <w:b/>
        </w:rPr>
        <w:t xml:space="preserve">Anotācijas </w:t>
      </w:r>
      <w:r w:rsidR="00146CB3" w:rsidRPr="00B732EE">
        <w:rPr>
          <w:b/>
        </w:rPr>
        <w:t>III</w:t>
      </w:r>
      <w:r w:rsidR="00146CB3">
        <w:rPr>
          <w:b/>
        </w:rPr>
        <w:t xml:space="preserve">, </w:t>
      </w:r>
      <w:r w:rsidR="00146CB3" w:rsidRPr="00146CB3">
        <w:rPr>
          <w:b/>
          <w:bCs/>
        </w:rPr>
        <w:t>IV</w:t>
      </w:r>
      <w:r w:rsidR="00146CB3">
        <w:rPr>
          <w:b/>
          <w:bCs/>
        </w:rPr>
        <w:t>,</w:t>
      </w:r>
      <w:r w:rsidRPr="00574FB0">
        <w:rPr>
          <w:b/>
        </w:rPr>
        <w:t>V</w:t>
      </w:r>
      <w:r w:rsidR="00146CB3">
        <w:rPr>
          <w:b/>
        </w:rPr>
        <w:t>,</w:t>
      </w:r>
      <w:r w:rsidRPr="00574FB0">
        <w:rPr>
          <w:b/>
        </w:rPr>
        <w:t xml:space="preserve"> un VI sadaļa – projekts šo jomu neskar.</w:t>
      </w:r>
    </w:p>
    <w:p w:rsidR="000F41F1" w:rsidRDefault="000F41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880"/>
        <w:gridCol w:w="5939"/>
      </w:tblGrid>
      <w:tr w:rsidR="001F20CA" w:rsidTr="00A83BDB">
        <w:tc>
          <w:tcPr>
            <w:tcW w:w="9288" w:type="dxa"/>
            <w:gridSpan w:val="3"/>
            <w:shd w:val="clear" w:color="auto" w:fill="auto"/>
          </w:tcPr>
          <w:p w:rsidR="001F20CA" w:rsidRDefault="001F20CA" w:rsidP="00A83BDB">
            <w:pPr>
              <w:jc w:val="center"/>
            </w:pPr>
            <w:r w:rsidRPr="00A83BDB">
              <w:rPr>
                <w:b/>
                <w:bCs/>
              </w:rPr>
              <w:t>VII. Tiesību akta projekta izpildes nodrošināšana un tās ietekme uz institūcijām</w:t>
            </w:r>
          </w:p>
        </w:tc>
      </w:tr>
      <w:tr w:rsidR="001F20CA" w:rsidTr="00A83BDB">
        <w:tc>
          <w:tcPr>
            <w:tcW w:w="468" w:type="dxa"/>
            <w:shd w:val="clear" w:color="auto" w:fill="auto"/>
          </w:tcPr>
          <w:p w:rsidR="001F20CA" w:rsidRDefault="001F20CA" w:rsidP="001F20CA">
            <w:pPr>
              <w:pStyle w:val="NormalWeb"/>
            </w:pPr>
            <w:r>
              <w:t>1.</w:t>
            </w:r>
          </w:p>
        </w:tc>
        <w:tc>
          <w:tcPr>
            <w:tcW w:w="2880" w:type="dxa"/>
            <w:shd w:val="clear" w:color="auto" w:fill="auto"/>
          </w:tcPr>
          <w:p w:rsidR="001F20CA" w:rsidRDefault="001F20CA" w:rsidP="001F20CA">
            <w:pPr>
              <w:pStyle w:val="NormalWeb"/>
            </w:pPr>
            <w:r>
              <w:t>Projekta izpildē iesaistītās institūcijas</w:t>
            </w:r>
          </w:p>
        </w:tc>
        <w:tc>
          <w:tcPr>
            <w:tcW w:w="5940" w:type="dxa"/>
            <w:shd w:val="clear" w:color="auto" w:fill="auto"/>
          </w:tcPr>
          <w:p w:rsidR="001F20CA" w:rsidRDefault="000849E6" w:rsidP="00A83BDB">
            <w:pPr>
              <w:pStyle w:val="NormalWeb"/>
              <w:jc w:val="both"/>
            </w:pPr>
            <w:r w:rsidRPr="000849E6">
              <w:t>Valsts kase un Finanšu ministrija</w:t>
            </w:r>
          </w:p>
        </w:tc>
      </w:tr>
      <w:tr w:rsidR="001F20CA" w:rsidTr="00A83BDB">
        <w:tc>
          <w:tcPr>
            <w:tcW w:w="468" w:type="dxa"/>
            <w:shd w:val="clear" w:color="auto" w:fill="auto"/>
          </w:tcPr>
          <w:p w:rsidR="001F20CA" w:rsidRDefault="001F20CA" w:rsidP="001F20CA">
            <w:pPr>
              <w:pStyle w:val="NormalWeb"/>
            </w:pPr>
            <w:r>
              <w:t>2.</w:t>
            </w:r>
          </w:p>
        </w:tc>
        <w:tc>
          <w:tcPr>
            <w:tcW w:w="2880" w:type="dxa"/>
            <w:shd w:val="clear" w:color="auto" w:fill="auto"/>
          </w:tcPr>
          <w:p w:rsidR="001F20CA" w:rsidRDefault="001F20CA" w:rsidP="001F20CA">
            <w:pPr>
              <w:pStyle w:val="NormalWeb"/>
            </w:pPr>
            <w:r>
              <w:t>Projekta izpildes ietekme uz pārvaldes funkcijām</w:t>
            </w:r>
          </w:p>
        </w:tc>
        <w:tc>
          <w:tcPr>
            <w:tcW w:w="5940" w:type="dxa"/>
            <w:shd w:val="clear" w:color="auto" w:fill="auto"/>
          </w:tcPr>
          <w:p w:rsidR="001F20CA" w:rsidRDefault="00EA0CB5" w:rsidP="001F20CA">
            <w:pPr>
              <w:pStyle w:val="NormalWeb"/>
            </w:pPr>
            <w:r>
              <w:t>Projekts šo jomu neskar</w:t>
            </w:r>
          </w:p>
        </w:tc>
      </w:tr>
      <w:tr w:rsidR="001F20CA" w:rsidTr="00A83BDB">
        <w:tc>
          <w:tcPr>
            <w:tcW w:w="468" w:type="dxa"/>
            <w:shd w:val="clear" w:color="auto" w:fill="auto"/>
          </w:tcPr>
          <w:p w:rsidR="001F20CA" w:rsidRDefault="001F20CA" w:rsidP="001F20CA">
            <w:pPr>
              <w:pStyle w:val="NormalWeb"/>
            </w:pPr>
            <w:r>
              <w:t>3.</w:t>
            </w:r>
          </w:p>
        </w:tc>
        <w:tc>
          <w:tcPr>
            <w:tcW w:w="2880" w:type="dxa"/>
            <w:shd w:val="clear" w:color="auto" w:fill="auto"/>
          </w:tcPr>
          <w:p w:rsidR="00FA2831" w:rsidRDefault="001F20CA" w:rsidP="00A83BDB">
            <w:pPr>
              <w:pStyle w:val="NormalWeb"/>
              <w:spacing w:before="0" w:beforeAutospacing="0" w:after="0" w:afterAutospacing="0"/>
            </w:pPr>
            <w:r>
              <w:t>Projekta izpildes ietekme uz pārvaldes institucionālo struktūru.</w:t>
            </w:r>
          </w:p>
          <w:p w:rsidR="001F20CA" w:rsidRDefault="001F20CA" w:rsidP="00A83BDB">
            <w:pPr>
              <w:pStyle w:val="NormalWeb"/>
              <w:spacing w:before="0" w:beforeAutospacing="0" w:after="0" w:afterAutospacing="0"/>
            </w:pPr>
            <w:r>
              <w:t>Jaunu institūciju izveide</w:t>
            </w:r>
          </w:p>
        </w:tc>
        <w:tc>
          <w:tcPr>
            <w:tcW w:w="5940" w:type="dxa"/>
            <w:shd w:val="clear" w:color="auto" w:fill="auto"/>
          </w:tcPr>
          <w:p w:rsidR="001F20CA" w:rsidRDefault="00EA0CB5" w:rsidP="001F20CA">
            <w:pPr>
              <w:pStyle w:val="NormalWeb"/>
            </w:pPr>
            <w:r>
              <w:t>Projekts šo jomu neskar</w:t>
            </w:r>
          </w:p>
        </w:tc>
      </w:tr>
      <w:tr w:rsidR="001F20CA" w:rsidTr="00A83BDB">
        <w:tc>
          <w:tcPr>
            <w:tcW w:w="468" w:type="dxa"/>
            <w:shd w:val="clear" w:color="auto" w:fill="auto"/>
          </w:tcPr>
          <w:p w:rsidR="001F20CA" w:rsidRDefault="001F20CA" w:rsidP="001F20CA">
            <w:pPr>
              <w:pStyle w:val="NormalWeb"/>
            </w:pPr>
            <w:r>
              <w:t>4.</w:t>
            </w:r>
          </w:p>
        </w:tc>
        <w:tc>
          <w:tcPr>
            <w:tcW w:w="2880" w:type="dxa"/>
            <w:shd w:val="clear" w:color="auto" w:fill="auto"/>
          </w:tcPr>
          <w:p w:rsidR="001F20CA" w:rsidRDefault="001F20CA" w:rsidP="00A83BDB">
            <w:pPr>
              <w:pStyle w:val="NormalWeb"/>
              <w:spacing w:before="0" w:beforeAutospacing="0" w:after="0" w:afterAutospacing="0"/>
            </w:pPr>
            <w:r>
              <w:t>Projekta izpildes ietekme uz pārvaldes institucionālo struktūru.</w:t>
            </w:r>
          </w:p>
          <w:p w:rsidR="001F20CA" w:rsidRDefault="001F20CA" w:rsidP="00A83BDB">
            <w:pPr>
              <w:pStyle w:val="NormalWeb"/>
              <w:spacing w:before="0" w:beforeAutospacing="0" w:after="0" w:afterAutospacing="0"/>
            </w:pPr>
            <w:r>
              <w:t>Esošu institūciju likvidācija</w:t>
            </w:r>
          </w:p>
        </w:tc>
        <w:tc>
          <w:tcPr>
            <w:tcW w:w="5940" w:type="dxa"/>
            <w:shd w:val="clear" w:color="auto" w:fill="auto"/>
          </w:tcPr>
          <w:p w:rsidR="001F20CA" w:rsidRDefault="00EA0CB5" w:rsidP="001F20CA">
            <w:pPr>
              <w:pStyle w:val="NormalWeb"/>
            </w:pPr>
            <w:r>
              <w:t>Projekts šo jomu neskar</w:t>
            </w:r>
          </w:p>
        </w:tc>
      </w:tr>
      <w:tr w:rsidR="001F20CA" w:rsidTr="00A83BDB">
        <w:tc>
          <w:tcPr>
            <w:tcW w:w="468" w:type="dxa"/>
            <w:shd w:val="clear" w:color="auto" w:fill="auto"/>
          </w:tcPr>
          <w:p w:rsidR="001F20CA" w:rsidRDefault="001F20CA" w:rsidP="001F20CA">
            <w:pPr>
              <w:pStyle w:val="NormalWeb"/>
            </w:pPr>
            <w:r>
              <w:t>5.</w:t>
            </w:r>
          </w:p>
        </w:tc>
        <w:tc>
          <w:tcPr>
            <w:tcW w:w="2880" w:type="dxa"/>
            <w:shd w:val="clear" w:color="auto" w:fill="auto"/>
          </w:tcPr>
          <w:p w:rsidR="001F20CA" w:rsidRDefault="001F20CA" w:rsidP="00A83BDB">
            <w:pPr>
              <w:pStyle w:val="NormalWeb"/>
              <w:spacing w:before="0" w:beforeAutospacing="0" w:after="0" w:afterAutospacing="0"/>
            </w:pPr>
            <w:r>
              <w:t>Projekta izpildes ietekme uz pārvaldes institucionālo struktūru.</w:t>
            </w:r>
          </w:p>
          <w:p w:rsidR="001F20CA" w:rsidRDefault="001F20CA" w:rsidP="00A83BDB">
            <w:pPr>
              <w:pStyle w:val="NormalWeb"/>
              <w:spacing w:before="0" w:beforeAutospacing="0" w:after="0" w:afterAutospacing="0"/>
            </w:pPr>
            <w:r>
              <w:t>Esošu institūciju reorganizācija</w:t>
            </w:r>
          </w:p>
        </w:tc>
        <w:tc>
          <w:tcPr>
            <w:tcW w:w="5940" w:type="dxa"/>
            <w:shd w:val="clear" w:color="auto" w:fill="auto"/>
          </w:tcPr>
          <w:p w:rsidR="001F20CA" w:rsidRDefault="00EA0CB5" w:rsidP="001F20CA">
            <w:pPr>
              <w:pStyle w:val="NormalWeb"/>
            </w:pPr>
            <w:r>
              <w:t>Projekts šo jomu neskar</w:t>
            </w:r>
          </w:p>
        </w:tc>
      </w:tr>
      <w:tr w:rsidR="001F20CA" w:rsidTr="00A83BDB">
        <w:tc>
          <w:tcPr>
            <w:tcW w:w="468" w:type="dxa"/>
            <w:shd w:val="clear" w:color="auto" w:fill="auto"/>
          </w:tcPr>
          <w:p w:rsidR="001F20CA" w:rsidRDefault="001F20CA" w:rsidP="001F20CA">
            <w:pPr>
              <w:pStyle w:val="NormalWeb"/>
            </w:pPr>
            <w:r>
              <w:t>6.</w:t>
            </w:r>
          </w:p>
        </w:tc>
        <w:tc>
          <w:tcPr>
            <w:tcW w:w="2880" w:type="dxa"/>
            <w:shd w:val="clear" w:color="auto" w:fill="auto"/>
          </w:tcPr>
          <w:p w:rsidR="001F20CA" w:rsidRDefault="001F20CA" w:rsidP="00A83BDB">
            <w:pPr>
              <w:pStyle w:val="NormalWeb"/>
              <w:spacing w:before="0" w:beforeAutospacing="0" w:after="0" w:afterAutospacing="0"/>
            </w:pPr>
            <w:r>
              <w:t>Cita informācija</w:t>
            </w:r>
          </w:p>
        </w:tc>
        <w:tc>
          <w:tcPr>
            <w:tcW w:w="5940" w:type="dxa"/>
            <w:shd w:val="clear" w:color="auto" w:fill="auto"/>
          </w:tcPr>
          <w:p w:rsidR="001F20CA" w:rsidRDefault="00FA2831" w:rsidP="001F20CA">
            <w:pPr>
              <w:pStyle w:val="NormalWeb"/>
            </w:pPr>
            <w:r>
              <w:t>Nav</w:t>
            </w:r>
          </w:p>
        </w:tc>
      </w:tr>
    </w:tbl>
    <w:p w:rsidR="001F20CA" w:rsidRDefault="001F20CA"/>
    <w:p w:rsidR="002615B9" w:rsidRDefault="002615B9" w:rsidP="002615B9">
      <w:pPr>
        <w:rPr>
          <w:sz w:val="28"/>
          <w:szCs w:val="28"/>
        </w:rPr>
      </w:pPr>
    </w:p>
    <w:p w:rsidR="002615B9" w:rsidRDefault="002615B9" w:rsidP="002615B9">
      <w:pPr>
        <w:rPr>
          <w:sz w:val="28"/>
          <w:szCs w:val="28"/>
        </w:rPr>
      </w:pPr>
      <w:r>
        <w:rPr>
          <w:sz w:val="28"/>
          <w:szCs w:val="28"/>
        </w:rPr>
        <w:t>Finanšu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0C73">
        <w:rPr>
          <w:sz w:val="28"/>
          <w:szCs w:val="28"/>
        </w:rPr>
        <w:t>A.Vilks</w:t>
      </w:r>
    </w:p>
    <w:p w:rsidR="006604A2" w:rsidRDefault="006604A2" w:rsidP="0016226E">
      <w:pPr>
        <w:rPr>
          <w:sz w:val="20"/>
          <w:szCs w:val="20"/>
        </w:rPr>
      </w:pPr>
    </w:p>
    <w:p w:rsidR="006604A2" w:rsidRDefault="006604A2" w:rsidP="0016226E">
      <w:pPr>
        <w:rPr>
          <w:sz w:val="20"/>
          <w:szCs w:val="20"/>
        </w:rPr>
      </w:pPr>
    </w:p>
    <w:p w:rsidR="00F4438F" w:rsidRDefault="00200022" w:rsidP="002615B9">
      <w:pPr>
        <w:jc w:val="both"/>
      </w:pPr>
      <w:r>
        <w:t>2</w:t>
      </w:r>
      <w:r w:rsidR="008939FB">
        <w:t>5</w:t>
      </w:r>
      <w:r>
        <w:t xml:space="preserve">.04.2012. </w:t>
      </w:r>
      <w:r w:rsidR="008939FB">
        <w:t>09:</w:t>
      </w:r>
      <w:r w:rsidR="00F10DC0">
        <w:t>22</w:t>
      </w:r>
    </w:p>
    <w:p w:rsidR="002615B9" w:rsidRPr="006604A2" w:rsidRDefault="00F10DC0" w:rsidP="002615B9">
      <w:pPr>
        <w:jc w:val="both"/>
      </w:pPr>
      <w:r>
        <w:t>946</w:t>
      </w:r>
      <w:bookmarkStart w:id="0" w:name="_GoBack"/>
      <w:bookmarkEnd w:id="0"/>
    </w:p>
    <w:p w:rsidR="006604A2" w:rsidRPr="006604A2" w:rsidRDefault="006604A2" w:rsidP="006604A2">
      <w:pPr>
        <w:rPr>
          <w:lang w:val="en-GB" w:eastAsia="en-US"/>
        </w:rPr>
      </w:pPr>
      <w:r w:rsidRPr="006604A2">
        <w:rPr>
          <w:lang w:val="en-GB" w:eastAsia="en-US"/>
        </w:rPr>
        <w:t>Šuksta</w:t>
      </w:r>
    </w:p>
    <w:p w:rsidR="006604A2" w:rsidRPr="006604A2" w:rsidRDefault="006604A2" w:rsidP="006604A2">
      <w:pPr>
        <w:rPr>
          <w:lang w:val="en-GB" w:eastAsia="en-US"/>
        </w:rPr>
      </w:pPr>
      <w:r w:rsidRPr="006604A2">
        <w:rPr>
          <w:lang w:val="en-GB" w:eastAsia="en-US"/>
        </w:rPr>
        <w:t>67094210, Irena.Suksta@kase.gov.lv</w:t>
      </w:r>
    </w:p>
    <w:p w:rsidR="001F20CA" w:rsidRDefault="001F20CA"/>
    <w:sectPr w:rsidR="001F20CA" w:rsidSect="0078029C">
      <w:headerReference w:type="default" r:id="rId9"/>
      <w:footerReference w:type="default" r:id="rId10"/>
      <w:headerReference w:type="first" r:id="rId11"/>
      <w:footerReference w:type="first" r:id="rId12"/>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FA1" w:rsidRDefault="00B77FA1">
      <w:r>
        <w:separator/>
      </w:r>
    </w:p>
  </w:endnote>
  <w:endnote w:type="continuationSeparator" w:id="0">
    <w:p w:rsidR="00B77FA1" w:rsidRDefault="00B7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58" w:rsidRPr="00E6248E" w:rsidRDefault="00D70B7F" w:rsidP="00E6248E">
    <w:pPr>
      <w:pStyle w:val="Heading4"/>
      <w:jc w:val="both"/>
      <w:rPr>
        <w:b w:val="0"/>
      </w:rPr>
    </w:pPr>
    <w:r w:rsidRPr="00E6248E">
      <w:rPr>
        <w:b w:val="0"/>
      </w:rPr>
      <w:fldChar w:fldCharType="begin"/>
    </w:r>
    <w:r w:rsidR="006B7A58" w:rsidRPr="00E6248E">
      <w:rPr>
        <w:b w:val="0"/>
      </w:rPr>
      <w:instrText xml:space="preserve"> FILENAME </w:instrText>
    </w:r>
    <w:r w:rsidRPr="00E6248E">
      <w:rPr>
        <w:b w:val="0"/>
      </w:rPr>
      <w:fldChar w:fldCharType="separate"/>
    </w:r>
    <w:r w:rsidR="008939FB">
      <w:rPr>
        <w:b w:val="0"/>
        <w:noProof/>
      </w:rPr>
      <w:t>FMAnot_250412_saimn_gads.docx</w:t>
    </w:r>
    <w:r w:rsidRPr="00E6248E">
      <w:rPr>
        <w:b w:val="0"/>
      </w:rPr>
      <w:fldChar w:fldCharType="end"/>
    </w:r>
    <w:r w:rsidR="006B7A58" w:rsidRPr="00E6248E">
      <w:rPr>
        <w:b w:val="0"/>
      </w:rPr>
      <w:t>;Ministru kabineta noteikumu projekta „</w:t>
    </w:r>
    <w:r w:rsidR="006B7A58" w:rsidRPr="00891890">
      <w:rPr>
        <w:b w:val="0"/>
      </w:rPr>
      <w:t>Noteikumi par saimnieciskā gada pārskata sagatavošanas kārtību</w:t>
    </w:r>
    <w:r w:rsidR="006B7A58">
      <w:rPr>
        <w:b w:val="0"/>
      </w:rPr>
      <w:t>”</w:t>
    </w:r>
    <w:r w:rsidR="006B7A58" w:rsidRPr="00E6248E">
      <w:rPr>
        <w:b w:val="0"/>
      </w:rPr>
      <w:t xml:space="preserve"> sākotnējās ietekmes novērtējuma ziņojums (anotācija)</w:t>
    </w:r>
  </w:p>
  <w:p w:rsidR="006B7A58" w:rsidRDefault="006B7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58" w:rsidRDefault="00D70B7F" w:rsidP="00B647B8">
    <w:pPr>
      <w:pStyle w:val="Heading4"/>
      <w:jc w:val="both"/>
    </w:pPr>
    <w:r w:rsidRPr="00E6248E">
      <w:rPr>
        <w:b w:val="0"/>
      </w:rPr>
      <w:fldChar w:fldCharType="begin"/>
    </w:r>
    <w:r w:rsidR="006B7A58" w:rsidRPr="00E6248E">
      <w:rPr>
        <w:b w:val="0"/>
      </w:rPr>
      <w:instrText xml:space="preserve"> FILENAME </w:instrText>
    </w:r>
    <w:r w:rsidRPr="00E6248E">
      <w:rPr>
        <w:b w:val="0"/>
      </w:rPr>
      <w:fldChar w:fldCharType="separate"/>
    </w:r>
    <w:r w:rsidR="008939FB">
      <w:rPr>
        <w:b w:val="0"/>
        <w:noProof/>
      </w:rPr>
      <w:t>FMAnot_250412_saimn_gads.docx</w:t>
    </w:r>
    <w:r w:rsidRPr="00E6248E">
      <w:rPr>
        <w:b w:val="0"/>
      </w:rPr>
      <w:fldChar w:fldCharType="end"/>
    </w:r>
    <w:r w:rsidR="006B7A58" w:rsidRPr="00E6248E">
      <w:rPr>
        <w:b w:val="0"/>
      </w:rPr>
      <w:t>;Ministru kabineta noteikumu projekta „</w:t>
    </w:r>
    <w:r w:rsidR="006B7A58" w:rsidRPr="00891890">
      <w:rPr>
        <w:b w:val="0"/>
      </w:rPr>
      <w:t>Noteikumi par saimnieciskā gada pārskata sagatavošanas kārtību</w:t>
    </w:r>
    <w:r w:rsidR="006B7A58">
      <w:rPr>
        <w:b w:val="0"/>
      </w:rPr>
      <w:t>”</w:t>
    </w:r>
    <w:r w:rsidR="006B7A58" w:rsidRPr="00E6248E">
      <w:rPr>
        <w:b w:val="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FA1" w:rsidRDefault="00B77FA1">
      <w:r>
        <w:separator/>
      </w:r>
    </w:p>
  </w:footnote>
  <w:footnote w:type="continuationSeparator" w:id="0">
    <w:p w:rsidR="00B77FA1" w:rsidRDefault="00B77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58" w:rsidRDefault="00D70B7F">
    <w:pPr>
      <w:pStyle w:val="Header"/>
      <w:jc w:val="center"/>
    </w:pPr>
    <w:r>
      <w:fldChar w:fldCharType="begin"/>
    </w:r>
    <w:r w:rsidR="006B7A58">
      <w:instrText xml:space="preserve"> PAGE   \* MERGEFORMAT </w:instrText>
    </w:r>
    <w:r>
      <w:fldChar w:fldCharType="separate"/>
    </w:r>
    <w:r w:rsidR="00F10DC0">
      <w:rPr>
        <w:noProof/>
      </w:rPr>
      <w:t>4</w:t>
    </w:r>
    <w:r>
      <w:rPr>
        <w:noProof/>
      </w:rPr>
      <w:fldChar w:fldCharType="end"/>
    </w:r>
  </w:p>
  <w:p w:rsidR="006B7A58" w:rsidRDefault="006B7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58" w:rsidRDefault="006B7A58" w:rsidP="0099512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6BDF"/>
    <w:multiLevelType w:val="hybridMultilevel"/>
    <w:tmpl w:val="E7064D88"/>
    <w:lvl w:ilvl="0" w:tplc="09FEC7AE">
      <w:start w:val="1"/>
      <w:numFmt w:val="bullet"/>
      <w:lvlText w:val="-"/>
      <w:lvlJc w:val="left"/>
      <w:pPr>
        <w:tabs>
          <w:tab w:val="num" w:pos="780"/>
        </w:tabs>
        <w:ind w:left="780" w:hanging="360"/>
      </w:pPr>
      <w:rPr>
        <w:rFonts w:hAnsi="Courier New"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
    <w:nsid w:val="12C71B1E"/>
    <w:multiLevelType w:val="hybridMultilevel"/>
    <w:tmpl w:val="A770DDC0"/>
    <w:lvl w:ilvl="0" w:tplc="F776107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
    <w:nsid w:val="2BD535D2"/>
    <w:multiLevelType w:val="hybridMultilevel"/>
    <w:tmpl w:val="92761FC0"/>
    <w:lvl w:ilvl="0" w:tplc="5D1216C6">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2EFB1C97"/>
    <w:multiLevelType w:val="hybridMultilevel"/>
    <w:tmpl w:val="AD96D03A"/>
    <w:lvl w:ilvl="0" w:tplc="0409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334E626D"/>
    <w:multiLevelType w:val="hybridMultilevel"/>
    <w:tmpl w:val="EC727EA2"/>
    <w:lvl w:ilvl="0" w:tplc="AF4459C2">
      <w:start w:val="200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382809D6"/>
    <w:multiLevelType w:val="hybridMultilevel"/>
    <w:tmpl w:val="2E3866CE"/>
    <w:lvl w:ilvl="0" w:tplc="05340E5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6">
    <w:nsid w:val="3C234EF0"/>
    <w:multiLevelType w:val="multilevel"/>
    <w:tmpl w:val="1F52D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95B06"/>
    <w:multiLevelType w:val="hybridMultilevel"/>
    <w:tmpl w:val="8D28B0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51A90F3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5C20301"/>
    <w:multiLevelType w:val="hybridMultilevel"/>
    <w:tmpl w:val="D5CC8444"/>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0">
    <w:nsid w:val="6AFC1D27"/>
    <w:multiLevelType w:val="hybridMultilevel"/>
    <w:tmpl w:val="481CD87E"/>
    <w:lvl w:ilvl="0" w:tplc="09FEC7AE">
      <w:start w:val="1"/>
      <w:numFmt w:val="bullet"/>
      <w:lvlText w:val="-"/>
      <w:lvlJc w:val="left"/>
      <w:pPr>
        <w:tabs>
          <w:tab w:val="num" w:pos="780"/>
        </w:tabs>
        <w:ind w:left="780" w:hanging="360"/>
      </w:pPr>
      <w:rPr>
        <w:rFonts w:hAnsi="Courier New"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1">
    <w:nsid w:val="72ED353C"/>
    <w:multiLevelType w:val="hybridMultilevel"/>
    <w:tmpl w:val="164CE260"/>
    <w:lvl w:ilvl="0" w:tplc="37D8A39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0"/>
  </w:num>
  <w:num w:numId="4">
    <w:abstractNumId w:val="3"/>
  </w:num>
  <w:num w:numId="5">
    <w:abstractNumId w:val="10"/>
  </w:num>
  <w:num w:numId="6">
    <w:abstractNumId w:val="11"/>
  </w:num>
  <w:num w:numId="7">
    <w:abstractNumId w:val="2"/>
  </w:num>
  <w:num w:numId="8">
    <w:abstractNumId w:val="8"/>
  </w:num>
  <w:num w:numId="9">
    <w:abstractNumId w:val="1"/>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F1"/>
    <w:rsid w:val="00005FAB"/>
    <w:rsid w:val="000107F7"/>
    <w:rsid w:val="00014EE3"/>
    <w:rsid w:val="00021EE3"/>
    <w:rsid w:val="00032F9E"/>
    <w:rsid w:val="0003577D"/>
    <w:rsid w:val="00072910"/>
    <w:rsid w:val="00080DD8"/>
    <w:rsid w:val="000849E6"/>
    <w:rsid w:val="000A6F07"/>
    <w:rsid w:val="000B0B9D"/>
    <w:rsid w:val="000B7D60"/>
    <w:rsid w:val="000D0790"/>
    <w:rsid w:val="000E29DC"/>
    <w:rsid w:val="000E3632"/>
    <w:rsid w:val="000E7315"/>
    <w:rsid w:val="000F41F1"/>
    <w:rsid w:val="00142349"/>
    <w:rsid w:val="0014438A"/>
    <w:rsid w:val="001454EA"/>
    <w:rsid w:val="00146CB3"/>
    <w:rsid w:val="0015231A"/>
    <w:rsid w:val="0016166B"/>
    <w:rsid w:val="0016226E"/>
    <w:rsid w:val="001654D7"/>
    <w:rsid w:val="00167AA7"/>
    <w:rsid w:val="00181B0B"/>
    <w:rsid w:val="001974B4"/>
    <w:rsid w:val="001A1572"/>
    <w:rsid w:val="001D044F"/>
    <w:rsid w:val="001E2463"/>
    <w:rsid w:val="001E7075"/>
    <w:rsid w:val="001F20CA"/>
    <w:rsid w:val="00200022"/>
    <w:rsid w:val="0020242D"/>
    <w:rsid w:val="002262E6"/>
    <w:rsid w:val="002372C0"/>
    <w:rsid w:val="0023783C"/>
    <w:rsid w:val="002401F6"/>
    <w:rsid w:val="00251597"/>
    <w:rsid w:val="002615B9"/>
    <w:rsid w:val="002655FF"/>
    <w:rsid w:val="0028562E"/>
    <w:rsid w:val="002A063E"/>
    <w:rsid w:val="002B292D"/>
    <w:rsid w:val="002C3C1C"/>
    <w:rsid w:val="002D2AE4"/>
    <w:rsid w:val="002E15E6"/>
    <w:rsid w:val="002F4193"/>
    <w:rsid w:val="003264CC"/>
    <w:rsid w:val="00342934"/>
    <w:rsid w:val="00351A19"/>
    <w:rsid w:val="003528A5"/>
    <w:rsid w:val="00393820"/>
    <w:rsid w:val="00397982"/>
    <w:rsid w:val="003A0DF9"/>
    <w:rsid w:val="003A1038"/>
    <w:rsid w:val="003A77D3"/>
    <w:rsid w:val="003D5F7F"/>
    <w:rsid w:val="003F1668"/>
    <w:rsid w:val="003F7F27"/>
    <w:rsid w:val="0040769D"/>
    <w:rsid w:val="00427D02"/>
    <w:rsid w:val="00435F83"/>
    <w:rsid w:val="0043641D"/>
    <w:rsid w:val="004715E3"/>
    <w:rsid w:val="00472BB8"/>
    <w:rsid w:val="0048581B"/>
    <w:rsid w:val="00486E33"/>
    <w:rsid w:val="00490C73"/>
    <w:rsid w:val="00493DAF"/>
    <w:rsid w:val="0049512E"/>
    <w:rsid w:val="004A51B6"/>
    <w:rsid w:val="004B326F"/>
    <w:rsid w:val="004B4278"/>
    <w:rsid w:val="004C06AC"/>
    <w:rsid w:val="004C5F7E"/>
    <w:rsid w:val="004C7A53"/>
    <w:rsid w:val="004D62D7"/>
    <w:rsid w:val="004E3E7C"/>
    <w:rsid w:val="004E7916"/>
    <w:rsid w:val="00507951"/>
    <w:rsid w:val="00510E72"/>
    <w:rsid w:val="005142CA"/>
    <w:rsid w:val="005327C9"/>
    <w:rsid w:val="005375C1"/>
    <w:rsid w:val="005451EC"/>
    <w:rsid w:val="00550066"/>
    <w:rsid w:val="005504A6"/>
    <w:rsid w:val="00567244"/>
    <w:rsid w:val="00574FB0"/>
    <w:rsid w:val="005975A6"/>
    <w:rsid w:val="00597C7D"/>
    <w:rsid w:val="005A2AA1"/>
    <w:rsid w:val="005A37AE"/>
    <w:rsid w:val="005B3EE5"/>
    <w:rsid w:val="005B4610"/>
    <w:rsid w:val="005C25E1"/>
    <w:rsid w:val="005D39F1"/>
    <w:rsid w:val="005D3DF0"/>
    <w:rsid w:val="00604B95"/>
    <w:rsid w:val="00642EC3"/>
    <w:rsid w:val="00647B63"/>
    <w:rsid w:val="006604A2"/>
    <w:rsid w:val="006853AF"/>
    <w:rsid w:val="00693998"/>
    <w:rsid w:val="006B50FC"/>
    <w:rsid w:val="006B715D"/>
    <w:rsid w:val="006B7A58"/>
    <w:rsid w:val="006B7B6A"/>
    <w:rsid w:val="006C4EB7"/>
    <w:rsid w:val="006C7277"/>
    <w:rsid w:val="007001A8"/>
    <w:rsid w:val="00714B7B"/>
    <w:rsid w:val="00715B9E"/>
    <w:rsid w:val="00725923"/>
    <w:rsid w:val="00740252"/>
    <w:rsid w:val="007409A9"/>
    <w:rsid w:val="007469E9"/>
    <w:rsid w:val="00747976"/>
    <w:rsid w:val="007552E1"/>
    <w:rsid w:val="00773FCD"/>
    <w:rsid w:val="0078029C"/>
    <w:rsid w:val="00782263"/>
    <w:rsid w:val="00785F18"/>
    <w:rsid w:val="00792AC2"/>
    <w:rsid w:val="007A0BB1"/>
    <w:rsid w:val="007A1D05"/>
    <w:rsid w:val="007A793E"/>
    <w:rsid w:val="007B18F2"/>
    <w:rsid w:val="007B7093"/>
    <w:rsid w:val="007C0A0B"/>
    <w:rsid w:val="007D7CBA"/>
    <w:rsid w:val="007E5EEE"/>
    <w:rsid w:val="007F2FE1"/>
    <w:rsid w:val="007F6937"/>
    <w:rsid w:val="00802F19"/>
    <w:rsid w:val="0081231A"/>
    <w:rsid w:val="008302F5"/>
    <w:rsid w:val="00830346"/>
    <w:rsid w:val="00830625"/>
    <w:rsid w:val="00832D84"/>
    <w:rsid w:val="0085084B"/>
    <w:rsid w:val="0085566B"/>
    <w:rsid w:val="00870A87"/>
    <w:rsid w:val="00876F3B"/>
    <w:rsid w:val="0088049F"/>
    <w:rsid w:val="00882EA4"/>
    <w:rsid w:val="00883283"/>
    <w:rsid w:val="00885901"/>
    <w:rsid w:val="00891890"/>
    <w:rsid w:val="008939FB"/>
    <w:rsid w:val="008C7E21"/>
    <w:rsid w:val="008E0BF1"/>
    <w:rsid w:val="008E52AF"/>
    <w:rsid w:val="00936117"/>
    <w:rsid w:val="009453D3"/>
    <w:rsid w:val="00947179"/>
    <w:rsid w:val="00951AD3"/>
    <w:rsid w:val="009534F9"/>
    <w:rsid w:val="009605AE"/>
    <w:rsid w:val="0096136B"/>
    <w:rsid w:val="0096473B"/>
    <w:rsid w:val="00964CD1"/>
    <w:rsid w:val="009917D0"/>
    <w:rsid w:val="0099512E"/>
    <w:rsid w:val="009A0134"/>
    <w:rsid w:val="009A1A8F"/>
    <w:rsid w:val="009A57D4"/>
    <w:rsid w:val="009B3BAC"/>
    <w:rsid w:val="009C5883"/>
    <w:rsid w:val="009D71FA"/>
    <w:rsid w:val="009E1FF0"/>
    <w:rsid w:val="009F02E0"/>
    <w:rsid w:val="009F091F"/>
    <w:rsid w:val="009F14B5"/>
    <w:rsid w:val="009F790B"/>
    <w:rsid w:val="00A06BB9"/>
    <w:rsid w:val="00A11519"/>
    <w:rsid w:val="00A154D3"/>
    <w:rsid w:val="00A30504"/>
    <w:rsid w:val="00A501FF"/>
    <w:rsid w:val="00A61BE6"/>
    <w:rsid w:val="00A61FC9"/>
    <w:rsid w:val="00A75F6A"/>
    <w:rsid w:val="00A83BDB"/>
    <w:rsid w:val="00AA46F7"/>
    <w:rsid w:val="00AB4D6E"/>
    <w:rsid w:val="00AD26B5"/>
    <w:rsid w:val="00AD385A"/>
    <w:rsid w:val="00AE638F"/>
    <w:rsid w:val="00B03C9B"/>
    <w:rsid w:val="00B05332"/>
    <w:rsid w:val="00B0703D"/>
    <w:rsid w:val="00B25CA3"/>
    <w:rsid w:val="00B31CF9"/>
    <w:rsid w:val="00B35FBE"/>
    <w:rsid w:val="00B472E3"/>
    <w:rsid w:val="00B47991"/>
    <w:rsid w:val="00B52870"/>
    <w:rsid w:val="00B55FA0"/>
    <w:rsid w:val="00B647B8"/>
    <w:rsid w:val="00B64AE6"/>
    <w:rsid w:val="00B64C8F"/>
    <w:rsid w:val="00B64E2F"/>
    <w:rsid w:val="00B732EE"/>
    <w:rsid w:val="00B77FA1"/>
    <w:rsid w:val="00B80393"/>
    <w:rsid w:val="00BA0887"/>
    <w:rsid w:val="00BB6DD2"/>
    <w:rsid w:val="00BC1FF0"/>
    <w:rsid w:val="00BC481A"/>
    <w:rsid w:val="00BD3BBB"/>
    <w:rsid w:val="00BE3564"/>
    <w:rsid w:val="00BE5934"/>
    <w:rsid w:val="00C07AF1"/>
    <w:rsid w:val="00C11354"/>
    <w:rsid w:val="00C1447D"/>
    <w:rsid w:val="00C1566C"/>
    <w:rsid w:val="00C26AD4"/>
    <w:rsid w:val="00C3201F"/>
    <w:rsid w:val="00C46972"/>
    <w:rsid w:val="00C57654"/>
    <w:rsid w:val="00C9099C"/>
    <w:rsid w:val="00CA2446"/>
    <w:rsid w:val="00CA61EB"/>
    <w:rsid w:val="00CC132B"/>
    <w:rsid w:val="00CC7CB9"/>
    <w:rsid w:val="00D02C6A"/>
    <w:rsid w:val="00D036CC"/>
    <w:rsid w:val="00D16713"/>
    <w:rsid w:val="00D171D2"/>
    <w:rsid w:val="00D303AF"/>
    <w:rsid w:val="00D46EA7"/>
    <w:rsid w:val="00D604A9"/>
    <w:rsid w:val="00D6469B"/>
    <w:rsid w:val="00D66D88"/>
    <w:rsid w:val="00D70B7F"/>
    <w:rsid w:val="00D77D4E"/>
    <w:rsid w:val="00DA07A4"/>
    <w:rsid w:val="00DB1158"/>
    <w:rsid w:val="00DC490F"/>
    <w:rsid w:val="00DC4C9B"/>
    <w:rsid w:val="00DF204D"/>
    <w:rsid w:val="00E05912"/>
    <w:rsid w:val="00E107A6"/>
    <w:rsid w:val="00E13838"/>
    <w:rsid w:val="00E227B4"/>
    <w:rsid w:val="00E247AC"/>
    <w:rsid w:val="00E333AB"/>
    <w:rsid w:val="00E3493D"/>
    <w:rsid w:val="00E349A2"/>
    <w:rsid w:val="00E44C52"/>
    <w:rsid w:val="00E45EFB"/>
    <w:rsid w:val="00E6248E"/>
    <w:rsid w:val="00E64C93"/>
    <w:rsid w:val="00E70800"/>
    <w:rsid w:val="00E81E66"/>
    <w:rsid w:val="00E85D02"/>
    <w:rsid w:val="00EA0CB5"/>
    <w:rsid w:val="00EA7EC9"/>
    <w:rsid w:val="00ED456E"/>
    <w:rsid w:val="00EF172F"/>
    <w:rsid w:val="00F06589"/>
    <w:rsid w:val="00F10DC0"/>
    <w:rsid w:val="00F14086"/>
    <w:rsid w:val="00F4438F"/>
    <w:rsid w:val="00F446DE"/>
    <w:rsid w:val="00F72DC5"/>
    <w:rsid w:val="00F778B2"/>
    <w:rsid w:val="00F87AFE"/>
    <w:rsid w:val="00F96B4D"/>
    <w:rsid w:val="00FA2831"/>
    <w:rsid w:val="00FA7716"/>
    <w:rsid w:val="00FB0185"/>
    <w:rsid w:val="00FE273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0F41F1"/>
    <w:pPr>
      <w:spacing w:before="100" w:beforeAutospacing="1" w:after="100" w:afterAutospacing="1"/>
      <w:outlineLvl w:val="2"/>
    </w:pPr>
    <w:rPr>
      <w:b/>
      <w:bCs/>
      <w:sz w:val="27"/>
      <w:szCs w:val="27"/>
    </w:rPr>
  </w:style>
  <w:style w:type="paragraph" w:styleId="Heading4">
    <w:name w:val="heading 4"/>
    <w:basedOn w:val="Normal"/>
    <w:link w:val="Heading4Char"/>
    <w:qFormat/>
    <w:rsid w:val="000F41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1F1"/>
    <w:rPr>
      <w:color w:val="0000FF"/>
      <w:u w:val="single"/>
    </w:rPr>
  </w:style>
  <w:style w:type="paragraph" w:styleId="NormalWeb">
    <w:name w:val="Normal (Web)"/>
    <w:basedOn w:val="Normal"/>
    <w:rsid w:val="000F41F1"/>
    <w:pPr>
      <w:spacing w:before="100" w:beforeAutospacing="1" w:after="100" w:afterAutospacing="1"/>
    </w:pPr>
  </w:style>
  <w:style w:type="table" w:styleId="TableGrid">
    <w:name w:val="Table Grid"/>
    <w:basedOn w:val="TableNormal"/>
    <w:rsid w:val="006C4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85D02"/>
    <w:pPr>
      <w:ind w:firstLine="720"/>
    </w:pPr>
    <w:rPr>
      <w:sz w:val="28"/>
      <w:lang w:eastAsia="en-US"/>
    </w:rPr>
  </w:style>
  <w:style w:type="character" w:styleId="CommentReference">
    <w:name w:val="annotation reference"/>
    <w:semiHidden/>
    <w:rsid w:val="00D02C6A"/>
    <w:rPr>
      <w:sz w:val="16"/>
      <w:szCs w:val="16"/>
    </w:rPr>
  </w:style>
  <w:style w:type="paragraph" w:styleId="CommentText">
    <w:name w:val="annotation text"/>
    <w:basedOn w:val="Normal"/>
    <w:link w:val="CommentTextChar"/>
    <w:semiHidden/>
    <w:rsid w:val="00D02C6A"/>
    <w:rPr>
      <w:sz w:val="20"/>
      <w:szCs w:val="20"/>
    </w:rPr>
  </w:style>
  <w:style w:type="paragraph" w:styleId="BalloonText">
    <w:name w:val="Balloon Text"/>
    <w:basedOn w:val="Normal"/>
    <w:semiHidden/>
    <w:rsid w:val="00D02C6A"/>
    <w:rPr>
      <w:rFonts w:ascii="Tahoma" w:hAnsi="Tahoma" w:cs="Tahoma"/>
      <w:sz w:val="16"/>
      <w:szCs w:val="16"/>
    </w:rPr>
  </w:style>
  <w:style w:type="paragraph" w:styleId="Header">
    <w:name w:val="header"/>
    <w:basedOn w:val="Normal"/>
    <w:link w:val="HeaderChar"/>
    <w:uiPriority w:val="99"/>
    <w:rsid w:val="00E6248E"/>
    <w:pPr>
      <w:tabs>
        <w:tab w:val="center" w:pos="4153"/>
        <w:tab w:val="right" w:pos="8306"/>
      </w:tabs>
    </w:pPr>
    <w:rPr>
      <w:lang w:val="x-none" w:eastAsia="x-none"/>
    </w:rPr>
  </w:style>
  <w:style w:type="paragraph" w:styleId="Footer">
    <w:name w:val="footer"/>
    <w:basedOn w:val="Normal"/>
    <w:rsid w:val="00E6248E"/>
    <w:pPr>
      <w:tabs>
        <w:tab w:val="center" w:pos="4153"/>
        <w:tab w:val="right" w:pos="8306"/>
      </w:tabs>
    </w:pPr>
  </w:style>
  <w:style w:type="paragraph" w:customStyle="1" w:styleId="xl36">
    <w:name w:val="xl36"/>
    <w:basedOn w:val="Normal"/>
    <w:rsid w:val="002615B9"/>
    <w:pPr>
      <w:spacing w:before="100" w:beforeAutospacing="1" w:after="100" w:afterAutospacing="1"/>
      <w:jc w:val="both"/>
    </w:pPr>
    <w:rPr>
      <w:rFonts w:eastAsia="Arial Unicode MS"/>
      <w:lang w:val="en-GB" w:eastAsia="en-US"/>
    </w:rPr>
  </w:style>
  <w:style w:type="paragraph" w:styleId="CommentSubject">
    <w:name w:val="annotation subject"/>
    <w:basedOn w:val="CommentText"/>
    <w:next w:val="CommentText"/>
    <w:link w:val="CommentSubjectChar"/>
    <w:rsid w:val="00AA46F7"/>
    <w:rPr>
      <w:b/>
      <w:bCs/>
      <w:lang w:val="x-none" w:eastAsia="x-none"/>
    </w:rPr>
  </w:style>
  <w:style w:type="character" w:customStyle="1" w:styleId="CommentTextChar">
    <w:name w:val="Comment Text Char"/>
    <w:basedOn w:val="DefaultParagraphFont"/>
    <w:link w:val="CommentText"/>
    <w:semiHidden/>
    <w:rsid w:val="00AA46F7"/>
  </w:style>
  <w:style w:type="character" w:customStyle="1" w:styleId="CommentSubjectChar">
    <w:name w:val="Comment Subject Char"/>
    <w:link w:val="CommentSubject"/>
    <w:rsid w:val="00AA46F7"/>
    <w:rPr>
      <w:b/>
      <w:bCs/>
    </w:rPr>
  </w:style>
  <w:style w:type="character" w:customStyle="1" w:styleId="HeaderChar">
    <w:name w:val="Header Char"/>
    <w:link w:val="Header"/>
    <w:uiPriority w:val="99"/>
    <w:rsid w:val="00EA0CB5"/>
    <w:rPr>
      <w:sz w:val="24"/>
      <w:szCs w:val="24"/>
    </w:rPr>
  </w:style>
  <w:style w:type="paragraph" w:styleId="BodyText">
    <w:name w:val="Body Text"/>
    <w:basedOn w:val="Normal"/>
    <w:link w:val="BodyTextChar"/>
    <w:rsid w:val="0049512E"/>
    <w:pPr>
      <w:jc w:val="both"/>
    </w:pPr>
    <w:rPr>
      <w:iCs/>
      <w:lang w:val="x-none" w:eastAsia="x-none"/>
    </w:rPr>
  </w:style>
  <w:style w:type="character" w:customStyle="1" w:styleId="BodyTextChar">
    <w:name w:val="Body Text Char"/>
    <w:basedOn w:val="DefaultParagraphFont"/>
    <w:link w:val="BodyText"/>
    <w:rsid w:val="0049512E"/>
    <w:rPr>
      <w:iCs/>
      <w:sz w:val="24"/>
      <w:szCs w:val="24"/>
      <w:lang w:val="x-none" w:eastAsia="x-none"/>
    </w:rPr>
  </w:style>
  <w:style w:type="character" w:customStyle="1" w:styleId="Heading4Char">
    <w:name w:val="Heading 4 Char"/>
    <w:link w:val="Heading4"/>
    <w:rsid w:val="005375C1"/>
    <w:rPr>
      <w:b/>
      <w:bCs/>
      <w:sz w:val="24"/>
      <w:szCs w:val="24"/>
    </w:rPr>
  </w:style>
  <w:style w:type="paragraph" w:customStyle="1" w:styleId="naisf">
    <w:name w:val="naisf"/>
    <w:basedOn w:val="Normal"/>
    <w:rsid w:val="00DC490F"/>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0F41F1"/>
    <w:pPr>
      <w:spacing w:before="100" w:beforeAutospacing="1" w:after="100" w:afterAutospacing="1"/>
      <w:outlineLvl w:val="2"/>
    </w:pPr>
    <w:rPr>
      <w:b/>
      <w:bCs/>
      <w:sz w:val="27"/>
      <w:szCs w:val="27"/>
    </w:rPr>
  </w:style>
  <w:style w:type="paragraph" w:styleId="Heading4">
    <w:name w:val="heading 4"/>
    <w:basedOn w:val="Normal"/>
    <w:link w:val="Heading4Char"/>
    <w:qFormat/>
    <w:rsid w:val="000F41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1F1"/>
    <w:rPr>
      <w:color w:val="0000FF"/>
      <w:u w:val="single"/>
    </w:rPr>
  </w:style>
  <w:style w:type="paragraph" w:styleId="NormalWeb">
    <w:name w:val="Normal (Web)"/>
    <w:basedOn w:val="Normal"/>
    <w:rsid w:val="000F41F1"/>
    <w:pPr>
      <w:spacing w:before="100" w:beforeAutospacing="1" w:after="100" w:afterAutospacing="1"/>
    </w:pPr>
  </w:style>
  <w:style w:type="table" w:styleId="TableGrid">
    <w:name w:val="Table Grid"/>
    <w:basedOn w:val="TableNormal"/>
    <w:rsid w:val="006C4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85D02"/>
    <w:pPr>
      <w:ind w:firstLine="720"/>
    </w:pPr>
    <w:rPr>
      <w:sz w:val="28"/>
      <w:lang w:eastAsia="en-US"/>
    </w:rPr>
  </w:style>
  <w:style w:type="character" w:styleId="CommentReference">
    <w:name w:val="annotation reference"/>
    <w:semiHidden/>
    <w:rsid w:val="00D02C6A"/>
    <w:rPr>
      <w:sz w:val="16"/>
      <w:szCs w:val="16"/>
    </w:rPr>
  </w:style>
  <w:style w:type="paragraph" w:styleId="CommentText">
    <w:name w:val="annotation text"/>
    <w:basedOn w:val="Normal"/>
    <w:link w:val="CommentTextChar"/>
    <w:semiHidden/>
    <w:rsid w:val="00D02C6A"/>
    <w:rPr>
      <w:sz w:val="20"/>
      <w:szCs w:val="20"/>
    </w:rPr>
  </w:style>
  <w:style w:type="paragraph" w:styleId="BalloonText">
    <w:name w:val="Balloon Text"/>
    <w:basedOn w:val="Normal"/>
    <w:semiHidden/>
    <w:rsid w:val="00D02C6A"/>
    <w:rPr>
      <w:rFonts w:ascii="Tahoma" w:hAnsi="Tahoma" w:cs="Tahoma"/>
      <w:sz w:val="16"/>
      <w:szCs w:val="16"/>
    </w:rPr>
  </w:style>
  <w:style w:type="paragraph" w:styleId="Header">
    <w:name w:val="header"/>
    <w:basedOn w:val="Normal"/>
    <w:link w:val="HeaderChar"/>
    <w:uiPriority w:val="99"/>
    <w:rsid w:val="00E6248E"/>
    <w:pPr>
      <w:tabs>
        <w:tab w:val="center" w:pos="4153"/>
        <w:tab w:val="right" w:pos="8306"/>
      </w:tabs>
    </w:pPr>
    <w:rPr>
      <w:lang w:val="x-none" w:eastAsia="x-none"/>
    </w:rPr>
  </w:style>
  <w:style w:type="paragraph" w:styleId="Footer">
    <w:name w:val="footer"/>
    <w:basedOn w:val="Normal"/>
    <w:rsid w:val="00E6248E"/>
    <w:pPr>
      <w:tabs>
        <w:tab w:val="center" w:pos="4153"/>
        <w:tab w:val="right" w:pos="8306"/>
      </w:tabs>
    </w:pPr>
  </w:style>
  <w:style w:type="paragraph" w:customStyle="1" w:styleId="xl36">
    <w:name w:val="xl36"/>
    <w:basedOn w:val="Normal"/>
    <w:rsid w:val="002615B9"/>
    <w:pPr>
      <w:spacing w:before="100" w:beforeAutospacing="1" w:after="100" w:afterAutospacing="1"/>
      <w:jc w:val="both"/>
    </w:pPr>
    <w:rPr>
      <w:rFonts w:eastAsia="Arial Unicode MS"/>
      <w:lang w:val="en-GB" w:eastAsia="en-US"/>
    </w:rPr>
  </w:style>
  <w:style w:type="paragraph" w:styleId="CommentSubject">
    <w:name w:val="annotation subject"/>
    <w:basedOn w:val="CommentText"/>
    <w:next w:val="CommentText"/>
    <w:link w:val="CommentSubjectChar"/>
    <w:rsid w:val="00AA46F7"/>
    <w:rPr>
      <w:b/>
      <w:bCs/>
      <w:lang w:val="x-none" w:eastAsia="x-none"/>
    </w:rPr>
  </w:style>
  <w:style w:type="character" w:customStyle="1" w:styleId="CommentTextChar">
    <w:name w:val="Comment Text Char"/>
    <w:basedOn w:val="DefaultParagraphFont"/>
    <w:link w:val="CommentText"/>
    <w:semiHidden/>
    <w:rsid w:val="00AA46F7"/>
  </w:style>
  <w:style w:type="character" w:customStyle="1" w:styleId="CommentSubjectChar">
    <w:name w:val="Comment Subject Char"/>
    <w:link w:val="CommentSubject"/>
    <w:rsid w:val="00AA46F7"/>
    <w:rPr>
      <w:b/>
      <w:bCs/>
    </w:rPr>
  </w:style>
  <w:style w:type="character" w:customStyle="1" w:styleId="HeaderChar">
    <w:name w:val="Header Char"/>
    <w:link w:val="Header"/>
    <w:uiPriority w:val="99"/>
    <w:rsid w:val="00EA0CB5"/>
    <w:rPr>
      <w:sz w:val="24"/>
      <w:szCs w:val="24"/>
    </w:rPr>
  </w:style>
  <w:style w:type="paragraph" w:styleId="BodyText">
    <w:name w:val="Body Text"/>
    <w:basedOn w:val="Normal"/>
    <w:link w:val="BodyTextChar"/>
    <w:rsid w:val="0049512E"/>
    <w:pPr>
      <w:jc w:val="both"/>
    </w:pPr>
    <w:rPr>
      <w:iCs/>
      <w:lang w:val="x-none" w:eastAsia="x-none"/>
    </w:rPr>
  </w:style>
  <w:style w:type="character" w:customStyle="1" w:styleId="BodyTextChar">
    <w:name w:val="Body Text Char"/>
    <w:basedOn w:val="DefaultParagraphFont"/>
    <w:link w:val="BodyText"/>
    <w:rsid w:val="0049512E"/>
    <w:rPr>
      <w:iCs/>
      <w:sz w:val="24"/>
      <w:szCs w:val="24"/>
      <w:lang w:val="x-none" w:eastAsia="x-none"/>
    </w:rPr>
  </w:style>
  <w:style w:type="character" w:customStyle="1" w:styleId="Heading4Char">
    <w:name w:val="Heading 4 Char"/>
    <w:link w:val="Heading4"/>
    <w:rsid w:val="005375C1"/>
    <w:rPr>
      <w:b/>
      <w:bCs/>
      <w:sz w:val="24"/>
      <w:szCs w:val="24"/>
    </w:rPr>
  </w:style>
  <w:style w:type="paragraph" w:customStyle="1" w:styleId="naisf">
    <w:name w:val="naisf"/>
    <w:basedOn w:val="Normal"/>
    <w:rsid w:val="00DC490F"/>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34839">
      <w:bodyDiv w:val="1"/>
      <w:marLeft w:val="0"/>
      <w:marRight w:val="0"/>
      <w:marTop w:val="0"/>
      <w:marBottom w:val="0"/>
      <w:divBdr>
        <w:top w:val="none" w:sz="0" w:space="0" w:color="auto"/>
        <w:left w:val="none" w:sz="0" w:space="0" w:color="auto"/>
        <w:bottom w:val="none" w:sz="0" w:space="0" w:color="auto"/>
        <w:right w:val="none" w:sz="0" w:space="0" w:color="auto"/>
      </w:divBdr>
      <w:divsChild>
        <w:div w:id="7292053">
          <w:marLeft w:val="0"/>
          <w:marRight w:val="0"/>
          <w:marTop w:val="0"/>
          <w:marBottom w:val="0"/>
          <w:divBdr>
            <w:top w:val="none" w:sz="0" w:space="0" w:color="auto"/>
            <w:left w:val="none" w:sz="0" w:space="0" w:color="auto"/>
            <w:bottom w:val="none" w:sz="0" w:space="0" w:color="auto"/>
            <w:right w:val="none" w:sz="0" w:space="0" w:color="auto"/>
          </w:divBdr>
        </w:div>
        <w:div w:id="102655223">
          <w:marLeft w:val="0"/>
          <w:marRight w:val="0"/>
          <w:marTop w:val="0"/>
          <w:marBottom w:val="0"/>
          <w:divBdr>
            <w:top w:val="none" w:sz="0" w:space="0" w:color="auto"/>
            <w:left w:val="none" w:sz="0" w:space="0" w:color="auto"/>
            <w:bottom w:val="none" w:sz="0" w:space="0" w:color="auto"/>
            <w:right w:val="none" w:sz="0" w:space="0" w:color="auto"/>
          </w:divBdr>
        </w:div>
        <w:div w:id="191767022">
          <w:marLeft w:val="0"/>
          <w:marRight w:val="0"/>
          <w:marTop w:val="0"/>
          <w:marBottom w:val="0"/>
          <w:divBdr>
            <w:top w:val="none" w:sz="0" w:space="0" w:color="auto"/>
            <w:left w:val="none" w:sz="0" w:space="0" w:color="auto"/>
            <w:bottom w:val="none" w:sz="0" w:space="0" w:color="auto"/>
            <w:right w:val="none" w:sz="0" w:space="0" w:color="auto"/>
          </w:divBdr>
        </w:div>
        <w:div w:id="306202789">
          <w:marLeft w:val="0"/>
          <w:marRight w:val="0"/>
          <w:marTop w:val="0"/>
          <w:marBottom w:val="0"/>
          <w:divBdr>
            <w:top w:val="none" w:sz="0" w:space="0" w:color="auto"/>
            <w:left w:val="none" w:sz="0" w:space="0" w:color="auto"/>
            <w:bottom w:val="none" w:sz="0" w:space="0" w:color="auto"/>
            <w:right w:val="none" w:sz="0" w:space="0" w:color="auto"/>
          </w:divBdr>
        </w:div>
        <w:div w:id="388648313">
          <w:marLeft w:val="0"/>
          <w:marRight w:val="0"/>
          <w:marTop w:val="0"/>
          <w:marBottom w:val="0"/>
          <w:divBdr>
            <w:top w:val="none" w:sz="0" w:space="0" w:color="auto"/>
            <w:left w:val="none" w:sz="0" w:space="0" w:color="auto"/>
            <w:bottom w:val="none" w:sz="0" w:space="0" w:color="auto"/>
            <w:right w:val="none" w:sz="0" w:space="0" w:color="auto"/>
          </w:divBdr>
        </w:div>
        <w:div w:id="461265460">
          <w:marLeft w:val="0"/>
          <w:marRight w:val="0"/>
          <w:marTop w:val="0"/>
          <w:marBottom w:val="0"/>
          <w:divBdr>
            <w:top w:val="none" w:sz="0" w:space="0" w:color="auto"/>
            <w:left w:val="none" w:sz="0" w:space="0" w:color="auto"/>
            <w:bottom w:val="none" w:sz="0" w:space="0" w:color="auto"/>
            <w:right w:val="none" w:sz="0" w:space="0" w:color="auto"/>
          </w:divBdr>
        </w:div>
        <w:div w:id="920217380">
          <w:marLeft w:val="0"/>
          <w:marRight w:val="0"/>
          <w:marTop w:val="0"/>
          <w:marBottom w:val="0"/>
          <w:divBdr>
            <w:top w:val="none" w:sz="0" w:space="0" w:color="auto"/>
            <w:left w:val="none" w:sz="0" w:space="0" w:color="auto"/>
            <w:bottom w:val="none" w:sz="0" w:space="0" w:color="auto"/>
            <w:right w:val="none" w:sz="0" w:space="0" w:color="auto"/>
          </w:divBdr>
        </w:div>
        <w:div w:id="1225995426">
          <w:marLeft w:val="0"/>
          <w:marRight w:val="0"/>
          <w:marTop w:val="0"/>
          <w:marBottom w:val="0"/>
          <w:divBdr>
            <w:top w:val="none" w:sz="0" w:space="0" w:color="auto"/>
            <w:left w:val="none" w:sz="0" w:space="0" w:color="auto"/>
            <w:bottom w:val="none" w:sz="0" w:space="0" w:color="auto"/>
            <w:right w:val="none" w:sz="0" w:space="0" w:color="auto"/>
          </w:divBdr>
        </w:div>
        <w:div w:id="1238250724">
          <w:marLeft w:val="0"/>
          <w:marRight w:val="0"/>
          <w:marTop w:val="0"/>
          <w:marBottom w:val="0"/>
          <w:divBdr>
            <w:top w:val="none" w:sz="0" w:space="0" w:color="auto"/>
            <w:left w:val="none" w:sz="0" w:space="0" w:color="auto"/>
            <w:bottom w:val="none" w:sz="0" w:space="0" w:color="auto"/>
            <w:right w:val="none" w:sz="0" w:space="0" w:color="auto"/>
          </w:divBdr>
        </w:div>
        <w:div w:id="1256859203">
          <w:marLeft w:val="0"/>
          <w:marRight w:val="0"/>
          <w:marTop w:val="0"/>
          <w:marBottom w:val="0"/>
          <w:divBdr>
            <w:top w:val="none" w:sz="0" w:space="0" w:color="auto"/>
            <w:left w:val="none" w:sz="0" w:space="0" w:color="auto"/>
            <w:bottom w:val="none" w:sz="0" w:space="0" w:color="auto"/>
            <w:right w:val="none" w:sz="0" w:space="0" w:color="auto"/>
          </w:divBdr>
        </w:div>
        <w:div w:id="1597597003">
          <w:marLeft w:val="0"/>
          <w:marRight w:val="0"/>
          <w:marTop w:val="0"/>
          <w:marBottom w:val="0"/>
          <w:divBdr>
            <w:top w:val="none" w:sz="0" w:space="0" w:color="auto"/>
            <w:left w:val="none" w:sz="0" w:space="0" w:color="auto"/>
            <w:bottom w:val="none" w:sz="0" w:space="0" w:color="auto"/>
            <w:right w:val="none" w:sz="0" w:space="0" w:color="auto"/>
          </w:divBdr>
        </w:div>
        <w:div w:id="1740864766">
          <w:marLeft w:val="0"/>
          <w:marRight w:val="0"/>
          <w:marTop w:val="0"/>
          <w:marBottom w:val="0"/>
          <w:divBdr>
            <w:top w:val="none" w:sz="0" w:space="0" w:color="auto"/>
            <w:left w:val="none" w:sz="0" w:space="0" w:color="auto"/>
            <w:bottom w:val="none" w:sz="0" w:space="0" w:color="auto"/>
            <w:right w:val="none" w:sz="0" w:space="0" w:color="auto"/>
          </w:divBdr>
        </w:div>
        <w:div w:id="1756046883">
          <w:marLeft w:val="0"/>
          <w:marRight w:val="0"/>
          <w:marTop w:val="0"/>
          <w:marBottom w:val="0"/>
          <w:divBdr>
            <w:top w:val="none" w:sz="0" w:space="0" w:color="auto"/>
            <w:left w:val="none" w:sz="0" w:space="0" w:color="auto"/>
            <w:bottom w:val="none" w:sz="0" w:space="0" w:color="auto"/>
            <w:right w:val="none" w:sz="0" w:space="0" w:color="auto"/>
          </w:divBdr>
        </w:div>
        <w:div w:id="1912496825">
          <w:marLeft w:val="0"/>
          <w:marRight w:val="0"/>
          <w:marTop w:val="0"/>
          <w:marBottom w:val="0"/>
          <w:divBdr>
            <w:top w:val="none" w:sz="0" w:space="0" w:color="auto"/>
            <w:left w:val="none" w:sz="0" w:space="0" w:color="auto"/>
            <w:bottom w:val="none" w:sz="0" w:space="0" w:color="auto"/>
            <w:right w:val="none" w:sz="0" w:space="0" w:color="auto"/>
          </w:divBdr>
        </w:div>
        <w:div w:id="214646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69E4-307E-4322-AD20-C966280A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946</Words>
  <Characters>7059</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Ministru kabineta noteikumu projekta „Noteikumi par saimnieciskā gada pārskata sagatavošanas kārtību” sākotnējās ietekmes novērtējuma ziņojums (anotācija)</vt:lpstr>
    </vt:vector>
  </TitlesOfParts>
  <Manager>Ligita.Agleniece@kase.gov.lv</Manager>
  <Company>Valsts kase</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saimnieciskā gada pārskata sagatavošanas kārtību” sākotnējās ietekmes novērtējuma ziņojums (anotācija)</dc:title>
  <dc:subject>Anotācija</dc:subject>
  <dc:creator>Irena.Suksta@kase.gov.lv</dc:creator>
  <dc:description>Ligita.agleniece@kase.gov.lv; 67094249
Irena.Suksta@kase.gov.lv; 67094210</dc:description>
  <cp:lastModifiedBy>Irena Suksta</cp:lastModifiedBy>
  <cp:revision>9</cp:revision>
  <cp:lastPrinted>2012-04-13T11:43:00Z</cp:lastPrinted>
  <dcterms:created xsi:type="dcterms:W3CDTF">2012-04-23T08:27:00Z</dcterms:created>
  <dcterms:modified xsi:type="dcterms:W3CDTF">2012-04-25T06:22:00Z</dcterms:modified>
</cp:coreProperties>
</file>