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C" w:rsidRPr="00783675" w:rsidRDefault="000F38FC" w:rsidP="000F38FC">
      <w:pPr>
        <w:spacing w:after="120"/>
        <w:jc w:val="center"/>
        <w:rPr>
          <w:rFonts w:cs="Times New Roman"/>
          <w:b/>
          <w:szCs w:val="24"/>
          <w:lang w:eastAsia="lv-LV"/>
        </w:rPr>
      </w:pPr>
      <w:r w:rsidRPr="00783675">
        <w:rPr>
          <w:rFonts w:cs="Times New Roman"/>
          <w:b/>
          <w:szCs w:val="24"/>
          <w:lang w:eastAsia="lv-LV"/>
        </w:rPr>
        <w:t>Ministru kabineta noteikumu projekta „</w:t>
      </w:r>
      <w:r w:rsidRPr="00783675">
        <w:rPr>
          <w:rFonts w:cs="Times New Roman"/>
          <w:b/>
          <w:bCs/>
          <w:szCs w:val="24"/>
        </w:rPr>
        <w:t>Grozījumi Ministru kabineta 2010.gada 16.marta noteikumos Nr.256 „</w:t>
      </w:r>
      <w:r w:rsidRPr="00783675">
        <w:rPr>
          <w:rFonts w:cs="Times New Roman"/>
          <w:b/>
          <w:szCs w:val="24"/>
        </w:rPr>
        <w:t xml:space="preserve">Noteikumi </w:t>
      </w:r>
      <w:r w:rsidRPr="00783675">
        <w:rPr>
          <w:rFonts w:cs="Times New Roman"/>
          <w:b/>
          <w:bCs/>
          <w:szCs w:val="24"/>
        </w:rPr>
        <w:t>par kārtību, kādā ministrijām un citām centrālajām valsts iestādēm tiek veikta apropriācijas pārdale starp programmām, apakšprogrammām un izdevumu ekonomiskās klasifikācijas kodiem</w:t>
      </w:r>
      <w:r w:rsidRPr="00783675">
        <w:rPr>
          <w:rFonts w:cs="Times New Roman"/>
          <w:b/>
          <w:szCs w:val="24"/>
        </w:rPr>
        <w:t xml:space="preserve">”” </w:t>
      </w:r>
      <w:r w:rsidRPr="00783675">
        <w:rPr>
          <w:rFonts w:cs="Times New Roman"/>
          <w:b/>
          <w:szCs w:val="24"/>
          <w:lang w:eastAsia="lv-LV"/>
        </w:rPr>
        <w:t>sākotnējās ietekmes novērtējuma ziņojums (anotācija)</w:t>
      </w:r>
    </w:p>
    <w:p w:rsidR="000F38FC" w:rsidRPr="00783675" w:rsidRDefault="000F38FC" w:rsidP="000F38FC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:rsidR="000F38FC" w:rsidRPr="00783675" w:rsidRDefault="000F38FC" w:rsidP="000F38FC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351"/>
      </w:tblGrid>
      <w:tr w:rsidR="000F38FC" w:rsidRPr="00783675" w:rsidTr="002A0AD7">
        <w:tc>
          <w:tcPr>
            <w:tcW w:w="9287" w:type="dxa"/>
            <w:gridSpan w:val="3"/>
          </w:tcPr>
          <w:p w:rsidR="000F38FC" w:rsidRPr="00783675" w:rsidRDefault="000F38FC" w:rsidP="002A0A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0F38FC" w:rsidRPr="00783675" w:rsidTr="00F57A98">
        <w:trPr>
          <w:trHeight w:val="1619"/>
        </w:trPr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351" w:type="dxa"/>
          </w:tcPr>
          <w:p w:rsidR="00FA1CBD" w:rsidRPr="00783675" w:rsidRDefault="000F38FC" w:rsidP="00FA1CBD">
            <w:pPr>
              <w:tabs>
                <w:tab w:val="left" w:pos="354"/>
              </w:tabs>
              <w:ind w:left="33"/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proofErr w:type="spellStart"/>
            <w:r w:rsidRPr="00373ECC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ieviešanas </w:t>
            </w:r>
            <w:r w:rsidR="00FA1CBD"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kārtības likuma 30.panta </w:t>
            </w:r>
            <w:r w:rsidR="001B20D8" w:rsidRPr="00783675">
              <w:rPr>
                <w:rFonts w:eastAsia="Times New Roman" w:cs="Times New Roman"/>
                <w:iCs/>
                <w:szCs w:val="24"/>
                <w:lang w:eastAsia="lv-LV"/>
              </w:rPr>
              <w:t>pirmā</w:t>
            </w: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 daļa</w:t>
            </w:r>
            <w:r w:rsidR="00FA1CBD" w:rsidRPr="0078367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</w:p>
          <w:p w:rsidR="00F57A98" w:rsidRDefault="00F57A98" w:rsidP="00FA1CBD">
            <w:pPr>
              <w:tabs>
                <w:tab w:val="left" w:pos="354"/>
              </w:tabs>
              <w:ind w:left="33"/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  <w:p w:rsidR="000F38FC" w:rsidRDefault="000F38FC" w:rsidP="00FA1CBD">
            <w:pPr>
              <w:tabs>
                <w:tab w:val="left" w:pos="354"/>
              </w:tabs>
              <w:ind w:left="33"/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t>MK 2012.gada 27.jūnija rīkojuma Nr.282 „Par „Koncepciju par normatīvo aktu sakārtošanu saistībā</w:t>
            </w:r>
            <w:r w:rsidR="00FA1CBD"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 ar eiro ieviešanu Latvijā”” 7.2.apakšpunkts.</w:t>
            </w: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</w:p>
          <w:p w:rsidR="00791500" w:rsidRDefault="00791500" w:rsidP="00FA1CBD">
            <w:pPr>
              <w:tabs>
                <w:tab w:val="left" w:pos="354"/>
              </w:tabs>
              <w:ind w:left="33"/>
              <w:jc w:val="both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  <w:p w:rsidR="00791500" w:rsidRPr="00783675" w:rsidRDefault="00791500" w:rsidP="00FA1CBD">
            <w:pPr>
              <w:tabs>
                <w:tab w:val="left" w:pos="354"/>
              </w:tabs>
              <w:ind w:left="33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iCs/>
                <w:szCs w:val="24"/>
                <w:lang w:eastAsia="lv-LV"/>
              </w:rPr>
              <w:t xml:space="preserve">Latvijas Nacionālā </w:t>
            </w:r>
            <w:proofErr w:type="spellStart"/>
            <w:r w:rsidRPr="00DD0812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ieviešanas plāna (apstiprināts ar Ministru kabineta 2013.gada 4.aprīļa rīkojumu Nr.136) 1.pielikuma J2.2.3 pasākums.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5351" w:type="dxa"/>
          </w:tcPr>
          <w:p w:rsidR="000F38FC" w:rsidRPr="00783675" w:rsidRDefault="000F38FC" w:rsidP="00F57A98">
            <w:pPr>
              <w:pStyle w:val="naisnod"/>
              <w:jc w:val="both"/>
            </w:pPr>
            <w:r w:rsidRPr="00783675">
              <w:rPr>
                <w:bCs/>
                <w:iCs/>
              </w:rPr>
              <w:t xml:space="preserve">Pašreiz </w:t>
            </w:r>
            <w:r w:rsidR="002515AE">
              <w:rPr>
                <w:bCs/>
                <w:iCs/>
              </w:rPr>
              <w:t xml:space="preserve">atbilstoši </w:t>
            </w:r>
            <w:r w:rsidRPr="00783675">
              <w:rPr>
                <w:bCs/>
                <w:iCs/>
              </w:rPr>
              <w:t xml:space="preserve">MK </w:t>
            </w:r>
            <w:r w:rsidR="00F57A98">
              <w:rPr>
                <w:bCs/>
              </w:rPr>
              <w:t>2010.gada 16.marta noteikumu</w:t>
            </w:r>
            <w:r w:rsidRPr="00783675">
              <w:rPr>
                <w:bCs/>
              </w:rPr>
              <w:t xml:space="preserve"> Nr.256 „</w:t>
            </w:r>
            <w:r w:rsidRPr="00783675">
              <w:t xml:space="preserve">Noteikumi </w:t>
            </w:r>
            <w:r w:rsidRPr="00783675">
              <w:rPr>
                <w:bCs/>
              </w:rPr>
              <w:t>par kārtību, kādā ministrijām un citām centrālajām valsts iestādēm tiek veikta apropriācijas pārdale starp programmām, apakšprogrammām un izdevumu ekonomiskās klasifikācijas kodiem</w:t>
            </w:r>
            <w:r w:rsidRPr="00783675">
              <w:t>”</w:t>
            </w:r>
            <w:r w:rsidRPr="00783675">
              <w:rPr>
                <w:bCs/>
              </w:rPr>
              <w:t xml:space="preserve">” </w:t>
            </w:r>
            <w:r w:rsidRPr="00783675">
              <w:rPr>
                <w:bCs/>
                <w:iCs/>
              </w:rPr>
              <w:t>(turpmāk – noteikumi Nr.256)</w:t>
            </w:r>
            <w:r w:rsidR="001B20D8">
              <w:rPr>
                <w:bCs/>
                <w:iCs/>
              </w:rPr>
              <w:t xml:space="preserve"> </w:t>
            </w:r>
            <w:r w:rsidRPr="00783675">
              <w:rPr>
                <w:bCs/>
                <w:iCs/>
              </w:rPr>
              <w:t>pieliku</w:t>
            </w:r>
            <w:r w:rsidR="00F57A98">
              <w:rPr>
                <w:bCs/>
                <w:iCs/>
              </w:rPr>
              <w:t>m</w:t>
            </w:r>
            <w:r w:rsidR="002515AE">
              <w:rPr>
                <w:bCs/>
                <w:iCs/>
              </w:rPr>
              <w:t>iem</w:t>
            </w:r>
            <w:r w:rsidR="00F57A98">
              <w:rPr>
                <w:bCs/>
                <w:iCs/>
              </w:rPr>
              <w:t xml:space="preserve"> finansiālie rādītāji</w:t>
            </w:r>
            <w:r w:rsidRPr="00783675">
              <w:rPr>
                <w:bCs/>
                <w:iCs/>
              </w:rPr>
              <w:t xml:space="preserve"> ir </w:t>
            </w:r>
            <w:r w:rsidR="002515AE" w:rsidRPr="00783675">
              <w:rPr>
                <w:bCs/>
                <w:iCs/>
              </w:rPr>
              <w:t>jānor</w:t>
            </w:r>
            <w:r w:rsidR="002515AE">
              <w:rPr>
                <w:bCs/>
                <w:iCs/>
              </w:rPr>
              <w:t>ā</w:t>
            </w:r>
            <w:r w:rsidR="002515AE" w:rsidRPr="00783675">
              <w:rPr>
                <w:bCs/>
                <w:iCs/>
              </w:rPr>
              <w:t xml:space="preserve">da </w:t>
            </w:r>
            <w:r w:rsidRPr="00783675">
              <w:rPr>
                <w:bCs/>
                <w:iCs/>
              </w:rPr>
              <w:t xml:space="preserve">latos. </w:t>
            </w:r>
            <w:r w:rsidR="002515AE">
              <w:rPr>
                <w:bCs/>
                <w:iCs/>
              </w:rPr>
              <w:t xml:space="preserve"> </w:t>
            </w:r>
          </w:p>
          <w:p w:rsidR="000F38FC" w:rsidRPr="00783675" w:rsidRDefault="00D133CB" w:rsidP="002515AE">
            <w:pPr>
              <w:spacing w:after="120"/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783675">
              <w:rPr>
                <w:rFonts w:cs="Times New Roman"/>
                <w:szCs w:val="24"/>
              </w:rPr>
              <w:t xml:space="preserve">Deklarācijas par Valda Dombrovska vadītā Ministru kabineta iecerēto darbību II sadaļas 1.punkts paredz, ka Latvija plāno iekļauties </w:t>
            </w:r>
            <w:proofErr w:type="spellStart"/>
            <w:r w:rsidR="002515AE">
              <w:rPr>
                <w:rFonts w:cs="Times New Roman"/>
                <w:i/>
                <w:szCs w:val="24"/>
              </w:rPr>
              <w:t>euro</w:t>
            </w:r>
            <w:proofErr w:type="spellEnd"/>
            <w:r w:rsidR="002515AE">
              <w:rPr>
                <w:rFonts w:cs="Times New Roman"/>
                <w:szCs w:val="24"/>
              </w:rPr>
              <w:t xml:space="preserve"> </w:t>
            </w:r>
            <w:r w:rsidRPr="00783675">
              <w:rPr>
                <w:rFonts w:cs="Times New Roman"/>
                <w:szCs w:val="24"/>
              </w:rPr>
              <w:t xml:space="preserve">zonā 2014.gadā.  </w:t>
            </w:r>
            <w:proofErr w:type="spellStart"/>
            <w:r w:rsidRPr="00783675">
              <w:rPr>
                <w:rFonts w:cs="Times New Roman"/>
                <w:i/>
                <w:iCs/>
                <w:szCs w:val="24"/>
              </w:rPr>
              <w:t>Euro</w:t>
            </w:r>
            <w:proofErr w:type="spellEnd"/>
            <w:r w:rsidRPr="00783675">
              <w:rPr>
                <w:rFonts w:cs="Times New Roman"/>
                <w:szCs w:val="24"/>
              </w:rPr>
              <w:t xml:space="preserve"> ieviešanas kārtības likuma 30.panta pirmā daļa paredz, ka nepieciešams sagatavot to tiesību aktu grozījumu projektus, kurus nepieciešams pielāgot </w:t>
            </w:r>
            <w:proofErr w:type="spellStart"/>
            <w:r w:rsidRPr="00783675">
              <w:rPr>
                <w:rFonts w:cs="Times New Roman"/>
                <w:i/>
                <w:iCs/>
                <w:szCs w:val="24"/>
              </w:rPr>
              <w:t>euro</w:t>
            </w:r>
            <w:proofErr w:type="spellEnd"/>
            <w:r w:rsidRPr="00783675">
              <w:rPr>
                <w:rFonts w:cs="Times New Roman"/>
                <w:szCs w:val="24"/>
              </w:rPr>
              <w:t xml:space="preserve"> ieviešanai. Ņemot vērā, ka pēc pievienošanās </w:t>
            </w:r>
            <w:r w:rsidR="00F847C1" w:rsidRPr="009A3775">
              <w:rPr>
                <w:rFonts w:cs="Times New Roman"/>
                <w:szCs w:val="24"/>
              </w:rPr>
              <w:t>eiro</w:t>
            </w:r>
            <w:r w:rsidRPr="00783675">
              <w:rPr>
                <w:rFonts w:cs="Times New Roman"/>
                <w:szCs w:val="24"/>
              </w:rPr>
              <w:t xml:space="preserve"> zonai likumīgais maksāšanas līdzeklis būs </w:t>
            </w:r>
            <w:proofErr w:type="spellStart"/>
            <w:r w:rsidRPr="00783675">
              <w:rPr>
                <w:rFonts w:cs="Times New Roman"/>
                <w:i/>
                <w:iCs/>
                <w:szCs w:val="24"/>
              </w:rPr>
              <w:t>euro</w:t>
            </w:r>
            <w:proofErr w:type="spellEnd"/>
            <w:r w:rsidRPr="00783675">
              <w:rPr>
                <w:rFonts w:cs="Times New Roman"/>
                <w:szCs w:val="24"/>
              </w:rPr>
              <w:t>, nevis lats, ir nepieciešams izdarīt grozījumus noteiku</w:t>
            </w:r>
            <w:r w:rsidR="001B20D8">
              <w:rPr>
                <w:rFonts w:cs="Times New Roman"/>
                <w:szCs w:val="24"/>
              </w:rPr>
              <w:t xml:space="preserve">mos Nr.256 un </w:t>
            </w:r>
            <w:r w:rsidR="00F57A98">
              <w:rPr>
                <w:rFonts w:cs="Times New Roman"/>
                <w:szCs w:val="24"/>
              </w:rPr>
              <w:t xml:space="preserve">aizstāt atsauces uz latiem ar atsaucēm uz </w:t>
            </w:r>
            <w:proofErr w:type="spellStart"/>
            <w:r w:rsidR="00F57A98" w:rsidRPr="00373ECC">
              <w:rPr>
                <w:rFonts w:cs="Times New Roman"/>
                <w:i/>
                <w:szCs w:val="24"/>
              </w:rPr>
              <w:t>e</w:t>
            </w:r>
            <w:r w:rsidR="00373ECC" w:rsidRPr="00373ECC">
              <w:rPr>
                <w:rFonts w:cs="Times New Roman"/>
                <w:i/>
                <w:szCs w:val="24"/>
              </w:rPr>
              <w:t>u</w:t>
            </w:r>
            <w:r w:rsidR="00F57A98" w:rsidRPr="00373ECC">
              <w:rPr>
                <w:rFonts w:cs="Times New Roman"/>
                <w:i/>
                <w:szCs w:val="24"/>
              </w:rPr>
              <w:t>ro</w:t>
            </w:r>
            <w:proofErr w:type="spellEnd"/>
            <w:r w:rsidR="00F57A98">
              <w:rPr>
                <w:rFonts w:cs="Times New Roman"/>
                <w:szCs w:val="24"/>
              </w:rPr>
              <w:t>.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5351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5351" w:type="dxa"/>
          </w:tcPr>
          <w:p w:rsidR="00231E93" w:rsidRPr="00783675" w:rsidRDefault="000F38FC" w:rsidP="00231E93">
            <w:pPr>
              <w:jc w:val="both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Noteikumu projekts paredz veikt tehniskos precizējumus</w:t>
            </w:r>
            <w:r w:rsidR="00F57A98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 lai nodrošinātu, ka noteikumu</w:t>
            </w:r>
            <w:r w:rsidRPr="0078367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Nr.256 normas nesatur atsauci uz latiem</w:t>
            </w:r>
            <w:r w:rsidR="00F57A98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</w:t>
            </w:r>
            <w:r w:rsidRPr="0078367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</w:p>
          <w:p w:rsidR="000F38FC" w:rsidRPr="00783675" w:rsidRDefault="000F38FC" w:rsidP="00C207CC">
            <w:pPr>
              <w:jc w:val="both"/>
              <w:rPr>
                <w:rFonts w:eastAsia="Calibri" w:cs="Times New Roman"/>
                <w:iCs/>
                <w:szCs w:val="24"/>
              </w:rPr>
            </w:pPr>
            <w:r w:rsidRPr="0078367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Noteikumu projekts paredz </w:t>
            </w:r>
            <w:r w:rsidRPr="00783675">
              <w:rPr>
                <w:rFonts w:eastAsia="Arial Unicode MS" w:cs="Times New Roman"/>
                <w:szCs w:val="24"/>
              </w:rPr>
              <w:t xml:space="preserve">aizstāt </w:t>
            </w:r>
            <w:r w:rsidR="00C207CC" w:rsidRPr="00783675">
              <w:rPr>
                <w:rFonts w:eastAsia="Arial Unicode MS" w:cs="Times New Roman"/>
                <w:szCs w:val="24"/>
              </w:rPr>
              <w:t>noteikum</w:t>
            </w:r>
            <w:r w:rsidR="00C207CC">
              <w:rPr>
                <w:rFonts w:eastAsia="Arial Unicode MS" w:cs="Times New Roman"/>
                <w:szCs w:val="24"/>
              </w:rPr>
              <w:t>u</w:t>
            </w:r>
            <w:r w:rsidR="00C207CC" w:rsidRPr="00783675">
              <w:rPr>
                <w:rFonts w:eastAsia="Arial Unicode MS" w:cs="Times New Roman"/>
                <w:szCs w:val="24"/>
              </w:rPr>
              <w:t xml:space="preserve"> </w:t>
            </w:r>
            <w:r w:rsidRPr="00783675">
              <w:rPr>
                <w:rFonts w:eastAsia="Arial Unicode MS" w:cs="Times New Roman"/>
                <w:szCs w:val="24"/>
              </w:rPr>
              <w:t>Nr.256</w:t>
            </w:r>
            <w:r w:rsidR="00231E93" w:rsidRPr="00783675">
              <w:rPr>
                <w:rFonts w:eastAsia="Arial Unicode MS" w:cs="Times New Roman"/>
                <w:szCs w:val="24"/>
              </w:rPr>
              <w:t xml:space="preserve"> 1.,</w:t>
            </w:r>
            <w:r w:rsidR="00C207CC">
              <w:rPr>
                <w:rFonts w:eastAsia="Arial Unicode MS" w:cs="Times New Roman"/>
                <w:szCs w:val="24"/>
              </w:rPr>
              <w:t xml:space="preserve"> </w:t>
            </w:r>
            <w:r w:rsidR="00231E93" w:rsidRPr="00783675">
              <w:rPr>
                <w:rFonts w:eastAsia="Arial Unicode MS" w:cs="Times New Roman"/>
                <w:szCs w:val="24"/>
              </w:rPr>
              <w:t>2., 4.</w:t>
            </w:r>
            <w:r w:rsidR="00C207CC">
              <w:rPr>
                <w:rFonts w:eastAsia="Arial Unicode MS" w:cs="Times New Roman"/>
                <w:szCs w:val="24"/>
              </w:rPr>
              <w:t xml:space="preserve"> </w:t>
            </w:r>
            <w:r w:rsidR="00D133CB" w:rsidRPr="00783675">
              <w:rPr>
                <w:rFonts w:eastAsia="Arial Unicode MS" w:cs="Times New Roman"/>
                <w:szCs w:val="24"/>
              </w:rPr>
              <w:t>un 5.</w:t>
            </w:r>
            <w:r w:rsidR="00231E93" w:rsidRPr="00783675">
              <w:rPr>
                <w:rFonts w:eastAsia="Arial Unicode MS" w:cs="Times New Roman"/>
                <w:szCs w:val="24"/>
              </w:rPr>
              <w:t xml:space="preserve"> pielikumā valūtas simbolu „Ls” ar valūtas kodu „EUR” un 3</w:t>
            </w:r>
            <w:r w:rsidRPr="00783675">
              <w:rPr>
                <w:rFonts w:eastAsia="Arial Unicode MS" w:cs="Times New Roman"/>
                <w:szCs w:val="24"/>
              </w:rPr>
              <w:t xml:space="preserve">.pielikumā </w:t>
            </w:r>
            <w:r w:rsidR="00783675">
              <w:rPr>
                <w:rFonts w:eastAsia="Arial Unicode MS" w:cs="Times New Roman"/>
                <w:szCs w:val="24"/>
              </w:rPr>
              <w:t>vārdu „lati</w:t>
            </w:r>
            <w:r w:rsidRPr="00783675">
              <w:rPr>
                <w:rFonts w:eastAsia="Arial Unicode MS" w:cs="Times New Roman"/>
                <w:szCs w:val="24"/>
              </w:rPr>
              <w:t>”</w:t>
            </w:r>
            <w:r w:rsidR="00783675">
              <w:rPr>
                <w:rFonts w:eastAsia="Arial Unicode MS" w:cs="Times New Roman"/>
                <w:szCs w:val="24"/>
              </w:rPr>
              <w:t xml:space="preserve"> (</w:t>
            </w:r>
            <w:r w:rsidR="00A62F59">
              <w:rPr>
                <w:rFonts w:eastAsia="Arial Unicode MS" w:cs="Times New Roman"/>
                <w:szCs w:val="24"/>
              </w:rPr>
              <w:t>attiecīgajā locī</w:t>
            </w:r>
            <w:r w:rsidR="00783675">
              <w:rPr>
                <w:rFonts w:eastAsia="Arial Unicode MS" w:cs="Times New Roman"/>
                <w:szCs w:val="24"/>
              </w:rPr>
              <w:t>jumā)</w:t>
            </w:r>
            <w:r w:rsidRPr="00783675">
              <w:rPr>
                <w:rFonts w:eastAsia="Arial Unicode MS" w:cs="Times New Roman"/>
                <w:szCs w:val="24"/>
              </w:rPr>
              <w:t xml:space="preserve"> ar vārdu „</w:t>
            </w:r>
            <w:proofErr w:type="spellStart"/>
            <w:r w:rsidRPr="00373ECC">
              <w:rPr>
                <w:rFonts w:eastAsia="Arial Unicode MS" w:cs="Times New Roman"/>
                <w:i/>
                <w:szCs w:val="24"/>
              </w:rPr>
              <w:t>euro</w:t>
            </w:r>
            <w:proofErr w:type="spellEnd"/>
            <w:r w:rsidRPr="00783675">
              <w:rPr>
                <w:rFonts w:eastAsia="Arial Unicode MS" w:cs="Times New Roman"/>
                <w:szCs w:val="24"/>
              </w:rPr>
              <w:t>”.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351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 xml:space="preserve">Iemesli, kādēļ netika </w:t>
            </w:r>
            <w:r w:rsidRPr="00783675">
              <w:rPr>
                <w:rFonts w:eastAsia="Times New Roman" w:cs="Times New Roman"/>
                <w:szCs w:val="24"/>
                <w:lang w:eastAsia="lv-LV"/>
              </w:rPr>
              <w:lastRenderedPageBreak/>
              <w:t>nodrošināta sabiedrības līdzdalība</w:t>
            </w:r>
          </w:p>
        </w:tc>
        <w:tc>
          <w:tcPr>
            <w:tcW w:w="5351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lastRenderedPageBreak/>
              <w:t xml:space="preserve">Sabiedrības līdzdalība noteikumu projekta izstrādes </w:t>
            </w:r>
            <w:r w:rsidRPr="00783675">
              <w:rPr>
                <w:rFonts w:eastAsia="Times New Roman" w:cs="Times New Roman"/>
                <w:iCs/>
                <w:szCs w:val="24"/>
                <w:lang w:eastAsia="lv-LV"/>
              </w:rPr>
              <w:lastRenderedPageBreak/>
              <w:t xml:space="preserve">gaitā nebija nepieciešama, jo tie ir tehniski grozījumi un sabiedrību neietekmē. </w:t>
            </w:r>
          </w:p>
        </w:tc>
      </w:tr>
      <w:tr w:rsidR="000F38FC" w:rsidRPr="00783675" w:rsidTr="002A0AD7">
        <w:tc>
          <w:tcPr>
            <w:tcW w:w="64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3288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351" w:type="dxa"/>
          </w:tcPr>
          <w:p w:rsidR="000F38FC" w:rsidRPr="00783675" w:rsidRDefault="000F38FC" w:rsidP="002A0AD7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F38FC" w:rsidRPr="00783675" w:rsidTr="002A0AD7">
        <w:tc>
          <w:tcPr>
            <w:tcW w:w="9287" w:type="dxa"/>
          </w:tcPr>
          <w:p w:rsidR="000F38FC" w:rsidRPr="00783675" w:rsidRDefault="000F38FC" w:rsidP="002A0A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Tiesību akta projekta ietekme uz sabiedrību</w:t>
            </w:r>
          </w:p>
        </w:tc>
      </w:tr>
      <w:tr w:rsidR="0017202B" w:rsidRPr="00783675" w:rsidTr="002A0AD7">
        <w:tc>
          <w:tcPr>
            <w:tcW w:w="9287" w:type="dxa"/>
          </w:tcPr>
          <w:p w:rsidR="0017202B" w:rsidRPr="0017202B" w:rsidRDefault="0017202B" w:rsidP="002A0AD7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Projekts nerada ietekmi uz sabiedrību, jo nemaina spēkā esošo </w:t>
            </w:r>
            <w:r w:rsidR="00E75756">
              <w:rPr>
                <w:rFonts w:eastAsia="Times New Roman" w:cs="Times New Roman"/>
                <w:bCs/>
                <w:szCs w:val="24"/>
                <w:lang w:eastAsia="lv-LV"/>
              </w:rPr>
              <w:t xml:space="preserve">tiesisko 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regulējumu pēc būtības.</w:t>
            </w:r>
          </w:p>
        </w:tc>
      </w:tr>
    </w:tbl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386"/>
      </w:tblGrid>
      <w:tr w:rsidR="000F38FC" w:rsidRPr="00783675" w:rsidTr="002A0AD7">
        <w:tc>
          <w:tcPr>
            <w:tcW w:w="9322" w:type="dxa"/>
            <w:gridSpan w:val="3"/>
            <w:shd w:val="clear" w:color="auto" w:fill="auto"/>
          </w:tcPr>
          <w:p w:rsidR="000F38FC" w:rsidRPr="00783675" w:rsidRDefault="000F38FC" w:rsidP="002A0A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b/>
                <w:bCs/>
                <w:szCs w:val="24"/>
                <w:lang w:eastAsia="lv-LV"/>
              </w:rPr>
              <w:t> VII. Tiesību akta projekta izpildes nodrošināšana un tās ietekme uz institūcijām</w:t>
            </w:r>
          </w:p>
        </w:tc>
      </w:tr>
      <w:tr w:rsidR="000F38FC" w:rsidRPr="00783675" w:rsidTr="002A0AD7">
        <w:trPr>
          <w:trHeight w:val="427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tabs>
                <w:tab w:val="left" w:pos="57"/>
                <w:tab w:val="left" w:pos="225"/>
              </w:tabs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Ministrijas un citas centrālās valsts iestādes.</w:t>
            </w:r>
          </w:p>
        </w:tc>
      </w:tr>
      <w:tr w:rsidR="000F38FC" w:rsidRPr="00783675" w:rsidTr="002A0AD7">
        <w:trPr>
          <w:trHeight w:val="463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izpildes ietekme uz pārvaldes funkcijām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jc w:val="both"/>
              <w:rPr>
                <w:rFonts w:cs="Times New Roman"/>
                <w:szCs w:val="24"/>
              </w:rPr>
            </w:pPr>
            <w:r w:rsidRPr="00783675">
              <w:rPr>
                <w:rFonts w:cs="Times New Roman"/>
                <w:szCs w:val="24"/>
              </w:rPr>
              <w:t>Projekts šo jomu neskar.</w:t>
            </w:r>
          </w:p>
          <w:p w:rsidR="000F38FC" w:rsidRPr="00783675" w:rsidRDefault="000F38FC" w:rsidP="002A0AD7">
            <w:pPr>
              <w:ind w:right="127"/>
              <w:jc w:val="both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F38FC" w:rsidRPr="00783675" w:rsidTr="002A0AD7">
        <w:trPr>
          <w:trHeight w:val="725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Jaunu institūciju izveide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cs="Times New Roman"/>
                <w:szCs w:val="24"/>
              </w:rPr>
              <w:t>Projekts šo jomu neskar.</w:t>
            </w:r>
          </w:p>
        </w:tc>
      </w:tr>
      <w:tr w:rsidR="000F38FC" w:rsidRPr="00783675" w:rsidTr="002A0AD7">
        <w:trPr>
          <w:trHeight w:val="780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Esošu institūciju likvidācija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rPr>
                <w:rFonts w:eastAsia="Times New Roman" w:cs="Times New Roman"/>
                <w:szCs w:val="24"/>
                <w:highlight w:val="green"/>
                <w:lang w:eastAsia="lv-LV"/>
              </w:rPr>
            </w:pPr>
            <w:r w:rsidRPr="00783675">
              <w:rPr>
                <w:rFonts w:cs="Times New Roman"/>
                <w:szCs w:val="24"/>
              </w:rPr>
              <w:t>Projekts šo jomu neskar.</w:t>
            </w:r>
          </w:p>
        </w:tc>
      </w:tr>
      <w:tr w:rsidR="000F38FC" w:rsidRPr="00783675" w:rsidTr="002A0AD7">
        <w:trPr>
          <w:trHeight w:val="703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Projekta izpildes ietekme uz pārvaldes institucionālo struktūru.</w:t>
            </w:r>
          </w:p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cs="Times New Roman"/>
                <w:szCs w:val="24"/>
              </w:rPr>
              <w:t>Projekts šo jomu neskar.</w:t>
            </w:r>
          </w:p>
        </w:tc>
      </w:tr>
      <w:tr w:rsidR="000F38FC" w:rsidRPr="00783675" w:rsidTr="002A0AD7">
        <w:trPr>
          <w:trHeight w:val="267"/>
        </w:trPr>
        <w:tc>
          <w:tcPr>
            <w:tcW w:w="534" w:type="dxa"/>
            <w:shd w:val="clear" w:color="auto" w:fill="auto"/>
          </w:tcPr>
          <w:p w:rsidR="000F38FC" w:rsidRPr="00783675" w:rsidRDefault="000F38FC" w:rsidP="002A0AD7">
            <w:pPr>
              <w:numPr>
                <w:ilvl w:val="0"/>
                <w:numId w:val="1"/>
              </w:num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0F38FC" w:rsidRPr="00783675" w:rsidRDefault="000F38FC" w:rsidP="002A0A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 Cita informācija</w:t>
            </w:r>
          </w:p>
        </w:tc>
        <w:tc>
          <w:tcPr>
            <w:tcW w:w="5386" w:type="dxa"/>
            <w:shd w:val="clear" w:color="auto" w:fill="auto"/>
            <w:hideMark/>
          </w:tcPr>
          <w:p w:rsidR="000F38FC" w:rsidRPr="00783675" w:rsidRDefault="000F38FC" w:rsidP="002A0AD7">
            <w:pPr>
              <w:ind w:right="12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783675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</w:p>
    <w:p w:rsidR="00EA63B7" w:rsidRPr="00EA63B7" w:rsidRDefault="00EA63B7" w:rsidP="00EA63B7">
      <w:pPr>
        <w:jc w:val="both"/>
        <w:rPr>
          <w:rFonts w:eastAsia="Times New Roman" w:cs="Times New Roman"/>
          <w:i/>
          <w:szCs w:val="24"/>
          <w:lang w:eastAsia="lv-LV"/>
        </w:rPr>
      </w:pPr>
      <w:r w:rsidRPr="00EA63B7">
        <w:rPr>
          <w:rFonts w:eastAsia="Times New Roman" w:cs="Times New Roman"/>
          <w:i/>
          <w:szCs w:val="24"/>
          <w:lang w:eastAsia="lv-LV"/>
        </w:rPr>
        <w:t>Anotācijas III, IV, V un VI sadaļa –  projekts šīs jomas neskar.</w:t>
      </w:r>
    </w:p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</w:p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</w:p>
    <w:p w:rsidR="000F38FC" w:rsidRPr="00783675" w:rsidRDefault="000F38FC" w:rsidP="000F38FC">
      <w:pPr>
        <w:jc w:val="both"/>
        <w:rPr>
          <w:rFonts w:eastAsia="Times New Roman" w:cs="Times New Roman"/>
          <w:szCs w:val="24"/>
          <w:lang w:eastAsia="lv-LV"/>
        </w:rPr>
      </w:pPr>
      <w:r w:rsidRPr="00783675">
        <w:rPr>
          <w:rFonts w:eastAsia="Times New Roman" w:cs="Times New Roman"/>
          <w:szCs w:val="24"/>
          <w:lang w:eastAsia="lv-LV"/>
        </w:rPr>
        <w:t xml:space="preserve">              Finanšu ministrs</w:t>
      </w:r>
      <w:r w:rsidRPr="00783675">
        <w:rPr>
          <w:rFonts w:eastAsia="Times New Roman" w:cs="Times New Roman"/>
          <w:szCs w:val="24"/>
          <w:lang w:eastAsia="lv-LV"/>
        </w:rPr>
        <w:tab/>
      </w:r>
      <w:r w:rsidRPr="00783675">
        <w:rPr>
          <w:rFonts w:eastAsia="Times New Roman" w:cs="Times New Roman"/>
          <w:szCs w:val="24"/>
          <w:lang w:eastAsia="lv-LV"/>
        </w:rPr>
        <w:tab/>
      </w:r>
      <w:r w:rsidRPr="00783675">
        <w:rPr>
          <w:rFonts w:eastAsia="Times New Roman" w:cs="Times New Roman"/>
          <w:szCs w:val="24"/>
          <w:lang w:eastAsia="lv-LV"/>
        </w:rPr>
        <w:tab/>
      </w:r>
      <w:r w:rsidRPr="00783675">
        <w:rPr>
          <w:rFonts w:eastAsia="Times New Roman" w:cs="Times New Roman"/>
          <w:szCs w:val="24"/>
          <w:lang w:eastAsia="lv-LV"/>
        </w:rPr>
        <w:tab/>
      </w:r>
      <w:r w:rsidRPr="00783675">
        <w:rPr>
          <w:rFonts w:eastAsia="Times New Roman" w:cs="Times New Roman"/>
          <w:szCs w:val="24"/>
          <w:lang w:eastAsia="lv-LV"/>
        </w:rPr>
        <w:tab/>
      </w:r>
      <w:r w:rsidRPr="00783675">
        <w:rPr>
          <w:rFonts w:eastAsia="Times New Roman" w:cs="Times New Roman"/>
          <w:szCs w:val="24"/>
          <w:lang w:eastAsia="lv-LV"/>
        </w:rPr>
        <w:tab/>
        <w:t xml:space="preserve">     </w:t>
      </w:r>
      <w:r w:rsidRPr="00783675">
        <w:rPr>
          <w:rFonts w:eastAsia="Times New Roman" w:cs="Times New Roman"/>
          <w:bCs/>
          <w:szCs w:val="24"/>
          <w:lang w:eastAsia="lv-LV"/>
        </w:rPr>
        <w:t>A.Vilks</w:t>
      </w:r>
    </w:p>
    <w:p w:rsidR="000F38FC" w:rsidRPr="006A0A51" w:rsidRDefault="000F38FC" w:rsidP="000F38FC">
      <w:pPr>
        <w:tabs>
          <w:tab w:val="center" w:pos="4153"/>
          <w:tab w:val="right" w:pos="8306"/>
        </w:tabs>
        <w:rPr>
          <w:rFonts w:eastAsia="Times New Roman" w:cs="Times New Roman"/>
          <w:sz w:val="22"/>
          <w:lang w:eastAsia="lv-LV"/>
        </w:rPr>
      </w:pPr>
    </w:p>
    <w:p w:rsidR="000F38FC" w:rsidRPr="006A0A51" w:rsidRDefault="000F38FC" w:rsidP="000F38FC">
      <w:pPr>
        <w:tabs>
          <w:tab w:val="center" w:pos="4153"/>
          <w:tab w:val="right" w:pos="8306"/>
        </w:tabs>
        <w:rPr>
          <w:rFonts w:eastAsia="Times New Roman" w:cs="Times New Roman"/>
          <w:sz w:val="22"/>
          <w:lang w:eastAsia="lv-LV"/>
        </w:rPr>
      </w:pPr>
    </w:p>
    <w:p w:rsidR="00231E93" w:rsidRPr="006A0A51" w:rsidRDefault="00231E93" w:rsidP="000F38FC">
      <w:pPr>
        <w:tabs>
          <w:tab w:val="center" w:pos="4153"/>
          <w:tab w:val="right" w:pos="8306"/>
        </w:tabs>
        <w:rPr>
          <w:rFonts w:eastAsia="Times New Roman" w:cs="Times New Roman"/>
          <w:sz w:val="22"/>
          <w:lang w:eastAsia="lv-LV"/>
        </w:rPr>
      </w:pPr>
    </w:p>
    <w:p w:rsidR="000F38FC" w:rsidRPr="006A0A51" w:rsidRDefault="000F38FC" w:rsidP="000F38FC">
      <w:pPr>
        <w:tabs>
          <w:tab w:val="center" w:pos="4153"/>
          <w:tab w:val="right" w:pos="8306"/>
        </w:tabs>
        <w:rPr>
          <w:rFonts w:eastAsia="Times New Roman" w:cs="Times New Roman"/>
          <w:sz w:val="22"/>
          <w:lang w:eastAsia="lv-LV"/>
        </w:rPr>
      </w:pPr>
    </w:p>
    <w:p w:rsidR="00791500" w:rsidRDefault="00EF4D2C" w:rsidP="000F38FC">
      <w:pPr>
        <w:rPr>
          <w:sz w:val="16"/>
          <w:szCs w:val="16"/>
        </w:rPr>
      </w:pPr>
      <w:r>
        <w:rPr>
          <w:sz w:val="16"/>
          <w:szCs w:val="16"/>
        </w:rPr>
        <w:t>09.08</w:t>
      </w:r>
      <w:r w:rsidR="00791500">
        <w:rPr>
          <w:sz w:val="16"/>
          <w:szCs w:val="16"/>
        </w:rPr>
        <w:t>.2013 15:23</w:t>
      </w:r>
    </w:p>
    <w:p w:rsidR="000F38FC" w:rsidRPr="00D92B7B" w:rsidRDefault="000F38FC" w:rsidP="000F38FC">
      <w:pPr>
        <w:rPr>
          <w:sz w:val="16"/>
          <w:szCs w:val="16"/>
        </w:rPr>
      </w:pPr>
      <w:r w:rsidRPr="00D92B7B">
        <w:rPr>
          <w:sz w:val="16"/>
          <w:szCs w:val="16"/>
        </w:rPr>
        <w:fldChar w:fldCharType="begin"/>
      </w:r>
      <w:r w:rsidRPr="00D92B7B">
        <w:rPr>
          <w:sz w:val="16"/>
          <w:szCs w:val="16"/>
        </w:rPr>
        <w:instrText xml:space="preserve"> NUMWORDS   \* MERGEFORMAT </w:instrText>
      </w:r>
      <w:r w:rsidRPr="00D92B7B">
        <w:rPr>
          <w:sz w:val="16"/>
          <w:szCs w:val="16"/>
        </w:rPr>
        <w:fldChar w:fldCharType="separate"/>
      </w:r>
      <w:r w:rsidR="00B616F6">
        <w:rPr>
          <w:noProof/>
          <w:sz w:val="16"/>
          <w:szCs w:val="16"/>
        </w:rPr>
        <w:t>418</w:t>
      </w:r>
      <w:r w:rsidRPr="00D92B7B">
        <w:rPr>
          <w:sz w:val="16"/>
          <w:szCs w:val="16"/>
        </w:rPr>
        <w:fldChar w:fldCharType="end"/>
      </w:r>
    </w:p>
    <w:p w:rsidR="000F38FC" w:rsidRPr="00D92B7B" w:rsidRDefault="000F38FC" w:rsidP="000F38FC">
      <w:pPr>
        <w:rPr>
          <w:sz w:val="16"/>
          <w:szCs w:val="16"/>
        </w:rPr>
      </w:pPr>
      <w:r>
        <w:rPr>
          <w:sz w:val="16"/>
          <w:szCs w:val="16"/>
        </w:rPr>
        <w:t>O.Gutmane</w:t>
      </w:r>
    </w:p>
    <w:p w:rsidR="00D02132" w:rsidRDefault="000F38FC">
      <w:r>
        <w:rPr>
          <w:sz w:val="16"/>
          <w:szCs w:val="16"/>
        </w:rPr>
        <w:t>t.67095531</w:t>
      </w:r>
      <w:r w:rsidRPr="00D92B7B">
        <w:rPr>
          <w:sz w:val="16"/>
          <w:szCs w:val="16"/>
        </w:rPr>
        <w:t xml:space="preserve">; </w:t>
      </w:r>
      <w:hyperlink r:id="rId8" w:history="1">
        <w:r w:rsidRPr="00CE0898">
          <w:rPr>
            <w:rStyle w:val="Hyperlink"/>
            <w:sz w:val="16"/>
            <w:szCs w:val="16"/>
          </w:rPr>
          <w:t>olga.gutmane@fm.gov.lv</w:t>
        </w:r>
      </w:hyperlink>
      <w:r w:rsidRPr="00D92B7B">
        <w:rPr>
          <w:sz w:val="16"/>
          <w:szCs w:val="16"/>
        </w:rPr>
        <w:t xml:space="preserve"> </w:t>
      </w:r>
    </w:p>
    <w:sectPr w:rsidR="00D02132" w:rsidSect="00715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4F" w:rsidRDefault="0011114F" w:rsidP="00231E93">
      <w:r>
        <w:separator/>
      </w:r>
    </w:p>
  </w:endnote>
  <w:endnote w:type="continuationSeparator" w:id="0">
    <w:p w:rsidR="0011114F" w:rsidRDefault="0011114F" w:rsidP="0023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22" w:rsidRDefault="004A2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59" w:rsidRPr="00B10161" w:rsidRDefault="003339AB" w:rsidP="00231E93">
    <w:pPr>
      <w:spacing w:after="120"/>
      <w:jc w:val="both"/>
      <w:rPr>
        <w:rFonts w:eastAsia="Times New Roman"/>
        <w:sz w:val="18"/>
        <w:szCs w:val="18"/>
        <w:lang w:eastAsia="lv-LV"/>
      </w:rPr>
    </w:pPr>
    <w:r w:rsidRPr="00F42709">
      <w:rPr>
        <w:sz w:val="18"/>
        <w:szCs w:val="18"/>
      </w:rPr>
      <w:fldChar w:fldCharType="begin"/>
    </w:r>
    <w:r w:rsidRPr="00F42709">
      <w:rPr>
        <w:sz w:val="18"/>
        <w:szCs w:val="18"/>
      </w:rPr>
      <w:instrText xml:space="preserve"> FILENAME   \* MERGEFORMAT </w:instrText>
    </w:r>
    <w:r w:rsidRPr="00F42709">
      <w:rPr>
        <w:sz w:val="18"/>
        <w:szCs w:val="18"/>
      </w:rPr>
      <w:fldChar w:fldCharType="separate"/>
    </w:r>
    <w:r w:rsidR="00EF4D2C">
      <w:rPr>
        <w:noProof/>
        <w:sz w:val="18"/>
        <w:szCs w:val="18"/>
      </w:rPr>
      <w:t xml:space="preserve">FMAnot_250613_Nr </w:t>
    </w:r>
    <w:r w:rsidR="00EF4D2C">
      <w:rPr>
        <w:noProof/>
        <w:sz w:val="18"/>
        <w:szCs w:val="18"/>
      </w:rPr>
      <w:t>256_euro</w:t>
    </w:r>
    <w:r w:rsidRPr="00F42709">
      <w:rPr>
        <w:noProof/>
        <w:sz w:val="18"/>
        <w:szCs w:val="18"/>
      </w:rPr>
      <w:fldChar w:fldCharType="end"/>
    </w:r>
    <w:r w:rsidR="004A2D22">
      <w:rPr>
        <w:noProof/>
        <w:sz w:val="18"/>
        <w:szCs w:val="18"/>
      </w:rPr>
      <w:t>;</w:t>
    </w:r>
    <w:bookmarkStart w:id="0" w:name="_GoBack"/>
    <w:bookmarkEnd w:id="0"/>
    <w:r w:rsidR="00231E93" w:rsidRPr="00231E93">
      <w:rPr>
        <w:sz w:val="18"/>
        <w:szCs w:val="18"/>
      </w:rPr>
      <w:t xml:space="preserve"> </w:t>
    </w:r>
    <w:r w:rsidR="00231E93" w:rsidRPr="0091191F">
      <w:rPr>
        <w:sz w:val="18"/>
        <w:szCs w:val="18"/>
      </w:rPr>
      <w:t>Ministru kabineta noteikumu projekts „</w:t>
    </w:r>
    <w:r w:rsidR="00231E93" w:rsidRPr="0091191F">
      <w:rPr>
        <w:bCs/>
        <w:sz w:val="18"/>
        <w:szCs w:val="18"/>
      </w:rPr>
      <w:t>Grozījumi Ministru kabineta 2010.gada 16.marta noteikumos Nr.256 „Noteikumi par kārtību, kādā ministrijām un citām centrālajām valsts iestādēm tiek veikta apropriācijas pārdale starp programmām, apakšprogrammām un izdevumu ekonomiskās klasifikācijas kodiem</w:t>
    </w:r>
    <w:r w:rsidR="00231E93" w:rsidRPr="0091191F">
      <w:rPr>
        <w:sz w:val="18"/>
        <w:szCs w:val="18"/>
      </w:rPr>
      <w:t>”</w:t>
    </w:r>
    <w:r w:rsidR="00231E93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7E" w:rsidRPr="006A0A51" w:rsidRDefault="003339AB" w:rsidP="00A247A4">
    <w:pPr>
      <w:spacing w:after="120"/>
      <w:jc w:val="both"/>
    </w:pPr>
    <w:r w:rsidRPr="00B616F6">
      <w:rPr>
        <w:sz w:val="20"/>
        <w:szCs w:val="20"/>
      </w:rPr>
      <w:fldChar w:fldCharType="begin"/>
    </w:r>
    <w:r w:rsidRPr="00B616F6">
      <w:rPr>
        <w:sz w:val="20"/>
        <w:szCs w:val="20"/>
      </w:rPr>
      <w:instrText xml:space="preserve"> FILENAME   \* MERGEFORMAT </w:instrText>
    </w:r>
    <w:r w:rsidRPr="00B616F6">
      <w:rPr>
        <w:sz w:val="20"/>
        <w:szCs w:val="20"/>
      </w:rPr>
      <w:fldChar w:fldCharType="separate"/>
    </w:r>
    <w:r w:rsidR="00EF4D2C" w:rsidRPr="00B616F6">
      <w:rPr>
        <w:noProof/>
        <w:sz w:val="20"/>
        <w:szCs w:val="20"/>
      </w:rPr>
      <w:t>FMAnot_250613_Nr 256_euro</w:t>
    </w:r>
    <w:r w:rsidRPr="00B616F6">
      <w:rPr>
        <w:noProof/>
        <w:sz w:val="20"/>
        <w:szCs w:val="20"/>
      </w:rPr>
      <w:fldChar w:fldCharType="end"/>
    </w:r>
    <w:r>
      <w:rPr>
        <w:sz w:val="18"/>
        <w:szCs w:val="18"/>
      </w:rPr>
      <w:t xml:space="preserve">; </w:t>
    </w:r>
    <w:r w:rsidR="00A247A4" w:rsidRPr="0091191F">
      <w:rPr>
        <w:sz w:val="18"/>
        <w:szCs w:val="18"/>
      </w:rPr>
      <w:t>Ministru kabineta noteikumu projekts „</w:t>
    </w:r>
    <w:r w:rsidR="00A247A4" w:rsidRPr="0091191F">
      <w:rPr>
        <w:bCs/>
        <w:sz w:val="18"/>
        <w:szCs w:val="18"/>
      </w:rPr>
      <w:t>Grozījumi Ministru kabineta 2010.gada 16.marta noteikumos Nr.256 „Noteikumi par kārtību, kādā ministrijām un citām centrālajām valsts iestādēm tiek veikta apropriācijas pārdale starp programmām, apakšprogrammām un izdevumu ekonomiskās klasifikācijas kodiem</w:t>
    </w:r>
    <w:r w:rsidR="00A247A4" w:rsidRPr="0091191F">
      <w:rPr>
        <w:sz w:val="18"/>
        <w:szCs w:val="18"/>
      </w:rPr>
      <w:t>”</w:t>
    </w:r>
    <w:r w:rsidR="00A247A4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4F" w:rsidRDefault="0011114F" w:rsidP="00231E93">
      <w:r>
        <w:separator/>
      </w:r>
    </w:p>
  </w:footnote>
  <w:footnote w:type="continuationSeparator" w:id="0">
    <w:p w:rsidR="0011114F" w:rsidRDefault="0011114F" w:rsidP="0023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22" w:rsidRDefault="004A2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7E" w:rsidRDefault="003339AB" w:rsidP="004A187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D2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22" w:rsidRDefault="004A2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A89"/>
    <w:multiLevelType w:val="hybridMultilevel"/>
    <w:tmpl w:val="C95ED8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C"/>
    <w:rsid w:val="000037F2"/>
    <w:rsid w:val="000D0AB2"/>
    <w:rsid w:val="000F38FC"/>
    <w:rsid w:val="000F5DB5"/>
    <w:rsid w:val="0011114F"/>
    <w:rsid w:val="0017202B"/>
    <w:rsid w:val="001B20D8"/>
    <w:rsid w:val="001D56E4"/>
    <w:rsid w:val="001D7509"/>
    <w:rsid w:val="001E709D"/>
    <w:rsid w:val="00201A4E"/>
    <w:rsid w:val="00231E93"/>
    <w:rsid w:val="002515AE"/>
    <w:rsid w:val="002E6A25"/>
    <w:rsid w:val="003339AB"/>
    <w:rsid w:val="00373ECC"/>
    <w:rsid w:val="00426D17"/>
    <w:rsid w:val="00481DA5"/>
    <w:rsid w:val="004A2D22"/>
    <w:rsid w:val="005C3B56"/>
    <w:rsid w:val="00783675"/>
    <w:rsid w:val="00791500"/>
    <w:rsid w:val="007A2179"/>
    <w:rsid w:val="007A2635"/>
    <w:rsid w:val="007B30F6"/>
    <w:rsid w:val="00895A9F"/>
    <w:rsid w:val="009A3775"/>
    <w:rsid w:val="00A247A4"/>
    <w:rsid w:val="00A40115"/>
    <w:rsid w:val="00A62F59"/>
    <w:rsid w:val="00A97C7B"/>
    <w:rsid w:val="00B02B83"/>
    <w:rsid w:val="00B616F6"/>
    <w:rsid w:val="00C207CC"/>
    <w:rsid w:val="00C3330F"/>
    <w:rsid w:val="00C671E7"/>
    <w:rsid w:val="00C843A2"/>
    <w:rsid w:val="00D02132"/>
    <w:rsid w:val="00D133CB"/>
    <w:rsid w:val="00D1643B"/>
    <w:rsid w:val="00D57C2A"/>
    <w:rsid w:val="00DB0412"/>
    <w:rsid w:val="00E75756"/>
    <w:rsid w:val="00EA63B7"/>
    <w:rsid w:val="00EF4D2C"/>
    <w:rsid w:val="00F14BFB"/>
    <w:rsid w:val="00F57A98"/>
    <w:rsid w:val="00F66DF0"/>
    <w:rsid w:val="00F847C1"/>
    <w:rsid w:val="00FA1CBD"/>
    <w:rsid w:val="00FA2654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8FC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0F38F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F38FC"/>
  </w:style>
  <w:style w:type="character" w:styleId="Hyperlink">
    <w:name w:val="Hyperlink"/>
    <w:basedOn w:val="DefaultParagraphFont"/>
    <w:uiPriority w:val="99"/>
    <w:unhideWhenUsed/>
    <w:rsid w:val="000F38FC"/>
    <w:rPr>
      <w:color w:val="0000FF" w:themeColor="hyperlink"/>
      <w:u w:val="single"/>
    </w:rPr>
  </w:style>
  <w:style w:type="paragraph" w:customStyle="1" w:styleId="naisnod">
    <w:name w:val="naisnod"/>
    <w:basedOn w:val="Normal"/>
    <w:rsid w:val="000F38F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1E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E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38FC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0F38FC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F38FC"/>
  </w:style>
  <w:style w:type="character" w:styleId="Hyperlink">
    <w:name w:val="Hyperlink"/>
    <w:basedOn w:val="DefaultParagraphFont"/>
    <w:uiPriority w:val="99"/>
    <w:unhideWhenUsed/>
    <w:rsid w:val="000F38FC"/>
    <w:rPr>
      <w:color w:val="0000FF" w:themeColor="hyperlink"/>
      <w:u w:val="single"/>
    </w:rPr>
  </w:style>
  <w:style w:type="paragraph" w:customStyle="1" w:styleId="naisnod">
    <w:name w:val="naisnod"/>
    <w:basedOn w:val="Normal"/>
    <w:rsid w:val="000F38F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31E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E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utmane@f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MK noteikumu projekts „Grozījumi Ministru kabineta 2010.gada 16.marta noteikumos Nr.256 „Noteikumi par kārtību, kādā ministrijām un citām centrālajām valsts iestādēm tiek veikta apropriācijas pārdale starp programmām, apakšprogrammām un izdevumu ek</vt:lpstr>
    </vt:vector>
  </TitlesOfParts>
  <Company>Finanšu ministrija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MK noteikumu projekts „Grozījumi Ministru kabineta 2010.gada 16.marta noteikumos Nr.256 „Noteikumi par kārtību, kādā ministrijām un citām centrālajām valsts iestādēm tiek veikta apropriācijas pārdale starp programmām, apakšprogrammām un izdevumu ek</dc:title>
  <dc:subject>Anotācija </dc:subject>
  <dc:creator>O.Gutmane</dc:creator>
  <cp:keywords/>
  <dc:description>olga.gutmane@fm.gov.lv, 67095531</dc:description>
  <cp:lastModifiedBy>Finanšu Ministrija</cp:lastModifiedBy>
  <cp:revision>6</cp:revision>
  <cp:lastPrinted>2013-08-09T07:07:00Z</cp:lastPrinted>
  <dcterms:created xsi:type="dcterms:W3CDTF">2013-08-08T10:40:00Z</dcterms:created>
  <dcterms:modified xsi:type="dcterms:W3CDTF">2013-08-15T12:23:00Z</dcterms:modified>
</cp:coreProperties>
</file>