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81" w:rsidRPr="00DD192B" w:rsidRDefault="003C6C81" w:rsidP="003C6C81">
      <w:pPr>
        <w:pStyle w:val="Footer"/>
        <w:jc w:val="right"/>
        <w:rPr>
          <w:i/>
          <w:sz w:val="24"/>
          <w:szCs w:val="24"/>
        </w:rPr>
      </w:pPr>
      <w:r w:rsidRPr="00DD192B">
        <w:rPr>
          <w:sz w:val="24"/>
          <w:szCs w:val="24"/>
        </w:rPr>
        <w:t xml:space="preserve">                                            </w:t>
      </w:r>
      <w:r w:rsidRPr="00DD192B">
        <w:rPr>
          <w:i/>
          <w:sz w:val="24"/>
          <w:szCs w:val="24"/>
        </w:rPr>
        <w:t xml:space="preserve">Projekts </w:t>
      </w:r>
    </w:p>
    <w:p w:rsidR="003C6C81" w:rsidRPr="001F7AE2" w:rsidRDefault="003C6C81" w:rsidP="00105C94">
      <w:pPr>
        <w:pStyle w:val="Title"/>
        <w:spacing w:after="60"/>
        <w:rPr>
          <w:rFonts w:ascii="Times New Roman" w:hAnsi="Times New Roman"/>
          <w:b/>
          <w:szCs w:val="28"/>
        </w:rPr>
      </w:pPr>
    </w:p>
    <w:p w:rsidR="009D5DD1" w:rsidRPr="001F7AE2" w:rsidRDefault="00506582" w:rsidP="00105C94">
      <w:pPr>
        <w:pStyle w:val="Title"/>
        <w:spacing w:after="60"/>
        <w:rPr>
          <w:rFonts w:ascii="Times New Roman" w:hAnsi="Times New Roman"/>
          <w:b/>
          <w:szCs w:val="28"/>
        </w:rPr>
      </w:pPr>
      <w:r w:rsidRPr="001F7AE2">
        <w:rPr>
          <w:rFonts w:ascii="Times New Roman" w:hAnsi="Times New Roman"/>
          <w:b/>
          <w:szCs w:val="28"/>
        </w:rPr>
        <w:t>L</w:t>
      </w:r>
      <w:r w:rsidR="004A5B82" w:rsidRPr="001F7AE2">
        <w:rPr>
          <w:rFonts w:ascii="Times New Roman" w:hAnsi="Times New Roman"/>
          <w:b/>
          <w:szCs w:val="28"/>
        </w:rPr>
        <w:t>ikumprojekta</w:t>
      </w:r>
      <w:r w:rsidRPr="001F7AE2">
        <w:rPr>
          <w:rFonts w:ascii="Times New Roman" w:hAnsi="Times New Roman"/>
          <w:b/>
          <w:szCs w:val="28"/>
        </w:rPr>
        <w:t xml:space="preserve"> „Fiskālās disciplīnas likums”</w:t>
      </w:r>
    </w:p>
    <w:p w:rsidR="003F2F4B" w:rsidRPr="001F7AE2" w:rsidRDefault="00105C94" w:rsidP="00105C94">
      <w:pPr>
        <w:pStyle w:val="naisc"/>
        <w:spacing w:before="0" w:after="0"/>
        <w:rPr>
          <w:b/>
          <w:bCs/>
          <w:sz w:val="28"/>
          <w:szCs w:val="28"/>
          <w:lang w:val="lv-LV"/>
        </w:rPr>
      </w:pPr>
      <w:r w:rsidRPr="001F7AE2">
        <w:rPr>
          <w:b/>
          <w:bCs/>
          <w:sz w:val="28"/>
          <w:szCs w:val="28"/>
          <w:lang w:val="lv-LV"/>
        </w:rPr>
        <w:t>sākotnējās ietekmes novērtējuma ziņojums (anotācija)</w:t>
      </w:r>
    </w:p>
    <w:p w:rsidR="00105C94" w:rsidRPr="001F7AE2" w:rsidRDefault="00105C94" w:rsidP="00105C94">
      <w:pPr>
        <w:pStyle w:val="naisc"/>
        <w:spacing w:before="0" w:after="0"/>
        <w:rPr>
          <w:b/>
          <w:sz w:val="28"/>
          <w:szCs w:val="28"/>
          <w:lang w:val="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3176"/>
        <w:gridCol w:w="5399"/>
      </w:tblGrid>
      <w:tr w:rsidR="003F2F4B" w:rsidRPr="001F7AE2" w:rsidTr="007E1E10">
        <w:trPr>
          <w:tblCellSpacing w:w="0" w:type="dxa"/>
        </w:trPr>
        <w:tc>
          <w:tcPr>
            <w:tcW w:w="9100" w:type="dxa"/>
            <w:gridSpan w:val="3"/>
            <w:tcBorders>
              <w:top w:val="outset" w:sz="6" w:space="0" w:color="auto"/>
              <w:left w:val="outset" w:sz="6" w:space="0" w:color="auto"/>
              <w:bottom w:val="outset" w:sz="6" w:space="0" w:color="auto"/>
              <w:right w:val="outset" w:sz="6" w:space="0" w:color="auto"/>
            </w:tcBorders>
            <w:vAlign w:val="center"/>
            <w:hideMark/>
          </w:tcPr>
          <w:p w:rsidR="003F2F4B" w:rsidRPr="001F7AE2" w:rsidRDefault="003F2F4B" w:rsidP="00105C94">
            <w:pPr>
              <w:suppressAutoHyphens w:val="0"/>
              <w:spacing w:before="100" w:beforeAutospacing="1" w:after="100" w:afterAutospacing="1"/>
              <w:jc w:val="center"/>
              <w:rPr>
                <w:sz w:val="28"/>
                <w:szCs w:val="28"/>
                <w:lang w:val="lv-LV" w:eastAsia="lv-LV"/>
              </w:rPr>
            </w:pPr>
            <w:r w:rsidRPr="001F7AE2">
              <w:rPr>
                <w:b/>
                <w:bCs/>
                <w:sz w:val="28"/>
                <w:szCs w:val="28"/>
                <w:lang w:val="lv-LV" w:eastAsia="lv-LV"/>
              </w:rPr>
              <w:t>I. Tiesību akta projekta izstrādes nepieciešamība</w:t>
            </w:r>
          </w:p>
        </w:tc>
      </w:tr>
      <w:tr w:rsidR="003F2F4B" w:rsidRPr="001F7AE2" w:rsidTr="007E1E10">
        <w:trPr>
          <w:trHeight w:val="2191"/>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 1.</w:t>
            </w:r>
          </w:p>
        </w:tc>
        <w:tc>
          <w:tcPr>
            <w:tcW w:w="3176"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 Pamatojums</w:t>
            </w:r>
          </w:p>
        </w:tc>
        <w:tc>
          <w:tcPr>
            <w:tcW w:w="5399" w:type="dxa"/>
            <w:tcBorders>
              <w:top w:val="outset" w:sz="6" w:space="0" w:color="auto"/>
              <w:left w:val="outset" w:sz="6" w:space="0" w:color="auto"/>
              <w:bottom w:val="outset" w:sz="6" w:space="0" w:color="auto"/>
              <w:right w:val="outset" w:sz="6" w:space="0" w:color="auto"/>
            </w:tcBorders>
            <w:hideMark/>
          </w:tcPr>
          <w:p w:rsidR="00BF5D1C" w:rsidRPr="001F7AE2" w:rsidRDefault="003A6043" w:rsidP="00BF5D1C">
            <w:pPr>
              <w:ind w:firstLine="694"/>
              <w:jc w:val="both"/>
              <w:rPr>
                <w:color w:val="000000"/>
                <w:sz w:val="28"/>
                <w:szCs w:val="28"/>
                <w:lang w:val="lv-LV"/>
              </w:rPr>
            </w:pPr>
            <w:r w:rsidRPr="001F7AE2">
              <w:rPr>
                <w:color w:val="000000"/>
                <w:sz w:val="28"/>
                <w:szCs w:val="28"/>
                <w:lang w:val="lv-LV"/>
              </w:rPr>
              <w:t xml:space="preserve">Ministru kabineta (turpmāk - MK) 2010. gada </w:t>
            </w:r>
            <w:r w:rsidR="00F80FE6" w:rsidRPr="001F7AE2">
              <w:rPr>
                <w:color w:val="000000"/>
                <w:sz w:val="28"/>
                <w:szCs w:val="28"/>
                <w:lang w:val="lv-LV"/>
              </w:rPr>
              <w:t xml:space="preserve">29. jūnija </w:t>
            </w:r>
            <w:r w:rsidR="00E52041" w:rsidRPr="001F7AE2">
              <w:rPr>
                <w:color w:val="000000"/>
                <w:sz w:val="28"/>
                <w:szCs w:val="28"/>
                <w:lang w:val="lv-LV"/>
              </w:rPr>
              <w:t>rīkojum</w:t>
            </w:r>
            <w:r w:rsidR="00634C52" w:rsidRPr="001F7AE2">
              <w:rPr>
                <w:color w:val="000000"/>
                <w:sz w:val="28"/>
                <w:szCs w:val="28"/>
                <w:lang w:val="lv-LV"/>
              </w:rPr>
              <w:t>s</w:t>
            </w:r>
            <w:r w:rsidR="00F80FE6" w:rsidRPr="001F7AE2">
              <w:rPr>
                <w:color w:val="000000"/>
                <w:sz w:val="28"/>
                <w:szCs w:val="28"/>
                <w:lang w:val="lv-LV"/>
              </w:rPr>
              <w:t xml:space="preserve"> Nr.</w:t>
            </w:r>
            <w:r w:rsidR="00E52041" w:rsidRPr="001F7AE2">
              <w:rPr>
                <w:color w:val="000000"/>
                <w:sz w:val="28"/>
                <w:szCs w:val="28"/>
                <w:lang w:val="lv-LV"/>
              </w:rPr>
              <w:t xml:space="preserve">362 „Par Fiskālās disciplīnas likumprojekta koncepciju” </w:t>
            </w:r>
            <w:r w:rsidR="00F80FE6" w:rsidRPr="001F7AE2">
              <w:rPr>
                <w:color w:val="000000"/>
                <w:sz w:val="28"/>
                <w:szCs w:val="28"/>
                <w:lang w:val="lv-LV"/>
              </w:rPr>
              <w:t>(protokols Nr.</w:t>
            </w:r>
            <w:r w:rsidRPr="001F7AE2">
              <w:rPr>
                <w:color w:val="000000"/>
                <w:sz w:val="28"/>
                <w:szCs w:val="28"/>
                <w:lang w:val="lv-LV"/>
              </w:rPr>
              <w:t>28, 55.§)</w:t>
            </w:r>
            <w:r w:rsidR="00F75302" w:rsidRPr="001F7AE2">
              <w:rPr>
                <w:color w:val="000000"/>
                <w:sz w:val="28"/>
                <w:szCs w:val="28"/>
                <w:lang w:val="lv-LV"/>
              </w:rPr>
              <w:t>.</w:t>
            </w:r>
          </w:p>
          <w:p w:rsidR="00F75302" w:rsidRPr="001F7AE2" w:rsidRDefault="00BF5D1C" w:rsidP="00A148BB">
            <w:pPr>
              <w:ind w:firstLine="694"/>
              <w:jc w:val="both"/>
              <w:rPr>
                <w:sz w:val="28"/>
                <w:szCs w:val="28"/>
                <w:lang w:val="lv-LV"/>
              </w:rPr>
            </w:pPr>
            <w:r w:rsidRPr="001F7AE2">
              <w:rPr>
                <w:color w:val="000000"/>
                <w:sz w:val="28"/>
                <w:szCs w:val="28"/>
                <w:lang w:val="lv-LV"/>
              </w:rPr>
              <w:t xml:space="preserve">MK 2010. gada 9. aprīļa rīkojums Nr.201 „Par </w:t>
            </w:r>
            <w:r w:rsidR="00F75302" w:rsidRPr="001F7AE2">
              <w:rPr>
                <w:color w:val="000000"/>
                <w:sz w:val="28"/>
                <w:szCs w:val="28"/>
                <w:lang w:val="lv-LV"/>
              </w:rPr>
              <w:t>Latvijas Stratēģiskās attīstības plān</w:t>
            </w:r>
            <w:r w:rsidRPr="001F7AE2">
              <w:rPr>
                <w:color w:val="000000"/>
                <w:sz w:val="28"/>
                <w:szCs w:val="28"/>
                <w:lang w:val="lv-LV"/>
              </w:rPr>
              <w:t>u</w:t>
            </w:r>
            <w:r w:rsidR="00F75302" w:rsidRPr="001F7AE2">
              <w:rPr>
                <w:color w:val="000000"/>
                <w:sz w:val="28"/>
                <w:szCs w:val="28"/>
                <w:lang w:val="lv-LV"/>
              </w:rPr>
              <w:t xml:space="preserve"> 2010. – 2013. gadam</w:t>
            </w:r>
            <w:r w:rsidRPr="001F7AE2">
              <w:rPr>
                <w:color w:val="000000"/>
                <w:sz w:val="28"/>
                <w:szCs w:val="28"/>
                <w:lang w:val="lv-LV"/>
              </w:rPr>
              <w:t xml:space="preserve">” </w:t>
            </w:r>
            <w:r w:rsidRPr="001F7AE2">
              <w:rPr>
                <w:sz w:val="28"/>
                <w:szCs w:val="28"/>
                <w:lang w:val="lv-LV"/>
              </w:rPr>
              <w:t>(protokols Nr.15, 54.§).</w:t>
            </w:r>
          </w:p>
          <w:p w:rsidR="00037BDE" w:rsidRPr="001F7AE2" w:rsidRDefault="00037BDE" w:rsidP="00A148BB">
            <w:pPr>
              <w:ind w:firstLine="694"/>
              <w:jc w:val="both"/>
              <w:rPr>
                <w:color w:val="000000"/>
                <w:sz w:val="28"/>
                <w:szCs w:val="28"/>
                <w:lang w:val="lv-LV"/>
              </w:rPr>
            </w:pPr>
            <w:r w:rsidRPr="001F7AE2">
              <w:rPr>
                <w:sz w:val="28"/>
                <w:szCs w:val="28"/>
                <w:lang w:val="lv-LV"/>
              </w:rPr>
              <w:t>Saskaņā ar 2011.</w:t>
            </w:r>
            <w:r w:rsidRPr="001F7AE2">
              <w:rPr>
                <w:bCs/>
                <w:sz w:val="28"/>
                <w:szCs w:val="28"/>
                <w:lang w:val="lv-LV"/>
              </w:rPr>
              <w:t xml:space="preserve"> gada </w:t>
            </w:r>
            <w:r w:rsidRPr="001F7AE2">
              <w:rPr>
                <w:sz w:val="28"/>
                <w:szCs w:val="28"/>
                <w:lang w:val="lv-LV"/>
              </w:rPr>
              <w:t xml:space="preserve">9. maija Nodomu vēstuli Starptautiskajam Valūtas fondam un 7. jūnijā noslēgto Papildu Saprašanās memorandu (Saprašanās memoranda ceturtais papildinājums) starp ES un Latvijas Republiku Fiskālās disciplīnas likuma projekts jāiesniedz Saeimā </w:t>
            </w:r>
            <w:r w:rsidRPr="001F7AE2">
              <w:rPr>
                <w:b/>
                <w:sz w:val="28"/>
                <w:szCs w:val="28"/>
                <w:u w:val="single"/>
                <w:lang w:val="lv-LV"/>
              </w:rPr>
              <w:t>līdz 2011. gada 30. novembrim</w:t>
            </w:r>
            <w:r w:rsidRPr="001F7AE2">
              <w:rPr>
                <w:sz w:val="28"/>
                <w:szCs w:val="28"/>
                <w:lang w:val="lv-LV"/>
              </w:rPr>
              <w:t xml:space="preserve">. Minētā nosacījuma izpilde ir </w:t>
            </w:r>
            <w:r w:rsidRPr="001F7AE2">
              <w:rPr>
                <w:sz w:val="28"/>
                <w:szCs w:val="28"/>
                <w:u w:val="single"/>
                <w:lang w:val="lv-LV"/>
              </w:rPr>
              <w:t>pamats sekmīgai Starptautiskā aizdevuma programmas noslēgšanai.</w:t>
            </w:r>
          </w:p>
        </w:tc>
      </w:tr>
      <w:tr w:rsidR="003F2F4B" w:rsidRPr="00FB1E45" w:rsidTr="007E1E10">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 2.</w:t>
            </w:r>
          </w:p>
        </w:tc>
        <w:tc>
          <w:tcPr>
            <w:tcW w:w="3176" w:type="dxa"/>
            <w:tcBorders>
              <w:top w:val="outset" w:sz="6" w:space="0" w:color="auto"/>
              <w:left w:val="outset" w:sz="6" w:space="0" w:color="auto"/>
              <w:bottom w:val="outset" w:sz="6" w:space="0" w:color="auto"/>
              <w:right w:val="outset" w:sz="6" w:space="0" w:color="auto"/>
            </w:tcBorders>
            <w:hideMark/>
          </w:tcPr>
          <w:p w:rsidR="00552A68"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 Pašreizējā situācija un problēmas</w:t>
            </w:r>
          </w:p>
          <w:p w:rsidR="003F2F4B" w:rsidRPr="001F7AE2" w:rsidRDefault="003F2F4B" w:rsidP="00552A68">
            <w:pPr>
              <w:jc w:val="right"/>
              <w:rPr>
                <w:sz w:val="28"/>
                <w:szCs w:val="28"/>
                <w:lang w:val="lv-LV" w:eastAsia="lv-LV"/>
              </w:rPr>
            </w:pPr>
          </w:p>
        </w:tc>
        <w:tc>
          <w:tcPr>
            <w:tcW w:w="5399" w:type="dxa"/>
            <w:tcBorders>
              <w:top w:val="outset" w:sz="6" w:space="0" w:color="auto"/>
              <w:left w:val="outset" w:sz="6" w:space="0" w:color="auto"/>
              <w:bottom w:val="outset" w:sz="6" w:space="0" w:color="auto"/>
              <w:right w:val="outset" w:sz="6" w:space="0" w:color="auto"/>
            </w:tcBorders>
            <w:hideMark/>
          </w:tcPr>
          <w:p w:rsidR="00D97A67" w:rsidRPr="001F7AE2" w:rsidRDefault="00071AD6" w:rsidP="00642169">
            <w:pPr>
              <w:ind w:firstLine="694"/>
              <w:jc w:val="both"/>
              <w:rPr>
                <w:sz w:val="28"/>
                <w:szCs w:val="28"/>
                <w:lang w:val="lv-LV"/>
              </w:rPr>
            </w:pPr>
            <w:r w:rsidRPr="001F7AE2">
              <w:rPr>
                <w:sz w:val="28"/>
                <w:szCs w:val="28"/>
                <w:lang w:val="lv-LV"/>
              </w:rPr>
              <w:t>Līdz šim Latvijā ir īsteno</w:t>
            </w:r>
            <w:r w:rsidR="00DE2DAF" w:rsidRPr="001F7AE2">
              <w:rPr>
                <w:sz w:val="28"/>
                <w:szCs w:val="28"/>
                <w:lang w:val="lv-LV"/>
              </w:rPr>
              <w:t>ta</w:t>
            </w:r>
            <w:r w:rsidRPr="001F7AE2">
              <w:rPr>
                <w:sz w:val="28"/>
                <w:szCs w:val="28"/>
                <w:lang w:val="lv-LV"/>
              </w:rPr>
              <w:t xml:space="preserve"> </w:t>
            </w:r>
            <w:proofErr w:type="spellStart"/>
            <w:r w:rsidRPr="001F7AE2">
              <w:rPr>
                <w:sz w:val="28"/>
                <w:szCs w:val="28"/>
                <w:lang w:val="lv-LV"/>
              </w:rPr>
              <w:t>prociklisk</w:t>
            </w:r>
            <w:r w:rsidR="00DE2DAF" w:rsidRPr="001F7AE2">
              <w:rPr>
                <w:sz w:val="28"/>
                <w:szCs w:val="28"/>
                <w:lang w:val="lv-LV"/>
              </w:rPr>
              <w:t>a</w:t>
            </w:r>
            <w:proofErr w:type="spellEnd"/>
            <w:r w:rsidRPr="001F7AE2">
              <w:rPr>
                <w:sz w:val="28"/>
                <w:szCs w:val="28"/>
                <w:lang w:val="lv-LV"/>
              </w:rPr>
              <w:t xml:space="preserve"> fiskāl</w:t>
            </w:r>
            <w:r w:rsidR="00DE2DAF" w:rsidRPr="001F7AE2">
              <w:rPr>
                <w:sz w:val="28"/>
                <w:szCs w:val="28"/>
                <w:lang w:val="lv-LV"/>
              </w:rPr>
              <w:t>ā</w:t>
            </w:r>
            <w:r w:rsidR="00065A17" w:rsidRPr="001F7AE2">
              <w:rPr>
                <w:sz w:val="28"/>
                <w:szCs w:val="28"/>
                <w:lang w:val="lv-LV"/>
              </w:rPr>
              <w:t xml:space="preserve"> politika</w:t>
            </w:r>
            <w:r w:rsidRPr="001F7AE2">
              <w:rPr>
                <w:sz w:val="28"/>
                <w:szCs w:val="28"/>
                <w:lang w:val="lv-LV"/>
              </w:rPr>
              <w:t>.</w:t>
            </w:r>
            <w:r w:rsidR="00642169" w:rsidRPr="001F7AE2">
              <w:rPr>
                <w:sz w:val="28"/>
                <w:szCs w:val="28"/>
                <w:lang w:val="lv-LV"/>
              </w:rPr>
              <w:t xml:space="preserve"> </w:t>
            </w:r>
            <w:r w:rsidR="0023299A" w:rsidRPr="001F7AE2">
              <w:rPr>
                <w:sz w:val="28"/>
                <w:szCs w:val="28"/>
                <w:lang w:val="lv-LV"/>
              </w:rPr>
              <w:t xml:space="preserve">Pašreizējā finanšu un ekonomiskā krīze Latvijā un tās ietekmes analīze ļoti skaidri ir parādījusi, ka īstenojot </w:t>
            </w:r>
            <w:proofErr w:type="spellStart"/>
            <w:r w:rsidR="0023299A" w:rsidRPr="001F7AE2">
              <w:rPr>
                <w:sz w:val="28"/>
                <w:szCs w:val="28"/>
                <w:lang w:val="lv-LV"/>
              </w:rPr>
              <w:t>prociklisku</w:t>
            </w:r>
            <w:proofErr w:type="spellEnd"/>
            <w:r w:rsidR="0023299A" w:rsidRPr="001F7AE2">
              <w:rPr>
                <w:sz w:val="28"/>
                <w:szCs w:val="28"/>
                <w:lang w:val="lv-LV"/>
              </w:rPr>
              <w:t xml:space="preserve"> fiskālo politiku straujas ekonomiskās izaugsmes gados, tiek veicināta ekonomikas pārkaršana, padarot situāciju grūti kontrolēj</w:t>
            </w:r>
            <w:r w:rsidR="00FE1FC5" w:rsidRPr="001F7AE2">
              <w:rPr>
                <w:sz w:val="28"/>
                <w:szCs w:val="28"/>
                <w:lang w:val="lv-LV"/>
              </w:rPr>
              <w:t>a</w:t>
            </w:r>
            <w:r w:rsidR="0023299A" w:rsidRPr="001F7AE2">
              <w:rPr>
                <w:sz w:val="28"/>
                <w:szCs w:val="28"/>
                <w:lang w:val="lv-LV"/>
              </w:rPr>
              <w:t xml:space="preserve">mu brīdī, </w:t>
            </w:r>
            <w:r w:rsidR="00454E46" w:rsidRPr="001F7AE2">
              <w:rPr>
                <w:sz w:val="28"/>
                <w:szCs w:val="28"/>
                <w:lang w:val="lv-LV"/>
              </w:rPr>
              <w:t>kad sākas ekonomiskā lejupslīde, l</w:t>
            </w:r>
            <w:r w:rsidR="00B25DCB" w:rsidRPr="001F7AE2">
              <w:rPr>
                <w:sz w:val="28"/>
                <w:szCs w:val="28"/>
                <w:lang w:val="lv-LV"/>
              </w:rPr>
              <w:t xml:space="preserve">īdz ar to </w:t>
            </w:r>
            <w:r w:rsidR="0023299A" w:rsidRPr="001F7AE2">
              <w:rPr>
                <w:sz w:val="28"/>
                <w:szCs w:val="28"/>
                <w:lang w:val="lv-LV"/>
              </w:rPr>
              <w:t xml:space="preserve">turpmāko fiskālo politiku </w:t>
            </w:r>
            <w:r w:rsidR="00B25DCB" w:rsidRPr="001F7AE2">
              <w:rPr>
                <w:sz w:val="28"/>
                <w:szCs w:val="28"/>
                <w:lang w:val="lv-LV"/>
              </w:rPr>
              <w:t>nepieciešams</w:t>
            </w:r>
            <w:r w:rsidR="0023299A" w:rsidRPr="001F7AE2">
              <w:rPr>
                <w:sz w:val="28"/>
                <w:szCs w:val="28"/>
                <w:lang w:val="lv-LV"/>
              </w:rPr>
              <w:t xml:space="preserve"> balstīt uz </w:t>
            </w:r>
            <w:proofErr w:type="spellStart"/>
            <w:r w:rsidR="0023299A" w:rsidRPr="001F7AE2">
              <w:rPr>
                <w:sz w:val="28"/>
                <w:szCs w:val="28"/>
                <w:lang w:val="lv-LV"/>
              </w:rPr>
              <w:t>pretciklis</w:t>
            </w:r>
            <w:r w:rsidR="00297AFA" w:rsidRPr="001F7AE2">
              <w:rPr>
                <w:sz w:val="28"/>
                <w:szCs w:val="28"/>
                <w:lang w:val="lv-LV"/>
              </w:rPr>
              <w:t>kuma</w:t>
            </w:r>
            <w:proofErr w:type="spellEnd"/>
            <w:r w:rsidR="0023299A" w:rsidRPr="001F7AE2">
              <w:rPr>
                <w:sz w:val="28"/>
                <w:szCs w:val="28"/>
                <w:lang w:val="lv-LV"/>
              </w:rPr>
              <w:t xml:space="preserve"> principu.</w:t>
            </w:r>
            <w:r w:rsidRPr="001F7AE2">
              <w:rPr>
                <w:sz w:val="28"/>
                <w:szCs w:val="28"/>
                <w:lang w:val="lv-LV"/>
              </w:rPr>
              <w:t xml:space="preserve"> </w:t>
            </w:r>
          </w:p>
          <w:p w:rsidR="003474BD" w:rsidRPr="001F7AE2" w:rsidRDefault="00B511FD" w:rsidP="000D1AB1">
            <w:pPr>
              <w:ind w:firstLine="694"/>
              <w:jc w:val="both"/>
              <w:rPr>
                <w:sz w:val="28"/>
                <w:szCs w:val="28"/>
                <w:lang w:val="lv-LV"/>
              </w:rPr>
            </w:pPr>
            <w:r w:rsidRPr="001F7AE2">
              <w:rPr>
                <w:sz w:val="28"/>
                <w:szCs w:val="28"/>
                <w:lang w:val="lv-LV"/>
              </w:rPr>
              <w:t xml:space="preserve">Lai nepieļautu </w:t>
            </w:r>
            <w:r w:rsidR="004C1B78" w:rsidRPr="001F7AE2">
              <w:rPr>
                <w:sz w:val="28"/>
                <w:szCs w:val="28"/>
                <w:lang w:val="lv-LV"/>
              </w:rPr>
              <w:t>līdzīgas</w:t>
            </w:r>
            <w:r w:rsidRPr="001F7AE2">
              <w:rPr>
                <w:sz w:val="28"/>
                <w:szCs w:val="28"/>
                <w:lang w:val="lv-LV"/>
              </w:rPr>
              <w:t xml:space="preserve"> situācijas atkārtošanos nākotnē un samazinātu valsts ievainojamību nākamo iespējamo globālo ekonomisko un finanšu krīžu gadījumos, ir nepieciešams tiesisks regulējums, kas nodrošinātu stingru fiskālo disciplīnu</w:t>
            </w:r>
            <w:r w:rsidR="009A2446" w:rsidRPr="001F7AE2">
              <w:rPr>
                <w:sz w:val="28"/>
                <w:szCs w:val="28"/>
                <w:lang w:val="lv-LV"/>
              </w:rPr>
              <w:t xml:space="preserve"> ilgtermiņā</w:t>
            </w:r>
            <w:r w:rsidRPr="001F7AE2">
              <w:rPr>
                <w:sz w:val="28"/>
                <w:szCs w:val="28"/>
                <w:lang w:val="lv-LV"/>
              </w:rPr>
              <w:t>.</w:t>
            </w:r>
            <w:r w:rsidR="003B11F9" w:rsidRPr="001F7AE2">
              <w:rPr>
                <w:sz w:val="28"/>
                <w:szCs w:val="28"/>
                <w:lang w:val="lv-LV"/>
              </w:rPr>
              <w:t xml:space="preserve"> </w:t>
            </w:r>
            <w:r w:rsidR="00FC5B3A" w:rsidRPr="001F7AE2">
              <w:rPr>
                <w:sz w:val="28"/>
                <w:szCs w:val="28"/>
                <w:lang w:val="lv-LV"/>
              </w:rPr>
              <w:t xml:space="preserve">FDL </w:t>
            </w:r>
            <w:r w:rsidR="00281D65" w:rsidRPr="001F7AE2">
              <w:rPr>
                <w:sz w:val="28"/>
                <w:szCs w:val="28"/>
                <w:lang w:val="lv-LV"/>
              </w:rPr>
              <w:t>apstiprināšana un ieviešana nodrošinātu valsts tautsaimniecības attīstību</w:t>
            </w:r>
            <w:r w:rsidR="009A2446" w:rsidRPr="001F7AE2">
              <w:rPr>
                <w:sz w:val="28"/>
                <w:szCs w:val="28"/>
                <w:lang w:val="lv-LV"/>
              </w:rPr>
              <w:t xml:space="preserve"> ilgtermiņā</w:t>
            </w:r>
            <w:r w:rsidR="00281D65" w:rsidRPr="001F7AE2">
              <w:rPr>
                <w:sz w:val="28"/>
                <w:szCs w:val="28"/>
                <w:lang w:val="lv-LV"/>
              </w:rPr>
              <w:t xml:space="preserve">. </w:t>
            </w:r>
          </w:p>
          <w:p w:rsidR="00EE53BC" w:rsidRPr="001F7AE2" w:rsidRDefault="00EE53BC" w:rsidP="000D1AB1">
            <w:pPr>
              <w:ind w:firstLine="694"/>
              <w:jc w:val="both"/>
              <w:rPr>
                <w:sz w:val="28"/>
                <w:szCs w:val="28"/>
                <w:lang w:val="lv-LV"/>
              </w:rPr>
            </w:pPr>
            <w:r w:rsidRPr="001F7AE2">
              <w:rPr>
                <w:sz w:val="28"/>
                <w:szCs w:val="28"/>
                <w:lang w:val="lv-LV"/>
              </w:rPr>
              <w:lastRenderedPageBreak/>
              <w:t>FDL nepieciešamību raksturo arī tādu būtisku rādītāju kā valsts kredītreitinga un finanšu resursu piesaistīšanas cenas izmaiņas, reaģējot uz veiktajiem pasākumiem fiskālās politikas jomā.</w:t>
            </w:r>
          </w:p>
          <w:p w:rsidR="008E47B3" w:rsidRPr="001F7AE2" w:rsidRDefault="005916E1" w:rsidP="00FE1FC5">
            <w:pPr>
              <w:pStyle w:val="Default"/>
              <w:ind w:firstLine="694"/>
              <w:jc w:val="both"/>
              <w:rPr>
                <w:rFonts w:ascii="Times New Roman" w:hAnsi="Times New Roman"/>
                <w:sz w:val="28"/>
                <w:szCs w:val="28"/>
              </w:rPr>
            </w:pPr>
            <w:r w:rsidRPr="001F7AE2">
              <w:rPr>
                <w:rFonts w:ascii="Times New Roman" w:hAnsi="Times New Roman"/>
                <w:sz w:val="28"/>
                <w:szCs w:val="28"/>
              </w:rPr>
              <w:t>A</w:t>
            </w:r>
            <w:r w:rsidR="00AA2A73" w:rsidRPr="001F7AE2">
              <w:rPr>
                <w:rFonts w:ascii="Times New Roman" w:hAnsi="Times New Roman"/>
                <w:sz w:val="28"/>
                <w:szCs w:val="28"/>
              </w:rPr>
              <w:t>pņemšan</w:t>
            </w:r>
            <w:r w:rsidRPr="001F7AE2">
              <w:rPr>
                <w:rFonts w:ascii="Times New Roman" w:hAnsi="Times New Roman"/>
                <w:sz w:val="28"/>
                <w:szCs w:val="28"/>
              </w:rPr>
              <w:t>ā</w:t>
            </w:r>
            <w:r w:rsidR="00AA2A73" w:rsidRPr="001F7AE2">
              <w:rPr>
                <w:rFonts w:ascii="Times New Roman" w:hAnsi="Times New Roman"/>
                <w:sz w:val="28"/>
                <w:szCs w:val="28"/>
              </w:rPr>
              <w:t xml:space="preserve">s izstrādāt </w:t>
            </w:r>
            <w:r w:rsidR="00BF2B64" w:rsidRPr="001F7AE2">
              <w:rPr>
                <w:rFonts w:ascii="Times New Roman" w:hAnsi="Times New Roman"/>
                <w:sz w:val="28"/>
                <w:szCs w:val="28"/>
              </w:rPr>
              <w:t>FDL</w:t>
            </w:r>
            <w:r w:rsidRPr="001F7AE2">
              <w:rPr>
                <w:rFonts w:ascii="Times New Roman" w:hAnsi="Times New Roman"/>
                <w:sz w:val="28"/>
                <w:szCs w:val="28"/>
              </w:rPr>
              <w:t xml:space="preserve"> </w:t>
            </w:r>
            <w:r w:rsidR="00BF5D1C" w:rsidRPr="001F7AE2">
              <w:rPr>
                <w:rFonts w:ascii="Times New Roman" w:hAnsi="Times New Roman"/>
                <w:sz w:val="28"/>
                <w:szCs w:val="28"/>
              </w:rPr>
              <w:t>ir</w:t>
            </w:r>
            <w:r w:rsidR="0031073D" w:rsidRPr="001F7AE2">
              <w:rPr>
                <w:rFonts w:ascii="Times New Roman" w:hAnsi="Times New Roman"/>
                <w:sz w:val="28"/>
                <w:szCs w:val="28"/>
              </w:rPr>
              <w:t xml:space="preserve"> ietverta</w:t>
            </w:r>
            <w:r w:rsidR="00281D65" w:rsidRPr="001F7AE2">
              <w:rPr>
                <w:rFonts w:ascii="Times New Roman" w:hAnsi="Times New Roman"/>
                <w:bCs/>
                <w:sz w:val="28"/>
                <w:szCs w:val="28"/>
              </w:rPr>
              <w:t xml:space="preserve"> </w:t>
            </w:r>
            <w:r w:rsidR="00BD401D" w:rsidRPr="001F7AE2">
              <w:rPr>
                <w:rFonts w:ascii="Times New Roman" w:hAnsi="Times New Roman"/>
                <w:bCs/>
                <w:sz w:val="28"/>
                <w:szCs w:val="28"/>
              </w:rPr>
              <w:t xml:space="preserve">arī </w:t>
            </w:r>
            <w:r w:rsidR="00BF5D1C" w:rsidRPr="001F7AE2">
              <w:rPr>
                <w:rFonts w:ascii="Times New Roman" w:hAnsi="Times New Roman"/>
                <w:bCs/>
                <w:sz w:val="28"/>
                <w:szCs w:val="28"/>
              </w:rPr>
              <w:t>2011.</w:t>
            </w:r>
            <w:r w:rsidR="00D71366" w:rsidRPr="001F7AE2">
              <w:rPr>
                <w:rFonts w:ascii="Times New Roman" w:hAnsi="Times New Roman"/>
                <w:bCs/>
                <w:sz w:val="28"/>
                <w:szCs w:val="28"/>
              </w:rPr>
              <w:t xml:space="preserve"> gada </w:t>
            </w:r>
            <w:r w:rsidR="00BF5D1C" w:rsidRPr="001F7AE2">
              <w:rPr>
                <w:rFonts w:ascii="Times New Roman" w:hAnsi="Times New Roman"/>
                <w:sz w:val="28"/>
                <w:szCs w:val="28"/>
              </w:rPr>
              <w:t>9. ma</w:t>
            </w:r>
            <w:r w:rsidR="00364D63" w:rsidRPr="001F7AE2">
              <w:rPr>
                <w:rFonts w:ascii="Times New Roman" w:hAnsi="Times New Roman"/>
                <w:sz w:val="28"/>
                <w:szCs w:val="28"/>
              </w:rPr>
              <w:t xml:space="preserve">ija Nodomu vēstulē Starptautiskajam Valūtas fondam un </w:t>
            </w:r>
            <w:r w:rsidR="00BF5D1C" w:rsidRPr="001F7AE2">
              <w:rPr>
                <w:rFonts w:ascii="Times New Roman" w:hAnsi="Times New Roman"/>
                <w:sz w:val="28"/>
                <w:szCs w:val="28"/>
              </w:rPr>
              <w:t>7</w:t>
            </w:r>
            <w:r w:rsidR="00526D57" w:rsidRPr="001F7AE2">
              <w:rPr>
                <w:rFonts w:ascii="Times New Roman" w:hAnsi="Times New Roman"/>
                <w:sz w:val="28"/>
                <w:szCs w:val="28"/>
              </w:rPr>
              <w:t>. jū</w:t>
            </w:r>
            <w:r w:rsidR="00BF5D1C" w:rsidRPr="001F7AE2">
              <w:rPr>
                <w:rFonts w:ascii="Times New Roman" w:hAnsi="Times New Roman"/>
                <w:sz w:val="28"/>
                <w:szCs w:val="28"/>
              </w:rPr>
              <w:t>n</w:t>
            </w:r>
            <w:r w:rsidR="00526D57" w:rsidRPr="001F7AE2">
              <w:rPr>
                <w:rFonts w:ascii="Times New Roman" w:hAnsi="Times New Roman"/>
                <w:sz w:val="28"/>
                <w:szCs w:val="28"/>
              </w:rPr>
              <w:t>ijā noslēgta</w:t>
            </w:r>
            <w:r w:rsidR="0003386E" w:rsidRPr="001F7AE2">
              <w:rPr>
                <w:rFonts w:ascii="Times New Roman" w:hAnsi="Times New Roman"/>
                <w:sz w:val="28"/>
                <w:szCs w:val="28"/>
              </w:rPr>
              <w:t xml:space="preserve">jā Papildu Saprašanās memorandā (Saprašanās memoranda </w:t>
            </w:r>
            <w:r w:rsidR="00BF5D1C" w:rsidRPr="001F7AE2">
              <w:rPr>
                <w:rFonts w:ascii="Times New Roman" w:hAnsi="Times New Roman"/>
                <w:sz w:val="28"/>
                <w:szCs w:val="28"/>
              </w:rPr>
              <w:t>ceturt</w:t>
            </w:r>
            <w:r w:rsidR="0003386E" w:rsidRPr="001F7AE2">
              <w:rPr>
                <w:rFonts w:ascii="Times New Roman" w:hAnsi="Times New Roman"/>
                <w:sz w:val="28"/>
                <w:szCs w:val="28"/>
              </w:rPr>
              <w:t xml:space="preserve">ais papildinājums) starp Eiropas Savienību </w:t>
            </w:r>
            <w:r w:rsidR="00CC2F1E" w:rsidRPr="001F7AE2">
              <w:rPr>
                <w:rFonts w:ascii="Times New Roman" w:hAnsi="Times New Roman"/>
                <w:sz w:val="28"/>
                <w:szCs w:val="28"/>
              </w:rPr>
              <w:t xml:space="preserve">(turpmāk – ES) </w:t>
            </w:r>
            <w:r w:rsidR="0003386E" w:rsidRPr="001F7AE2">
              <w:rPr>
                <w:rFonts w:ascii="Times New Roman" w:hAnsi="Times New Roman"/>
                <w:sz w:val="28"/>
                <w:szCs w:val="28"/>
              </w:rPr>
              <w:t>un Latvijas Republiku.</w:t>
            </w:r>
          </w:p>
        </w:tc>
      </w:tr>
      <w:tr w:rsidR="003F2F4B" w:rsidRPr="001F7AE2" w:rsidTr="007E1E10">
        <w:trPr>
          <w:trHeight w:val="684"/>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lastRenderedPageBreak/>
              <w:t> 3.</w:t>
            </w:r>
          </w:p>
        </w:tc>
        <w:tc>
          <w:tcPr>
            <w:tcW w:w="3176"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 Saistītie politikas ietekmes novērtējumi un pētījumi</w:t>
            </w:r>
          </w:p>
        </w:tc>
        <w:tc>
          <w:tcPr>
            <w:tcW w:w="5399" w:type="dxa"/>
            <w:tcBorders>
              <w:top w:val="outset" w:sz="6" w:space="0" w:color="auto"/>
              <w:left w:val="outset" w:sz="6" w:space="0" w:color="auto"/>
              <w:bottom w:val="outset" w:sz="6" w:space="0" w:color="auto"/>
              <w:right w:val="outset" w:sz="6" w:space="0" w:color="auto"/>
            </w:tcBorders>
            <w:hideMark/>
          </w:tcPr>
          <w:p w:rsidR="003F2F4B" w:rsidRPr="001F7AE2" w:rsidRDefault="00105C94" w:rsidP="000D1AB1">
            <w:pPr>
              <w:suppressAutoHyphens w:val="0"/>
              <w:spacing w:before="100" w:beforeAutospacing="1" w:after="100" w:afterAutospacing="1"/>
              <w:ind w:firstLine="694"/>
              <w:rPr>
                <w:sz w:val="28"/>
                <w:szCs w:val="28"/>
                <w:lang w:val="lv-LV" w:eastAsia="lv-LV"/>
              </w:rPr>
            </w:pPr>
            <w:r w:rsidRPr="001F7AE2">
              <w:rPr>
                <w:sz w:val="28"/>
                <w:szCs w:val="28"/>
                <w:lang w:val="lv-LV" w:eastAsia="lv-LV"/>
              </w:rPr>
              <w:t>Nav</w:t>
            </w:r>
            <w:r w:rsidR="00AA796D" w:rsidRPr="001F7AE2">
              <w:rPr>
                <w:sz w:val="28"/>
                <w:szCs w:val="28"/>
                <w:lang w:val="lv-LV" w:eastAsia="lv-LV"/>
              </w:rPr>
              <w:t xml:space="preserve"> attiecināms</w:t>
            </w:r>
          </w:p>
        </w:tc>
      </w:tr>
      <w:tr w:rsidR="003F2F4B" w:rsidRPr="00FB1E45" w:rsidTr="007E1E10">
        <w:trPr>
          <w:trHeight w:val="384"/>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 4.</w:t>
            </w:r>
          </w:p>
        </w:tc>
        <w:tc>
          <w:tcPr>
            <w:tcW w:w="3176"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 Tiesiskā regulējuma mērķis un būtība</w:t>
            </w:r>
          </w:p>
        </w:tc>
        <w:tc>
          <w:tcPr>
            <w:tcW w:w="5399" w:type="dxa"/>
            <w:tcBorders>
              <w:top w:val="outset" w:sz="6" w:space="0" w:color="auto"/>
              <w:left w:val="outset" w:sz="6" w:space="0" w:color="auto"/>
              <w:bottom w:val="outset" w:sz="6" w:space="0" w:color="auto"/>
              <w:right w:val="outset" w:sz="6" w:space="0" w:color="auto"/>
            </w:tcBorders>
            <w:hideMark/>
          </w:tcPr>
          <w:p w:rsidR="00BD061A" w:rsidRPr="001F7AE2" w:rsidRDefault="005E321E" w:rsidP="00275A25">
            <w:pPr>
              <w:ind w:firstLine="694"/>
              <w:jc w:val="both"/>
              <w:rPr>
                <w:sz w:val="28"/>
                <w:szCs w:val="28"/>
                <w:lang w:val="lv-LV"/>
              </w:rPr>
            </w:pPr>
            <w:r w:rsidRPr="001F7AE2">
              <w:rPr>
                <w:sz w:val="28"/>
                <w:szCs w:val="28"/>
                <w:lang w:val="lv-LV"/>
              </w:rPr>
              <w:t>FDL</w:t>
            </w:r>
            <w:r w:rsidR="00623A9E" w:rsidRPr="001F7AE2">
              <w:rPr>
                <w:sz w:val="28"/>
                <w:szCs w:val="28"/>
                <w:lang w:val="lv-LV"/>
              </w:rPr>
              <w:t xml:space="preserve"> mērķis ir </w:t>
            </w:r>
            <w:r w:rsidR="00A0101E" w:rsidRPr="001F7AE2">
              <w:rPr>
                <w:sz w:val="28"/>
                <w:szCs w:val="28"/>
                <w:lang w:val="lv-LV"/>
              </w:rPr>
              <w:t>fiskālās politikas nodrošināšana</w:t>
            </w:r>
            <w:r w:rsidR="003F1E32" w:rsidRPr="001F7AE2">
              <w:rPr>
                <w:sz w:val="28"/>
                <w:szCs w:val="28"/>
                <w:lang w:val="lv-LV"/>
              </w:rPr>
              <w:t xml:space="preserve"> ilgtermiņā</w:t>
            </w:r>
            <w:r w:rsidR="00A0101E" w:rsidRPr="001F7AE2">
              <w:rPr>
                <w:sz w:val="28"/>
                <w:szCs w:val="28"/>
                <w:lang w:val="lv-LV"/>
              </w:rPr>
              <w:t xml:space="preserve">. </w:t>
            </w:r>
            <w:r w:rsidR="00BD061A" w:rsidRPr="001F7AE2">
              <w:rPr>
                <w:sz w:val="28"/>
                <w:szCs w:val="28"/>
                <w:lang w:val="lv-LV"/>
              </w:rPr>
              <w:t>Piemērojot FDL</w:t>
            </w:r>
            <w:r w:rsidR="0056281E" w:rsidRPr="001F7AE2">
              <w:rPr>
                <w:sz w:val="28"/>
                <w:szCs w:val="28"/>
                <w:lang w:val="lv-LV"/>
              </w:rPr>
              <w:t>,</w:t>
            </w:r>
            <w:r w:rsidR="00BD061A" w:rsidRPr="001F7AE2">
              <w:rPr>
                <w:sz w:val="28"/>
                <w:szCs w:val="28"/>
                <w:lang w:val="lv-LV"/>
              </w:rPr>
              <w:t xml:space="preserve"> tik</w:t>
            </w:r>
            <w:r w:rsidR="00254CC5" w:rsidRPr="001F7AE2">
              <w:rPr>
                <w:sz w:val="28"/>
                <w:szCs w:val="28"/>
                <w:lang w:val="lv-LV"/>
              </w:rPr>
              <w:t xml:space="preserve">s īstenota </w:t>
            </w:r>
            <w:proofErr w:type="spellStart"/>
            <w:r w:rsidR="00254CC5" w:rsidRPr="001F7AE2">
              <w:rPr>
                <w:sz w:val="28"/>
                <w:szCs w:val="28"/>
                <w:lang w:val="lv-LV"/>
              </w:rPr>
              <w:t>pretcikliska</w:t>
            </w:r>
            <w:proofErr w:type="spellEnd"/>
            <w:r w:rsidR="00254CC5" w:rsidRPr="001F7AE2">
              <w:rPr>
                <w:sz w:val="28"/>
                <w:szCs w:val="28"/>
                <w:lang w:val="lv-LV"/>
              </w:rPr>
              <w:t xml:space="preserve"> fiskālā</w:t>
            </w:r>
            <w:r w:rsidR="00BD061A" w:rsidRPr="001F7AE2">
              <w:rPr>
                <w:sz w:val="28"/>
                <w:szCs w:val="28"/>
                <w:lang w:val="lv-LV"/>
              </w:rPr>
              <w:t xml:space="preserve"> politika, kas </w:t>
            </w:r>
            <w:r w:rsidR="009720CB" w:rsidRPr="001F7AE2">
              <w:rPr>
                <w:sz w:val="28"/>
                <w:szCs w:val="28"/>
                <w:lang w:val="lv-LV"/>
              </w:rPr>
              <w:t xml:space="preserve">nozīmē, ka ekonomikas cikla augšupejas fāzē tiks </w:t>
            </w:r>
            <w:r w:rsidRPr="001F7AE2">
              <w:rPr>
                <w:sz w:val="28"/>
                <w:szCs w:val="28"/>
                <w:lang w:val="lv-LV"/>
              </w:rPr>
              <w:t>īsten</w:t>
            </w:r>
            <w:r w:rsidR="009720CB" w:rsidRPr="001F7AE2">
              <w:rPr>
                <w:sz w:val="28"/>
                <w:szCs w:val="28"/>
                <w:lang w:val="lv-LV"/>
              </w:rPr>
              <w:t>ota ierobežojoša fiskālā politika, bet ek</w:t>
            </w:r>
            <w:r w:rsidR="00F80FE6" w:rsidRPr="001F7AE2">
              <w:rPr>
                <w:sz w:val="28"/>
                <w:szCs w:val="28"/>
                <w:lang w:val="lv-LV"/>
              </w:rPr>
              <w:t>o</w:t>
            </w:r>
            <w:r w:rsidR="00A914F1" w:rsidRPr="001F7AE2">
              <w:rPr>
                <w:sz w:val="28"/>
                <w:szCs w:val="28"/>
                <w:lang w:val="lv-LV"/>
              </w:rPr>
              <w:t>nomikas cikla lejupslīdes fāzē –</w:t>
            </w:r>
            <w:r w:rsidR="00F80FE6" w:rsidRPr="001F7AE2">
              <w:rPr>
                <w:sz w:val="28"/>
                <w:szCs w:val="28"/>
                <w:lang w:val="lv-LV"/>
              </w:rPr>
              <w:t xml:space="preserve"> </w:t>
            </w:r>
            <w:r w:rsidR="009720CB" w:rsidRPr="001F7AE2">
              <w:rPr>
                <w:sz w:val="28"/>
                <w:szCs w:val="28"/>
                <w:lang w:val="lv-LV"/>
              </w:rPr>
              <w:t xml:space="preserve">ekonomikas </w:t>
            </w:r>
            <w:r w:rsidR="00254CC5" w:rsidRPr="001F7AE2">
              <w:rPr>
                <w:sz w:val="28"/>
                <w:szCs w:val="28"/>
                <w:lang w:val="lv-LV"/>
              </w:rPr>
              <w:t>attīstību</w:t>
            </w:r>
            <w:r w:rsidR="009720CB" w:rsidRPr="001F7AE2">
              <w:rPr>
                <w:sz w:val="28"/>
                <w:szCs w:val="28"/>
                <w:lang w:val="lv-LV"/>
              </w:rPr>
              <w:t xml:space="preserve"> stimulējoša fiskālā politika.</w:t>
            </w:r>
            <w:r w:rsidR="00F80FE6" w:rsidRPr="001F7AE2">
              <w:rPr>
                <w:sz w:val="28"/>
                <w:szCs w:val="28"/>
                <w:lang w:val="lv-LV"/>
              </w:rPr>
              <w:t xml:space="preserve"> </w:t>
            </w:r>
          </w:p>
          <w:p w:rsidR="003F2F4B" w:rsidRPr="001F7AE2" w:rsidRDefault="00222FBE" w:rsidP="002C628A">
            <w:pPr>
              <w:ind w:firstLine="694"/>
              <w:jc w:val="both"/>
              <w:rPr>
                <w:sz w:val="28"/>
                <w:szCs w:val="28"/>
                <w:lang w:val="lv-LV"/>
              </w:rPr>
            </w:pPr>
            <w:r w:rsidRPr="001F7AE2">
              <w:rPr>
                <w:sz w:val="28"/>
                <w:szCs w:val="28"/>
                <w:lang w:val="lv-LV"/>
              </w:rPr>
              <w:t xml:space="preserve">Piesardzīga, konsekventa un caurredzama fiskālā politika, kas nodrošina budžeta plānošanu vidējā termiņā, kā arī deficīta un </w:t>
            </w:r>
            <w:r w:rsidR="00275A25" w:rsidRPr="001F7AE2">
              <w:rPr>
                <w:sz w:val="28"/>
                <w:szCs w:val="28"/>
                <w:lang w:val="lv-LV"/>
              </w:rPr>
              <w:t xml:space="preserve">vispārējās valdības </w:t>
            </w:r>
            <w:r w:rsidRPr="001F7AE2">
              <w:rPr>
                <w:sz w:val="28"/>
                <w:szCs w:val="28"/>
                <w:lang w:val="lv-LV"/>
              </w:rPr>
              <w:t xml:space="preserve">parāda strikta kontrole, paaugstinās tautsaimniecības konkurētspēju un samazinās tās ievainojamību ārējo faktoru ietekmes rezultātā. Fiskālās disciplīnas ieviešana un nostiprināšana tiesību aktos dotu arī būtisku pozitīvu </w:t>
            </w:r>
            <w:r w:rsidR="00F2788F" w:rsidRPr="001F7AE2">
              <w:rPr>
                <w:sz w:val="28"/>
                <w:szCs w:val="28"/>
                <w:lang w:val="lv-LV"/>
              </w:rPr>
              <w:t>ieguvumu</w:t>
            </w:r>
            <w:r w:rsidRPr="001F7AE2">
              <w:rPr>
                <w:sz w:val="28"/>
                <w:szCs w:val="28"/>
                <w:lang w:val="lv-LV"/>
              </w:rPr>
              <w:t xml:space="preserve"> finanšu tirgiem, jo nostiprinātu uzticību valsts spējai īstenot budžeta politiku</w:t>
            </w:r>
            <w:r w:rsidR="003F1E32" w:rsidRPr="001F7AE2">
              <w:rPr>
                <w:sz w:val="28"/>
                <w:szCs w:val="28"/>
                <w:lang w:val="lv-LV"/>
              </w:rPr>
              <w:t xml:space="preserve"> ilgtermiņā</w:t>
            </w:r>
            <w:r w:rsidRPr="001F7AE2">
              <w:rPr>
                <w:sz w:val="28"/>
                <w:szCs w:val="28"/>
                <w:lang w:val="lv-LV"/>
              </w:rPr>
              <w:t>. Rezultātā paredz</w:t>
            </w:r>
            <w:r w:rsidR="00F2788F" w:rsidRPr="001F7AE2">
              <w:rPr>
                <w:sz w:val="28"/>
                <w:szCs w:val="28"/>
                <w:lang w:val="lv-LV"/>
              </w:rPr>
              <w:t>ama</w:t>
            </w:r>
            <w:r w:rsidRPr="001F7AE2">
              <w:rPr>
                <w:sz w:val="28"/>
                <w:szCs w:val="28"/>
                <w:lang w:val="lv-LV"/>
              </w:rPr>
              <w:t xml:space="preserve"> kredītreitingu uzlabošan</w:t>
            </w:r>
            <w:r w:rsidR="00F2788F" w:rsidRPr="001F7AE2">
              <w:rPr>
                <w:sz w:val="28"/>
                <w:szCs w:val="28"/>
                <w:lang w:val="lv-LV"/>
              </w:rPr>
              <w:t>ā</w:t>
            </w:r>
            <w:r w:rsidRPr="001F7AE2">
              <w:rPr>
                <w:sz w:val="28"/>
                <w:szCs w:val="28"/>
                <w:lang w:val="lv-LV"/>
              </w:rPr>
              <w:t xml:space="preserve">s, </w:t>
            </w:r>
            <w:r w:rsidR="004862F3" w:rsidRPr="001F7AE2">
              <w:rPr>
                <w:sz w:val="28"/>
                <w:szCs w:val="28"/>
                <w:lang w:val="lv-LV"/>
              </w:rPr>
              <w:t xml:space="preserve">vispārējās </w:t>
            </w:r>
            <w:r w:rsidRPr="001F7AE2">
              <w:rPr>
                <w:sz w:val="28"/>
                <w:szCs w:val="28"/>
                <w:lang w:val="lv-LV"/>
              </w:rPr>
              <w:t>val</w:t>
            </w:r>
            <w:r w:rsidR="006E587B" w:rsidRPr="001F7AE2">
              <w:rPr>
                <w:sz w:val="28"/>
                <w:szCs w:val="28"/>
                <w:lang w:val="lv-LV"/>
              </w:rPr>
              <w:t>dības</w:t>
            </w:r>
            <w:r w:rsidRPr="001F7AE2">
              <w:rPr>
                <w:sz w:val="28"/>
                <w:szCs w:val="28"/>
                <w:lang w:val="lv-LV"/>
              </w:rPr>
              <w:t xml:space="preserve"> parāda apkalpošanas izmaksu samazināšan</w:t>
            </w:r>
            <w:r w:rsidR="00F2788F" w:rsidRPr="001F7AE2">
              <w:rPr>
                <w:sz w:val="28"/>
                <w:szCs w:val="28"/>
                <w:lang w:val="lv-LV"/>
              </w:rPr>
              <w:t>ā</w:t>
            </w:r>
            <w:r w:rsidRPr="001F7AE2">
              <w:rPr>
                <w:sz w:val="28"/>
                <w:szCs w:val="28"/>
                <w:lang w:val="lv-LV"/>
              </w:rPr>
              <w:t>s, kā arī kopējo investīciju apjoma pieaugum</w:t>
            </w:r>
            <w:r w:rsidR="00F2788F" w:rsidRPr="001F7AE2">
              <w:rPr>
                <w:sz w:val="28"/>
                <w:szCs w:val="28"/>
                <w:lang w:val="lv-LV"/>
              </w:rPr>
              <w:t>s</w:t>
            </w:r>
            <w:r w:rsidRPr="001F7AE2">
              <w:rPr>
                <w:sz w:val="28"/>
                <w:szCs w:val="28"/>
                <w:lang w:val="lv-LV"/>
              </w:rPr>
              <w:t xml:space="preserve"> tautsaimniecībā.</w:t>
            </w:r>
          </w:p>
          <w:p w:rsidR="00A914F1" w:rsidRPr="001F7AE2" w:rsidRDefault="000E41E9" w:rsidP="002C628A">
            <w:pPr>
              <w:ind w:firstLine="694"/>
              <w:jc w:val="both"/>
              <w:rPr>
                <w:rStyle w:val="Emphasis"/>
                <w:color w:val="000000"/>
                <w:sz w:val="28"/>
                <w:szCs w:val="28"/>
                <w:lang w:val="lv-LV"/>
              </w:rPr>
            </w:pPr>
            <w:r w:rsidRPr="001F7AE2">
              <w:rPr>
                <w:sz w:val="28"/>
                <w:szCs w:val="28"/>
                <w:lang w:val="lv-LV" w:eastAsia="lv-LV"/>
              </w:rPr>
              <w:t xml:space="preserve">Izstrādātais tiesību akta projekts attiecas </w:t>
            </w:r>
            <w:r w:rsidR="00A914F1" w:rsidRPr="001F7AE2">
              <w:rPr>
                <w:sz w:val="28"/>
                <w:szCs w:val="28"/>
                <w:lang w:val="lv-LV"/>
              </w:rPr>
              <w:t xml:space="preserve">uz </w:t>
            </w:r>
            <w:r w:rsidR="00A914F1" w:rsidRPr="001F7AE2">
              <w:rPr>
                <w:rStyle w:val="Emphasis"/>
                <w:i w:val="0"/>
                <w:sz w:val="28"/>
                <w:szCs w:val="28"/>
                <w:lang w:val="lv-LV"/>
              </w:rPr>
              <w:t xml:space="preserve">valsts un pašvaldību budžeta iestādēm, budžeta nefinansētām iestādēm, no valsts budžeta daļēji finansētām atvasinātām publiskām personām, </w:t>
            </w:r>
            <w:r w:rsidR="00A914F1" w:rsidRPr="001F7AE2">
              <w:rPr>
                <w:rStyle w:val="Emphasis"/>
                <w:i w:val="0"/>
                <w:color w:val="000000"/>
                <w:sz w:val="28"/>
                <w:szCs w:val="28"/>
                <w:lang w:val="lv-LV"/>
              </w:rPr>
              <w:t>kā arī nosaka</w:t>
            </w:r>
            <w:r w:rsidR="00A914F1" w:rsidRPr="001F7AE2">
              <w:rPr>
                <w:rStyle w:val="Emphasis"/>
                <w:color w:val="000000"/>
                <w:sz w:val="28"/>
                <w:szCs w:val="28"/>
                <w:lang w:val="lv-LV"/>
              </w:rPr>
              <w:t xml:space="preserve"> </w:t>
            </w:r>
            <w:r w:rsidR="00A914F1" w:rsidRPr="001F7AE2">
              <w:rPr>
                <w:color w:val="000000"/>
                <w:sz w:val="28"/>
                <w:szCs w:val="28"/>
                <w:lang w:val="lv-LV"/>
              </w:rPr>
              <w:t xml:space="preserve">fiskālās </w:t>
            </w:r>
            <w:r w:rsidR="00A914F1" w:rsidRPr="001F7AE2">
              <w:rPr>
                <w:color w:val="000000"/>
                <w:sz w:val="28"/>
                <w:szCs w:val="28"/>
                <w:lang w:val="lv-LV"/>
              </w:rPr>
              <w:lastRenderedPageBreak/>
              <w:t xml:space="preserve">politikas principus, kas jāievēro arī </w:t>
            </w:r>
            <w:r w:rsidR="00A914F1" w:rsidRPr="001F7AE2">
              <w:rPr>
                <w:rStyle w:val="Emphasis"/>
                <w:i w:val="0"/>
                <w:color w:val="000000"/>
                <w:sz w:val="28"/>
                <w:szCs w:val="28"/>
                <w:lang w:val="lv-LV"/>
              </w:rPr>
              <w:t xml:space="preserve">citām vispārējās valdības sektorā atbilstoši </w:t>
            </w:r>
            <w:r w:rsidR="008B32DB" w:rsidRPr="001F7AE2">
              <w:rPr>
                <w:color w:val="000000"/>
                <w:sz w:val="28"/>
                <w:szCs w:val="28"/>
                <w:lang w:val="lv-LV"/>
              </w:rPr>
              <w:t>ES</w:t>
            </w:r>
            <w:r w:rsidR="00A914F1" w:rsidRPr="001F7AE2">
              <w:rPr>
                <w:color w:val="000000"/>
                <w:sz w:val="28"/>
                <w:szCs w:val="28"/>
                <w:lang w:val="lv-LV"/>
              </w:rPr>
              <w:t xml:space="preserve"> piemērotajai metodoloģijai iekļaujamām institūcijām</w:t>
            </w:r>
            <w:r w:rsidR="00A914F1" w:rsidRPr="001F7AE2">
              <w:rPr>
                <w:rStyle w:val="Emphasis"/>
                <w:color w:val="000000"/>
                <w:sz w:val="28"/>
                <w:szCs w:val="28"/>
                <w:lang w:val="lv-LV"/>
              </w:rPr>
              <w:t>.</w:t>
            </w:r>
          </w:p>
          <w:p w:rsidR="00242E90" w:rsidRPr="001F7AE2" w:rsidRDefault="009E496C" w:rsidP="002C628A">
            <w:pPr>
              <w:ind w:firstLine="694"/>
              <w:jc w:val="both"/>
              <w:rPr>
                <w:sz w:val="28"/>
                <w:szCs w:val="28"/>
                <w:lang w:val="lv-LV"/>
              </w:rPr>
            </w:pPr>
            <w:r w:rsidRPr="001F7AE2">
              <w:rPr>
                <w:sz w:val="28"/>
                <w:szCs w:val="28"/>
                <w:lang w:val="lv-LV"/>
              </w:rPr>
              <w:t>FDL</w:t>
            </w:r>
            <w:r w:rsidR="00421048" w:rsidRPr="001F7AE2">
              <w:rPr>
                <w:sz w:val="28"/>
                <w:szCs w:val="28"/>
                <w:lang w:val="lv-LV"/>
              </w:rPr>
              <w:t xml:space="preserve"> nosaka svarīgākos pamatpr</w:t>
            </w:r>
            <w:r w:rsidR="0056281E" w:rsidRPr="001F7AE2">
              <w:rPr>
                <w:sz w:val="28"/>
                <w:szCs w:val="28"/>
                <w:lang w:val="lv-LV"/>
              </w:rPr>
              <w:t>incipus un fiskālos nosacījumus</w:t>
            </w:r>
            <w:r w:rsidR="00421048" w:rsidRPr="001F7AE2">
              <w:rPr>
                <w:sz w:val="28"/>
                <w:szCs w:val="28"/>
                <w:lang w:val="lv-LV"/>
              </w:rPr>
              <w:t xml:space="preserve"> atbildīgas un pārdomātas fiskālās politikas realizēšanai. Kā galveno instrumentu FDL paredz vidēja termiņa budžet</w:t>
            </w:r>
            <w:r w:rsidR="005E795A" w:rsidRPr="001F7AE2">
              <w:rPr>
                <w:sz w:val="28"/>
                <w:szCs w:val="28"/>
                <w:lang w:val="lv-LV"/>
              </w:rPr>
              <w:t>a ietvaru</w:t>
            </w:r>
            <w:r w:rsidR="00421048" w:rsidRPr="001F7AE2">
              <w:rPr>
                <w:sz w:val="28"/>
                <w:szCs w:val="28"/>
                <w:lang w:val="lv-LV"/>
              </w:rPr>
              <w:t xml:space="preserve">, to nostiprinot Vidēja termiņa </w:t>
            </w:r>
            <w:r w:rsidR="00BE7677" w:rsidRPr="001F7AE2">
              <w:rPr>
                <w:sz w:val="28"/>
                <w:szCs w:val="28"/>
                <w:lang w:val="lv-LV"/>
              </w:rPr>
              <w:t>budžeta</w:t>
            </w:r>
            <w:r w:rsidR="00421048" w:rsidRPr="001F7AE2">
              <w:rPr>
                <w:sz w:val="28"/>
                <w:szCs w:val="28"/>
                <w:lang w:val="lv-LV"/>
              </w:rPr>
              <w:t xml:space="preserve"> ietvara likumā (turpmāk – Ietvara likums)</w:t>
            </w:r>
            <w:r w:rsidR="007E1E10" w:rsidRPr="001F7AE2">
              <w:rPr>
                <w:sz w:val="28"/>
                <w:szCs w:val="28"/>
                <w:lang w:val="lv-LV"/>
              </w:rPr>
              <w:t xml:space="preserve">, kas tiek sagatavots katru gadu turpmāko trīs gadu periodam, </w:t>
            </w:r>
            <w:bookmarkStart w:id="0" w:name="OLE_LINK1"/>
            <w:bookmarkStart w:id="1" w:name="OLE_LINK2"/>
            <w:r w:rsidR="00A914F1" w:rsidRPr="001F7AE2">
              <w:rPr>
                <w:sz w:val="28"/>
                <w:szCs w:val="28"/>
                <w:lang w:val="lv-LV"/>
              </w:rPr>
              <w:t>kurā maksimāli pieļaujamais valsts konsolidētā budžeta izdevumu kopējais apjoms pirmajam un otrajam vidēja termiņa budžeta ietvara likuma perioda gadam pārmantots no iepriekšējā vidēja termiņa budžeta ietvara likuma perioda otrā un trešā gada.</w:t>
            </w:r>
            <w:bookmarkEnd w:id="0"/>
            <w:bookmarkEnd w:id="1"/>
            <w:r w:rsidR="007E1E10" w:rsidRPr="001F7AE2">
              <w:rPr>
                <w:sz w:val="28"/>
                <w:szCs w:val="28"/>
                <w:lang w:val="lv-LV"/>
              </w:rPr>
              <w:t xml:space="preserve"> </w:t>
            </w:r>
          </w:p>
          <w:p w:rsidR="00421048" w:rsidRPr="001F7AE2" w:rsidRDefault="001D12B5" w:rsidP="002C628A">
            <w:pPr>
              <w:ind w:firstLine="694"/>
              <w:jc w:val="both"/>
              <w:rPr>
                <w:sz w:val="28"/>
                <w:szCs w:val="28"/>
                <w:lang w:val="lv-LV"/>
              </w:rPr>
            </w:pPr>
            <w:r w:rsidRPr="001F7AE2">
              <w:rPr>
                <w:sz w:val="28"/>
                <w:szCs w:val="28"/>
                <w:lang w:val="lv-LV"/>
              </w:rPr>
              <w:t xml:space="preserve">FDL nosaka, ka </w:t>
            </w:r>
            <w:r w:rsidR="0026158B" w:rsidRPr="001F7AE2">
              <w:rPr>
                <w:sz w:val="28"/>
                <w:szCs w:val="28"/>
                <w:lang w:val="lv-LV"/>
              </w:rPr>
              <w:t xml:space="preserve">gadskārtējā valsts budžeta likumprojekts jāsagatavo saskaņā ar to vidēja termiņa budžeta ietvara likumu, kura pirmais gads sakrīt ar sagatavojamā budžeta gadu. </w:t>
            </w:r>
            <w:r w:rsidR="00047127" w:rsidRPr="001F7AE2">
              <w:rPr>
                <w:sz w:val="28"/>
                <w:szCs w:val="28"/>
                <w:lang w:val="lv-LV"/>
              </w:rPr>
              <w:t>FDL nosaka Ietvara likum</w:t>
            </w:r>
            <w:r w:rsidR="009622D7" w:rsidRPr="001F7AE2">
              <w:rPr>
                <w:sz w:val="28"/>
                <w:szCs w:val="28"/>
                <w:lang w:val="lv-LV"/>
              </w:rPr>
              <w:t>ā ietveramos</w:t>
            </w:r>
            <w:r w:rsidR="00047127" w:rsidRPr="001F7AE2">
              <w:rPr>
                <w:sz w:val="28"/>
                <w:szCs w:val="28"/>
                <w:lang w:val="lv-LV"/>
              </w:rPr>
              <w:t xml:space="preserve"> </w:t>
            </w:r>
            <w:r w:rsidR="009622D7" w:rsidRPr="001F7AE2">
              <w:rPr>
                <w:sz w:val="28"/>
                <w:szCs w:val="28"/>
                <w:lang w:val="lv-LV"/>
              </w:rPr>
              <w:t xml:space="preserve">fiskālos </w:t>
            </w:r>
            <w:r w:rsidR="00047127" w:rsidRPr="001F7AE2">
              <w:rPr>
                <w:sz w:val="28"/>
                <w:szCs w:val="28"/>
                <w:lang w:val="lv-LV"/>
              </w:rPr>
              <w:t>nosacījumus</w:t>
            </w:r>
            <w:r w:rsidR="006F7C1E" w:rsidRPr="001F7AE2">
              <w:rPr>
                <w:sz w:val="28"/>
                <w:szCs w:val="28"/>
                <w:lang w:val="lv-LV"/>
              </w:rPr>
              <w:t>, Ietvara grozīšanas nosacījumus, kā a</w:t>
            </w:r>
            <w:r w:rsidR="006B3D00" w:rsidRPr="001F7AE2">
              <w:rPr>
                <w:sz w:val="28"/>
                <w:szCs w:val="28"/>
                <w:lang w:val="lv-LV"/>
              </w:rPr>
              <w:t>rī gadskārtējā budžeta grozīšanas nosacījumus</w:t>
            </w:r>
            <w:r w:rsidR="006F7C1E" w:rsidRPr="001F7AE2">
              <w:rPr>
                <w:sz w:val="28"/>
                <w:szCs w:val="28"/>
                <w:lang w:val="lv-LV"/>
              </w:rPr>
              <w:t>.</w:t>
            </w:r>
          </w:p>
          <w:p w:rsidR="006F7C1E" w:rsidRPr="001F7AE2" w:rsidRDefault="006F7C1E" w:rsidP="002C628A">
            <w:pPr>
              <w:ind w:firstLine="694"/>
              <w:jc w:val="both"/>
              <w:rPr>
                <w:sz w:val="28"/>
                <w:szCs w:val="28"/>
                <w:lang w:val="lv-LV"/>
              </w:rPr>
            </w:pPr>
            <w:r w:rsidRPr="001F7AE2">
              <w:rPr>
                <w:sz w:val="28"/>
                <w:szCs w:val="28"/>
                <w:lang w:val="lv-LV"/>
              </w:rPr>
              <w:t xml:space="preserve">Lai nodrošinātu </w:t>
            </w:r>
            <w:proofErr w:type="spellStart"/>
            <w:r w:rsidRPr="001F7AE2">
              <w:rPr>
                <w:sz w:val="28"/>
                <w:szCs w:val="28"/>
                <w:lang w:val="lv-LV"/>
              </w:rPr>
              <w:t>pretciklisku</w:t>
            </w:r>
            <w:proofErr w:type="spellEnd"/>
            <w:r w:rsidRPr="001F7AE2">
              <w:rPr>
                <w:sz w:val="28"/>
                <w:szCs w:val="28"/>
                <w:lang w:val="lv-LV"/>
              </w:rPr>
              <w:t xml:space="preserve"> fiskālo</w:t>
            </w:r>
            <w:r w:rsidR="004311D9" w:rsidRPr="001F7AE2">
              <w:rPr>
                <w:sz w:val="28"/>
                <w:szCs w:val="28"/>
                <w:lang w:val="lv-LV"/>
              </w:rPr>
              <w:t xml:space="preserve"> politiku, FDL tiek noteikta</w:t>
            </w:r>
            <w:r w:rsidRPr="001F7AE2">
              <w:rPr>
                <w:sz w:val="28"/>
                <w:szCs w:val="28"/>
                <w:lang w:val="lv-LV"/>
              </w:rPr>
              <w:t xml:space="preserve"> Konsolidētā kopbudžeta bilances sākotnēj</w:t>
            </w:r>
            <w:r w:rsidR="004311D9" w:rsidRPr="001F7AE2">
              <w:rPr>
                <w:sz w:val="28"/>
                <w:szCs w:val="28"/>
                <w:lang w:val="lv-LV"/>
              </w:rPr>
              <w:t>ā līmeņa aprēķināšanas</w:t>
            </w:r>
            <w:r w:rsidRPr="001F7AE2">
              <w:rPr>
                <w:sz w:val="28"/>
                <w:szCs w:val="28"/>
                <w:lang w:val="lv-LV"/>
              </w:rPr>
              <w:t xml:space="preserve"> </w:t>
            </w:r>
            <w:r w:rsidR="004311D9" w:rsidRPr="001F7AE2">
              <w:rPr>
                <w:sz w:val="28"/>
                <w:szCs w:val="28"/>
                <w:lang w:val="lv-LV"/>
              </w:rPr>
              <w:t xml:space="preserve">formula </w:t>
            </w:r>
            <w:r w:rsidRPr="001F7AE2">
              <w:rPr>
                <w:sz w:val="28"/>
                <w:szCs w:val="28"/>
                <w:lang w:val="lv-LV"/>
              </w:rPr>
              <w:t>pēc  Eiropas kontu sistēmas metodoloģijas</w:t>
            </w:r>
            <w:r w:rsidR="004311D9" w:rsidRPr="001F7AE2">
              <w:rPr>
                <w:sz w:val="28"/>
                <w:szCs w:val="28"/>
                <w:lang w:val="lv-LV"/>
              </w:rPr>
              <w:t>.</w:t>
            </w:r>
          </w:p>
          <w:p w:rsidR="004311D9" w:rsidRPr="001F7AE2" w:rsidRDefault="004311D9" w:rsidP="002C628A">
            <w:pPr>
              <w:ind w:firstLine="694"/>
              <w:jc w:val="both"/>
              <w:rPr>
                <w:sz w:val="28"/>
                <w:szCs w:val="28"/>
                <w:lang w:val="lv-LV"/>
              </w:rPr>
            </w:pPr>
            <w:r w:rsidRPr="001F7AE2">
              <w:rPr>
                <w:sz w:val="28"/>
                <w:szCs w:val="28"/>
                <w:lang w:val="lv-LV"/>
              </w:rPr>
              <w:t xml:space="preserve">Lai </w:t>
            </w:r>
            <w:r w:rsidR="00911897" w:rsidRPr="001F7AE2">
              <w:rPr>
                <w:sz w:val="28"/>
                <w:szCs w:val="28"/>
                <w:lang w:val="lv-LV"/>
              </w:rPr>
              <w:t>nodrošinātu vispārējās valdības fiskālās bilances plānoto līmeni nelielu makroekonomisko svārstību un iespējamo saistību izpildes nepieciešamības gadījumā, FDL paredz Fiskālās nodrošinājuma rezervi 0,5% no IKP apmērā.</w:t>
            </w:r>
          </w:p>
          <w:p w:rsidR="004311D9" w:rsidRPr="001F7AE2" w:rsidRDefault="006F7C1E" w:rsidP="002C628A">
            <w:pPr>
              <w:ind w:firstLine="694"/>
              <w:jc w:val="both"/>
              <w:rPr>
                <w:sz w:val="28"/>
                <w:szCs w:val="28"/>
                <w:lang w:val="lv-LV"/>
              </w:rPr>
            </w:pPr>
            <w:r w:rsidRPr="001F7AE2">
              <w:rPr>
                <w:sz w:val="28"/>
                <w:szCs w:val="28"/>
                <w:lang w:val="lv-LV"/>
              </w:rPr>
              <w:t xml:space="preserve">Lai nodrošinātu pakāpenisku pilnīgu fiskālo disciplīnu principu ieviešanu, </w:t>
            </w:r>
            <w:r w:rsidR="00344473" w:rsidRPr="001F7AE2">
              <w:rPr>
                <w:sz w:val="28"/>
                <w:szCs w:val="28"/>
                <w:lang w:val="lv-LV"/>
              </w:rPr>
              <w:t>FDL</w:t>
            </w:r>
            <w:r w:rsidR="00F74CF8" w:rsidRPr="001F7AE2">
              <w:rPr>
                <w:sz w:val="28"/>
                <w:szCs w:val="28"/>
                <w:lang w:val="lv-LV"/>
              </w:rPr>
              <w:t xml:space="preserve"> pārejas noteikumi paredz</w:t>
            </w:r>
            <w:r w:rsidRPr="001F7AE2">
              <w:rPr>
                <w:sz w:val="28"/>
                <w:szCs w:val="28"/>
                <w:lang w:val="lv-LV"/>
              </w:rPr>
              <w:t xml:space="preserve">, ka sāk </w:t>
            </w:r>
            <w:r w:rsidR="004311D9" w:rsidRPr="001F7AE2">
              <w:rPr>
                <w:sz w:val="28"/>
                <w:szCs w:val="28"/>
                <w:lang w:val="lv-LV"/>
              </w:rPr>
              <w:t xml:space="preserve">piemērot bilances aprēķināšanas formulu </w:t>
            </w:r>
            <w:r w:rsidRPr="001F7AE2">
              <w:rPr>
                <w:sz w:val="28"/>
                <w:szCs w:val="28"/>
                <w:lang w:val="lv-LV"/>
              </w:rPr>
              <w:t xml:space="preserve">tikai </w:t>
            </w:r>
            <w:r w:rsidR="004311D9" w:rsidRPr="001F7AE2">
              <w:rPr>
                <w:sz w:val="28"/>
                <w:szCs w:val="28"/>
                <w:lang w:val="lv-LV"/>
              </w:rPr>
              <w:t xml:space="preserve">ar 2015.gadu, savukārt 2013. un 2014.gadam konsolidētā kopbudžeta bilances līmeni nosaka atbilstoši Latvijas Konverģences programmā </w:t>
            </w:r>
            <w:r w:rsidR="004311D9" w:rsidRPr="001F7AE2">
              <w:rPr>
                <w:sz w:val="28"/>
                <w:szCs w:val="28"/>
                <w:lang w:val="lv-LV"/>
              </w:rPr>
              <w:lastRenderedPageBreak/>
              <w:t xml:space="preserve">attiecīgajam gadam noteiktai vērtībai. </w:t>
            </w:r>
          </w:p>
          <w:p w:rsidR="00911897" w:rsidRPr="001F7AE2" w:rsidRDefault="00911897" w:rsidP="00911897">
            <w:pPr>
              <w:ind w:firstLine="694"/>
              <w:jc w:val="both"/>
              <w:rPr>
                <w:sz w:val="28"/>
                <w:szCs w:val="28"/>
                <w:lang w:val="lv-LV"/>
              </w:rPr>
            </w:pPr>
            <w:r w:rsidRPr="001F7AE2">
              <w:rPr>
                <w:sz w:val="28"/>
                <w:szCs w:val="28"/>
                <w:lang w:val="lv-LV"/>
              </w:rPr>
              <w:t xml:space="preserve">Lai nodrošinātu stabilu izdevumu vidēja termiņa plānošanu un izslēgtu augsti svārstīgo izdevumu izsaukto, pamatfunkciju izpildei pieejamo finanšu resursu svārstīgumu, atsevišķām izdevumu pozīcijām tiek piemērots izdevumu izlīdzināšanas mehānisms. </w:t>
            </w:r>
          </w:p>
          <w:p w:rsidR="00591AAD" w:rsidRPr="001F7AE2" w:rsidRDefault="00911897" w:rsidP="00591AAD">
            <w:pPr>
              <w:ind w:firstLine="694"/>
              <w:jc w:val="both"/>
              <w:rPr>
                <w:sz w:val="28"/>
                <w:szCs w:val="28"/>
                <w:lang w:val="lv-LV"/>
              </w:rPr>
            </w:pPr>
            <w:r w:rsidRPr="001F7AE2">
              <w:rPr>
                <w:sz w:val="28"/>
                <w:szCs w:val="28"/>
                <w:lang w:val="lv-LV"/>
              </w:rPr>
              <w:t xml:space="preserve"> </w:t>
            </w:r>
            <w:r w:rsidR="00CB2D9F" w:rsidRPr="001F7AE2">
              <w:rPr>
                <w:sz w:val="28"/>
                <w:szCs w:val="28"/>
                <w:lang w:val="lv-LV"/>
              </w:rPr>
              <w:t xml:space="preserve">Lai pilnībā sasniegtu mērķi – </w:t>
            </w:r>
            <w:r w:rsidR="00EB403F" w:rsidRPr="001F7AE2">
              <w:rPr>
                <w:sz w:val="28"/>
                <w:szCs w:val="28"/>
                <w:lang w:val="lv-LV"/>
              </w:rPr>
              <w:t>nostiprināt</w:t>
            </w:r>
            <w:r w:rsidR="00CB2D9F" w:rsidRPr="001F7AE2">
              <w:rPr>
                <w:sz w:val="28"/>
                <w:szCs w:val="28"/>
                <w:lang w:val="lv-LV"/>
              </w:rPr>
              <w:t>u</w:t>
            </w:r>
            <w:r w:rsidR="00EB403F" w:rsidRPr="001F7AE2">
              <w:rPr>
                <w:sz w:val="28"/>
                <w:szCs w:val="28"/>
                <w:lang w:val="lv-LV"/>
              </w:rPr>
              <w:t xml:space="preserve"> fiskālo disciplīnu kā vienu no valsts ekonomiskās stabilitātes un ilgtspējīgas </w:t>
            </w:r>
            <w:r w:rsidR="00E34ADA" w:rsidRPr="001F7AE2">
              <w:rPr>
                <w:sz w:val="28"/>
                <w:szCs w:val="28"/>
                <w:lang w:val="lv-LV"/>
              </w:rPr>
              <w:t>attīstības</w:t>
            </w:r>
            <w:r w:rsidR="00EB403F" w:rsidRPr="001F7AE2">
              <w:rPr>
                <w:sz w:val="28"/>
                <w:szCs w:val="28"/>
                <w:lang w:val="lv-LV"/>
              </w:rPr>
              <w:t xml:space="preserve"> pamata normām, Finanšu ministrija fiskālās disciplīnas būtiskākos nosacījumus, atkarībā no attiecīgā normatīvā akta mērķa, plāno iekļaut</w:t>
            </w:r>
            <w:r w:rsidR="00FE5E63" w:rsidRPr="001F7AE2">
              <w:rPr>
                <w:sz w:val="28"/>
                <w:szCs w:val="28"/>
                <w:lang w:val="lv-LV"/>
              </w:rPr>
              <w:t xml:space="preserve"> arī citos normatīvajos aktos, kas</w:t>
            </w:r>
            <w:r w:rsidR="00EB403F" w:rsidRPr="001F7AE2">
              <w:rPr>
                <w:sz w:val="28"/>
                <w:szCs w:val="28"/>
                <w:lang w:val="lv-LV"/>
              </w:rPr>
              <w:t xml:space="preserve"> kopā ar FDL veidotu vienotu saskaņotu norm</w:t>
            </w:r>
            <w:r w:rsidR="006A2D3F" w:rsidRPr="001F7AE2">
              <w:rPr>
                <w:sz w:val="28"/>
                <w:szCs w:val="28"/>
                <w:lang w:val="lv-LV"/>
              </w:rPr>
              <w:t>atīvo aktu</w:t>
            </w:r>
            <w:r w:rsidR="00EB403F" w:rsidRPr="001F7AE2">
              <w:rPr>
                <w:sz w:val="28"/>
                <w:szCs w:val="28"/>
                <w:lang w:val="lv-LV"/>
              </w:rPr>
              <w:t xml:space="preserve"> kopumu.</w:t>
            </w:r>
            <w:bookmarkStart w:id="2" w:name="_MailOriginal"/>
          </w:p>
          <w:p w:rsidR="00591AAD" w:rsidRPr="001F7AE2" w:rsidRDefault="00591AAD" w:rsidP="00591AAD">
            <w:pPr>
              <w:ind w:firstLine="694"/>
              <w:jc w:val="both"/>
              <w:rPr>
                <w:rStyle w:val="Strong"/>
                <w:color w:val="000000"/>
                <w:sz w:val="28"/>
                <w:szCs w:val="28"/>
                <w:lang w:val="lv-LV"/>
              </w:rPr>
            </w:pPr>
            <w:r w:rsidRPr="001F7AE2">
              <w:rPr>
                <w:rStyle w:val="Strong"/>
                <w:color w:val="000000"/>
                <w:sz w:val="28"/>
                <w:szCs w:val="28"/>
                <w:lang w:val="lv-LV"/>
              </w:rPr>
              <w:t>Skaidrojums par Vispārējās valdības sektora sastāva noteikšanas kārtību:</w:t>
            </w:r>
          </w:p>
          <w:p w:rsidR="00591AAD" w:rsidRPr="001F7AE2" w:rsidRDefault="00591AAD" w:rsidP="00591AAD">
            <w:pPr>
              <w:ind w:firstLine="694"/>
              <w:jc w:val="both"/>
              <w:rPr>
                <w:sz w:val="28"/>
                <w:szCs w:val="28"/>
                <w:lang w:val="lv-LV"/>
              </w:rPr>
            </w:pPr>
            <w:r w:rsidRPr="001F7AE2">
              <w:rPr>
                <w:color w:val="000000"/>
                <w:sz w:val="28"/>
                <w:szCs w:val="28"/>
                <w:lang w:val="lv-LV"/>
              </w:rPr>
              <w:t xml:space="preserve">Vispārējās valdības sektors Latvijā atbilstoši EKS’95 sastāv no trim </w:t>
            </w:r>
            <w:proofErr w:type="spellStart"/>
            <w:r w:rsidRPr="001F7AE2">
              <w:rPr>
                <w:color w:val="000000"/>
                <w:sz w:val="28"/>
                <w:szCs w:val="28"/>
                <w:lang w:val="lv-LV"/>
              </w:rPr>
              <w:t>apakšsektoriem</w:t>
            </w:r>
            <w:proofErr w:type="spellEnd"/>
            <w:r w:rsidRPr="001F7AE2">
              <w:rPr>
                <w:color w:val="000000"/>
                <w:sz w:val="28"/>
                <w:szCs w:val="28"/>
                <w:lang w:val="lv-LV"/>
              </w:rPr>
              <w:t>:</w:t>
            </w:r>
          </w:p>
          <w:p w:rsidR="00591AAD" w:rsidRPr="001F7AE2" w:rsidRDefault="00591AAD" w:rsidP="00591AAD">
            <w:pPr>
              <w:pStyle w:val="NormalWeb"/>
              <w:numPr>
                <w:ilvl w:val="0"/>
                <w:numId w:val="14"/>
              </w:numPr>
              <w:spacing w:before="0" w:after="0"/>
              <w:jc w:val="both"/>
              <w:rPr>
                <w:color w:val="000000"/>
                <w:sz w:val="28"/>
                <w:szCs w:val="28"/>
              </w:rPr>
            </w:pPr>
            <w:r w:rsidRPr="001F7AE2">
              <w:rPr>
                <w:color w:val="000000"/>
                <w:sz w:val="28"/>
                <w:szCs w:val="28"/>
              </w:rPr>
              <w:t xml:space="preserve">centrālās valdības </w:t>
            </w:r>
            <w:proofErr w:type="spellStart"/>
            <w:r w:rsidRPr="001F7AE2">
              <w:rPr>
                <w:color w:val="000000"/>
                <w:sz w:val="28"/>
                <w:szCs w:val="28"/>
              </w:rPr>
              <w:t>apakšsektors</w:t>
            </w:r>
            <w:proofErr w:type="spellEnd"/>
            <w:r w:rsidRPr="001F7AE2">
              <w:rPr>
                <w:color w:val="000000"/>
                <w:sz w:val="28"/>
                <w:szCs w:val="28"/>
              </w:rPr>
              <w:t>;</w:t>
            </w:r>
          </w:p>
          <w:p w:rsidR="00591AAD" w:rsidRPr="001F7AE2" w:rsidRDefault="00591AAD" w:rsidP="00591AAD">
            <w:pPr>
              <w:pStyle w:val="NormalWeb"/>
              <w:numPr>
                <w:ilvl w:val="0"/>
                <w:numId w:val="14"/>
              </w:numPr>
              <w:spacing w:before="0" w:after="0"/>
              <w:jc w:val="both"/>
              <w:rPr>
                <w:color w:val="000000"/>
                <w:sz w:val="28"/>
                <w:szCs w:val="28"/>
              </w:rPr>
            </w:pPr>
            <w:r w:rsidRPr="001F7AE2">
              <w:rPr>
                <w:color w:val="000000"/>
                <w:sz w:val="28"/>
                <w:szCs w:val="28"/>
              </w:rPr>
              <w:t xml:space="preserve">pašvaldību </w:t>
            </w:r>
            <w:proofErr w:type="spellStart"/>
            <w:r w:rsidRPr="001F7AE2">
              <w:rPr>
                <w:color w:val="000000"/>
                <w:sz w:val="28"/>
                <w:szCs w:val="28"/>
              </w:rPr>
              <w:t>apakšsektors</w:t>
            </w:r>
            <w:proofErr w:type="spellEnd"/>
            <w:r w:rsidRPr="001F7AE2">
              <w:rPr>
                <w:color w:val="000000"/>
                <w:sz w:val="28"/>
                <w:szCs w:val="28"/>
              </w:rPr>
              <w:t>;</w:t>
            </w:r>
          </w:p>
          <w:p w:rsidR="00591AAD" w:rsidRPr="001F7AE2" w:rsidRDefault="00591AAD" w:rsidP="00591AAD">
            <w:pPr>
              <w:pStyle w:val="NormalWeb"/>
              <w:numPr>
                <w:ilvl w:val="0"/>
                <w:numId w:val="14"/>
              </w:numPr>
              <w:spacing w:before="0" w:after="0"/>
              <w:jc w:val="both"/>
              <w:rPr>
                <w:color w:val="000000"/>
                <w:sz w:val="28"/>
                <w:szCs w:val="28"/>
              </w:rPr>
            </w:pPr>
            <w:r w:rsidRPr="001F7AE2">
              <w:rPr>
                <w:color w:val="000000"/>
                <w:sz w:val="28"/>
                <w:szCs w:val="28"/>
              </w:rPr>
              <w:t xml:space="preserve">sociālās apdrošināšanas </w:t>
            </w:r>
            <w:proofErr w:type="spellStart"/>
            <w:r w:rsidRPr="001F7AE2">
              <w:rPr>
                <w:color w:val="000000"/>
                <w:sz w:val="28"/>
                <w:szCs w:val="28"/>
              </w:rPr>
              <w:t>apakšsektors</w:t>
            </w:r>
            <w:proofErr w:type="spellEnd"/>
            <w:r w:rsidRPr="001F7AE2">
              <w:rPr>
                <w:color w:val="000000"/>
                <w:sz w:val="28"/>
                <w:szCs w:val="28"/>
              </w:rPr>
              <w:t>.</w:t>
            </w:r>
          </w:p>
          <w:p w:rsidR="00591AAD" w:rsidRPr="001F7AE2" w:rsidRDefault="00591AAD" w:rsidP="00591AAD">
            <w:pPr>
              <w:pStyle w:val="NormalWeb"/>
              <w:spacing w:before="0" w:after="0"/>
              <w:jc w:val="both"/>
              <w:rPr>
                <w:color w:val="000000"/>
                <w:sz w:val="28"/>
                <w:szCs w:val="28"/>
              </w:rPr>
            </w:pPr>
            <w:r w:rsidRPr="001F7AE2">
              <w:rPr>
                <w:color w:val="000000"/>
                <w:sz w:val="28"/>
                <w:szCs w:val="28"/>
              </w:rPr>
              <w:t xml:space="preserve">Vispārējās valdības sektorā uz 2010. gada 31.decembri bija 1264 neatkarīgas budžeta iestādes, no tām centrālās valdības </w:t>
            </w:r>
            <w:proofErr w:type="spellStart"/>
            <w:r w:rsidRPr="001F7AE2">
              <w:rPr>
                <w:color w:val="000000"/>
                <w:sz w:val="28"/>
                <w:szCs w:val="28"/>
              </w:rPr>
              <w:t>apakšsektorā</w:t>
            </w:r>
            <w:proofErr w:type="spellEnd"/>
            <w:r w:rsidRPr="001F7AE2">
              <w:rPr>
                <w:color w:val="000000"/>
                <w:sz w:val="28"/>
                <w:szCs w:val="28"/>
              </w:rPr>
              <w:t xml:space="preserve"> - 321 iestāde, pašvaldību </w:t>
            </w:r>
            <w:proofErr w:type="spellStart"/>
            <w:r w:rsidRPr="001F7AE2">
              <w:rPr>
                <w:color w:val="000000"/>
                <w:sz w:val="28"/>
                <w:szCs w:val="28"/>
              </w:rPr>
              <w:t>apakšsektorā</w:t>
            </w:r>
            <w:proofErr w:type="spellEnd"/>
            <w:r w:rsidRPr="001F7AE2">
              <w:rPr>
                <w:color w:val="000000"/>
                <w:sz w:val="28"/>
                <w:szCs w:val="28"/>
              </w:rPr>
              <w:t xml:space="preserve"> – 942 iestādes un sociālās apdrošināšanas fonda </w:t>
            </w:r>
            <w:proofErr w:type="spellStart"/>
            <w:r w:rsidRPr="001F7AE2">
              <w:rPr>
                <w:color w:val="000000"/>
                <w:sz w:val="28"/>
                <w:szCs w:val="28"/>
              </w:rPr>
              <w:t>apakšsektorā</w:t>
            </w:r>
            <w:proofErr w:type="spellEnd"/>
            <w:r w:rsidRPr="001F7AE2">
              <w:rPr>
                <w:color w:val="000000"/>
                <w:sz w:val="28"/>
                <w:szCs w:val="28"/>
              </w:rPr>
              <w:t xml:space="preserve"> – 1 iestāde, turklāt - 140 valsts un pašvaldību kontrolēti un finansēti komersanti, no tiem valsts kontrolēti – 39 komersanti, pašvaldību kontrolēti – 91 komersants.</w:t>
            </w:r>
          </w:p>
          <w:p w:rsidR="00591AAD" w:rsidRPr="001F7AE2" w:rsidRDefault="00591AAD" w:rsidP="00591AAD">
            <w:pPr>
              <w:pStyle w:val="NormalWeb"/>
              <w:spacing w:before="0" w:after="0"/>
              <w:ind w:firstLine="694"/>
              <w:jc w:val="both"/>
              <w:rPr>
                <w:color w:val="000000"/>
                <w:sz w:val="28"/>
                <w:szCs w:val="28"/>
              </w:rPr>
            </w:pPr>
            <w:r w:rsidRPr="001F7AE2">
              <w:rPr>
                <w:color w:val="000000"/>
                <w:sz w:val="28"/>
                <w:szCs w:val="28"/>
              </w:rPr>
              <w:t>Uz vispārējās valdības sektoru attiecināmo komersantu sarakstu sastāda Centrālā statistikas pārvalde (CSP), pārbaudot komersanta atbilstību šādiem kritērijiem:</w:t>
            </w:r>
          </w:p>
          <w:p w:rsidR="00591AAD" w:rsidRPr="001F7AE2" w:rsidRDefault="00591AAD" w:rsidP="00591AAD">
            <w:pPr>
              <w:pStyle w:val="NormalWeb"/>
              <w:numPr>
                <w:ilvl w:val="0"/>
                <w:numId w:val="15"/>
              </w:numPr>
              <w:spacing w:before="0" w:after="0"/>
              <w:jc w:val="both"/>
              <w:rPr>
                <w:color w:val="000000"/>
                <w:sz w:val="28"/>
                <w:szCs w:val="28"/>
              </w:rPr>
            </w:pPr>
            <w:r w:rsidRPr="001F7AE2">
              <w:rPr>
                <w:color w:val="000000"/>
                <w:sz w:val="28"/>
                <w:szCs w:val="28"/>
              </w:rPr>
              <w:t>vai tam ir institucionālas vienības pazīmes;</w:t>
            </w:r>
          </w:p>
          <w:p w:rsidR="00591AAD" w:rsidRPr="001F7AE2" w:rsidRDefault="00591AAD" w:rsidP="00591AAD">
            <w:pPr>
              <w:pStyle w:val="NormalWeb"/>
              <w:numPr>
                <w:ilvl w:val="0"/>
                <w:numId w:val="15"/>
              </w:numPr>
              <w:spacing w:before="0" w:after="0"/>
              <w:jc w:val="both"/>
              <w:rPr>
                <w:color w:val="000000"/>
                <w:sz w:val="28"/>
                <w:szCs w:val="28"/>
              </w:rPr>
            </w:pPr>
            <w:r w:rsidRPr="001F7AE2">
              <w:rPr>
                <w:color w:val="000000"/>
                <w:sz w:val="28"/>
                <w:szCs w:val="28"/>
              </w:rPr>
              <w:t>vai tas ir piederīgs publiskajam sektoram (valsts un pašvaldību līdzdalība komersanta pamatkapitālā pārsniedz 50 %);</w:t>
            </w:r>
          </w:p>
          <w:p w:rsidR="00591AAD" w:rsidRPr="001F7AE2" w:rsidRDefault="00591AAD" w:rsidP="00591AAD">
            <w:pPr>
              <w:pStyle w:val="NormalWeb"/>
              <w:numPr>
                <w:ilvl w:val="0"/>
                <w:numId w:val="15"/>
              </w:numPr>
              <w:spacing w:before="0" w:after="0"/>
              <w:jc w:val="both"/>
              <w:rPr>
                <w:color w:val="000000"/>
                <w:sz w:val="28"/>
                <w:szCs w:val="28"/>
              </w:rPr>
            </w:pPr>
            <w:r w:rsidRPr="001F7AE2">
              <w:rPr>
                <w:color w:val="000000"/>
                <w:sz w:val="28"/>
                <w:szCs w:val="28"/>
              </w:rPr>
              <w:lastRenderedPageBreak/>
              <w:t>vai tas ir uzskatāms par ārpustirgus publiskā sektora institucionālo vienību.</w:t>
            </w:r>
          </w:p>
          <w:p w:rsidR="00591AAD" w:rsidRPr="001F7AE2" w:rsidRDefault="00591AAD" w:rsidP="00591AAD">
            <w:pPr>
              <w:pStyle w:val="NormalWeb"/>
              <w:spacing w:before="0" w:after="0"/>
              <w:jc w:val="both"/>
              <w:rPr>
                <w:color w:val="000000"/>
                <w:sz w:val="28"/>
                <w:szCs w:val="28"/>
              </w:rPr>
            </w:pPr>
            <w:r w:rsidRPr="001F7AE2">
              <w:rPr>
                <w:color w:val="000000"/>
                <w:sz w:val="28"/>
                <w:szCs w:val="28"/>
              </w:rPr>
              <w:t xml:space="preserve">Ja vienības galvenā funkcija ir līdzdalība nacionālā ienākuma un bagātības pārdalē un tai ir piešķirts Vispārējās ekonomiskās darbības klasifikācijas NACE 2 </w:t>
            </w:r>
            <w:proofErr w:type="spellStart"/>
            <w:r w:rsidRPr="001F7AE2">
              <w:rPr>
                <w:color w:val="000000"/>
                <w:sz w:val="28"/>
                <w:szCs w:val="28"/>
              </w:rPr>
              <w:t>red</w:t>
            </w:r>
            <w:proofErr w:type="spellEnd"/>
            <w:r w:rsidRPr="001F7AE2">
              <w:rPr>
                <w:color w:val="000000"/>
                <w:sz w:val="28"/>
                <w:szCs w:val="28"/>
              </w:rPr>
              <w:t>. kods, kas sākas ar “84” (klasifikācijas nodaļa “Valsts pārvalde un aizsardzība; obligātā sociālā apdrošināšana”), vienība tiek attiecināta uz vispārējās valdības sektoru. Piederību vispārējās valdības sektoram nosaka, analizējot vienības gada pārskatā sniegtos datus par finansiālo darbību. Analīzē tiek lietoti pēdējo piecu gadu pārskatu dati. Ja stabili (pēdējos trijos gados) izpildās nosacījums, ka vienības neto apgrozījums mīnus saņemtie valsts vai pašvaldības budžeta asignējumi ir mazāk nekā 50% no vienības darbības izmaksām, vienība tiek attiecināta uz vispārējās valdības sektoru.</w:t>
            </w:r>
            <w:bookmarkEnd w:id="2"/>
          </w:p>
          <w:p w:rsidR="00591AAD" w:rsidRPr="001F7AE2" w:rsidRDefault="00591AAD" w:rsidP="00591AAD">
            <w:pPr>
              <w:jc w:val="both"/>
              <w:rPr>
                <w:sz w:val="28"/>
                <w:szCs w:val="28"/>
                <w:lang w:val="lv-LV"/>
              </w:rPr>
            </w:pPr>
          </w:p>
        </w:tc>
      </w:tr>
      <w:tr w:rsidR="003F2F4B" w:rsidRPr="00FB1E45" w:rsidTr="007E1E10">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lastRenderedPageBreak/>
              <w:t> 5.</w:t>
            </w:r>
          </w:p>
        </w:tc>
        <w:tc>
          <w:tcPr>
            <w:tcW w:w="3176"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Projekta izstrādē iesaistītās institūcijas</w:t>
            </w:r>
          </w:p>
        </w:tc>
        <w:tc>
          <w:tcPr>
            <w:tcW w:w="5399" w:type="dxa"/>
            <w:tcBorders>
              <w:top w:val="outset" w:sz="6" w:space="0" w:color="auto"/>
              <w:left w:val="outset" w:sz="6" w:space="0" w:color="auto"/>
              <w:bottom w:val="outset" w:sz="6" w:space="0" w:color="auto"/>
              <w:right w:val="outset" w:sz="6" w:space="0" w:color="auto"/>
            </w:tcBorders>
            <w:hideMark/>
          </w:tcPr>
          <w:p w:rsidR="008F7B47" w:rsidRPr="001F7AE2" w:rsidRDefault="009D6248" w:rsidP="008D288F">
            <w:pPr>
              <w:suppressAutoHyphens w:val="0"/>
              <w:ind w:firstLine="694"/>
              <w:jc w:val="both"/>
              <w:rPr>
                <w:sz w:val="28"/>
                <w:szCs w:val="28"/>
                <w:lang w:val="lv-LV"/>
              </w:rPr>
            </w:pPr>
            <w:r w:rsidRPr="001F7AE2">
              <w:rPr>
                <w:sz w:val="28"/>
                <w:szCs w:val="28"/>
                <w:lang w:val="lv-LV"/>
              </w:rPr>
              <w:t xml:space="preserve">Precizētais </w:t>
            </w:r>
            <w:r w:rsidR="004311D9" w:rsidRPr="001F7AE2">
              <w:rPr>
                <w:sz w:val="28"/>
                <w:szCs w:val="28"/>
                <w:lang w:val="lv-LV"/>
              </w:rPr>
              <w:t xml:space="preserve">FDL </w:t>
            </w:r>
            <w:r w:rsidRPr="001F7AE2">
              <w:rPr>
                <w:sz w:val="28"/>
                <w:szCs w:val="28"/>
                <w:lang w:val="lv-LV"/>
              </w:rPr>
              <w:t xml:space="preserve">ir saskaņots ar Tieslietu ministriju, </w:t>
            </w:r>
            <w:r w:rsidR="00CF4AA2" w:rsidRPr="001F7AE2">
              <w:rPr>
                <w:sz w:val="28"/>
                <w:szCs w:val="28"/>
                <w:lang w:val="lv-LV"/>
              </w:rPr>
              <w:t>Starptautiskā Valūtas fonda un Eiropas Komisijas ekspertiem</w:t>
            </w:r>
            <w:r w:rsidRPr="001F7AE2">
              <w:rPr>
                <w:sz w:val="28"/>
                <w:szCs w:val="28"/>
                <w:lang w:val="lv-LV"/>
              </w:rPr>
              <w:t xml:space="preserve">, kā arī Latvijas Bankas ekspertiem. </w:t>
            </w:r>
          </w:p>
          <w:p w:rsidR="008E47B3" w:rsidRPr="001F7AE2" w:rsidRDefault="008E47B3" w:rsidP="008D288F">
            <w:pPr>
              <w:suppressAutoHyphens w:val="0"/>
              <w:ind w:firstLine="694"/>
              <w:jc w:val="both"/>
              <w:rPr>
                <w:sz w:val="28"/>
                <w:szCs w:val="28"/>
                <w:lang w:val="lv-LV"/>
              </w:rPr>
            </w:pPr>
          </w:p>
        </w:tc>
      </w:tr>
      <w:tr w:rsidR="003F2F4B" w:rsidRPr="001F7AE2" w:rsidTr="007E1E10">
        <w:trPr>
          <w:trHeight w:val="1085"/>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 6.</w:t>
            </w:r>
          </w:p>
        </w:tc>
        <w:tc>
          <w:tcPr>
            <w:tcW w:w="3176"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Iemesli, kādēļ netika nodrošināta sabiedrības līdzdalība</w:t>
            </w:r>
          </w:p>
        </w:tc>
        <w:tc>
          <w:tcPr>
            <w:tcW w:w="5399" w:type="dxa"/>
            <w:tcBorders>
              <w:top w:val="outset" w:sz="6" w:space="0" w:color="auto"/>
              <w:left w:val="outset" w:sz="6" w:space="0" w:color="auto"/>
              <w:bottom w:val="outset" w:sz="6" w:space="0" w:color="auto"/>
              <w:right w:val="outset" w:sz="6" w:space="0" w:color="auto"/>
            </w:tcBorders>
            <w:hideMark/>
          </w:tcPr>
          <w:p w:rsidR="00D62B9E" w:rsidRPr="001F7AE2" w:rsidRDefault="00674223" w:rsidP="00C913D9">
            <w:pPr>
              <w:ind w:firstLine="694"/>
              <w:jc w:val="both"/>
              <w:rPr>
                <w:sz w:val="28"/>
                <w:szCs w:val="28"/>
                <w:lang w:val="lv-LV"/>
              </w:rPr>
            </w:pPr>
            <w:r w:rsidRPr="001F7AE2">
              <w:rPr>
                <w:sz w:val="28"/>
                <w:szCs w:val="28"/>
                <w:lang w:val="lv-LV"/>
              </w:rPr>
              <w:t>Nav attiecināms.</w:t>
            </w:r>
          </w:p>
        </w:tc>
      </w:tr>
      <w:tr w:rsidR="003F2F4B" w:rsidRPr="001F7AE2" w:rsidTr="007E1E10">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 7.</w:t>
            </w:r>
          </w:p>
        </w:tc>
        <w:tc>
          <w:tcPr>
            <w:tcW w:w="3176" w:type="dxa"/>
            <w:tcBorders>
              <w:top w:val="outset" w:sz="6" w:space="0" w:color="auto"/>
              <w:left w:val="outset" w:sz="6" w:space="0" w:color="auto"/>
              <w:bottom w:val="outset" w:sz="6" w:space="0" w:color="auto"/>
              <w:right w:val="outset" w:sz="6" w:space="0" w:color="auto"/>
            </w:tcBorders>
            <w:hideMark/>
          </w:tcPr>
          <w:p w:rsidR="003F2F4B" w:rsidRPr="001F7AE2" w:rsidRDefault="003F2F4B" w:rsidP="003F2F4B">
            <w:pPr>
              <w:suppressAutoHyphens w:val="0"/>
              <w:spacing w:before="100" w:beforeAutospacing="1" w:after="100" w:afterAutospacing="1"/>
              <w:rPr>
                <w:sz w:val="28"/>
                <w:szCs w:val="28"/>
                <w:lang w:val="lv-LV" w:eastAsia="lv-LV"/>
              </w:rPr>
            </w:pPr>
            <w:r w:rsidRPr="001F7AE2">
              <w:rPr>
                <w:sz w:val="28"/>
                <w:szCs w:val="28"/>
                <w:lang w:val="lv-LV" w:eastAsia="lv-LV"/>
              </w:rPr>
              <w:t>Cita informācija</w:t>
            </w:r>
          </w:p>
        </w:tc>
        <w:tc>
          <w:tcPr>
            <w:tcW w:w="5399" w:type="dxa"/>
            <w:tcBorders>
              <w:top w:val="outset" w:sz="6" w:space="0" w:color="auto"/>
              <w:left w:val="outset" w:sz="6" w:space="0" w:color="auto"/>
              <w:bottom w:val="outset" w:sz="6" w:space="0" w:color="auto"/>
              <w:right w:val="outset" w:sz="6" w:space="0" w:color="auto"/>
            </w:tcBorders>
            <w:hideMark/>
          </w:tcPr>
          <w:p w:rsidR="008E47B3" w:rsidRPr="001F7AE2" w:rsidRDefault="008E47B3" w:rsidP="009D6248">
            <w:pPr>
              <w:ind w:firstLine="694"/>
              <w:jc w:val="both"/>
              <w:rPr>
                <w:sz w:val="28"/>
                <w:szCs w:val="28"/>
                <w:lang w:val="lv-LV"/>
              </w:rPr>
            </w:pPr>
          </w:p>
        </w:tc>
      </w:tr>
      <w:tr w:rsidR="003F2F4B" w:rsidRPr="001F7AE2" w:rsidTr="007E1E10">
        <w:trPr>
          <w:tblCellSpacing w:w="0" w:type="dxa"/>
        </w:trPr>
        <w:tc>
          <w:tcPr>
            <w:tcW w:w="9100" w:type="dxa"/>
            <w:gridSpan w:val="3"/>
            <w:tcBorders>
              <w:top w:val="outset" w:sz="6" w:space="0" w:color="auto"/>
              <w:left w:val="outset" w:sz="6" w:space="0" w:color="auto"/>
              <w:bottom w:val="outset" w:sz="6" w:space="0" w:color="auto"/>
              <w:right w:val="outset" w:sz="6" w:space="0" w:color="auto"/>
            </w:tcBorders>
            <w:vAlign w:val="center"/>
            <w:hideMark/>
          </w:tcPr>
          <w:p w:rsidR="003F2F4B" w:rsidRPr="001F7AE2" w:rsidRDefault="003F2F4B" w:rsidP="00CD0225">
            <w:pPr>
              <w:suppressAutoHyphens w:val="0"/>
              <w:spacing w:before="100" w:beforeAutospacing="1" w:after="100" w:afterAutospacing="1"/>
              <w:jc w:val="center"/>
              <w:rPr>
                <w:b/>
                <w:sz w:val="28"/>
                <w:szCs w:val="28"/>
                <w:lang w:val="lv-LV" w:eastAsia="lv-LV"/>
              </w:rPr>
            </w:pPr>
            <w:r w:rsidRPr="001F7AE2">
              <w:rPr>
                <w:b/>
                <w:sz w:val="28"/>
                <w:szCs w:val="28"/>
                <w:lang w:val="lv-LV" w:eastAsia="lv-LV"/>
              </w:rPr>
              <w:t>II. Tiesību akta projekta ietekme uz sabiedrību</w:t>
            </w:r>
          </w:p>
        </w:tc>
      </w:tr>
      <w:tr w:rsidR="000F2878" w:rsidRPr="001F7AE2" w:rsidTr="007E1E10">
        <w:trPr>
          <w:trHeight w:val="510"/>
          <w:tblCellSpacing w:w="0" w:type="dxa"/>
        </w:trPr>
        <w:tc>
          <w:tcPr>
            <w:tcW w:w="9100" w:type="dxa"/>
            <w:gridSpan w:val="3"/>
            <w:tcBorders>
              <w:top w:val="outset" w:sz="6" w:space="0" w:color="auto"/>
              <w:left w:val="outset" w:sz="6" w:space="0" w:color="auto"/>
              <w:bottom w:val="outset" w:sz="6" w:space="0" w:color="auto"/>
              <w:right w:val="outset" w:sz="6" w:space="0" w:color="auto"/>
            </w:tcBorders>
            <w:vAlign w:val="center"/>
            <w:hideMark/>
          </w:tcPr>
          <w:p w:rsidR="000F2878" w:rsidRPr="001F7AE2" w:rsidRDefault="003C02CD" w:rsidP="003C02CD">
            <w:pPr>
              <w:suppressAutoHyphens w:val="0"/>
              <w:spacing w:before="100" w:beforeAutospacing="1" w:after="100" w:afterAutospacing="1"/>
              <w:jc w:val="center"/>
              <w:rPr>
                <w:sz w:val="28"/>
                <w:szCs w:val="28"/>
                <w:lang w:val="lv-LV" w:eastAsia="lv-LV"/>
              </w:rPr>
            </w:pPr>
            <w:r w:rsidRPr="001F7AE2">
              <w:rPr>
                <w:sz w:val="28"/>
                <w:szCs w:val="28"/>
                <w:lang w:val="lv-LV" w:eastAsia="lv-LV"/>
              </w:rPr>
              <w:t>Nav attiecināms</w:t>
            </w:r>
          </w:p>
        </w:tc>
      </w:tr>
    </w:tbl>
    <w:p w:rsidR="003F2F4B" w:rsidRPr="001F7AE2" w:rsidRDefault="003F2F4B" w:rsidP="00AE587B">
      <w:pPr>
        <w:suppressAutoHyphens w:val="0"/>
        <w:rPr>
          <w:sz w:val="28"/>
          <w:szCs w:val="28"/>
          <w:lang w:eastAsia="lv-LV"/>
        </w:rPr>
      </w:pPr>
      <w:r w:rsidRPr="001F7AE2">
        <w:rPr>
          <w:sz w:val="28"/>
          <w:szCs w:val="28"/>
          <w:lang w:val="lv-LV" w:eastAsia="lv-LV"/>
        </w:rPr>
        <w:t> </w:t>
      </w:r>
    </w:p>
    <w:tbl>
      <w:tblPr>
        <w:tblW w:w="91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2326"/>
        <w:gridCol w:w="740"/>
        <w:gridCol w:w="483"/>
        <w:gridCol w:w="1281"/>
        <w:gridCol w:w="1276"/>
        <w:gridCol w:w="1276"/>
        <w:gridCol w:w="1181"/>
        <w:gridCol w:w="12"/>
      </w:tblGrid>
      <w:tr w:rsidR="003F2F4B" w:rsidRPr="00EA3CF1" w:rsidTr="00A259B9">
        <w:trPr>
          <w:gridAfter w:val="1"/>
          <w:wAfter w:w="13" w:type="dxa"/>
          <w:trHeight w:val="652"/>
          <w:tblCellSpacing w:w="0" w:type="dxa"/>
        </w:trPr>
        <w:tc>
          <w:tcPr>
            <w:tcW w:w="9087" w:type="dxa"/>
            <w:gridSpan w:val="8"/>
            <w:tcBorders>
              <w:top w:val="outset" w:sz="6" w:space="0" w:color="auto"/>
              <w:left w:val="outset" w:sz="6" w:space="0" w:color="auto"/>
              <w:bottom w:val="outset" w:sz="6" w:space="0" w:color="auto"/>
              <w:right w:val="outset" w:sz="6" w:space="0" w:color="auto"/>
            </w:tcBorders>
            <w:hideMark/>
          </w:tcPr>
          <w:p w:rsidR="003F2F4B" w:rsidRPr="00EA3CF1" w:rsidRDefault="003F2F4B" w:rsidP="00AE587B">
            <w:pPr>
              <w:suppressAutoHyphens w:val="0"/>
              <w:spacing w:before="100" w:beforeAutospacing="1" w:after="100" w:afterAutospacing="1"/>
              <w:jc w:val="center"/>
              <w:rPr>
                <w:b/>
                <w:sz w:val="28"/>
                <w:szCs w:val="28"/>
                <w:lang w:val="lv-LV" w:eastAsia="lv-LV"/>
              </w:rPr>
            </w:pPr>
            <w:r w:rsidRPr="00EA3CF1">
              <w:rPr>
                <w:b/>
                <w:sz w:val="28"/>
                <w:szCs w:val="28"/>
                <w:lang w:val="lv-LV" w:eastAsia="lv-LV"/>
              </w:rPr>
              <w:t>III. Tiesību akta projekta ietekme uz valsts budžetu un pašvaldību budžetiem</w:t>
            </w:r>
          </w:p>
        </w:tc>
      </w:tr>
      <w:tr w:rsidR="003F2F4B" w:rsidRPr="00EA3CF1" w:rsidTr="00A259B9">
        <w:trPr>
          <w:gridAfter w:val="1"/>
          <w:wAfter w:w="13" w:type="dxa"/>
          <w:tblCellSpacing w:w="0" w:type="dxa"/>
        </w:trPr>
        <w:tc>
          <w:tcPr>
            <w:tcW w:w="29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w:t>
            </w:r>
            <w:r w:rsidRPr="00EA3CF1">
              <w:rPr>
                <w:bCs/>
                <w:sz w:val="28"/>
                <w:szCs w:val="28"/>
                <w:lang w:val="lv-LV" w:eastAsia="lv-LV"/>
              </w:rPr>
              <w:t>Rādītāji</w:t>
            </w:r>
          </w:p>
        </w:tc>
        <w:tc>
          <w:tcPr>
            <w:tcW w:w="254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w:t>
            </w:r>
            <w:r w:rsidRPr="00EA3CF1">
              <w:rPr>
                <w:bCs/>
                <w:sz w:val="28"/>
                <w:szCs w:val="28"/>
                <w:lang w:val="lv-LV" w:eastAsia="lv-LV"/>
              </w:rPr>
              <w:t>n-tais gads</w:t>
            </w:r>
          </w:p>
        </w:tc>
        <w:tc>
          <w:tcPr>
            <w:tcW w:w="3587" w:type="dxa"/>
            <w:gridSpan w:val="3"/>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Turpmākie trīs gadi (</w:t>
            </w:r>
            <w:proofErr w:type="spellStart"/>
            <w:r w:rsidRPr="00EA3CF1">
              <w:rPr>
                <w:sz w:val="28"/>
                <w:szCs w:val="28"/>
                <w:lang w:val="lv-LV" w:eastAsia="lv-LV"/>
              </w:rPr>
              <w:t>tūkst</w:t>
            </w:r>
            <w:proofErr w:type="spellEnd"/>
            <w:r w:rsidRPr="00EA3CF1">
              <w:rPr>
                <w:sz w:val="28"/>
                <w:szCs w:val="28"/>
                <w:lang w:val="lv-LV" w:eastAsia="lv-LV"/>
              </w:rPr>
              <w:t>. latu)</w:t>
            </w:r>
          </w:p>
        </w:tc>
      </w:tr>
      <w:tr w:rsidR="003F2F4B" w:rsidRPr="00EA3CF1" w:rsidTr="00A259B9">
        <w:trPr>
          <w:gridAfter w:val="1"/>
          <w:wAfter w:w="1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rPr>
                <w:sz w:val="28"/>
                <w:szCs w:val="28"/>
                <w:lang w:val="lv-LV" w:eastAsia="lv-LV"/>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n+1</w:t>
            </w:r>
          </w:p>
        </w:tc>
        <w:tc>
          <w:tcPr>
            <w:tcW w:w="1285"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n+2</w:t>
            </w:r>
          </w:p>
        </w:tc>
        <w:tc>
          <w:tcPr>
            <w:tcW w:w="1017"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n+3</w:t>
            </w:r>
          </w:p>
        </w:tc>
      </w:tr>
      <w:tr w:rsidR="003F2F4B" w:rsidRPr="00EA3CF1" w:rsidTr="00A259B9">
        <w:trPr>
          <w:gridAfter w:val="1"/>
          <w:wAfter w:w="1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rPr>
                <w:sz w:val="28"/>
                <w:szCs w:val="28"/>
                <w:lang w:val="lv-LV" w:eastAsia="lv-LV"/>
              </w:rPr>
            </w:pPr>
          </w:p>
        </w:tc>
        <w:tc>
          <w:tcPr>
            <w:tcW w:w="1243" w:type="dxa"/>
            <w:gridSpan w:val="2"/>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Saskaņā ar valsts budžetu kārtējam gadam</w:t>
            </w:r>
          </w:p>
        </w:tc>
        <w:tc>
          <w:tcPr>
            <w:tcW w:w="1297"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xml:space="preserve"> Izmaiņas kārtējā gadā, salīdzinot ar budžetu kārtējam </w:t>
            </w:r>
            <w:r w:rsidRPr="00EA3CF1">
              <w:rPr>
                <w:sz w:val="28"/>
                <w:szCs w:val="28"/>
                <w:lang w:val="lv-LV" w:eastAsia="lv-LV"/>
              </w:rPr>
              <w:lastRenderedPageBreak/>
              <w:t>gadam</w:t>
            </w:r>
          </w:p>
        </w:tc>
        <w:tc>
          <w:tcPr>
            <w:tcW w:w="1285"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lastRenderedPageBreak/>
              <w:t> Izmaiņas, salīdzinot ar kārtējo (n) gadu</w:t>
            </w:r>
          </w:p>
        </w:tc>
        <w:tc>
          <w:tcPr>
            <w:tcW w:w="1285"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Izmaiņas, salīdzinot ar kārtējo (n) gadu</w:t>
            </w:r>
          </w:p>
        </w:tc>
        <w:tc>
          <w:tcPr>
            <w:tcW w:w="1017"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Izmaiņas, salīdzinot ar kārtējo (n) gadu</w:t>
            </w:r>
          </w:p>
        </w:tc>
      </w:tr>
      <w:tr w:rsidR="003F2F4B"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lastRenderedPageBreak/>
              <w:t> 1</w:t>
            </w:r>
          </w:p>
        </w:tc>
        <w:tc>
          <w:tcPr>
            <w:tcW w:w="1243" w:type="dxa"/>
            <w:gridSpan w:val="2"/>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2</w:t>
            </w:r>
          </w:p>
        </w:tc>
        <w:tc>
          <w:tcPr>
            <w:tcW w:w="1297"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3</w:t>
            </w:r>
          </w:p>
        </w:tc>
        <w:tc>
          <w:tcPr>
            <w:tcW w:w="1285"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4</w:t>
            </w:r>
          </w:p>
        </w:tc>
        <w:tc>
          <w:tcPr>
            <w:tcW w:w="1285"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5</w:t>
            </w:r>
          </w:p>
        </w:tc>
        <w:tc>
          <w:tcPr>
            <w:tcW w:w="1017"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6</w:t>
            </w:r>
          </w:p>
        </w:tc>
      </w:tr>
      <w:tr w:rsidR="003F2F4B"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1. Budžeta ieņēmumi:</w:t>
            </w:r>
          </w:p>
        </w:tc>
        <w:tc>
          <w:tcPr>
            <w:tcW w:w="1243" w:type="dxa"/>
            <w:gridSpan w:val="2"/>
            <w:tcBorders>
              <w:top w:val="outset" w:sz="6" w:space="0" w:color="auto"/>
              <w:left w:val="outset" w:sz="6" w:space="0" w:color="auto"/>
              <w:bottom w:val="outset" w:sz="6" w:space="0" w:color="auto"/>
              <w:right w:val="outset" w:sz="6" w:space="0" w:color="auto"/>
            </w:tcBorders>
            <w:hideMark/>
          </w:tcPr>
          <w:p w:rsidR="003F2F4B" w:rsidRPr="00EA3CF1" w:rsidRDefault="003F2F4B" w:rsidP="00C3324C">
            <w:pPr>
              <w:suppressAutoHyphens w:val="0"/>
              <w:spacing w:before="100" w:beforeAutospacing="1" w:after="100" w:afterAutospacing="1"/>
              <w:rPr>
                <w:sz w:val="28"/>
                <w:szCs w:val="28"/>
                <w:lang w:val="lv-LV" w:eastAsia="lv-LV"/>
              </w:rPr>
            </w:pPr>
            <w:r w:rsidRPr="00EA3CF1">
              <w:rPr>
                <w:sz w:val="28"/>
                <w:szCs w:val="28"/>
                <w:lang w:val="lv-LV" w:eastAsia="lv-LV"/>
              </w:rPr>
              <w:t>  </w:t>
            </w:r>
            <w:r w:rsidR="00C3324C" w:rsidRPr="00EA3CF1">
              <w:rPr>
                <w:sz w:val="28"/>
                <w:szCs w:val="28"/>
                <w:lang w:val="lv-LV" w:eastAsia="lv-LV"/>
              </w:rPr>
              <w:t>-</w:t>
            </w:r>
          </w:p>
        </w:tc>
        <w:tc>
          <w:tcPr>
            <w:tcW w:w="1297" w:type="dxa"/>
            <w:tcBorders>
              <w:top w:val="outset" w:sz="6" w:space="0" w:color="auto"/>
              <w:left w:val="outset" w:sz="6" w:space="0" w:color="auto"/>
              <w:bottom w:val="outset" w:sz="6" w:space="0" w:color="auto"/>
              <w:right w:val="outset" w:sz="6" w:space="0" w:color="auto"/>
            </w:tcBorders>
            <w:hideMark/>
          </w:tcPr>
          <w:p w:rsidR="003F2F4B" w:rsidRPr="00EA3CF1" w:rsidRDefault="0077562F" w:rsidP="003F2F4B">
            <w:pPr>
              <w:suppressAutoHyphens w:val="0"/>
              <w:spacing w:before="100" w:beforeAutospacing="1" w:after="100" w:afterAutospacing="1"/>
              <w:rPr>
                <w:sz w:val="28"/>
                <w:szCs w:val="28"/>
                <w:lang w:val="lv-LV" w:eastAsia="lv-LV"/>
              </w:rPr>
            </w:pPr>
            <w:r w:rsidRPr="00EA3CF1">
              <w:rPr>
                <w:sz w:val="28"/>
                <w:szCs w:val="28"/>
                <w:lang w:val="lv-LV" w:eastAsia="lv-LV"/>
              </w:rPr>
              <w:t xml:space="preserve"> </w:t>
            </w:r>
            <w:r w:rsidR="00C3324C"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F2F4B" w:rsidRPr="00EA3CF1" w:rsidRDefault="003F2F4B"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F2F4B" w:rsidRPr="00EA3CF1" w:rsidRDefault="003F2F4B"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017" w:type="dxa"/>
            <w:tcBorders>
              <w:top w:val="outset" w:sz="6" w:space="0" w:color="auto"/>
              <w:left w:val="outset" w:sz="6" w:space="0" w:color="auto"/>
              <w:bottom w:val="outset" w:sz="6" w:space="0" w:color="auto"/>
              <w:right w:val="outset" w:sz="6" w:space="0" w:color="auto"/>
            </w:tcBorders>
            <w:hideMark/>
          </w:tcPr>
          <w:p w:rsidR="003F2F4B" w:rsidRPr="00EA3CF1" w:rsidRDefault="003F2F4B"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1.1. valsts pamatbudžets, tai skaitā ieņēmumi no maksas pakalpojumiem un citi pašu ieņēmumi</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1.2. valsts speciālais budžets</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1.3. pašvaldību budžets</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2. Budžeta izdevumi:</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2.1. valsts pamatbudžets</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2.2. valsts speciālais budžets</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2.3. pašvaldību budžets</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3. Finansiālā ietekme:</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3.1. valsts pamatbudžets</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3.2. speciālais budžets</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3.3. pašvaldību budžets</w:t>
            </w:r>
          </w:p>
        </w:tc>
        <w:tc>
          <w:tcPr>
            <w:tcW w:w="1243"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rHeight w:val="620"/>
          <w:tblCellSpacing w:w="0" w:type="dxa"/>
        </w:trPr>
        <w:tc>
          <w:tcPr>
            <w:tcW w:w="2960" w:type="dxa"/>
            <w:gridSpan w:val="2"/>
            <w:vMerge w:val="restart"/>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4. Finanšu līdzekļi papildu izde</w:t>
            </w:r>
            <w:r w:rsidRPr="00EA3CF1">
              <w:rPr>
                <w:sz w:val="28"/>
                <w:szCs w:val="28"/>
                <w:lang w:val="lv-LV" w:eastAsia="lv-LV"/>
              </w:rPr>
              <w:softHyphen/>
              <w:t xml:space="preserve">vumu finansēšanai (kompensējošu izdevumu samazinājumu norāda ar </w:t>
            </w:r>
            <w:r w:rsidR="00037BDE" w:rsidRPr="00EA3CF1">
              <w:rPr>
                <w:rStyle w:val="apple-style-span"/>
                <w:sz w:val="28"/>
                <w:szCs w:val="28"/>
                <w:lang w:val="lv-LV"/>
              </w:rPr>
              <w:t>"</w:t>
            </w:r>
            <w:r w:rsidRPr="00EA3CF1">
              <w:rPr>
                <w:sz w:val="28"/>
                <w:szCs w:val="28"/>
                <w:lang w:val="lv-LV" w:eastAsia="lv-LV"/>
              </w:rPr>
              <w:t>+</w:t>
            </w:r>
            <w:r w:rsidR="00037BDE">
              <w:rPr>
                <w:rStyle w:val="apple-style-span"/>
                <w:sz w:val="28"/>
                <w:szCs w:val="28"/>
                <w:lang w:val="lv-LV"/>
              </w:rPr>
              <w:t>"</w:t>
            </w:r>
            <w:r w:rsidRPr="00EA3CF1">
              <w:rPr>
                <w:sz w:val="28"/>
                <w:szCs w:val="28"/>
                <w:lang w:val="lv-LV" w:eastAsia="lv-LV"/>
              </w:rPr>
              <w:t xml:space="preserve"> zīmi)</w:t>
            </w:r>
          </w:p>
        </w:tc>
        <w:tc>
          <w:tcPr>
            <w:tcW w:w="1243" w:type="dxa"/>
            <w:gridSpan w:val="2"/>
            <w:vMerge w:val="restart"/>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X</w:t>
            </w: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r>
      <w:tr w:rsidR="0017512D" w:rsidRPr="00EA3CF1" w:rsidTr="00A259B9">
        <w:trPr>
          <w:gridAfter w:val="1"/>
          <w:wAfter w:w="13" w:type="dxa"/>
          <w:trHeight w:val="654"/>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7512D" w:rsidRPr="00EA3CF1" w:rsidRDefault="0017512D" w:rsidP="003F2F4B">
            <w:pPr>
              <w:suppressAutoHyphens w:val="0"/>
              <w:rPr>
                <w:sz w:val="28"/>
                <w:szCs w:val="28"/>
                <w:lang w:val="lv-LV"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7512D" w:rsidRPr="00EA3CF1" w:rsidRDefault="0017512D" w:rsidP="003F2F4B">
            <w:pPr>
              <w:suppressAutoHyphens w:val="0"/>
              <w:rPr>
                <w:sz w:val="28"/>
                <w:szCs w:val="28"/>
                <w:lang w:val="lv-LV" w:eastAsia="lv-LV"/>
              </w:rPr>
            </w:pPr>
          </w:p>
        </w:tc>
        <w:tc>
          <w:tcPr>
            <w:tcW w:w="1297" w:type="dxa"/>
            <w:tcBorders>
              <w:top w:val="outset" w:sz="6" w:space="0" w:color="auto"/>
              <w:left w:val="outset" w:sz="6" w:space="0" w:color="auto"/>
              <w:right w:val="outset" w:sz="6" w:space="0" w:color="auto"/>
            </w:tcBorders>
            <w:hideMark/>
          </w:tcPr>
          <w:p w:rsidR="0017512D" w:rsidRPr="00EA3CF1" w:rsidRDefault="0017512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right w:val="outset" w:sz="6" w:space="0" w:color="auto"/>
            </w:tcBorders>
            <w:hideMark/>
          </w:tcPr>
          <w:p w:rsidR="0017512D" w:rsidRPr="00EA3CF1" w:rsidRDefault="0017512D" w:rsidP="003C02CD">
            <w:pPr>
              <w:suppressAutoHyphens w:val="0"/>
              <w:spacing w:before="100" w:beforeAutospacing="1" w:after="100" w:afterAutospacing="1"/>
              <w:rPr>
                <w:sz w:val="28"/>
                <w:szCs w:val="28"/>
                <w:lang w:val="lv-LV" w:eastAsia="lv-LV"/>
              </w:rPr>
            </w:pPr>
          </w:p>
        </w:tc>
        <w:tc>
          <w:tcPr>
            <w:tcW w:w="1285" w:type="dxa"/>
            <w:tcBorders>
              <w:top w:val="outset" w:sz="6" w:space="0" w:color="auto"/>
              <w:left w:val="outset" w:sz="6" w:space="0" w:color="auto"/>
              <w:right w:val="outset" w:sz="6" w:space="0" w:color="auto"/>
            </w:tcBorders>
            <w:hideMark/>
          </w:tcPr>
          <w:p w:rsidR="0017512D" w:rsidRPr="00EA3CF1" w:rsidRDefault="0017512D" w:rsidP="003C02CD">
            <w:pPr>
              <w:suppressAutoHyphens w:val="0"/>
              <w:spacing w:before="100" w:beforeAutospacing="1" w:after="100" w:afterAutospacing="1"/>
              <w:rPr>
                <w:sz w:val="28"/>
                <w:szCs w:val="28"/>
                <w:lang w:val="lv-LV" w:eastAsia="lv-LV"/>
              </w:rPr>
            </w:pPr>
          </w:p>
        </w:tc>
        <w:tc>
          <w:tcPr>
            <w:tcW w:w="1017" w:type="dxa"/>
            <w:tcBorders>
              <w:top w:val="outset" w:sz="6" w:space="0" w:color="auto"/>
              <w:left w:val="outset" w:sz="6" w:space="0" w:color="auto"/>
              <w:right w:val="outset" w:sz="6" w:space="0" w:color="auto"/>
            </w:tcBorders>
            <w:hideMark/>
          </w:tcPr>
          <w:p w:rsidR="0017512D" w:rsidRPr="00EA3CF1" w:rsidRDefault="0017512D" w:rsidP="003C02CD">
            <w:pPr>
              <w:suppressAutoHyphens w:val="0"/>
              <w:spacing w:before="100" w:beforeAutospacing="1" w:after="100" w:afterAutospacing="1"/>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5. Precizēta finansiālā ietekme:</w:t>
            </w:r>
          </w:p>
        </w:tc>
        <w:tc>
          <w:tcPr>
            <w:tcW w:w="1243" w:type="dxa"/>
            <w:gridSpan w:val="2"/>
            <w:vMerge w:val="restart"/>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X</w:t>
            </w: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77562F">
            <w:pPr>
              <w:suppressAutoHyphens w:val="0"/>
              <w:spacing w:before="100" w:beforeAutospacing="1" w:after="100" w:afterAutospacing="1"/>
              <w:rPr>
                <w:sz w:val="28"/>
                <w:szCs w:val="28"/>
                <w:lang w:val="lv-LV" w:eastAsia="lv-LV"/>
              </w:rPr>
            </w:pPr>
            <w:r w:rsidRPr="00EA3CF1">
              <w:rPr>
                <w:sz w:val="28"/>
                <w:szCs w:val="28"/>
                <w:lang w:val="lv-LV" w:eastAsia="lv-LV"/>
              </w:rPr>
              <w:t>  </w:t>
            </w:r>
            <w:r w:rsidR="0077562F" w:rsidRPr="00EA3CF1">
              <w:rPr>
                <w:sz w:val="28"/>
                <w:szCs w:val="28"/>
                <w:lang w:val="lv-LV" w:eastAsia="lv-LV"/>
              </w:rPr>
              <w:t>-</w:t>
            </w: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C02CD" w:rsidRPr="00EA3CF1" w:rsidRDefault="003C02CD" w:rsidP="003F2F4B">
            <w:pPr>
              <w:suppressAutoHyphens w:val="0"/>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C02CD" w:rsidRPr="00EA3CF1" w:rsidRDefault="003C02CD" w:rsidP="003F2F4B">
            <w:pPr>
              <w:suppressAutoHyphens w:val="0"/>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C02CD" w:rsidRPr="00EA3CF1" w:rsidRDefault="003C02CD" w:rsidP="003F2F4B">
            <w:pPr>
              <w:suppressAutoHyphens w:val="0"/>
              <w:rPr>
                <w:sz w:val="28"/>
                <w:szCs w:val="28"/>
                <w:lang w:val="lv-LV" w:eastAsia="lv-LV"/>
              </w:rPr>
            </w:pPr>
          </w:p>
        </w:tc>
        <w:tc>
          <w:tcPr>
            <w:tcW w:w="129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c>
          <w:tcPr>
            <w:tcW w:w="1285"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c>
          <w:tcPr>
            <w:tcW w:w="1017" w:type="dxa"/>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w:t>
            </w: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6. Detalizēts ieņēmumu un izdevu</w:t>
            </w:r>
            <w:r w:rsidRPr="00EA3CF1">
              <w:rPr>
                <w:sz w:val="28"/>
                <w:szCs w:val="28"/>
                <w:lang w:val="lv-LV" w:eastAsia="lv-LV"/>
              </w:rPr>
              <w:softHyphen/>
              <w:t>mu aprēķins (ja nepieciešams, detalizētu ieņēmumu un izdevumu aprēķinu var pievienot anotācijas pielikumā):</w:t>
            </w:r>
          </w:p>
        </w:tc>
        <w:tc>
          <w:tcPr>
            <w:tcW w:w="6127" w:type="dxa"/>
            <w:gridSpan w:val="6"/>
            <w:vMerge w:val="restart"/>
            <w:tcBorders>
              <w:top w:val="outset" w:sz="6" w:space="0" w:color="auto"/>
              <w:left w:val="outset" w:sz="6" w:space="0" w:color="auto"/>
              <w:bottom w:val="outset" w:sz="6" w:space="0" w:color="auto"/>
              <w:right w:val="outset" w:sz="6" w:space="0" w:color="auto"/>
            </w:tcBorders>
            <w:vAlign w:val="center"/>
            <w:hideMark/>
          </w:tcPr>
          <w:p w:rsidR="003C02CD" w:rsidRPr="00EA3CF1" w:rsidRDefault="003C02CD" w:rsidP="00C913D9">
            <w:pPr>
              <w:suppressAutoHyphens w:val="0"/>
              <w:spacing w:before="100" w:beforeAutospacing="1" w:after="100" w:afterAutospacing="1"/>
              <w:ind w:firstLine="693"/>
              <w:rPr>
                <w:sz w:val="28"/>
                <w:szCs w:val="28"/>
                <w:lang w:val="lv-LV" w:eastAsia="lv-LV"/>
              </w:rPr>
            </w:pPr>
            <w:r w:rsidRPr="00EA3CF1">
              <w:rPr>
                <w:sz w:val="28"/>
                <w:szCs w:val="28"/>
                <w:lang w:val="lv-LV" w:eastAsia="lv-LV"/>
              </w:rPr>
              <w:t>  Nav attiecināms</w:t>
            </w: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6.1. detalizēts ieņēmumu aprēķins</w:t>
            </w:r>
          </w:p>
        </w:tc>
        <w:tc>
          <w:tcPr>
            <w:tcW w:w="6127" w:type="dxa"/>
            <w:gridSpan w:val="6"/>
            <w:vMerge/>
            <w:tcBorders>
              <w:top w:val="outset" w:sz="6" w:space="0" w:color="auto"/>
              <w:left w:val="outset" w:sz="6" w:space="0" w:color="auto"/>
              <w:bottom w:val="outset" w:sz="6" w:space="0" w:color="auto"/>
              <w:right w:val="outset" w:sz="6" w:space="0" w:color="auto"/>
            </w:tcBorders>
            <w:vAlign w:val="center"/>
            <w:hideMark/>
          </w:tcPr>
          <w:p w:rsidR="003C02CD" w:rsidRPr="00EA3CF1" w:rsidRDefault="003C02CD" w:rsidP="003F2F4B">
            <w:pPr>
              <w:suppressAutoHyphens w:val="0"/>
              <w:rPr>
                <w:sz w:val="28"/>
                <w:szCs w:val="28"/>
                <w:lang w:val="lv-LV" w:eastAsia="lv-LV"/>
              </w:rPr>
            </w:pPr>
          </w:p>
        </w:tc>
      </w:tr>
      <w:tr w:rsidR="003C02CD" w:rsidRPr="00EA3CF1"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t> 6.2. detalizēts izdevumu aprēķins</w:t>
            </w:r>
          </w:p>
        </w:tc>
        <w:tc>
          <w:tcPr>
            <w:tcW w:w="6127" w:type="dxa"/>
            <w:gridSpan w:val="6"/>
            <w:vMerge/>
            <w:tcBorders>
              <w:top w:val="outset" w:sz="6" w:space="0" w:color="auto"/>
              <w:left w:val="outset" w:sz="6" w:space="0" w:color="auto"/>
              <w:bottom w:val="outset" w:sz="6" w:space="0" w:color="auto"/>
              <w:right w:val="outset" w:sz="6" w:space="0" w:color="auto"/>
            </w:tcBorders>
            <w:vAlign w:val="center"/>
            <w:hideMark/>
          </w:tcPr>
          <w:p w:rsidR="003C02CD" w:rsidRPr="00EA3CF1" w:rsidRDefault="003C02CD" w:rsidP="003F2F4B">
            <w:pPr>
              <w:suppressAutoHyphens w:val="0"/>
              <w:rPr>
                <w:sz w:val="28"/>
                <w:szCs w:val="28"/>
                <w:lang w:val="lv-LV" w:eastAsia="lv-LV"/>
              </w:rPr>
            </w:pPr>
          </w:p>
        </w:tc>
      </w:tr>
      <w:tr w:rsidR="003C02CD" w:rsidRPr="00FB1E45" w:rsidTr="00A259B9">
        <w:trPr>
          <w:gridAfter w:val="1"/>
          <w:wAfter w:w="13" w:type="dxa"/>
          <w:tblCellSpacing w:w="0" w:type="dxa"/>
        </w:trPr>
        <w:tc>
          <w:tcPr>
            <w:tcW w:w="2960" w:type="dxa"/>
            <w:gridSpan w:val="2"/>
            <w:tcBorders>
              <w:top w:val="outset" w:sz="6" w:space="0" w:color="auto"/>
              <w:left w:val="outset" w:sz="6" w:space="0" w:color="auto"/>
              <w:bottom w:val="outset" w:sz="6" w:space="0" w:color="auto"/>
              <w:right w:val="outset" w:sz="6" w:space="0" w:color="auto"/>
            </w:tcBorders>
            <w:hideMark/>
          </w:tcPr>
          <w:p w:rsidR="003C02CD" w:rsidRPr="00EA3CF1" w:rsidRDefault="003C02CD" w:rsidP="003F2F4B">
            <w:pPr>
              <w:suppressAutoHyphens w:val="0"/>
              <w:spacing w:before="100" w:beforeAutospacing="1" w:after="100" w:afterAutospacing="1"/>
              <w:rPr>
                <w:sz w:val="28"/>
                <w:szCs w:val="28"/>
                <w:lang w:val="lv-LV" w:eastAsia="lv-LV"/>
              </w:rPr>
            </w:pPr>
            <w:r w:rsidRPr="00EA3CF1">
              <w:rPr>
                <w:sz w:val="28"/>
                <w:szCs w:val="28"/>
                <w:lang w:val="lv-LV" w:eastAsia="lv-LV"/>
              </w:rPr>
              <w:lastRenderedPageBreak/>
              <w:t> 7. Cita informācija</w:t>
            </w:r>
          </w:p>
        </w:tc>
        <w:tc>
          <w:tcPr>
            <w:tcW w:w="6127" w:type="dxa"/>
            <w:gridSpan w:val="6"/>
            <w:tcBorders>
              <w:top w:val="outset" w:sz="6" w:space="0" w:color="auto"/>
              <w:left w:val="outset" w:sz="6" w:space="0" w:color="auto"/>
              <w:bottom w:val="outset" w:sz="6" w:space="0" w:color="auto"/>
              <w:right w:val="outset" w:sz="6" w:space="0" w:color="auto"/>
            </w:tcBorders>
            <w:hideMark/>
          </w:tcPr>
          <w:p w:rsidR="0064588E" w:rsidRPr="00EA3CF1" w:rsidRDefault="00393242" w:rsidP="00C24565">
            <w:pPr>
              <w:ind w:firstLine="693"/>
              <w:jc w:val="both"/>
              <w:rPr>
                <w:color w:val="000000"/>
                <w:sz w:val="28"/>
                <w:szCs w:val="28"/>
                <w:lang w:val="lv-LV"/>
              </w:rPr>
            </w:pPr>
            <w:r w:rsidRPr="00EA3CF1">
              <w:rPr>
                <w:color w:val="000000"/>
                <w:sz w:val="28"/>
                <w:szCs w:val="28"/>
                <w:lang w:val="lv-LV"/>
              </w:rPr>
              <w:t xml:space="preserve">Īstenojot </w:t>
            </w:r>
            <w:proofErr w:type="spellStart"/>
            <w:r w:rsidRPr="00EA3CF1">
              <w:rPr>
                <w:color w:val="000000"/>
                <w:sz w:val="28"/>
                <w:szCs w:val="28"/>
                <w:lang w:val="lv-LV"/>
              </w:rPr>
              <w:t>pretciklisku</w:t>
            </w:r>
            <w:proofErr w:type="spellEnd"/>
            <w:r w:rsidRPr="00EA3CF1">
              <w:rPr>
                <w:color w:val="000000"/>
                <w:sz w:val="28"/>
                <w:szCs w:val="28"/>
                <w:lang w:val="lv-LV"/>
              </w:rPr>
              <w:t xml:space="preserve"> fiskālo politiku, ir sagaidāma pozitīva ietekme ilgtermiņā uz valsts un pašvaldību budžet</w:t>
            </w:r>
            <w:r w:rsidR="00C24565">
              <w:rPr>
                <w:color w:val="000000"/>
                <w:sz w:val="28"/>
                <w:szCs w:val="28"/>
                <w:lang w:val="lv-LV"/>
              </w:rPr>
              <w:t>u stabilitāti</w:t>
            </w:r>
            <w:r w:rsidRPr="00EA3CF1">
              <w:rPr>
                <w:color w:val="000000"/>
                <w:sz w:val="28"/>
                <w:szCs w:val="28"/>
                <w:lang w:val="lv-LV"/>
              </w:rPr>
              <w:t xml:space="preserve">, ko </w:t>
            </w:r>
            <w:r w:rsidR="00832933" w:rsidRPr="00EA3CF1">
              <w:rPr>
                <w:color w:val="000000"/>
                <w:sz w:val="28"/>
                <w:szCs w:val="28"/>
                <w:lang w:val="lv-LV"/>
              </w:rPr>
              <w:t>šobrīd</w:t>
            </w:r>
            <w:r w:rsidRPr="00EA3CF1">
              <w:rPr>
                <w:color w:val="000000"/>
                <w:sz w:val="28"/>
                <w:szCs w:val="28"/>
                <w:lang w:val="lv-LV"/>
              </w:rPr>
              <w:t xml:space="preserve"> n</w:t>
            </w:r>
            <w:r w:rsidR="00832933" w:rsidRPr="00EA3CF1">
              <w:rPr>
                <w:color w:val="000000"/>
                <w:sz w:val="28"/>
                <w:szCs w:val="28"/>
                <w:lang w:val="lv-LV"/>
              </w:rPr>
              <w:t>av iespējams</w:t>
            </w:r>
            <w:r w:rsidRPr="00EA3CF1">
              <w:rPr>
                <w:color w:val="000000"/>
                <w:sz w:val="28"/>
                <w:szCs w:val="28"/>
                <w:lang w:val="lv-LV"/>
              </w:rPr>
              <w:t xml:space="preserve"> precīzi prognozēt.</w:t>
            </w:r>
          </w:p>
        </w:tc>
      </w:tr>
      <w:tr w:rsidR="003C25A8" w:rsidRPr="00FB1E45" w:rsidTr="00A259B9">
        <w:trPr>
          <w:tblCellSpacing w:w="0" w:type="dxa"/>
        </w:trPr>
        <w:tc>
          <w:tcPr>
            <w:tcW w:w="9100" w:type="dxa"/>
            <w:gridSpan w:val="9"/>
            <w:tcBorders>
              <w:top w:val="outset" w:sz="6" w:space="0" w:color="auto"/>
              <w:left w:val="outset" w:sz="6" w:space="0" w:color="auto"/>
              <w:bottom w:val="outset" w:sz="6" w:space="0" w:color="auto"/>
              <w:right w:val="outset" w:sz="6" w:space="0" w:color="auto"/>
            </w:tcBorders>
            <w:hideMark/>
          </w:tcPr>
          <w:p w:rsidR="003C25A8" w:rsidRPr="00EA3CF1" w:rsidRDefault="003C25A8" w:rsidP="003C25A8">
            <w:pPr>
              <w:suppressAutoHyphens w:val="0"/>
              <w:spacing w:before="100" w:beforeAutospacing="1" w:after="100" w:afterAutospacing="1"/>
              <w:jc w:val="center"/>
              <w:rPr>
                <w:b/>
                <w:sz w:val="28"/>
                <w:szCs w:val="28"/>
                <w:lang w:val="lv-LV" w:eastAsia="lv-LV"/>
              </w:rPr>
            </w:pPr>
            <w:r w:rsidRPr="00EA3CF1">
              <w:rPr>
                <w:b/>
                <w:sz w:val="28"/>
                <w:szCs w:val="28"/>
                <w:lang w:val="lv-LV" w:eastAsia="lv-LV"/>
              </w:rPr>
              <w:t>IV. Tiesību akta projekta ietekme uz spēkā esošo tiesību normu sistēmu</w:t>
            </w:r>
          </w:p>
        </w:tc>
      </w:tr>
      <w:tr w:rsidR="003C25A8" w:rsidRPr="00FB1E45" w:rsidTr="00A259B9">
        <w:trPr>
          <w:trHeight w:val="55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3C25A8" w:rsidRPr="00EA3CF1" w:rsidRDefault="003C25A8" w:rsidP="003C25A8">
            <w:pPr>
              <w:suppressAutoHyphens w:val="0"/>
              <w:spacing w:before="100" w:beforeAutospacing="1" w:after="100" w:afterAutospacing="1"/>
              <w:rPr>
                <w:sz w:val="28"/>
                <w:szCs w:val="28"/>
                <w:lang w:val="lv-LV" w:eastAsia="lv-LV"/>
              </w:rPr>
            </w:pPr>
            <w:r w:rsidRPr="00EA3CF1">
              <w:rPr>
                <w:sz w:val="28"/>
                <w:szCs w:val="28"/>
                <w:lang w:val="lv-LV" w:eastAsia="lv-LV"/>
              </w:rPr>
              <w:t> 1.</w:t>
            </w:r>
          </w:p>
        </w:tc>
        <w:tc>
          <w:tcPr>
            <w:tcW w:w="3176" w:type="dxa"/>
            <w:gridSpan w:val="2"/>
            <w:tcBorders>
              <w:top w:val="outset" w:sz="6" w:space="0" w:color="auto"/>
              <w:left w:val="outset" w:sz="6" w:space="0" w:color="auto"/>
              <w:bottom w:val="outset" w:sz="6" w:space="0" w:color="auto"/>
              <w:right w:val="outset" w:sz="6" w:space="0" w:color="auto"/>
            </w:tcBorders>
            <w:hideMark/>
          </w:tcPr>
          <w:p w:rsidR="003C25A8" w:rsidRPr="00EA3CF1" w:rsidRDefault="003C25A8" w:rsidP="003C25A8">
            <w:pPr>
              <w:suppressAutoHyphens w:val="0"/>
              <w:spacing w:before="100" w:beforeAutospacing="1" w:after="100" w:afterAutospacing="1"/>
              <w:rPr>
                <w:sz w:val="28"/>
                <w:szCs w:val="28"/>
                <w:lang w:val="lv-LV" w:eastAsia="lv-LV"/>
              </w:rPr>
            </w:pPr>
            <w:r w:rsidRPr="00EA3CF1">
              <w:rPr>
                <w:sz w:val="28"/>
                <w:szCs w:val="28"/>
                <w:lang w:val="lv-LV" w:eastAsia="lv-LV"/>
              </w:rPr>
              <w:t>Nepieciešamie saistītie tiesību aktu projekti</w:t>
            </w:r>
          </w:p>
        </w:tc>
        <w:tc>
          <w:tcPr>
            <w:tcW w:w="5399" w:type="dxa"/>
            <w:gridSpan w:val="6"/>
            <w:tcBorders>
              <w:top w:val="outset" w:sz="6" w:space="0" w:color="auto"/>
              <w:left w:val="outset" w:sz="6" w:space="0" w:color="auto"/>
              <w:bottom w:val="outset" w:sz="6" w:space="0" w:color="auto"/>
              <w:right w:val="outset" w:sz="6" w:space="0" w:color="auto"/>
            </w:tcBorders>
            <w:hideMark/>
          </w:tcPr>
          <w:p w:rsidR="00FA7C5A" w:rsidRPr="00FA7C5A" w:rsidRDefault="00FA7C5A" w:rsidP="00FA7C5A">
            <w:pPr>
              <w:jc w:val="both"/>
              <w:rPr>
                <w:sz w:val="28"/>
                <w:szCs w:val="28"/>
                <w:lang w:val="lv-LV"/>
              </w:rPr>
            </w:pPr>
            <w:r w:rsidRPr="00FA7C5A">
              <w:rPr>
                <w:sz w:val="28"/>
                <w:szCs w:val="28"/>
                <w:lang w:val="lv-LV"/>
              </w:rPr>
              <w:t>Fiskālās disciplīnas likuma izskatīšanas un apstiprināšanas procesā plānots izstrādāt grozījumus Likumā par budžetu un finanšu vadību, lai nodrošinātu Likuma par budžetu un finanšu vadību atbilstību FDL normām, kā arī izslēgtu no tā dublējošās normas. Lai nodrošinātu, ka attiecīgie grozījumi stājas spēkā vienlaicīgi ar FDL normu spēkā stāšanos un būtu spēkā pirms pirmā Vidēja termiņa budžeta ietvara likuma iesniegšanas Saeimā brīža, Finanšu ministrija grozījumus Likumā par budžetu un finanšu vadību iesniegs MK divu mēnešu laikā pēc FDL apstiprināšanas Saeimā.</w:t>
            </w:r>
          </w:p>
          <w:p w:rsidR="00FA7C5A" w:rsidRPr="00FA7C5A" w:rsidRDefault="00FA7C5A" w:rsidP="00FA7C5A">
            <w:pPr>
              <w:jc w:val="both"/>
              <w:rPr>
                <w:sz w:val="28"/>
                <w:szCs w:val="28"/>
                <w:lang w:val="lv-LV"/>
              </w:rPr>
            </w:pPr>
            <w:r w:rsidRPr="00FA7C5A">
              <w:rPr>
                <w:sz w:val="28"/>
                <w:szCs w:val="28"/>
                <w:lang w:val="lv-LV"/>
              </w:rPr>
              <w:t xml:space="preserve">Ņemot vērā, ka FDL regulēs vispārējā valdības parāda nosacījumu, kā arī vispārējās valdības parāda dzēšanu, nosakot, ka Valsts pamatbudžeta faktisko ieņēmumu pārsniegums pār valsts pamatbudžeta faktiskajiem izdevumiem tiek ieskaitīts ilgtermiņa stabilizācijas rezervē vai novirzīts valdības parāda dzēšanai, plānots veikt grozījumus Ilgtermiņa stabilizācijas rezerves likumā. Minētos grozījumus Finanšu ministrija iesniegs MK divu mēnešu laikā pēc FDL apstiprināšanas Saeimā. </w:t>
            </w:r>
          </w:p>
          <w:p w:rsidR="00AA4D86" w:rsidRPr="00AA4D86" w:rsidRDefault="00AA4D86" w:rsidP="006B3D00">
            <w:pPr>
              <w:jc w:val="both"/>
              <w:rPr>
                <w:sz w:val="28"/>
                <w:szCs w:val="28"/>
                <w:lang w:val="lv-LV"/>
              </w:rPr>
            </w:pPr>
          </w:p>
        </w:tc>
      </w:tr>
      <w:tr w:rsidR="003C25A8" w:rsidRPr="00EA3CF1" w:rsidTr="00A259B9">
        <w:trPr>
          <w:trHeight w:val="271"/>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3C25A8" w:rsidRPr="00EA3CF1" w:rsidRDefault="003C25A8" w:rsidP="003C25A8">
            <w:pPr>
              <w:suppressAutoHyphens w:val="0"/>
              <w:spacing w:before="100" w:beforeAutospacing="1" w:after="100" w:afterAutospacing="1"/>
              <w:rPr>
                <w:sz w:val="28"/>
                <w:szCs w:val="28"/>
                <w:lang w:val="lv-LV" w:eastAsia="lv-LV"/>
              </w:rPr>
            </w:pPr>
            <w:r w:rsidRPr="00EA3CF1">
              <w:rPr>
                <w:sz w:val="28"/>
                <w:szCs w:val="28"/>
                <w:lang w:val="lv-LV" w:eastAsia="lv-LV"/>
              </w:rPr>
              <w:t> 2.</w:t>
            </w:r>
          </w:p>
        </w:tc>
        <w:tc>
          <w:tcPr>
            <w:tcW w:w="3176" w:type="dxa"/>
            <w:gridSpan w:val="2"/>
            <w:tcBorders>
              <w:top w:val="outset" w:sz="6" w:space="0" w:color="auto"/>
              <w:left w:val="outset" w:sz="6" w:space="0" w:color="auto"/>
              <w:bottom w:val="outset" w:sz="6" w:space="0" w:color="auto"/>
              <w:right w:val="outset" w:sz="6" w:space="0" w:color="auto"/>
            </w:tcBorders>
            <w:hideMark/>
          </w:tcPr>
          <w:p w:rsidR="003C25A8" w:rsidRPr="00EA3CF1" w:rsidRDefault="003C25A8" w:rsidP="003C25A8">
            <w:pPr>
              <w:suppressAutoHyphens w:val="0"/>
              <w:spacing w:before="100" w:beforeAutospacing="1" w:after="100" w:afterAutospacing="1"/>
              <w:rPr>
                <w:sz w:val="28"/>
                <w:szCs w:val="28"/>
                <w:lang w:val="lv-LV" w:eastAsia="lv-LV"/>
              </w:rPr>
            </w:pPr>
            <w:r w:rsidRPr="00EA3CF1">
              <w:rPr>
                <w:sz w:val="28"/>
                <w:szCs w:val="28"/>
                <w:lang w:val="lv-LV" w:eastAsia="lv-LV"/>
              </w:rPr>
              <w:t> Cita informācija</w:t>
            </w:r>
          </w:p>
        </w:tc>
        <w:tc>
          <w:tcPr>
            <w:tcW w:w="5399" w:type="dxa"/>
            <w:gridSpan w:val="6"/>
            <w:tcBorders>
              <w:top w:val="outset" w:sz="6" w:space="0" w:color="auto"/>
              <w:left w:val="outset" w:sz="6" w:space="0" w:color="auto"/>
              <w:bottom w:val="outset" w:sz="6" w:space="0" w:color="auto"/>
              <w:right w:val="outset" w:sz="6" w:space="0" w:color="auto"/>
            </w:tcBorders>
            <w:hideMark/>
          </w:tcPr>
          <w:p w:rsidR="003C25A8" w:rsidRPr="00EA3CF1" w:rsidRDefault="007F5871" w:rsidP="003C25A8">
            <w:pPr>
              <w:pStyle w:val="Caption"/>
              <w:spacing w:before="0" w:after="0"/>
              <w:jc w:val="both"/>
              <w:rPr>
                <w:rFonts w:eastAsia="TTA20CB448t00" w:cs="Times New Roman"/>
                <w:i w:val="0"/>
                <w:sz w:val="28"/>
                <w:szCs w:val="28"/>
                <w:lang w:val="lv-LV" w:eastAsia="lv-LV"/>
              </w:rPr>
            </w:pPr>
            <w:r w:rsidRPr="00EA3CF1">
              <w:rPr>
                <w:rFonts w:eastAsia="TTA20CB448t00" w:cs="Times New Roman"/>
                <w:i w:val="0"/>
                <w:sz w:val="28"/>
                <w:szCs w:val="28"/>
                <w:lang w:val="lv-LV" w:eastAsia="lv-LV"/>
              </w:rPr>
              <w:t>Nav</w:t>
            </w:r>
          </w:p>
        </w:tc>
      </w:tr>
    </w:tbl>
    <w:p w:rsidR="003C02CD" w:rsidRPr="00EA3CF1" w:rsidRDefault="003C02CD" w:rsidP="00AE587B">
      <w:pPr>
        <w:suppressAutoHyphens w:val="0"/>
        <w:rPr>
          <w:sz w:val="28"/>
          <w:szCs w:val="28"/>
          <w:lang w:val="lv-LV"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119"/>
        <w:gridCol w:w="5399"/>
      </w:tblGrid>
      <w:tr w:rsidR="003F2F4B" w:rsidRPr="00EA3CF1" w:rsidTr="00087388">
        <w:trPr>
          <w:tblCellSpacing w:w="0" w:type="dxa"/>
        </w:trPr>
        <w:tc>
          <w:tcPr>
            <w:tcW w:w="9100" w:type="dxa"/>
            <w:gridSpan w:val="3"/>
            <w:tcBorders>
              <w:top w:val="outset" w:sz="6" w:space="0" w:color="auto"/>
              <w:left w:val="outset" w:sz="6" w:space="0" w:color="auto"/>
              <w:bottom w:val="outset" w:sz="6" w:space="0" w:color="auto"/>
              <w:right w:val="outset" w:sz="6" w:space="0" w:color="auto"/>
            </w:tcBorders>
            <w:hideMark/>
          </w:tcPr>
          <w:p w:rsidR="003F2F4B" w:rsidRPr="00EA3CF1" w:rsidRDefault="003F2F4B" w:rsidP="00CD0225">
            <w:pPr>
              <w:suppressAutoHyphens w:val="0"/>
              <w:spacing w:before="100" w:beforeAutospacing="1" w:after="100" w:afterAutospacing="1"/>
              <w:jc w:val="center"/>
              <w:rPr>
                <w:b/>
                <w:sz w:val="28"/>
                <w:szCs w:val="28"/>
                <w:lang w:val="lv-LV" w:eastAsia="lv-LV"/>
              </w:rPr>
            </w:pPr>
            <w:r w:rsidRPr="00EA3CF1">
              <w:rPr>
                <w:b/>
                <w:sz w:val="28"/>
                <w:szCs w:val="28"/>
                <w:lang w:val="lv-LV" w:eastAsia="lv-LV"/>
              </w:rPr>
              <w:t>V. Tiesību akta projekta atbilstība Latvijas Republikas starptautiskajām saistībām</w:t>
            </w:r>
          </w:p>
        </w:tc>
      </w:tr>
      <w:tr w:rsidR="003F2F4B" w:rsidRPr="00EA3CF1" w:rsidTr="0008738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1.</w:t>
            </w:r>
          </w:p>
        </w:tc>
        <w:tc>
          <w:tcPr>
            <w:tcW w:w="311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EA3CF1">
            <w:pPr>
              <w:suppressAutoHyphens w:val="0"/>
              <w:spacing w:before="100" w:beforeAutospacing="1" w:after="100" w:afterAutospacing="1"/>
              <w:rPr>
                <w:sz w:val="28"/>
                <w:szCs w:val="28"/>
                <w:lang w:val="lv-LV" w:eastAsia="lv-LV"/>
              </w:rPr>
            </w:pPr>
            <w:r w:rsidRPr="00EA3CF1">
              <w:rPr>
                <w:sz w:val="28"/>
                <w:szCs w:val="28"/>
                <w:lang w:val="lv-LV" w:eastAsia="lv-LV"/>
              </w:rPr>
              <w:t> Saistības pret Eiropas Savienību</w:t>
            </w:r>
          </w:p>
        </w:tc>
        <w:tc>
          <w:tcPr>
            <w:tcW w:w="539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D325F5">
            <w:pPr>
              <w:suppressAutoHyphens w:val="0"/>
              <w:spacing w:before="100" w:beforeAutospacing="1" w:after="100" w:afterAutospacing="1"/>
              <w:ind w:firstLine="694"/>
              <w:rPr>
                <w:sz w:val="28"/>
                <w:szCs w:val="28"/>
                <w:lang w:val="lv-LV" w:eastAsia="lv-LV"/>
              </w:rPr>
            </w:pPr>
            <w:r w:rsidRPr="00EA3CF1">
              <w:rPr>
                <w:sz w:val="28"/>
                <w:szCs w:val="28"/>
                <w:lang w:val="lv-LV" w:eastAsia="lv-LV"/>
              </w:rPr>
              <w:t> </w:t>
            </w:r>
            <w:r w:rsidR="00D30E89" w:rsidRPr="00EA3CF1">
              <w:rPr>
                <w:sz w:val="28"/>
                <w:szCs w:val="28"/>
                <w:lang w:val="lv-LV" w:eastAsia="lv-LV"/>
              </w:rPr>
              <w:t>Nav attiecināms</w:t>
            </w:r>
          </w:p>
        </w:tc>
      </w:tr>
      <w:tr w:rsidR="003F2F4B" w:rsidRPr="00FB1E45" w:rsidTr="0008738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2.</w:t>
            </w:r>
          </w:p>
        </w:tc>
        <w:tc>
          <w:tcPr>
            <w:tcW w:w="311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Citas starptautiskās saistības</w:t>
            </w:r>
          </w:p>
        </w:tc>
        <w:tc>
          <w:tcPr>
            <w:tcW w:w="5399" w:type="dxa"/>
            <w:tcBorders>
              <w:top w:val="outset" w:sz="6" w:space="0" w:color="auto"/>
              <w:left w:val="outset" w:sz="6" w:space="0" w:color="auto"/>
              <w:bottom w:val="outset" w:sz="6" w:space="0" w:color="auto"/>
              <w:right w:val="outset" w:sz="6" w:space="0" w:color="auto"/>
            </w:tcBorders>
            <w:hideMark/>
          </w:tcPr>
          <w:p w:rsidR="00224779" w:rsidRPr="00437883" w:rsidRDefault="00FE366F" w:rsidP="006A5CE2">
            <w:pPr>
              <w:pStyle w:val="Default"/>
              <w:ind w:firstLine="694"/>
              <w:jc w:val="both"/>
              <w:rPr>
                <w:rFonts w:ascii="Times New Roman" w:hAnsi="Times New Roman"/>
                <w:sz w:val="28"/>
                <w:szCs w:val="28"/>
              </w:rPr>
            </w:pPr>
            <w:r w:rsidRPr="00EA3CF1">
              <w:rPr>
                <w:sz w:val="28"/>
                <w:szCs w:val="28"/>
              </w:rPr>
              <w:t>FDL</w:t>
            </w:r>
            <w:r w:rsidR="007647D8" w:rsidRPr="00EA3CF1">
              <w:rPr>
                <w:sz w:val="28"/>
                <w:szCs w:val="28"/>
              </w:rPr>
              <w:t xml:space="preserve"> ir sagatavots saskaņā ar </w:t>
            </w:r>
            <w:r w:rsidR="00437883" w:rsidRPr="002B5F42">
              <w:rPr>
                <w:rFonts w:ascii="Times New Roman" w:hAnsi="Times New Roman"/>
                <w:sz w:val="28"/>
                <w:szCs w:val="28"/>
              </w:rPr>
              <w:t>2011.</w:t>
            </w:r>
            <w:r w:rsidR="0033490B" w:rsidRPr="00EA3CF1">
              <w:rPr>
                <w:sz w:val="28"/>
                <w:szCs w:val="28"/>
              </w:rPr>
              <w:t xml:space="preserve"> </w:t>
            </w:r>
            <w:r w:rsidR="00437883" w:rsidRPr="00EA3CF1">
              <w:rPr>
                <w:rFonts w:ascii="Times New Roman" w:hAnsi="Times New Roman"/>
                <w:bCs/>
                <w:sz w:val="28"/>
                <w:szCs w:val="28"/>
              </w:rPr>
              <w:t xml:space="preserve"> gada </w:t>
            </w:r>
            <w:r w:rsidR="00437883">
              <w:rPr>
                <w:rFonts w:ascii="Times New Roman" w:hAnsi="Times New Roman"/>
                <w:sz w:val="28"/>
                <w:szCs w:val="28"/>
              </w:rPr>
              <w:t>9. ma</w:t>
            </w:r>
            <w:r w:rsidR="00437883" w:rsidRPr="00EA3CF1">
              <w:rPr>
                <w:rFonts w:ascii="Times New Roman" w:hAnsi="Times New Roman"/>
                <w:sz w:val="28"/>
                <w:szCs w:val="28"/>
              </w:rPr>
              <w:t>ija Nodomu vēstul</w:t>
            </w:r>
            <w:r w:rsidR="00437883">
              <w:rPr>
                <w:rFonts w:ascii="Times New Roman" w:hAnsi="Times New Roman"/>
                <w:sz w:val="28"/>
                <w:szCs w:val="28"/>
              </w:rPr>
              <w:t>i</w:t>
            </w:r>
            <w:r w:rsidR="00437883" w:rsidRPr="00EA3CF1">
              <w:rPr>
                <w:rFonts w:ascii="Times New Roman" w:hAnsi="Times New Roman"/>
                <w:sz w:val="28"/>
                <w:szCs w:val="28"/>
              </w:rPr>
              <w:t xml:space="preserve"> Starptautiskajam Valūtas fondam un </w:t>
            </w:r>
            <w:r w:rsidR="00437883">
              <w:rPr>
                <w:rFonts w:ascii="Times New Roman" w:hAnsi="Times New Roman"/>
                <w:sz w:val="28"/>
                <w:szCs w:val="28"/>
              </w:rPr>
              <w:t>7</w:t>
            </w:r>
            <w:r w:rsidR="00437883" w:rsidRPr="00EA3CF1">
              <w:rPr>
                <w:rFonts w:ascii="Times New Roman" w:hAnsi="Times New Roman"/>
                <w:sz w:val="28"/>
                <w:szCs w:val="28"/>
              </w:rPr>
              <w:t>. jū</w:t>
            </w:r>
            <w:r w:rsidR="00437883">
              <w:rPr>
                <w:rFonts w:ascii="Times New Roman" w:hAnsi="Times New Roman"/>
                <w:sz w:val="28"/>
                <w:szCs w:val="28"/>
              </w:rPr>
              <w:t>n</w:t>
            </w:r>
            <w:r w:rsidR="00437883" w:rsidRPr="00EA3CF1">
              <w:rPr>
                <w:rFonts w:ascii="Times New Roman" w:hAnsi="Times New Roman"/>
                <w:sz w:val="28"/>
                <w:szCs w:val="28"/>
              </w:rPr>
              <w:t>ijā noslēgt</w:t>
            </w:r>
            <w:r w:rsidR="00437883">
              <w:rPr>
                <w:rFonts w:ascii="Times New Roman" w:hAnsi="Times New Roman"/>
                <w:sz w:val="28"/>
                <w:szCs w:val="28"/>
              </w:rPr>
              <w:t>o</w:t>
            </w:r>
            <w:r w:rsidR="00437883" w:rsidRPr="00EA3CF1">
              <w:rPr>
                <w:rFonts w:ascii="Times New Roman" w:hAnsi="Times New Roman"/>
                <w:sz w:val="28"/>
                <w:szCs w:val="28"/>
              </w:rPr>
              <w:t xml:space="preserve"> Papildu Saprašanās memorand</w:t>
            </w:r>
            <w:r w:rsidR="00437883">
              <w:rPr>
                <w:rFonts w:ascii="Times New Roman" w:hAnsi="Times New Roman"/>
                <w:sz w:val="28"/>
                <w:szCs w:val="28"/>
              </w:rPr>
              <w:t>u</w:t>
            </w:r>
            <w:r w:rsidR="00437883" w:rsidRPr="00EA3CF1">
              <w:rPr>
                <w:rFonts w:ascii="Times New Roman" w:hAnsi="Times New Roman"/>
                <w:sz w:val="28"/>
                <w:szCs w:val="28"/>
              </w:rPr>
              <w:t xml:space="preserve"> (Saprašanās memoranda </w:t>
            </w:r>
            <w:r w:rsidR="00437883">
              <w:rPr>
                <w:rFonts w:ascii="Times New Roman" w:hAnsi="Times New Roman"/>
                <w:sz w:val="28"/>
                <w:szCs w:val="28"/>
              </w:rPr>
              <w:t>ceturt</w:t>
            </w:r>
            <w:r w:rsidR="00437883" w:rsidRPr="00EA3CF1">
              <w:rPr>
                <w:rFonts w:ascii="Times New Roman" w:hAnsi="Times New Roman"/>
                <w:sz w:val="28"/>
                <w:szCs w:val="28"/>
              </w:rPr>
              <w:t xml:space="preserve">ais papildinājums) starp </w:t>
            </w:r>
            <w:r w:rsidR="008B32DB">
              <w:rPr>
                <w:rFonts w:ascii="Times New Roman" w:hAnsi="Times New Roman"/>
                <w:sz w:val="28"/>
                <w:szCs w:val="28"/>
              </w:rPr>
              <w:t>ES</w:t>
            </w:r>
            <w:r w:rsidR="00437883" w:rsidRPr="00EA3CF1">
              <w:rPr>
                <w:rFonts w:ascii="Times New Roman" w:hAnsi="Times New Roman"/>
                <w:sz w:val="28"/>
                <w:szCs w:val="28"/>
              </w:rPr>
              <w:t xml:space="preserve"> un Latvijas Republiku</w:t>
            </w:r>
            <w:r w:rsidR="00437883">
              <w:rPr>
                <w:rFonts w:ascii="Times New Roman" w:hAnsi="Times New Roman"/>
                <w:sz w:val="28"/>
                <w:szCs w:val="28"/>
              </w:rPr>
              <w:t xml:space="preserve">, kā arī ņemot vērā </w:t>
            </w:r>
            <w:r w:rsidR="00437883">
              <w:rPr>
                <w:rFonts w:ascii="Times New Roman" w:hAnsi="Times New Roman"/>
                <w:sz w:val="28"/>
                <w:szCs w:val="28"/>
              </w:rPr>
              <w:lastRenderedPageBreak/>
              <w:t>Starptautisko aizdevēju misij</w:t>
            </w:r>
            <w:r w:rsidR="006A5CE2">
              <w:rPr>
                <w:rFonts w:ascii="Times New Roman" w:hAnsi="Times New Roman"/>
                <w:sz w:val="28"/>
                <w:szCs w:val="28"/>
              </w:rPr>
              <w:t>u</w:t>
            </w:r>
            <w:r w:rsidR="00437883">
              <w:rPr>
                <w:rFonts w:ascii="Times New Roman" w:hAnsi="Times New Roman"/>
                <w:sz w:val="28"/>
                <w:szCs w:val="28"/>
              </w:rPr>
              <w:t xml:space="preserve"> laikā panāktās vienošanās par nepieciešama</w:t>
            </w:r>
            <w:r w:rsidR="00224779">
              <w:rPr>
                <w:rFonts w:ascii="Times New Roman" w:hAnsi="Times New Roman"/>
                <w:sz w:val="28"/>
                <w:szCs w:val="28"/>
              </w:rPr>
              <w:t xml:space="preserve">jiem </w:t>
            </w:r>
            <w:r w:rsidR="006A5CE2">
              <w:rPr>
                <w:rFonts w:ascii="Times New Roman" w:hAnsi="Times New Roman"/>
                <w:sz w:val="28"/>
                <w:szCs w:val="28"/>
              </w:rPr>
              <w:t>nosacījumiem, kas iekļaujami FDL</w:t>
            </w:r>
            <w:r w:rsidR="00224779">
              <w:rPr>
                <w:rFonts w:ascii="Times New Roman" w:hAnsi="Times New Roman"/>
                <w:sz w:val="28"/>
                <w:szCs w:val="28"/>
              </w:rPr>
              <w:t>.</w:t>
            </w:r>
          </w:p>
        </w:tc>
      </w:tr>
      <w:tr w:rsidR="003F2F4B" w:rsidRPr="00EA3CF1" w:rsidTr="00087388">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lastRenderedPageBreak/>
              <w:t> 3.</w:t>
            </w:r>
          </w:p>
        </w:tc>
        <w:tc>
          <w:tcPr>
            <w:tcW w:w="311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Cita informācija</w:t>
            </w:r>
          </w:p>
        </w:tc>
        <w:tc>
          <w:tcPr>
            <w:tcW w:w="5399" w:type="dxa"/>
            <w:tcBorders>
              <w:top w:val="outset" w:sz="6" w:space="0" w:color="auto"/>
              <w:left w:val="outset" w:sz="6" w:space="0" w:color="auto"/>
              <w:bottom w:val="outset" w:sz="6" w:space="0" w:color="auto"/>
              <w:right w:val="outset" w:sz="6" w:space="0" w:color="auto"/>
            </w:tcBorders>
            <w:hideMark/>
          </w:tcPr>
          <w:p w:rsidR="003F2F4B" w:rsidRPr="00EA3CF1" w:rsidRDefault="004B14B0" w:rsidP="00D325F5">
            <w:pPr>
              <w:suppressAutoHyphens w:val="0"/>
              <w:spacing w:before="100" w:beforeAutospacing="1" w:after="100" w:afterAutospacing="1"/>
              <w:ind w:firstLine="694"/>
              <w:jc w:val="both"/>
              <w:rPr>
                <w:sz w:val="28"/>
                <w:szCs w:val="28"/>
                <w:lang w:val="lv-LV" w:eastAsia="lv-LV"/>
              </w:rPr>
            </w:pPr>
            <w:r w:rsidRPr="00EA3CF1">
              <w:rPr>
                <w:sz w:val="28"/>
                <w:szCs w:val="28"/>
                <w:lang w:val="lv-LV" w:eastAsia="lv-LV"/>
              </w:rPr>
              <w:t xml:space="preserve"> Nav</w:t>
            </w:r>
          </w:p>
        </w:tc>
      </w:tr>
    </w:tbl>
    <w:p w:rsidR="003F2F4B" w:rsidRPr="00EA3CF1" w:rsidRDefault="003F2F4B" w:rsidP="00D30E89">
      <w:pPr>
        <w:suppressAutoHyphens w:val="0"/>
        <w:rPr>
          <w:sz w:val="28"/>
          <w:szCs w:val="28"/>
          <w:lang w:val="lv-LV" w:eastAsia="lv-LV"/>
        </w:rPr>
      </w:pPr>
      <w:r w:rsidRPr="00EA3CF1">
        <w:rPr>
          <w:sz w:val="28"/>
          <w:szCs w:val="28"/>
          <w:lang w:val="lv-LV"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0"/>
      </w:tblGrid>
      <w:tr w:rsidR="003F2F4B" w:rsidRPr="00FB1E45" w:rsidTr="00AE587B">
        <w:trPr>
          <w:trHeight w:val="523"/>
          <w:tblCellSpacing w:w="0" w:type="dxa"/>
        </w:trPr>
        <w:tc>
          <w:tcPr>
            <w:tcW w:w="9100"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C17797">
            <w:pPr>
              <w:suppressAutoHyphens w:val="0"/>
              <w:jc w:val="center"/>
              <w:rPr>
                <w:b/>
                <w:sz w:val="28"/>
                <w:szCs w:val="28"/>
                <w:lang w:val="lv-LV" w:eastAsia="lv-LV"/>
              </w:rPr>
            </w:pPr>
            <w:r w:rsidRPr="00EA3CF1">
              <w:rPr>
                <w:b/>
                <w:sz w:val="28"/>
                <w:szCs w:val="28"/>
                <w:lang w:val="lv-LV" w:eastAsia="lv-LV"/>
              </w:rPr>
              <w:t>1.tabula</w:t>
            </w:r>
          </w:p>
          <w:p w:rsidR="003F2F4B" w:rsidRPr="00EA3CF1" w:rsidRDefault="003F2F4B" w:rsidP="00C17797">
            <w:pPr>
              <w:suppressAutoHyphens w:val="0"/>
              <w:jc w:val="center"/>
              <w:rPr>
                <w:sz w:val="28"/>
                <w:szCs w:val="28"/>
                <w:lang w:val="lv-LV" w:eastAsia="lv-LV"/>
              </w:rPr>
            </w:pPr>
            <w:r w:rsidRPr="00EA3CF1">
              <w:rPr>
                <w:b/>
                <w:sz w:val="28"/>
                <w:szCs w:val="28"/>
                <w:lang w:val="lv-LV" w:eastAsia="lv-LV"/>
              </w:rPr>
              <w:t>Tiesību akta projekta atbilstība ES tiesību aktiem</w:t>
            </w:r>
          </w:p>
        </w:tc>
      </w:tr>
      <w:tr w:rsidR="00C17797" w:rsidRPr="00EA3CF1" w:rsidTr="00C17797">
        <w:trPr>
          <w:trHeight w:val="360"/>
          <w:tblCellSpacing w:w="0" w:type="dxa"/>
        </w:trPr>
        <w:tc>
          <w:tcPr>
            <w:tcW w:w="9100" w:type="dxa"/>
            <w:tcBorders>
              <w:top w:val="outset" w:sz="6" w:space="0" w:color="auto"/>
              <w:left w:val="outset" w:sz="6" w:space="0" w:color="auto"/>
              <w:bottom w:val="outset" w:sz="6" w:space="0" w:color="auto"/>
              <w:right w:val="outset" w:sz="6" w:space="0" w:color="auto"/>
            </w:tcBorders>
            <w:vAlign w:val="center"/>
            <w:hideMark/>
          </w:tcPr>
          <w:p w:rsidR="00C17797" w:rsidRPr="00EA3CF1" w:rsidRDefault="00C17797" w:rsidP="003C02CD">
            <w:pPr>
              <w:suppressAutoHyphens w:val="0"/>
              <w:spacing w:before="100" w:beforeAutospacing="1" w:after="100" w:afterAutospacing="1"/>
              <w:jc w:val="center"/>
              <w:rPr>
                <w:sz w:val="28"/>
                <w:szCs w:val="28"/>
                <w:lang w:val="lv-LV" w:eastAsia="lv-LV"/>
              </w:rPr>
            </w:pPr>
            <w:r w:rsidRPr="00EA3CF1">
              <w:rPr>
                <w:sz w:val="28"/>
                <w:szCs w:val="28"/>
                <w:lang w:val="lv-LV" w:eastAsia="lv-LV"/>
              </w:rPr>
              <w:t>Nav attiecināms</w:t>
            </w:r>
          </w:p>
        </w:tc>
      </w:tr>
    </w:tbl>
    <w:p w:rsidR="008336E9" w:rsidRPr="00EA3CF1" w:rsidRDefault="008336E9" w:rsidP="00AE587B">
      <w:pPr>
        <w:suppressAutoHyphens w:val="0"/>
        <w:rPr>
          <w:sz w:val="28"/>
          <w:szCs w:val="28"/>
          <w:lang w:val="lv-LV"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0"/>
      </w:tblGrid>
      <w:tr w:rsidR="003F2F4B" w:rsidRPr="00EA3CF1" w:rsidTr="00AE587B">
        <w:trPr>
          <w:trHeight w:val="792"/>
          <w:tblCellSpacing w:w="0" w:type="dxa"/>
        </w:trPr>
        <w:tc>
          <w:tcPr>
            <w:tcW w:w="9100" w:type="dxa"/>
            <w:tcBorders>
              <w:top w:val="outset" w:sz="6" w:space="0" w:color="auto"/>
              <w:left w:val="outset" w:sz="6" w:space="0" w:color="auto"/>
              <w:bottom w:val="outset" w:sz="6" w:space="0" w:color="auto"/>
              <w:right w:val="outset" w:sz="6" w:space="0" w:color="auto"/>
            </w:tcBorders>
            <w:vAlign w:val="center"/>
            <w:hideMark/>
          </w:tcPr>
          <w:p w:rsidR="003F2F4B" w:rsidRPr="00EA3CF1" w:rsidRDefault="003F2F4B" w:rsidP="00C17797">
            <w:pPr>
              <w:suppressAutoHyphens w:val="0"/>
              <w:jc w:val="center"/>
              <w:rPr>
                <w:b/>
                <w:sz w:val="28"/>
                <w:szCs w:val="28"/>
                <w:lang w:val="lv-LV" w:eastAsia="lv-LV"/>
              </w:rPr>
            </w:pPr>
            <w:r w:rsidRPr="00EA3CF1">
              <w:rPr>
                <w:b/>
                <w:sz w:val="28"/>
                <w:szCs w:val="28"/>
                <w:lang w:val="lv-LV" w:eastAsia="lv-LV"/>
              </w:rPr>
              <w:t>2.tabula</w:t>
            </w:r>
          </w:p>
          <w:p w:rsidR="003F2F4B" w:rsidRPr="00EA3CF1" w:rsidRDefault="003F2F4B" w:rsidP="00C17797">
            <w:pPr>
              <w:suppressAutoHyphens w:val="0"/>
              <w:jc w:val="center"/>
              <w:rPr>
                <w:b/>
                <w:sz w:val="28"/>
                <w:szCs w:val="28"/>
                <w:lang w:val="lv-LV" w:eastAsia="lv-LV"/>
              </w:rPr>
            </w:pPr>
            <w:r w:rsidRPr="00EA3CF1">
              <w:rPr>
                <w:b/>
                <w:sz w:val="28"/>
                <w:szCs w:val="28"/>
                <w:lang w:val="lv-LV" w:eastAsia="lv-LV"/>
              </w:rPr>
              <w:t>Ar tiesību akta projektu uzņemtās saistības, kas izriet no starptautiskajiem tiesību aktiem vai starptautiskas institūcijas vai organizācijas dokumentiem</w:t>
            </w:r>
          </w:p>
          <w:p w:rsidR="003F2F4B" w:rsidRPr="00EA3CF1" w:rsidRDefault="003F2F4B" w:rsidP="00C17797">
            <w:pPr>
              <w:suppressAutoHyphens w:val="0"/>
              <w:jc w:val="center"/>
              <w:rPr>
                <w:sz w:val="28"/>
                <w:szCs w:val="28"/>
                <w:lang w:val="lv-LV" w:eastAsia="lv-LV"/>
              </w:rPr>
            </w:pPr>
            <w:r w:rsidRPr="00EA3CF1">
              <w:rPr>
                <w:b/>
                <w:sz w:val="28"/>
                <w:szCs w:val="28"/>
                <w:lang w:val="lv-LV" w:eastAsia="lv-LV"/>
              </w:rPr>
              <w:t>Pasākumi šo saistību izpildei</w:t>
            </w:r>
          </w:p>
        </w:tc>
      </w:tr>
      <w:tr w:rsidR="00C17797" w:rsidRPr="00EA3CF1" w:rsidTr="00C17797">
        <w:trPr>
          <w:trHeight w:val="372"/>
          <w:tblCellSpacing w:w="0" w:type="dxa"/>
        </w:trPr>
        <w:tc>
          <w:tcPr>
            <w:tcW w:w="9100" w:type="dxa"/>
            <w:tcBorders>
              <w:top w:val="outset" w:sz="6" w:space="0" w:color="auto"/>
              <w:left w:val="outset" w:sz="6" w:space="0" w:color="auto"/>
              <w:bottom w:val="outset" w:sz="6" w:space="0" w:color="auto"/>
              <w:right w:val="outset" w:sz="6" w:space="0" w:color="auto"/>
            </w:tcBorders>
            <w:vAlign w:val="center"/>
            <w:hideMark/>
          </w:tcPr>
          <w:p w:rsidR="00C17797" w:rsidRPr="00EA3CF1" w:rsidRDefault="00C17797" w:rsidP="00C17797">
            <w:pPr>
              <w:suppressAutoHyphens w:val="0"/>
              <w:spacing w:before="100" w:beforeAutospacing="1" w:after="100" w:afterAutospacing="1"/>
              <w:jc w:val="center"/>
              <w:rPr>
                <w:sz w:val="28"/>
                <w:szCs w:val="28"/>
                <w:lang w:val="lv-LV" w:eastAsia="lv-LV"/>
              </w:rPr>
            </w:pPr>
            <w:r w:rsidRPr="00EA3CF1">
              <w:rPr>
                <w:sz w:val="28"/>
                <w:szCs w:val="28"/>
                <w:lang w:val="lv-LV" w:eastAsia="lv-LV"/>
              </w:rPr>
              <w:t>Nav attiecināms</w:t>
            </w:r>
          </w:p>
        </w:tc>
      </w:tr>
    </w:tbl>
    <w:p w:rsidR="001845E6" w:rsidRPr="00EA3CF1" w:rsidRDefault="003F2F4B" w:rsidP="003F2F4B">
      <w:pPr>
        <w:suppressAutoHyphens w:val="0"/>
        <w:rPr>
          <w:sz w:val="28"/>
          <w:szCs w:val="28"/>
          <w:lang w:val="lv-LV" w:eastAsia="lv-LV"/>
        </w:rPr>
      </w:pPr>
      <w:r w:rsidRPr="00EA3CF1">
        <w:rPr>
          <w:b/>
          <w:bCs/>
          <w:sz w:val="28"/>
          <w:szCs w:val="28"/>
          <w:lang w:val="lv-LV" w:eastAsia="lv-LV"/>
        </w:rPr>
        <w:t> </w:t>
      </w:r>
    </w:p>
    <w:tbl>
      <w:tblPr>
        <w:tblW w:w="91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3196"/>
        <w:gridCol w:w="5399"/>
      </w:tblGrid>
      <w:tr w:rsidR="003F2F4B" w:rsidRPr="00FB1E45" w:rsidTr="00C77FAB">
        <w:trPr>
          <w:tblCellSpacing w:w="0" w:type="dxa"/>
          <w:jc w:val="center"/>
        </w:trPr>
        <w:tc>
          <w:tcPr>
            <w:tcW w:w="9120" w:type="dxa"/>
            <w:gridSpan w:val="3"/>
            <w:tcBorders>
              <w:top w:val="outset" w:sz="6" w:space="0" w:color="auto"/>
              <w:left w:val="outset" w:sz="6" w:space="0" w:color="auto"/>
              <w:bottom w:val="outset" w:sz="6" w:space="0" w:color="auto"/>
              <w:right w:val="outset" w:sz="6" w:space="0" w:color="auto"/>
            </w:tcBorders>
            <w:hideMark/>
          </w:tcPr>
          <w:p w:rsidR="00AE587B" w:rsidRPr="00EA3CF1" w:rsidRDefault="003F2F4B" w:rsidP="00AE587B">
            <w:pPr>
              <w:suppressAutoHyphens w:val="0"/>
              <w:spacing w:before="100" w:beforeAutospacing="1" w:after="100" w:afterAutospacing="1"/>
              <w:jc w:val="center"/>
              <w:rPr>
                <w:b/>
                <w:bCs/>
                <w:sz w:val="28"/>
                <w:szCs w:val="28"/>
                <w:lang w:val="lv-LV" w:eastAsia="lv-LV"/>
              </w:rPr>
            </w:pPr>
            <w:r w:rsidRPr="00EA3CF1">
              <w:rPr>
                <w:b/>
                <w:bCs/>
                <w:sz w:val="28"/>
                <w:szCs w:val="28"/>
                <w:lang w:val="lv-LV" w:eastAsia="lv-LV"/>
              </w:rPr>
              <w:t>VI. Sabiedrības līdzdalība un šīs līdzdalības rezultāti</w:t>
            </w:r>
          </w:p>
        </w:tc>
      </w:tr>
      <w:tr w:rsidR="000E1D10" w:rsidRPr="00EA3CF1" w:rsidTr="00C77FAB">
        <w:tblPrEx>
          <w:jc w:val="left"/>
        </w:tblPrEx>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0E1D10" w:rsidRPr="00EA3CF1" w:rsidRDefault="000E1D10" w:rsidP="000267AF">
            <w:pPr>
              <w:suppressAutoHyphens w:val="0"/>
              <w:spacing w:before="100" w:beforeAutospacing="1" w:after="100" w:afterAutospacing="1"/>
              <w:rPr>
                <w:sz w:val="28"/>
                <w:szCs w:val="28"/>
                <w:lang w:val="lv-LV" w:eastAsia="lv-LV"/>
              </w:rPr>
            </w:pPr>
            <w:r w:rsidRPr="00EA3CF1">
              <w:rPr>
                <w:sz w:val="28"/>
                <w:szCs w:val="28"/>
                <w:lang w:val="lv-LV" w:eastAsia="lv-LV"/>
              </w:rPr>
              <w:t> </w:t>
            </w:r>
            <w:r w:rsidR="000267AF" w:rsidRPr="00EA3CF1">
              <w:rPr>
                <w:sz w:val="28"/>
                <w:szCs w:val="28"/>
                <w:lang w:val="lv-LV" w:eastAsia="lv-LV"/>
              </w:rPr>
              <w:t>1</w:t>
            </w:r>
            <w:r w:rsidRPr="00EA3CF1">
              <w:rPr>
                <w:sz w:val="28"/>
                <w:szCs w:val="28"/>
                <w:lang w:val="lv-LV" w:eastAsia="lv-LV"/>
              </w:rPr>
              <w:t>.</w:t>
            </w:r>
          </w:p>
        </w:tc>
        <w:tc>
          <w:tcPr>
            <w:tcW w:w="3196" w:type="dxa"/>
            <w:tcBorders>
              <w:top w:val="outset" w:sz="6" w:space="0" w:color="auto"/>
              <w:left w:val="outset" w:sz="6" w:space="0" w:color="auto"/>
              <w:bottom w:val="outset" w:sz="6" w:space="0" w:color="auto"/>
              <w:right w:val="outset" w:sz="6" w:space="0" w:color="auto"/>
            </w:tcBorders>
            <w:hideMark/>
          </w:tcPr>
          <w:p w:rsidR="000E1D10" w:rsidRPr="00EA3CF1" w:rsidRDefault="000E1D10" w:rsidP="000267AF">
            <w:pPr>
              <w:suppressAutoHyphens w:val="0"/>
              <w:spacing w:before="100" w:beforeAutospacing="1" w:after="100" w:afterAutospacing="1"/>
              <w:rPr>
                <w:sz w:val="28"/>
                <w:szCs w:val="28"/>
                <w:lang w:val="lv-LV" w:eastAsia="lv-LV"/>
              </w:rPr>
            </w:pPr>
            <w:r w:rsidRPr="00EA3CF1">
              <w:rPr>
                <w:sz w:val="28"/>
                <w:szCs w:val="28"/>
                <w:lang w:val="lv-LV" w:eastAsia="lv-LV"/>
              </w:rPr>
              <w:t> </w:t>
            </w:r>
            <w:r w:rsidR="000267AF" w:rsidRPr="00EA3CF1">
              <w:rPr>
                <w:sz w:val="28"/>
                <w:szCs w:val="28"/>
                <w:lang w:val="lv-LV" w:eastAsia="lv-LV"/>
              </w:rPr>
              <w:t>Sabiedrības informēšana par projekta izstrādes uzsākšanu</w:t>
            </w:r>
          </w:p>
        </w:tc>
        <w:tc>
          <w:tcPr>
            <w:tcW w:w="5399" w:type="dxa"/>
            <w:tcBorders>
              <w:top w:val="outset" w:sz="6" w:space="0" w:color="auto"/>
              <w:left w:val="outset" w:sz="6" w:space="0" w:color="auto"/>
              <w:bottom w:val="outset" w:sz="6" w:space="0" w:color="auto"/>
              <w:right w:val="outset" w:sz="6" w:space="0" w:color="auto"/>
            </w:tcBorders>
            <w:hideMark/>
          </w:tcPr>
          <w:p w:rsidR="000E1D10" w:rsidRPr="00EA3CF1" w:rsidRDefault="000267AF" w:rsidP="00D325F5">
            <w:pPr>
              <w:suppressAutoHyphens w:val="0"/>
              <w:spacing w:before="100" w:beforeAutospacing="1" w:after="100" w:afterAutospacing="1"/>
              <w:ind w:firstLine="674"/>
              <w:jc w:val="both"/>
              <w:rPr>
                <w:sz w:val="28"/>
                <w:szCs w:val="28"/>
                <w:lang w:val="lv-LV" w:eastAsia="lv-LV"/>
              </w:rPr>
            </w:pPr>
            <w:r w:rsidRPr="00EA3CF1">
              <w:rPr>
                <w:sz w:val="28"/>
                <w:szCs w:val="28"/>
                <w:lang w:val="lv-LV" w:eastAsia="lv-LV"/>
              </w:rPr>
              <w:t>Nav attiecināms</w:t>
            </w:r>
          </w:p>
        </w:tc>
      </w:tr>
      <w:tr w:rsidR="000267AF" w:rsidRPr="00EA3CF1" w:rsidTr="00660F46">
        <w:tblPrEx>
          <w:jc w:val="left"/>
        </w:tblPrEx>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0267AF" w:rsidRPr="00EA3CF1" w:rsidRDefault="000267AF" w:rsidP="000267AF">
            <w:pPr>
              <w:suppressAutoHyphens w:val="0"/>
              <w:spacing w:before="100" w:beforeAutospacing="1" w:after="100" w:afterAutospacing="1"/>
              <w:rPr>
                <w:sz w:val="28"/>
                <w:szCs w:val="28"/>
                <w:lang w:val="lv-LV" w:eastAsia="lv-LV"/>
              </w:rPr>
            </w:pPr>
            <w:r w:rsidRPr="00EA3CF1">
              <w:rPr>
                <w:sz w:val="28"/>
                <w:szCs w:val="28"/>
                <w:lang w:val="lv-LV" w:eastAsia="lv-LV"/>
              </w:rPr>
              <w:t> 2.</w:t>
            </w:r>
          </w:p>
        </w:tc>
        <w:tc>
          <w:tcPr>
            <w:tcW w:w="3196" w:type="dxa"/>
            <w:tcBorders>
              <w:top w:val="outset" w:sz="6" w:space="0" w:color="auto"/>
              <w:left w:val="outset" w:sz="6" w:space="0" w:color="auto"/>
              <w:bottom w:val="outset" w:sz="6" w:space="0" w:color="auto"/>
              <w:right w:val="outset" w:sz="6" w:space="0" w:color="auto"/>
            </w:tcBorders>
            <w:hideMark/>
          </w:tcPr>
          <w:p w:rsidR="000267AF" w:rsidRPr="00EA3CF1" w:rsidRDefault="000267AF" w:rsidP="00C77FAB">
            <w:pPr>
              <w:suppressAutoHyphens w:val="0"/>
              <w:spacing w:before="100" w:beforeAutospacing="1" w:after="100" w:afterAutospacing="1"/>
              <w:rPr>
                <w:sz w:val="28"/>
                <w:szCs w:val="28"/>
                <w:lang w:val="lv-LV" w:eastAsia="lv-LV"/>
              </w:rPr>
            </w:pPr>
            <w:r w:rsidRPr="00EA3CF1">
              <w:rPr>
                <w:sz w:val="28"/>
                <w:szCs w:val="28"/>
                <w:lang w:val="lv-LV" w:eastAsia="lv-LV"/>
              </w:rPr>
              <w:t> </w:t>
            </w:r>
            <w:r w:rsidR="00C77FAB" w:rsidRPr="00EA3CF1">
              <w:rPr>
                <w:sz w:val="28"/>
                <w:szCs w:val="28"/>
                <w:lang w:val="lv-LV" w:eastAsia="lv-LV"/>
              </w:rPr>
              <w:t>Sabiedrības līdzdalība projekta izstrādē</w:t>
            </w:r>
          </w:p>
        </w:tc>
        <w:tc>
          <w:tcPr>
            <w:tcW w:w="5399" w:type="dxa"/>
            <w:tcBorders>
              <w:top w:val="outset" w:sz="6" w:space="0" w:color="auto"/>
              <w:left w:val="outset" w:sz="6" w:space="0" w:color="auto"/>
              <w:bottom w:val="outset" w:sz="6" w:space="0" w:color="auto"/>
              <w:right w:val="outset" w:sz="6" w:space="0" w:color="auto"/>
            </w:tcBorders>
          </w:tcPr>
          <w:p w:rsidR="00A148BB" w:rsidRPr="00EA3CF1" w:rsidRDefault="00BC6983" w:rsidP="00A148BB">
            <w:pPr>
              <w:suppressAutoHyphens w:val="0"/>
              <w:ind w:firstLine="674"/>
              <w:jc w:val="both"/>
              <w:rPr>
                <w:sz w:val="28"/>
                <w:szCs w:val="28"/>
                <w:lang w:val="lv-LV" w:eastAsia="lv-LV"/>
              </w:rPr>
            </w:pPr>
            <w:r w:rsidRPr="00EA3CF1">
              <w:rPr>
                <w:sz w:val="28"/>
                <w:szCs w:val="28"/>
                <w:lang w:val="lv-LV" w:eastAsia="lv-LV"/>
              </w:rPr>
              <w:t>Nav attiecināms</w:t>
            </w:r>
            <w:r w:rsidRPr="00EA3CF1" w:rsidDel="00BC6983">
              <w:rPr>
                <w:sz w:val="28"/>
                <w:szCs w:val="28"/>
                <w:lang w:val="lv-LV" w:eastAsia="lv-LV"/>
              </w:rPr>
              <w:t xml:space="preserve"> </w:t>
            </w:r>
          </w:p>
        </w:tc>
      </w:tr>
      <w:tr w:rsidR="000267AF" w:rsidRPr="00EA3CF1" w:rsidTr="00660F46">
        <w:tblPrEx>
          <w:jc w:val="left"/>
        </w:tblPrEx>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0267AF" w:rsidRPr="00EA3CF1" w:rsidRDefault="000267AF" w:rsidP="00C77FAB">
            <w:pPr>
              <w:suppressAutoHyphens w:val="0"/>
              <w:spacing w:before="100" w:beforeAutospacing="1" w:after="100" w:afterAutospacing="1"/>
              <w:rPr>
                <w:sz w:val="28"/>
                <w:szCs w:val="28"/>
                <w:lang w:val="lv-LV" w:eastAsia="lv-LV"/>
              </w:rPr>
            </w:pPr>
            <w:r w:rsidRPr="00EA3CF1">
              <w:rPr>
                <w:sz w:val="28"/>
                <w:szCs w:val="28"/>
                <w:lang w:val="lv-LV" w:eastAsia="lv-LV"/>
              </w:rPr>
              <w:t> </w:t>
            </w:r>
            <w:r w:rsidR="00C77FAB" w:rsidRPr="00EA3CF1">
              <w:rPr>
                <w:sz w:val="28"/>
                <w:szCs w:val="28"/>
                <w:lang w:val="lv-LV" w:eastAsia="lv-LV"/>
              </w:rPr>
              <w:t>3</w:t>
            </w:r>
            <w:r w:rsidRPr="00EA3CF1">
              <w:rPr>
                <w:sz w:val="28"/>
                <w:szCs w:val="28"/>
                <w:lang w:val="lv-LV" w:eastAsia="lv-LV"/>
              </w:rPr>
              <w:t>.</w:t>
            </w:r>
          </w:p>
        </w:tc>
        <w:tc>
          <w:tcPr>
            <w:tcW w:w="3196" w:type="dxa"/>
            <w:tcBorders>
              <w:top w:val="outset" w:sz="6" w:space="0" w:color="auto"/>
              <w:left w:val="outset" w:sz="6" w:space="0" w:color="auto"/>
              <w:bottom w:val="outset" w:sz="6" w:space="0" w:color="auto"/>
              <w:right w:val="outset" w:sz="6" w:space="0" w:color="auto"/>
            </w:tcBorders>
            <w:hideMark/>
          </w:tcPr>
          <w:p w:rsidR="000267AF" w:rsidRPr="00EA3CF1" w:rsidRDefault="000267AF" w:rsidP="00C77FAB">
            <w:pPr>
              <w:suppressAutoHyphens w:val="0"/>
              <w:spacing w:before="100" w:beforeAutospacing="1" w:after="100" w:afterAutospacing="1"/>
              <w:rPr>
                <w:sz w:val="28"/>
                <w:szCs w:val="28"/>
                <w:lang w:val="lv-LV" w:eastAsia="lv-LV"/>
              </w:rPr>
            </w:pPr>
            <w:r w:rsidRPr="00EA3CF1">
              <w:rPr>
                <w:sz w:val="28"/>
                <w:szCs w:val="28"/>
                <w:lang w:val="lv-LV" w:eastAsia="lv-LV"/>
              </w:rPr>
              <w:t> </w:t>
            </w:r>
            <w:r w:rsidR="00C77FAB" w:rsidRPr="00EA3CF1">
              <w:rPr>
                <w:sz w:val="28"/>
                <w:szCs w:val="28"/>
                <w:lang w:val="lv-LV" w:eastAsia="lv-LV"/>
              </w:rPr>
              <w:t>Sabiedrības līdzdalības rezultāti</w:t>
            </w:r>
          </w:p>
        </w:tc>
        <w:tc>
          <w:tcPr>
            <w:tcW w:w="5399" w:type="dxa"/>
            <w:tcBorders>
              <w:top w:val="outset" w:sz="6" w:space="0" w:color="auto"/>
              <w:left w:val="outset" w:sz="6" w:space="0" w:color="auto"/>
              <w:bottom w:val="outset" w:sz="6" w:space="0" w:color="auto"/>
              <w:right w:val="outset" w:sz="6" w:space="0" w:color="auto"/>
            </w:tcBorders>
          </w:tcPr>
          <w:p w:rsidR="00A148BB" w:rsidRPr="00EA3CF1" w:rsidRDefault="00BC6983" w:rsidP="00745412">
            <w:pPr>
              <w:suppressAutoHyphens w:val="0"/>
              <w:ind w:firstLine="674"/>
              <w:jc w:val="both"/>
              <w:rPr>
                <w:sz w:val="28"/>
                <w:szCs w:val="28"/>
                <w:lang w:val="lv-LV" w:eastAsia="lv-LV"/>
              </w:rPr>
            </w:pPr>
            <w:r w:rsidRPr="00EA3CF1">
              <w:rPr>
                <w:sz w:val="28"/>
                <w:szCs w:val="28"/>
                <w:lang w:val="lv-LV" w:eastAsia="lv-LV"/>
              </w:rPr>
              <w:t>Nav attiecināms</w:t>
            </w:r>
            <w:r w:rsidRPr="00EA3CF1" w:rsidDel="00BC6983">
              <w:rPr>
                <w:sz w:val="28"/>
                <w:szCs w:val="28"/>
                <w:lang w:val="lv-LV" w:eastAsia="lv-LV"/>
              </w:rPr>
              <w:t xml:space="preserve"> </w:t>
            </w:r>
          </w:p>
        </w:tc>
      </w:tr>
      <w:tr w:rsidR="000267AF" w:rsidRPr="00EA3CF1" w:rsidTr="00C77FAB">
        <w:tblPrEx>
          <w:jc w:val="left"/>
        </w:tblPrEx>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0267AF" w:rsidRPr="00EA3CF1" w:rsidRDefault="000267AF" w:rsidP="00C77FAB">
            <w:pPr>
              <w:suppressAutoHyphens w:val="0"/>
              <w:spacing w:before="100" w:beforeAutospacing="1" w:after="100" w:afterAutospacing="1"/>
              <w:rPr>
                <w:sz w:val="28"/>
                <w:szCs w:val="28"/>
                <w:lang w:val="lv-LV" w:eastAsia="lv-LV"/>
              </w:rPr>
            </w:pPr>
            <w:r w:rsidRPr="00EA3CF1">
              <w:rPr>
                <w:sz w:val="28"/>
                <w:szCs w:val="28"/>
                <w:lang w:val="lv-LV" w:eastAsia="lv-LV"/>
              </w:rPr>
              <w:t> </w:t>
            </w:r>
            <w:r w:rsidR="00C77FAB" w:rsidRPr="00EA3CF1">
              <w:rPr>
                <w:sz w:val="28"/>
                <w:szCs w:val="28"/>
                <w:lang w:val="lv-LV" w:eastAsia="lv-LV"/>
              </w:rPr>
              <w:t>4</w:t>
            </w:r>
            <w:r w:rsidRPr="00EA3CF1">
              <w:rPr>
                <w:sz w:val="28"/>
                <w:szCs w:val="28"/>
                <w:lang w:val="lv-LV" w:eastAsia="lv-LV"/>
              </w:rPr>
              <w:t>.</w:t>
            </w:r>
          </w:p>
        </w:tc>
        <w:tc>
          <w:tcPr>
            <w:tcW w:w="3196" w:type="dxa"/>
            <w:tcBorders>
              <w:top w:val="outset" w:sz="6" w:space="0" w:color="auto"/>
              <w:left w:val="outset" w:sz="6" w:space="0" w:color="auto"/>
              <w:bottom w:val="outset" w:sz="6" w:space="0" w:color="auto"/>
              <w:right w:val="outset" w:sz="6" w:space="0" w:color="auto"/>
            </w:tcBorders>
            <w:hideMark/>
          </w:tcPr>
          <w:p w:rsidR="000267AF" w:rsidRPr="00EA3CF1" w:rsidRDefault="000267AF" w:rsidP="00C77FAB">
            <w:pPr>
              <w:suppressAutoHyphens w:val="0"/>
              <w:spacing w:before="100" w:beforeAutospacing="1" w:after="100" w:afterAutospacing="1"/>
              <w:rPr>
                <w:sz w:val="28"/>
                <w:szCs w:val="28"/>
                <w:lang w:val="lv-LV" w:eastAsia="lv-LV"/>
              </w:rPr>
            </w:pPr>
            <w:r w:rsidRPr="00EA3CF1">
              <w:rPr>
                <w:sz w:val="28"/>
                <w:szCs w:val="28"/>
                <w:lang w:val="lv-LV" w:eastAsia="lv-LV"/>
              </w:rPr>
              <w:t> </w:t>
            </w:r>
            <w:r w:rsidR="00C77FAB" w:rsidRPr="00EA3CF1">
              <w:rPr>
                <w:sz w:val="28"/>
                <w:szCs w:val="28"/>
                <w:lang w:val="lv-LV" w:eastAsia="lv-LV"/>
              </w:rPr>
              <w:t>Saeimas un ekspertu līdzdalība</w:t>
            </w:r>
          </w:p>
        </w:tc>
        <w:tc>
          <w:tcPr>
            <w:tcW w:w="5399" w:type="dxa"/>
            <w:tcBorders>
              <w:top w:val="outset" w:sz="6" w:space="0" w:color="auto"/>
              <w:left w:val="outset" w:sz="6" w:space="0" w:color="auto"/>
              <w:bottom w:val="outset" w:sz="6" w:space="0" w:color="auto"/>
              <w:right w:val="outset" w:sz="6" w:space="0" w:color="auto"/>
            </w:tcBorders>
            <w:hideMark/>
          </w:tcPr>
          <w:p w:rsidR="000267AF" w:rsidRPr="00EA3CF1" w:rsidRDefault="0025645D" w:rsidP="003A5465">
            <w:pPr>
              <w:suppressAutoHyphens w:val="0"/>
              <w:spacing w:before="100" w:beforeAutospacing="1" w:after="100" w:afterAutospacing="1"/>
              <w:ind w:firstLine="674"/>
              <w:jc w:val="both"/>
              <w:rPr>
                <w:sz w:val="28"/>
                <w:szCs w:val="28"/>
                <w:lang w:val="lv-LV" w:eastAsia="lv-LV"/>
              </w:rPr>
            </w:pPr>
            <w:r w:rsidRPr="00EA3CF1">
              <w:rPr>
                <w:sz w:val="28"/>
                <w:szCs w:val="28"/>
                <w:lang w:val="lv-LV" w:eastAsia="lv-LV"/>
              </w:rPr>
              <w:t>Nav</w:t>
            </w:r>
            <w:r w:rsidR="008336E9">
              <w:rPr>
                <w:sz w:val="28"/>
                <w:szCs w:val="28"/>
                <w:lang w:val="lv-LV" w:eastAsia="lv-LV"/>
              </w:rPr>
              <w:t xml:space="preserve"> attiecināms</w:t>
            </w:r>
          </w:p>
        </w:tc>
      </w:tr>
      <w:tr w:rsidR="000267AF" w:rsidRPr="00EA3CF1" w:rsidTr="00C77FAB">
        <w:tblPrEx>
          <w:jc w:val="left"/>
        </w:tblPrEx>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0267AF" w:rsidRPr="00EA3CF1" w:rsidRDefault="000267AF" w:rsidP="00C77FAB">
            <w:pPr>
              <w:suppressAutoHyphens w:val="0"/>
              <w:spacing w:before="100" w:beforeAutospacing="1" w:after="100" w:afterAutospacing="1"/>
              <w:rPr>
                <w:sz w:val="28"/>
                <w:szCs w:val="28"/>
                <w:lang w:val="lv-LV" w:eastAsia="lv-LV"/>
              </w:rPr>
            </w:pPr>
            <w:r w:rsidRPr="00EA3CF1">
              <w:rPr>
                <w:sz w:val="28"/>
                <w:szCs w:val="28"/>
                <w:lang w:val="lv-LV" w:eastAsia="lv-LV"/>
              </w:rPr>
              <w:t> </w:t>
            </w:r>
            <w:r w:rsidR="00C77FAB" w:rsidRPr="00EA3CF1">
              <w:rPr>
                <w:sz w:val="28"/>
                <w:szCs w:val="28"/>
                <w:lang w:val="lv-LV" w:eastAsia="lv-LV"/>
              </w:rPr>
              <w:t>5</w:t>
            </w:r>
            <w:r w:rsidRPr="00EA3CF1">
              <w:rPr>
                <w:sz w:val="28"/>
                <w:szCs w:val="28"/>
                <w:lang w:val="lv-LV" w:eastAsia="lv-LV"/>
              </w:rPr>
              <w:t>.</w:t>
            </w:r>
          </w:p>
        </w:tc>
        <w:tc>
          <w:tcPr>
            <w:tcW w:w="3196" w:type="dxa"/>
            <w:tcBorders>
              <w:top w:val="outset" w:sz="6" w:space="0" w:color="auto"/>
              <w:left w:val="outset" w:sz="6" w:space="0" w:color="auto"/>
              <w:bottom w:val="outset" w:sz="6" w:space="0" w:color="auto"/>
              <w:right w:val="outset" w:sz="6" w:space="0" w:color="auto"/>
            </w:tcBorders>
            <w:hideMark/>
          </w:tcPr>
          <w:p w:rsidR="000267AF" w:rsidRPr="00EA3CF1" w:rsidRDefault="000267AF" w:rsidP="000267AF">
            <w:pPr>
              <w:suppressAutoHyphens w:val="0"/>
              <w:spacing w:before="100" w:beforeAutospacing="1" w:after="100" w:afterAutospacing="1"/>
              <w:rPr>
                <w:sz w:val="28"/>
                <w:szCs w:val="28"/>
                <w:lang w:val="lv-LV" w:eastAsia="lv-LV"/>
              </w:rPr>
            </w:pPr>
            <w:r w:rsidRPr="00EA3CF1">
              <w:rPr>
                <w:sz w:val="28"/>
                <w:szCs w:val="28"/>
                <w:lang w:val="lv-LV" w:eastAsia="lv-LV"/>
              </w:rPr>
              <w:t> Cita informācija</w:t>
            </w:r>
          </w:p>
        </w:tc>
        <w:tc>
          <w:tcPr>
            <w:tcW w:w="5399" w:type="dxa"/>
            <w:tcBorders>
              <w:top w:val="outset" w:sz="6" w:space="0" w:color="auto"/>
              <w:left w:val="outset" w:sz="6" w:space="0" w:color="auto"/>
              <w:bottom w:val="outset" w:sz="6" w:space="0" w:color="auto"/>
              <w:right w:val="outset" w:sz="6" w:space="0" w:color="auto"/>
            </w:tcBorders>
            <w:hideMark/>
          </w:tcPr>
          <w:p w:rsidR="000267AF" w:rsidRPr="00EA3CF1" w:rsidRDefault="0025645D" w:rsidP="003A5465">
            <w:pPr>
              <w:suppressAutoHyphens w:val="0"/>
              <w:spacing w:before="100" w:beforeAutospacing="1" w:after="100" w:afterAutospacing="1"/>
              <w:ind w:firstLine="674"/>
              <w:jc w:val="both"/>
              <w:rPr>
                <w:sz w:val="28"/>
                <w:szCs w:val="28"/>
                <w:lang w:val="lv-LV" w:eastAsia="lv-LV"/>
              </w:rPr>
            </w:pPr>
            <w:r w:rsidRPr="00EA3CF1">
              <w:rPr>
                <w:sz w:val="28"/>
                <w:szCs w:val="28"/>
                <w:lang w:val="lv-LV" w:eastAsia="lv-LV"/>
              </w:rPr>
              <w:t>Nav</w:t>
            </w:r>
          </w:p>
        </w:tc>
      </w:tr>
    </w:tbl>
    <w:p w:rsidR="003F2F4B" w:rsidRPr="00EA3CF1" w:rsidRDefault="003F2F4B" w:rsidP="00AE587B">
      <w:pPr>
        <w:suppressAutoHyphens w:val="0"/>
        <w:rPr>
          <w:sz w:val="28"/>
          <w:szCs w:val="28"/>
          <w:lang w:val="lv-LV"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3199"/>
        <w:gridCol w:w="5399"/>
      </w:tblGrid>
      <w:tr w:rsidR="003F2F4B" w:rsidRPr="00FB1E45" w:rsidTr="001A5B2F">
        <w:trPr>
          <w:tblCellSpacing w:w="0" w:type="dxa"/>
        </w:trPr>
        <w:tc>
          <w:tcPr>
            <w:tcW w:w="9100" w:type="dxa"/>
            <w:gridSpan w:val="3"/>
            <w:tcBorders>
              <w:top w:val="outset" w:sz="6" w:space="0" w:color="auto"/>
              <w:left w:val="outset" w:sz="6" w:space="0" w:color="auto"/>
              <w:bottom w:val="outset" w:sz="6" w:space="0" w:color="auto"/>
              <w:right w:val="outset" w:sz="6" w:space="0" w:color="auto"/>
            </w:tcBorders>
            <w:hideMark/>
          </w:tcPr>
          <w:p w:rsidR="003F2F4B" w:rsidRPr="00EA3CF1" w:rsidRDefault="003F2F4B" w:rsidP="00AE587B">
            <w:pPr>
              <w:suppressAutoHyphens w:val="0"/>
              <w:spacing w:before="100" w:beforeAutospacing="1" w:after="100" w:afterAutospacing="1"/>
              <w:jc w:val="center"/>
              <w:rPr>
                <w:sz w:val="28"/>
                <w:szCs w:val="28"/>
                <w:lang w:val="lv-LV" w:eastAsia="lv-LV"/>
              </w:rPr>
            </w:pPr>
            <w:r w:rsidRPr="00EA3CF1">
              <w:rPr>
                <w:b/>
                <w:bCs/>
                <w:sz w:val="28"/>
                <w:szCs w:val="28"/>
                <w:lang w:val="lv-LV" w:eastAsia="lv-LV"/>
              </w:rPr>
              <w:t>VII. Tiesību akta projekta izpildes nodrošināšana un tās ietekme uz institūcijām</w:t>
            </w:r>
          </w:p>
        </w:tc>
      </w:tr>
      <w:tr w:rsidR="00501257" w:rsidRPr="00EA3CF1" w:rsidTr="00C3477B">
        <w:trPr>
          <w:trHeight w:val="427"/>
          <w:tblCellSpacing w:w="0" w:type="dxa"/>
        </w:trPr>
        <w:tc>
          <w:tcPr>
            <w:tcW w:w="502"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1.</w:t>
            </w:r>
          </w:p>
        </w:tc>
        <w:tc>
          <w:tcPr>
            <w:tcW w:w="319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C17797">
            <w:pPr>
              <w:suppressAutoHyphens w:val="0"/>
              <w:rPr>
                <w:sz w:val="28"/>
                <w:szCs w:val="28"/>
                <w:lang w:val="lv-LV" w:eastAsia="lv-LV"/>
              </w:rPr>
            </w:pPr>
            <w:r w:rsidRPr="00EA3CF1">
              <w:rPr>
                <w:sz w:val="28"/>
                <w:szCs w:val="28"/>
                <w:lang w:val="lv-LV" w:eastAsia="lv-LV"/>
              </w:rPr>
              <w:t> Projekta izpildē iesaistītās institūcijas</w:t>
            </w:r>
          </w:p>
        </w:tc>
        <w:tc>
          <w:tcPr>
            <w:tcW w:w="5399" w:type="dxa"/>
            <w:tcBorders>
              <w:top w:val="outset" w:sz="6" w:space="0" w:color="auto"/>
              <w:left w:val="outset" w:sz="6" w:space="0" w:color="auto"/>
              <w:bottom w:val="outset" w:sz="6" w:space="0" w:color="auto"/>
              <w:right w:val="outset" w:sz="6" w:space="0" w:color="auto"/>
            </w:tcBorders>
            <w:hideMark/>
          </w:tcPr>
          <w:p w:rsidR="00EB6725" w:rsidRPr="00EA3CF1" w:rsidRDefault="008C24D2" w:rsidP="00E559E3">
            <w:pPr>
              <w:suppressAutoHyphens w:val="0"/>
              <w:ind w:firstLine="694"/>
              <w:jc w:val="both"/>
              <w:rPr>
                <w:sz w:val="28"/>
                <w:szCs w:val="28"/>
                <w:lang w:val="lv-LV" w:eastAsia="lv-LV"/>
              </w:rPr>
            </w:pPr>
            <w:r w:rsidRPr="00EA3CF1">
              <w:rPr>
                <w:sz w:val="28"/>
                <w:szCs w:val="28"/>
                <w:lang w:val="lv-LV" w:eastAsia="lv-LV"/>
              </w:rPr>
              <w:t>Par l</w:t>
            </w:r>
            <w:r w:rsidR="003B034F" w:rsidRPr="00EA3CF1">
              <w:rPr>
                <w:sz w:val="28"/>
                <w:szCs w:val="28"/>
                <w:lang w:val="lv-LV" w:eastAsia="lv-LV"/>
              </w:rPr>
              <w:t>ikum</w:t>
            </w:r>
            <w:r w:rsidR="00CD0225" w:rsidRPr="00EA3CF1">
              <w:rPr>
                <w:sz w:val="28"/>
                <w:szCs w:val="28"/>
                <w:lang w:val="lv-LV" w:eastAsia="lv-LV"/>
              </w:rPr>
              <w:t xml:space="preserve">projekta </w:t>
            </w:r>
            <w:r w:rsidRPr="00EA3CF1">
              <w:rPr>
                <w:sz w:val="28"/>
                <w:szCs w:val="28"/>
                <w:lang w:val="lv-LV" w:eastAsia="lv-LV"/>
              </w:rPr>
              <w:t xml:space="preserve">tālāko virzību un </w:t>
            </w:r>
            <w:r w:rsidR="00CD0225" w:rsidRPr="00EA3CF1">
              <w:rPr>
                <w:sz w:val="28"/>
                <w:szCs w:val="28"/>
                <w:lang w:val="lv-LV" w:eastAsia="lv-LV"/>
              </w:rPr>
              <w:t xml:space="preserve">izpildi </w:t>
            </w:r>
            <w:r w:rsidRPr="00EA3CF1">
              <w:rPr>
                <w:sz w:val="28"/>
                <w:szCs w:val="28"/>
                <w:lang w:val="lv-LV" w:eastAsia="lv-LV"/>
              </w:rPr>
              <w:t>atbildīga</w:t>
            </w:r>
            <w:r w:rsidR="00CD0225" w:rsidRPr="00EA3CF1">
              <w:rPr>
                <w:sz w:val="28"/>
                <w:szCs w:val="28"/>
                <w:lang w:val="lv-LV" w:eastAsia="lv-LV"/>
              </w:rPr>
              <w:t xml:space="preserve"> Finanšu ministrija</w:t>
            </w:r>
            <w:r w:rsidR="00D30E89" w:rsidRPr="00EA3CF1">
              <w:rPr>
                <w:sz w:val="28"/>
                <w:szCs w:val="28"/>
                <w:lang w:val="lv-LV" w:eastAsia="lv-LV"/>
              </w:rPr>
              <w:t xml:space="preserve">. </w:t>
            </w:r>
          </w:p>
        </w:tc>
      </w:tr>
      <w:tr w:rsidR="00501257" w:rsidRPr="00FB1E45" w:rsidTr="00C3477B">
        <w:trPr>
          <w:trHeight w:val="463"/>
          <w:tblCellSpacing w:w="0" w:type="dxa"/>
        </w:trPr>
        <w:tc>
          <w:tcPr>
            <w:tcW w:w="502"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2.</w:t>
            </w:r>
          </w:p>
        </w:tc>
        <w:tc>
          <w:tcPr>
            <w:tcW w:w="319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C17797">
            <w:pPr>
              <w:suppressAutoHyphens w:val="0"/>
              <w:rPr>
                <w:sz w:val="28"/>
                <w:szCs w:val="28"/>
                <w:lang w:val="lv-LV" w:eastAsia="lv-LV"/>
              </w:rPr>
            </w:pPr>
            <w:r w:rsidRPr="00EA3CF1">
              <w:rPr>
                <w:sz w:val="28"/>
                <w:szCs w:val="28"/>
                <w:lang w:val="lv-LV" w:eastAsia="lv-LV"/>
              </w:rPr>
              <w:t> Projekta izpildes ietekme uz pārvaldes funkcijām</w:t>
            </w:r>
          </w:p>
        </w:tc>
        <w:tc>
          <w:tcPr>
            <w:tcW w:w="5399" w:type="dxa"/>
            <w:tcBorders>
              <w:top w:val="outset" w:sz="6" w:space="0" w:color="auto"/>
              <w:left w:val="outset" w:sz="6" w:space="0" w:color="auto"/>
              <w:bottom w:val="outset" w:sz="6" w:space="0" w:color="auto"/>
              <w:right w:val="outset" w:sz="6" w:space="0" w:color="auto"/>
            </w:tcBorders>
            <w:hideMark/>
          </w:tcPr>
          <w:p w:rsidR="00EB6725" w:rsidRDefault="000E41E9" w:rsidP="00E559E3">
            <w:pPr>
              <w:ind w:firstLine="694"/>
              <w:jc w:val="both"/>
              <w:rPr>
                <w:rStyle w:val="Emphasis"/>
                <w:i w:val="0"/>
                <w:color w:val="000000"/>
                <w:sz w:val="28"/>
                <w:szCs w:val="28"/>
                <w:lang w:val="lv-LV"/>
              </w:rPr>
            </w:pPr>
            <w:r w:rsidRPr="00A148BB">
              <w:rPr>
                <w:sz w:val="28"/>
                <w:szCs w:val="28"/>
                <w:lang w:val="lv-LV" w:eastAsia="lv-LV"/>
              </w:rPr>
              <w:t xml:space="preserve">Tiesību akta projekts attiecas uz </w:t>
            </w:r>
            <w:r w:rsidR="00A148BB" w:rsidRPr="00A148BB">
              <w:rPr>
                <w:rStyle w:val="Emphasis"/>
                <w:i w:val="0"/>
                <w:sz w:val="28"/>
                <w:szCs w:val="28"/>
                <w:lang w:val="lv-LV"/>
              </w:rPr>
              <w:t xml:space="preserve">valsts un pašvaldību budžeta iestādēm, budžeta nefinansētām iestādēm, no valsts budžeta daļēji finansētām atvasinātām publiskām personām, </w:t>
            </w:r>
            <w:r w:rsidR="00A148BB" w:rsidRPr="00A148BB">
              <w:rPr>
                <w:rStyle w:val="Emphasis"/>
                <w:i w:val="0"/>
                <w:color w:val="000000"/>
                <w:sz w:val="28"/>
                <w:szCs w:val="28"/>
                <w:lang w:val="lv-LV"/>
              </w:rPr>
              <w:t xml:space="preserve">kā arī nosaka </w:t>
            </w:r>
            <w:r w:rsidR="00A148BB" w:rsidRPr="00A148BB">
              <w:rPr>
                <w:color w:val="000000"/>
                <w:sz w:val="28"/>
                <w:szCs w:val="28"/>
                <w:lang w:val="lv-LV"/>
              </w:rPr>
              <w:t>fiskālās politikas principus, kas jāievēro arī</w:t>
            </w:r>
            <w:r w:rsidR="00A148BB" w:rsidRPr="00A148BB">
              <w:rPr>
                <w:i/>
                <w:color w:val="000000"/>
                <w:sz w:val="28"/>
                <w:szCs w:val="28"/>
                <w:lang w:val="lv-LV"/>
              </w:rPr>
              <w:t xml:space="preserve"> </w:t>
            </w:r>
            <w:r w:rsidR="00A148BB" w:rsidRPr="00A148BB">
              <w:rPr>
                <w:rStyle w:val="Emphasis"/>
                <w:i w:val="0"/>
                <w:color w:val="000000"/>
                <w:sz w:val="28"/>
                <w:szCs w:val="28"/>
                <w:lang w:val="lv-LV"/>
              </w:rPr>
              <w:t>citām vispārējās valdības sektorā atbilstoši</w:t>
            </w:r>
            <w:r w:rsidR="00A148BB" w:rsidRPr="00A148BB">
              <w:rPr>
                <w:rStyle w:val="Emphasis"/>
                <w:color w:val="000000"/>
                <w:sz w:val="28"/>
                <w:szCs w:val="28"/>
                <w:lang w:val="lv-LV"/>
              </w:rPr>
              <w:t xml:space="preserve"> </w:t>
            </w:r>
            <w:r w:rsidR="008B32DB">
              <w:rPr>
                <w:color w:val="000000"/>
                <w:sz w:val="28"/>
                <w:szCs w:val="28"/>
                <w:lang w:val="lv-LV"/>
              </w:rPr>
              <w:t>ES</w:t>
            </w:r>
            <w:r w:rsidR="00A148BB" w:rsidRPr="00A148BB">
              <w:rPr>
                <w:color w:val="000000"/>
                <w:sz w:val="28"/>
                <w:szCs w:val="28"/>
                <w:lang w:val="lv-LV"/>
              </w:rPr>
              <w:t xml:space="preserve"> piemērotajai metodoloģijai iekļaujamām institūcijām</w:t>
            </w:r>
            <w:r w:rsidR="00A148BB" w:rsidRPr="00A148BB">
              <w:rPr>
                <w:rStyle w:val="Emphasis"/>
                <w:color w:val="000000"/>
                <w:sz w:val="28"/>
                <w:szCs w:val="28"/>
                <w:lang w:val="lv-LV"/>
              </w:rPr>
              <w:t>.</w:t>
            </w:r>
            <w:r w:rsidR="00A148BB">
              <w:rPr>
                <w:rStyle w:val="Emphasis"/>
                <w:i w:val="0"/>
                <w:color w:val="000000"/>
                <w:sz w:val="28"/>
                <w:szCs w:val="28"/>
                <w:lang w:val="lv-LV"/>
              </w:rPr>
              <w:t xml:space="preserve"> </w:t>
            </w:r>
          </w:p>
          <w:p w:rsidR="00A148BB" w:rsidRPr="00A148BB" w:rsidRDefault="00A148BB" w:rsidP="00E559E3">
            <w:pPr>
              <w:ind w:firstLine="694"/>
              <w:jc w:val="both"/>
              <w:rPr>
                <w:iCs/>
                <w:sz w:val="28"/>
                <w:szCs w:val="28"/>
                <w:lang w:val="lv-LV"/>
              </w:rPr>
            </w:pPr>
          </w:p>
        </w:tc>
      </w:tr>
      <w:tr w:rsidR="00501257" w:rsidRPr="00EA3CF1" w:rsidTr="00C3477B">
        <w:trPr>
          <w:trHeight w:val="725"/>
          <w:tblCellSpacing w:w="0" w:type="dxa"/>
        </w:trPr>
        <w:tc>
          <w:tcPr>
            <w:tcW w:w="502"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lastRenderedPageBreak/>
              <w:t> 3.</w:t>
            </w:r>
          </w:p>
        </w:tc>
        <w:tc>
          <w:tcPr>
            <w:tcW w:w="319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C17797">
            <w:pPr>
              <w:suppressAutoHyphens w:val="0"/>
              <w:rPr>
                <w:sz w:val="28"/>
                <w:szCs w:val="28"/>
                <w:lang w:val="lv-LV" w:eastAsia="lv-LV"/>
              </w:rPr>
            </w:pPr>
            <w:r w:rsidRPr="00EA3CF1">
              <w:rPr>
                <w:sz w:val="28"/>
                <w:szCs w:val="28"/>
                <w:lang w:val="lv-LV" w:eastAsia="lv-LV"/>
              </w:rPr>
              <w:t> Projekta izpildes ietekme uz pārvaldes institucionālo struktūru.</w:t>
            </w:r>
          </w:p>
          <w:p w:rsidR="003F2F4B" w:rsidRPr="00EA3CF1" w:rsidRDefault="003F2F4B" w:rsidP="00C17797">
            <w:pPr>
              <w:suppressAutoHyphens w:val="0"/>
              <w:rPr>
                <w:sz w:val="28"/>
                <w:szCs w:val="28"/>
                <w:lang w:val="lv-LV" w:eastAsia="lv-LV"/>
              </w:rPr>
            </w:pPr>
            <w:r w:rsidRPr="00EA3CF1">
              <w:rPr>
                <w:sz w:val="28"/>
                <w:szCs w:val="28"/>
                <w:lang w:val="lv-LV" w:eastAsia="lv-LV"/>
              </w:rPr>
              <w:t>Jaunu institūciju izveide</w:t>
            </w:r>
          </w:p>
        </w:tc>
        <w:tc>
          <w:tcPr>
            <w:tcW w:w="5399" w:type="dxa"/>
            <w:tcBorders>
              <w:top w:val="outset" w:sz="6" w:space="0" w:color="auto"/>
              <w:left w:val="outset" w:sz="6" w:space="0" w:color="auto"/>
              <w:bottom w:val="outset" w:sz="6" w:space="0" w:color="auto"/>
              <w:right w:val="outset" w:sz="6" w:space="0" w:color="auto"/>
            </w:tcBorders>
            <w:hideMark/>
          </w:tcPr>
          <w:p w:rsidR="003F2F4B" w:rsidRPr="00EA3CF1" w:rsidRDefault="00927860" w:rsidP="003A5465">
            <w:pPr>
              <w:suppressAutoHyphens w:val="0"/>
              <w:spacing w:before="100" w:beforeAutospacing="1" w:after="100" w:afterAutospacing="1"/>
              <w:ind w:firstLine="694"/>
              <w:rPr>
                <w:sz w:val="28"/>
                <w:szCs w:val="28"/>
                <w:lang w:val="lv-LV" w:eastAsia="lv-LV"/>
              </w:rPr>
            </w:pPr>
            <w:r w:rsidRPr="00EA3CF1">
              <w:rPr>
                <w:sz w:val="28"/>
                <w:szCs w:val="28"/>
                <w:lang w:val="lv-LV" w:eastAsia="lv-LV"/>
              </w:rPr>
              <w:t>Jaunu institūciju izveidošana nav nepieciešama.</w:t>
            </w:r>
          </w:p>
        </w:tc>
      </w:tr>
      <w:tr w:rsidR="00501257" w:rsidRPr="00EA3CF1" w:rsidTr="00C3477B">
        <w:trPr>
          <w:trHeight w:val="780"/>
          <w:tblCellSpacing w:w="0" w:type="dxa"/>
        </w:trPr>
        <w:tc>
          <w:tcPr>
            <w:tcW w:w="502"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4.</w:t>
            </w:r>
          </w:p>
        </w:tc>
        <w:tc>
          <w:tcPr>
            <w:tcW w:w="319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C17797">
            <w:pPr>
              <w:suppressAutoHyphens w:val="0"/>
              <w:rPr>
                <w:sz w:val="28"/>
                <w:szCs w:val="28"/>
                <w:lang w:val="lv-LV" w:eastAsia="lv-LV"/>
              </w:rPr>
            </w:pPr>
            <w:r w:rsidRPr="00EA3CF1">
              <w:rPr>
                <w:sz w:val="28"/>
                <w:szCs w:val="28"/>
                <w:lang w:val="lv-LV" w:eastAsia="lv-LV"/>
              </w:rPr>
              <w:t> Projekta izpildes ietekme uz pārvaldes institucionālo struktūru.</w:t>
            </w:r>
          </w:p>
          <w:p w:rsidR="003F2F4B" w:rsidRPr="00EA3CF1" w:rsidRDefault="003F2F4B" w:rsidP="00C17797">
            <w:pPr>
              <w:suppressAutoHyphens w:val="0"/>
              <w:rPr>
                <w:sz w:val="28"/>
                <w:szCs w:val="28"/>
                <w:lang w:val="lv-LV" w:eastAsia="lv-LV"/>
              </w:rPr>
            </w:pPr>
            <w:r w:rsidRPr="00EA3CF1">
              <w:rPr>
                <w:sz w:val="28"/>
                <w:szCs w:val="28"/>
                <w:lang w:val="lv-LV" w:eastAsia="lv-LV"/>
              </w:rPr>
              <w:t>Esošu institūciju likvidācija</w:t>
            </w:r>
          </w:p>
        </w:tc>
        <w:tc>
          <w:tcPr>
            <w:tcW w:w="5399" w:type="dxa"/>
            <w:tcBorders>
              <w:top w:val="outset" w:sz="6" w:space="0" w:color="auto"/>
              <w:left w:val="outset" w:sz="6" w:space="0" w:color="auto"/>
              <w:bottom w:val="outset" w:sz="6" w:space="0" w:color="auto"/>
              <w:right w:val="outset" w:sz="6" w:space="0" w:color="auto"/>
            </w:tcBorders>
            <w:hideMark/>
          </w:tcPr>
          <w:p w:rsidR="003F2F4B" w:rsidRPr="00EA3CF1" w:rsidRDefault="00AE587B" w:rsidP="003A5465">
            <w:pPr>
              <w:suppressAutoHyphens w:val="0"/>
              <w:spacing w:before="100" w:beforeAutospacing="1" w:after="100" w:afterAutospacing="1"/>
              <w:ind w:firstLine="694"/>
              <w:rPr>
                <w:sz w:val="28"/>
                <w:szCs w:val="28"/>
                <w:lang w:val="lv-LV" w:eastAsia="lv-LV"/>
              </w:rPr>
            </w:pPr>
            <w:r w:rsidRPr="00EA3CF1">
              <w:rPr>
                <w:sz w:val="28"/>
                <w:szCs w:val="28"/>
                <w:lang w:val="lv-LV" w:eastAsia="lv-LV"/>
              </w:rPr>
              <w:t>Nav attiecināms</w:t>
            </w:r>
          </w:p>
        </w:tc>
      </w:tr>
      <w:tr w:rsidR="00501257" w:rsidRPr="00FB1E45" w:rsidTr="00C3477B">
        <w:trPr>
          <w:trHeight w:val="703"/>
          <w:tblCellSpacing w:w="0" w:type="dxa"/>
        </w:trPr>
        <w:tc>
          <w:tcPr>
            <w:tcW w:w="502"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5.</w:t>
            </w:r>
          </w:p>
        </w:tc>
        <w:tc>
          <w:tcPr>
            <w:tcW w:w="319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C17797">
            <w:pPr>
              <w:suppressAutoHyphens w:val="0"/>
              <w:rPr>
                <w:sz w:val="28"/>
                <w:szCs w:val="28"/>
                <w:lang w:val="lv-LV" w:eastAsia="lv-LV"/>
              </w:rPr>
            </w:pPr>
            <w:r w:rsidRPr="00EA3CF1">
              <w:rPr>
                <w:sz w:val="28"/>
                <w:szCs w:val="28"/>
                <w:lang w:val="lv-LV" w:eastAsia="lv-LV"/>
              </w:rPr>
              <w:t> Projekta izpildes ietekme uz pārvaldes institucionālo struktūru.</w:t>
            </w:r>
          </w:p>
          <w:p w:rsidR="003F2F4B" w:rsidRPr="00EA3CF1" w:rsidRDefault="003F2F4B" w:rsidP="00C17797">
            <w:pPr>
              <w:suppressAutoHyphens w:val="0"/>
              <w:rPr>
                <w:sz w:val="28"/>
                <w:szCs w:val="28"/>
                <w:lang w:val="lv-LV" w:eastAsia="lv-LV"/>
              </w:rPr>
            </w:pPr>
            <w:r w:rsidRPr="00EA3CF1">
              <w:rPr>
                <w:sz w:val="28"/>
                <w:szCs w:val="28"/>
                <w:lang w:val="lv-LV" w:eastAsia="lv-LV"/>
              </w:rPr>
              <w:t>Esošu institūciju reorganizācija</w:t>
            </w:r>
          </w:p>
        </w:tc>
        <w:tc>
          <w:tcPr>
            <w:tcW w:w="5399" w:type="dxa"/>
            <w:tcBorders>
              <w:top w:val="outset" w:sz="6" w:space="0" w:color="auto"/>
              <w:left w:val="outset" w:sz="6" w:space="0" w:color="auto"/>
              <w:bottom w:val="outset" w:sz="6" w:space="0" w:color="auto"/>
              <w:right w:val="outset" w:sz="6" w:space="0" w:color="auto"/>
            </w:tcBorders>
            <w:hideMark/>
          </w:tcPr>
          <w:p w:rsidR="003F2F4B" w:rsidRPr="00EA3CF1" w:rsidRDefault="003B034F" w:rsidP="003A5465">
            <w:pPr>
              <w:suppressAutoHyphens w:val="0"/>
              <w:spacing w:before="100" w:beforeAutospacing="1" w:after="100" w:afterAutospacing="1"/>
              <w:ind w:firstLine="694"/>
              <w:rPr>
                <w:sz w:val="28"/>
                <w:szCs w:val="28"/>
                <w:lang w:val="lv-LV" w:eastAsia="lv-LV"/>
              </w:rPr>
            </w:pPr>
            <w:r w:rsidRPr="00EA3CF1">
              <w:rPr>
                <w:sz w:val="28"/>
                <w:szCs w:val="28"/>
                <w:lang w:val="lv-LV" w:eastAsia="lv-LV"/>
              </w:rPr>
              <w:t>Likumprojektā ietverto mērķu īstenošana notiks esošajā institucionālajā ietvarā.</w:t>
            </w:r>
          </w:p>
        </w:tc>
      </w:tr>
      <w:tr w:rsidR="00501257" w:rsidRPr="00EA3CF1" w:rsidTr="00E559E3">
        <w:trPr>
          <w:trHeight w:val="348"/>
          <w:tblCellSpacing w:w="0" w:type="dxa"/>
        </w:trPr>
        <w:tc>
          <w:tcPr>
            <w:tcW w:w="502" w:type="dxa"/>
            <w:tcBorders>
              <w:top w:val="outset" w:sz="6" w:space="0" w:color="auto"/>
              <w:left w:val="outset" w:sz="6" w:space="0" w:color="auto"/>
              <w:bottom w:val="outset" w:sz="6" w:space="0" w:color="auto"/>
              <w:right w:val="outset" w:sz="6" w:space="0" w:color="auto"/>
            </w:tcBorders>
            <w:hideMark/>
          </w:tcPr>
          <w:p w:rsidR="003F2F4B" w:rsidRPr="00EA3CF1" w:rsidRDefault="003F2F4B" w:rsidP="003F2F4B">
            <w:pPr>
              <w:suppressAutoHyphens w:val="0"/>
              <w:spacing w:before="100" w:beforeAutospacing="1" w:after="100" w:afterAutospacing="1"/>
              <w:rPr>
                <w:sz w:val="28"/>
                <w:szCs w:val="28"/>
                <w:lang w:val="lv-LV" w:eastAsia="lv-LV"/>
              </w:rPr>
            </w:pPr>
            <w:r w:rsidRPr="00EA3CF1">
              <w:rPr>
                <w:sz w:val="28"/>
                <w:szCs w:val="28"/>
                <w:lang w:val="lv-LV" w:eastAsia="lv-LV"/>
              </w:rPr>
              <w:t> 6.</w:t>
            </w:r>
          </w:p>
        </w:tc>
        <w:tc>
          <w:tcPr>
            <w:tcW w:w="3199" w:type="dxa"/>
            <w:tcBorders>
              <w:top w:val="outset" w:sz="6" w:space="0" w:color="auto"/>
              <w:left w:val="outset" w:sz="6" w:space="0" w:color="auto"/>
              <w:bottom w:val="outset" w:sz="6" w:space="0" w:color="auto"/>
              <w:right w:val="outset" w:sz="6" w:space="0" w:color="auto"/>
            </w:tcBorders>
            <w:hideMark/>
          </w:tcPr>
          <w:p w:rsidR="003F2F4B" w:rsidRPr="00EA3CF1" w:rsidRDefault="003F2F4B" w:rsidP="00C17797">
            <w:pPr>
              <w:suppressAutoHyphens w:val="0"/>
              <w:rPr>
                <w:sz w:val="28"/>
                <w:szCs w:val="28"/>
                <w:lang w:val="lv-LV" w:eastAsia="lv-LV"/>
              </w:rPr>
            </w:pPr>
            <w:r w:rsidRPr="00EA3CF1">
              <w:rPr>
                <w:sz w:val="28"/>
                <w:szCs w:val="28"/>
                <w:lang w:val="lv-LV" w:eastAsia="lv-LV"/>
              </w:rPr>
              <w:t> Cita informācija</w:t>
            </w:r>
          </w:p>
        </w:tc>
        <w:tc>
          <w:tcPr>
            <w:tcW w:w="5399" w:type="dxa"/>
            <w:tcBorders>
              <w:top w:val="outset" w:sz="6" w:space="0" w:color="auto"/>
              <w:left w:val="outset" w:sz="6" w:space="0" w:color="auto"/>
              <w:bottom w:val="outset" w:sz="6" w:space="0" w:color="auto"/>
              <w:right w:val="outset" w:sz="6" w:space="0" w:color="auto"/>
            </w:tcBorders>
            <w:hideMark/>
          </w:tcPr>
          <w:p w:rsidR="003F2F4B" w:rsidRPr="00EA3CF1" w:rsidRDefault="00AE587B" w:rsidP="003A5465">
            <w:pPr>
              <w:suppressAutoHyphens w:val="0"/>
              <w:ind w:firstLine="694"/>
              <w:rPr>
                <w:sz w:val="28"/>
                <w:szCs w:val="28"/>
                <w:lang w:val="lv-LV" w:eastAsia="lv-LV"/>
              </w:rPr>
            </w:pPr>
            <w:r w:rsidRPr="00EA3CF1">
              <w:rPr>
                <w:sz w:val="28"/>
                <w:szCs w:val="28"/>
                <w:lang w:val="lv-LV" w:eastAsia="lv-LV"/>
              </w:rPr>
              <w:t>Nav</w:t>
            </w:r>
          </w:p>
        </w:tc>
      </w:tr>
    </w:tbl>
    <w:p w:rsidR="00EC2365" w:rsidRDefault="00EC2365" w:rsidP="00EC2365">
      <w:pPr>
        <w:suppressAutoHyphens w:val="0"/>
        <w:rPr>
          <w:sz w:val="28"/>
          <w:szCs w:val="28"/>
          <w:lang w:val="lv-LV" w:eastAsia="lv-LV"/>
        </w:rPr>
      </w:pPr>
    </w:p>
    <w:p w:rsidR="001845E6" w:rsidRPr="00EA3CF1" w:rsidRDefault="001845E6" w:rsidP="00EC2365">
      <w:pPr>
        <w:suppressAutoHyphens w:val="0"/>
        <w:rPr>
          <w:sz w:val="28"/>
          <w:szCs w:val="28"/>
          <w:lang w:val="lv-LV" w:eastAsia="lv-LV"/>
        </w:rPr>
      </w:pPr>
    </w:p>
    <w:p w:rsidR="00EC2365" w:rsidRPr="00EA3CF1" w:rsidRDefault="00EC2365" w:rsidP="00EC2365">
      <w:pPr>
        <w:suppressAutoHyphens w:val="0"/>
        <w:rPr>
          <w:sz w:val="28"/>
          <w:szCs w:val="28"/>
          <w:lang w:val="lv-LV" w:eastAsia="lv-LV"/>
        </w:rPr>
      </w:pPr>
    </w:p>
    <w:p w:rsidR="00FB1E45" w:rsidRDefault="00FB1E45" w:rsidP="00FB1E45">
      <w:pPr>
        <w:pStyle w:val="naisf"/>
        <w:spacing w:before="0" w:after="0"/>
        <w:ind w:firstLine="0"/>
        <w:rPr>
          <w:sz w:val="28"/>
          <w:szCs w:val="28"/>
        </w:rPr>
      </w:pPr>
      <w:r>
        <w:rPr>
          <w:sz w:val="28"/>
          <w:szCs w:val="28"/>
        </w:rPr>
        <w:t xml:space="preserve">Finanšu ministra vietā – </w:t>
      </w:r>
    </w:p>
    <w:p w:rsidR="00FB1E45" w:rsidRDefault="00FB1E45" w:rsidP="00FB1E45">
      <w:pPr>
        <w:pStyle w:val="naisf"/>
        <w:spacing w:before="0" w:after="0"/>
        <w:ind w:firstLine="0"/>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 Bērziņš</w:t>
      </w:r>
    </w:p>
    <w:p w:rsidR="00EC2365" w:rsidRDefault="00EC2365" w:rsidP="00EC2365">
      <w:pPr>
        <w:suppressAutoHyphens w:val="0"/>
        <w:rPr>
          <w:sz w:val="28"/>
          <w:szCs w:val="28"/>
          <w:lang w:val="lv-LV" w:eastAsia="lv-LV"/>
        </w:rPr>
      </w:pPr>
    </w:p>
    <w:p w:rsidR="001845E6" w:rsidRDefault="001845E6" w:rsidP="00EC2365">
      <w:pPr>
        <w:suppressAutoHyphens w:val="0"/>
        <w:rPr>
          <w:sz w:val="28"/>
          <w:szCs w:val="28"/>
          <w:lang w:val="lv-LV" w:eastAsia="lv-LV"/>
        </w:rPr>
      </w:pPr>
      <w:bookmarkStart w:id="3" w:name="_GoBack"/>
      <w:bookmarkEnd w:id="3"/>
    </w:p>
    <w:p w:rsidR="001845E6" w:rsidRPr="00EA3CF1" w:rsidRDefault="001845E6" w:rsidP="00EC2365">
      <w:pPr>
        <w:suppressAutoHyphens w:val="0"/>
        <w:rPr>
          <w:sz w:val="28"/>
          <w:szCs w:val="28"/>
          <w:lang w:val="lv-LV" w:eastAsia="lv-LV"/>
        </w:rPr>
      </w:pPr>
    </w:p>
    <w:p w:rsidR="00DE7CBC" w:rsidRPr="008315EC" w:rsidRDefault="00AE6BF7" w:rsidP="00DE7CBC">
      <w:pPr>
        <w:jc w:val="both"/>
        <w:rPr>
          <w:sz w:val="18"/>
          <w:szCs w:val="18"/>
          <w:lang w:val="lv-LV"/>
        </w:rPr>
      </w:pPr>
      <w:r>
        <w:rPr>
          <w:sz w:val="18"/>
          <w:szCs w:val="18"/>
          <w:lang w:val="lv-LV"/>
        </w:rPr>
        <w:t>2</w:t>
      </w:r>
      <w:r w:rsidR="00152FAC">
        <w:rPr>
          <w:sz w:val="18"/>
          <w:szCs w:val="18"/>
          <w:lang w:val="lv-LV"/>
        </w:rPr>
        <w:t>5</w:t>
      </w:r>
      <w:r w:rsidR="000A0DE7">
        <w:rPr>
          <w:sz w:val="18"/>
          <w:szCs w:val="18"/>
          <w:lang w:val="lv-LV"/>
        </w:rPr>
        <w:t>.1</w:t>
      </w:r>
      <w:r w:rsidR="00A32D1B">
        <w:rPr>
          <w:sz w:val="18"/>
          <w:szCs w:val="18"/>
          <w:lang w:val="lv-LV"/>
        </w:rPr>
        <w:t>1</w:t>
      </w:r>
      <w:r w:rsidR="000A0DE7">
        <w:rPr>
          <w:sz w:val="18"/>
          <w:szCs w:val="18"/>
          <w:lang w:val="lv-LV"/>
        </w:rPr>
        <w:t>.201</w:t>
      </w:r>
      <w:r w:rsidR="00A32D1B">
        <w:rPr>
          <w:sz w:val="18"/>
          <w:szCs w:val="18"/>
          <w:lang w:val="lv-LV"/>
        </w:rPr>
        <w:t>1</w:t>
      </w:r>
      <w:r w:rsidR="000A0DE7">
        <w:rPr>
          <w:sz w:val="18"/>
          <w:szCs w:val="18"/>
          <w:lang w:val="lv-LV"/>
        </w:rPr>
        <w:t>.</w:t>
      </w:r>
      <w:r w:rsidR="000A0DE7">
        <w:rPr>
          <w:sz w:val="18"/>
          <w:szCs w:val="18"/>
          <w:lang w:val="lv-LV"/>
        </w:rPr>
        <w:tab/>
      </w:r>
      <w:r w:rsidR="00DD4746">
        <w:rPr>
          <w:sz w:val="18"/>
          <w:szCs w:val="18"/>
          <w:lang w:val="lv-LV"/>
        </w:rPr>
        <w:t>13:06</w:t>
      </w:r>
    </w:p>
    <w:p w:rsidR="00DE7CBC" w:rsidRPr="0021117C" w:rsidRDefault="007513CC" w:rsidP="00DE7CBC">
      <w:pPr>
        <w:jc w:val="both"/>
        <w:rPr>
          <w:sz w:val="18"/>
          <w:szCs w:val="18"/>
          <w:lang w:val="lv-LV"/>
        </w:rPr>
      </w:pPr>
      <w:r w:rsidRPr="0021117C">
        <w:rPr>
          <w:sz w:val="18"/>
          <w:szCs w:val="18"/>
          <w:lang w:val="lv-LV"/>
        </w:rPr>
        <w:t>1</w:t>
      </w:r>
      <w:r w:rsidR="00FB1E45">
        <w:rPr>
          <w:sz w:val="18"/>
          <w:szCs w:val="18"/>
          <w:lang w:val="lv-LV"/>
        </w:rPr>
        <w:t>613</w:t>
      </w:r>
    </w:p>
    <w:p w:rsidR="00DE7CBC" w:rsidRPr="0021117C" w:rsidRDefault="00991F8E" w:rsidP="00DE7CBC">
      <w:pPr>
        <w:jc w:val="both"/>
        <w:rPr>
          <w:sz w:val="18"/>
          <w:szCs w:val="18"/>
          <w:lang w:val="lv-LV"/>
        </w:rPr>
      </w:pPr>
      <w:bookmarkStart w:id="4" w:name="OLE_LINK3"/>
      <w:bookmarkStart w:id="5" w:name="OLE_LINK4"/>
      <w:r w:rsidRPr="0021117C">
        <w:rPr>
          <w:sz w:val="18"/>
          <w:szCs w:val="18"/>
          <w:lang w:val="lv-LV"/>
        </w:rPr>
        <w:t>I.Jermacāne</w:t>
      </w:r>
    </w:p>
    <w:p w:rsidR="0021117C" w:rsidRPr="0021117C" w:rsidRDefault="0021117C" w:rsidP="009D6248">
      <w:pPr>
        <w:rPr>
          <w:sz w:val="18"/>
          <w:szCs w:val="18"/>
          <w:lang w:val="lv-LV"/>
        </w:rPr>
      </w:pPr>
      <w:r w:rsidRPr="0021117C">
        <w:rPr>
          <w:sz w:val="18"/>
          <w:szCs w:val="18"/>
          <w:lang w:val="lv-LV"/>
        </w:rPr>
        <w:t>67095429,</w:t>
      </w:r>
      <w:r w:rsidR="004820F3">
        <w:rPr>
          <w:sz w:val="18"/>
          <w:szCs w:val="18"/>
          <w:lang w:val="lv-LV"/>
        </w:rPr>
        <w:t xml:space="preserve">  </w:t>
      </w:r>
      <w:hyperlink r:id="rId9" w:history="1">
        <w:r w:rsidR="00991F8E" w:rsidRPr="0021117C">
          <w:rPr>
            <w:rStyle w:val="Hyperlink"/>
            <w:sz w:val="18"/>
            <w:szCs w:val="18"/>
            <w:lang w:val="lv-LV"/>
          </w:rPr>
          <w:t>Ilga.Jermacane@fm.gov.lv</w:t>
        </w:r>
      </w:hyperlink>
      <w:bookmarkEnd w:id="4"/>
      <w:bookmarkEnd w:id="5"/>
    </w:p>
    <w:sectPr w:rsidR="0021117C" w:rsidRPr="0021117C" w:rsidSect="00EA3CF1">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418" w:right="1134" w:bottom="1134" w:left="1701" w:header="42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2F" w:rsidRDefault="006A1F2F">
      <w:r>
        <w:separator/>
      </w:r>
    </w:p>
  </w:endnote>
  <w:endnote w:type="continuationSeparator" w:id="0">
    <w:p w:rsidR="006A1F2F" w:rsidRDefault="006A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Dutch TL">
    <w:panose1 w:val="02020603060505020304"/>
    <w:charset w:val="BA"/>
    <w:family w:val="roman"/>
    <w:pitch w:val="variable"/>
    <w:sig w:usb0="800002EF" w:usb1="00000048" w:usb2="00000000" w:usb3="00000000" w:csb0="00000097" w:csb1="00000000"/>
  </w:font>
  <w:font w:name="TTA20CB44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8" w:rsidRDefault="002E6A78" w:rsidP="00DD64F3">
    <w:pPr>
      <w:pStyle w:val="Footer"/>
      <w:jc w:val="both"/>
      <w:rPr>
        <w:sz w:val="20"/>
      </w:rPr>
    </w:pPr>
    <w:r>
      <w:rPr>
        <w:sz w:val="20"/>
        <w:szCs w:val="20"/>
      </w:rPr>
      <w:t>FMAnot_</w:t>
    </w:r>
    <w:r w:rsidR="00152FAC">
      <w:rPr>
        <w:sz w:val="20"/>
        <w:szCs w:val="20"/>
      </w:rPr>
      <w:t>25</w:t>
    </w:r>
    <w:r w:rsidR="000360CC">
      <w:rPr>
        <w:sz w:val="20"/>
        <w:szCs w:val="20"/>
      </w:rPr>
      <w:t>1111</w:t>
    </w:r>
    <w:r>
      <w:rPr>
        <w:sz w:val="20"/>
        <w:szCs w:val="20"/>
      </w:rPr>
      <w:t xml:space="preserve">_FDL; </w:t>
    </w:r>
    <w:r>
      <w:rPr>
        <w:sz w:val="20"/>
      </w:rPr>
      <w:t>Par Fiskālās disciplīnas likum</w:t>
    </w:r>
    <w:r w:rsidR="00B419AB">
      <w:rPr>
        <w:sz w:val="20"/>
      </w:rPr>
      <w:t xml:space="preserve">a </w:t>
    </w:r>
    <w:r>
      <w:rPr>
        <w:sz w:val="20"/>
      </w:rPr>
      <w:t>projektu</w:t>
    </w:r>
  </w:p>
  <w:p w:rsidR="002E6A78" w:rsidRDefault="002E6A78" w:rsidP="00DD64F3">
    <w:pPr>
      <w:pStyle w:val="Footer"/>
      <w:jc w:val="both"/>
      <w:rPr>
        <w:sz w:val="20"/>
      </w:rPr>
    </w:pPr>
  </w:p>
  <w:p w:rsidR="002E6A78" w:rsidRDefault="002E6A78">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8" w:rsidRDefault="002E6A78" w:rsidP="00DD64F3">
    <w:pPr>
      <w:pStyle w:val="Footer"/>
      <w:jc w:val="both"/>
      <w:rPr>
        <w:sz w:val="20"/>
      </w:rPr>
    </w:pPr>
    <w:r>
      <w:rPr>
        <w:sz w:val="20"/>
        <w:szCs w:val="20"/>
      </w:rPr>
      <w:t>FMAnot_</w:t>
    </w:r>
    <w:r w:rsidR="00AE6BF7">
      <w:rPr>
        <w:sz w:val="20"/>
        <w:szCs w:val="20"/>
      </w:rPr>
      <w:t>2</w:t>
    </w:r>
    <w:r w:rsidR="00152FAC">
      <w:rPr>
        <w:sz w:val="20"/>
        <w:szCs w:val="20"/>
      </w:rPr>
      <w:t>5</w:t>
    </w:r>
    <w:r>
      <w:rPr>
        <w:sz w:val="20"/>
        <w:szCs w:val="20"/>
      </w:rPr>
      <w:t>1</w:t>
    </w:r>
    <w:r w:rsidR="000360CC">
      <w:rPr>
        <w:sz w:val="20"/>
        <w:szCs w:val="20"/>
      </w:rPr>
      <w:t>111</w:t>
    </w:r>
    <w:r>
      <w:rPr>
        <w:sz w:val="20"/>
        <w:szCs w:val="20"/>
      </w:rPr>
      <w:t xml:space="preserve">_FDL; </w:t>
    </w:r>
    <w:r>
      <w:rPr>
        <w:sz w:val="20"/>
      </w:rPr>
      <w:t>Par Fiskālās disciplīnas likum</w:t>
    </w:r>
    <w:r w:rsidR="00B419AB">
      <w:rPr>
        <w:sz w:val="20"/>
      </w:rPr>
      <w:t xml:space="preserve">a </w:t>
    </w:r>
    <w:r>
      <w:rPr>
        <w:sz w:val="20"/>
      </w:rPr>
      <w:t>projektu</w:t>
    </w:r>
  </w:p>
  <w:p w:rsidR="002E6A78" w:rsidRDefault="002E6A78" w:rsidP="00552A68">
    <w:pPr>
      <w:pStyle w:val="Footer"/>
      <w:jc w:val="both"/>
      <w:rPr>
        <w:sz w:val="20"/>
      </w:rPr>
    </w:pPr>
  </w:p>
  <w:p w:rsidR="002E6A78" w:rsidRPr="00552A68" w:rsidRDefault="002E6A78" w:rsidP="00552A68">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8" w:rsidRDefault="002E6A78" w:rsidP="00552A68">
    <w:pPr>
      <w:pStyle w:val="Footer"/>
      <w:jc w:val="both"/>
      <w:rPr>
        <w:sz w:val="20"/>
      </w:rPr>
    </w:pPr>
    <w:r>
      <w:rPr>
        <w:sz w:val="20"/>
        <w:szCs w:val="20"/>
      </w:rPr>
      <w:t>FMAnot_</w:t>
    </w:r>
    <w:r w:rsidR="00AE6BF7">
      <w:rPr>
        <w:sz w:val="20"/>
        <w:szCs w:val="20"/>
      </w:rPr>
      <w:t>2</w:t>
    </w:r>
    <w:r w:rsidR="00152FAC">
      <w:rPr>
        <w:sz w:val="20"/>
        <w:szCs w:val="20"/>
      </w:rPr>
      <w:t>5</w:t>
    </w:r>
    <w:r>
      <w:rPr>
        <w:sz w:val="20"/>
        <w:szCs w:val="20"/>
      </w:rPr>
      <w:t>1</w:t>
    </w:r>
    <w:r w:rsidR="000360CC">
      <w:rPr>
        <w:sz w:val="20"/>
        <w:szCs w:val="20"/>
      </w:rPr>
      <w:t>111</w:t>
    </w:r>
    <w:r>
      <w:rPr>
        <w:sz w:val="20"/>
        <w:szCs w:val="20"/>
      </w:rPr>
      <w:t xml:space="preserve">_FDL; </w:t>
    </w:r>
    <w:r>
      <w:rPr>
        <w:sz w:val="20"/>
      </w:rPr>
      <w:t>Par Fiskālās disciplīnas likum</w:t>
    </w:r>
    <w:r w:rsidR="00B419AB">
      <w:rPr>
        <w:sz w:val="20"/>
      </w:rPr>
      <w:t xml:space="preserve">a </w:t>
    </w:r>
    <w:r>
      <w:rPr>
        <w:sz w:val="20"/>
      </w:rPr>
      <w:t>projektu</w:t>
    </w:r>
  </w:p>
  <w:p w:rsidR="002E6A78" w:rsidRDefault="002E6A7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2F" w:rsidRDefault="006A1F2F">
      <w:r>
        <w:separator/>
      </w:r>
    </w:p>
  </w:footnote>
  <w:footnote w:type="continuationSeparator" w:id="0">
    <w:p w:rsidR="006A1F2F" w:rsidRDefault="006A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8" w:rsidRDefault="002E6A78">
    <w:pPr>
      <w:pStyle w:val="Header"/>
      <w:framePr w:wrap="around" w:vAnchor="text" w:hAnchor="margin" w:xAlign="center" w:y="1"/>
      <w:rPr>
        <w:rStyle w:val="PageNumber"/>
        <w:sz w:val="20"/>
      </w:rPr>
    </w:pPr>
    <w:r>
      <w:rPr>
        <w:rStyle w:val="PageNumber"/>
        <w:sz w:val="24"/>
      </w:rPr>
      <w:fldChar w:fldCharType="begin"/>
    </w:r>
    <w:r>
      <w:rPr>
        <w:rStyle w:val="PageNumber"/>
        <w:sz w:val="24"/>
      </w:rPr>
      <w:instrText xml:space="preserve">PAGE  </w:instrText>
    </w:r>
    <w:r>
      <w:rPr>
        <w:rStyle w:val="PageNumber"/>
        <w:sz w:val="24"/>
      </w:rPr>
      <w:fldChar w:fldCharType="separate"/>
    </w:r>
    <w:r w:rsidR="00DD4746">
      <w:rPr>
        <w:rStyle w:val="PageNumber"/>
        <w:noProof/>
        <w:sz w:val="24"/>
      </w:rPr>
      <w:t>2</w:t>
    </w:r>
    <w:r>
      <w:rPr>
        <w:rStyle w:val="PageNumber"/>
        <w:sz w:val="24"/>
      </w:rPr>
      <w:fldChar w:fldCharType="end"/>
    </w:r>
  </w:p>
  <w:p w:rsidR="002E6A78" w:rsidRPr="003C6C81" w:rsidRDefault="002E6A78">
    <w:pPr>
      <w:pStyle w:val="Heade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8" w:rsidRDefault="002E6A78">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DD4746">
      <w:rPr>
        <w:rStyle w:val="PageNumber"/>
        <w:noProof/>
        <w:sz w:val="24"/>
      </w:rPr>
      <w:t>3</w:t>
    </w:r>
    <w:r>
      <w:rPr>
        <w:rStyle w:val="PageNumber"/>
        <w:sz w:val="24"/>
      </w:rPr>
      <w:fldChar w:fldCharType="end"/>
    </w:r>
  </w:p>
  <w:p w:rsidR="002E6A78" w:rsidRPr="003C6C81" w:rsidRDefault="002E6A78">
    <w:pPr>
      <w:pStyle w:val="Header"/>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78" w:rsidRPr="003D28DC" w:rsidRDefault="002E6A78" w:rsidP="003D28DC">
    <w:pPr>
      <w:pStyle w:val="Header"/>
      <w:jc w:val="center"/>
      <w:rPr>
        <w:sz w:val="24"/>
        <w:szCs w:val="24"/>
      </w:rPr>
    </w:pPr>
  </w:p>
  <w:p w:rsidR="002E6A78" w:rsidRPr="00552A68" w:rsidRDefault="002E6A78" w:rsidP="00552A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82F3145"/>
    <w:multiLevelType w:val="hybridMultilevel"/>
    <w:tmpl w:val="9F10CFA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E7084F"/>
    <w:multiLevelType w:val="hybridMultilevel"/>
    <w:tmpl w:val="DEA88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1E5CE7"/>
    <w:multiLevelType w:val="hybridMultilevel"/>
    <w:tmpl w:val="EBE43082"/>
    <w:lvl w:ilvl="0" w:tplc="487294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604D66"/>
    <w:multiLevelType w:val="hybridMultilevel"/>
    <w:tmpl w:val="693A2ED4"/>
    <w:lvl w:ilvl="0" w:tplc="CA20ADC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D1317CB"/>
    <w:multiLevelType w:val="hybridMultilevel"/>
    <w:tmpl w:val="DE3C2C5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89739F"/>
    <w:multiLevelType w:val="hybridMultilevel"/>
    <w:tmpl w:val="00E242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AA4009D"/>
    <w:multiLevelType w:val="hybridMultilevel"/>
    <w:tmpl w:val="448C2E58"/>
    <w:lvl w:ilvl="0" w:tplc="04260003">
      <w:start w:val="1"/>
      <w:numFmt w:val="bullet"/>
      <w:lvlText w:val="o"/>
      <w:lvlJc w:val="left"/>
      <w:pPr>
        <w:ind w:left="786" w:hanging="360"/>
      </w:pPr>
      <w:rPr>
        <w:rFonts w:ascii="Courier New" w:hAnsi="Courier New" w:cs="Courier New"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nsid w:val="2D334270"/>
    <w:multiLevelType w:val="hybridMultilevel"/>
    <w:tmpl w:val="0FA0D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D5F31EE"/>
    <w:multiLevelType w:val="hybridMultilevel"/>
    <w:tmpl w:val="350C9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7375639"/>
    <w:multiLevelType w:val="multilevel"/>
    <w:tmpl w:val="EF08841E"/>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b w:val="0"/>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1701"/>
        </w:tabs>
        <w:ind w:left="2268" w:hanging="567"/>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57592D34"/>
    <w:multiLevelType w:val="hybridMultilevel"/>
    <w:tmpl w:val="7812D7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99D2B33"/>
    <w:multiLevelType w:val="hybridMultilevel"/>
    <w:tmpl w:val="009A6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9C5166F"/>
    <w:multiLevelType w:val="hybridMultilevel"/>
    <w:tmpl w:val="C5A85DB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33D7763"/>
    <w:multiLevelType w:val="hybridMultilevel"/>
    <w:tmpl w:val="B28635A0"/>
    <w:lvl w:ilvl="0" w:tplc="72C8C59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50224DF"/>
    <w:multiLevelType w:val="hybridMultilevel"/>
    <w:tmpl w:val="535459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4"/>
  </w:num>
  <w:num w:numId="4">
    <w:abstractNumId w:val="9"/>
  </w:num>
  <w:num w:numId="5">
    <w:abstractNumId w:val="11"/>
  </w:num>
  <w:num w:numId="6">
    <w:abstractNumId w:val="13"/>
  </w:num>
  <w:num w:numId="7">
    <w:abstractNumId w:val="7"/>
  </w:num>
  <w:num w:numId="8">
    <w:abstractNumId w:val="10"/>
  </w:num>
  <w:num w:numId="9">
    <w:abstractNumId w:val="2"/>
  </w:num>
  <w:num w:numId="10">
    <w:abstractNumId w:val="15"/>
  </w:num>
  <w:num w:numId="11">
    <w:abstractNumId w:val="6"/>
  </w:num>
  <w:num w:numId="12">
    <w:abstractNumId w:val="4"/>
  </w:num>
  <w:num w:numId="13">
    <w:abstractNumId w:val="12"/>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93"/>
    <w:rsid w:val="000008B4"/>
    <w:rsid w:val="000017E6"/>
    <w:rsid w:val="00003F4F"/>
    <w:rsid w:val="0000511E"/>
    <w:rsid w:val="00005E5A"/>
    <w:rsid w:val="00012D9C"/>
    <w:rsid w:val="000137D9"/>
    <w:rsid w:val="000154EA"/>
    <w:rsid w:val="00017340"/>
    <w:rsid w:val="0002024D"/>
    <w:rsid w:val="00021E80"/>
    <w:rsid w:val="00023EFD"/>
    <w:rsid w:val="000267AF"/>
    <w:rsid w:val="00030EAF"/>
    <w:rsid w:val="0003386E"/>
    <w:rsid w:val="00035890"/>
    <w:rsid w:val="000360CC"/>
    <w:rsid w:val="00037826"/>
    <w:rsid w:val="00037BDE"/>
    <w:rsid w:val="00041FF4"/>
    <w:rsid w:val="00043972"/>
    <w:rsid w:val="00046007"/>
    <w:rsid w:val="00047127"/>
    <w:rsid w:val="000513FD"/>
    <w:rsid w:val="00052ED1"/>
    <w:rsid w:val="000557EE"/>
    <w:rsid w:val="00055C62"/>
    <w:rsid w:val="00055DDD"/>
    <w:rsid w:val="00061261"/>
    <w:rsid w:val="00062545"/>
    <w:rsid w:val="00062774"/>
    <w:rsid w:val="00063FD8"/>
    <w:rsid w:val="000649EA"/>
    <w:rsid w:val="00065A17"/>
    <w:rsid w:val="00071AD6"/>
    <w:rsid w:val="00073367"/>
    <w:rsid w:val="000769C9"/>
    <w:rsid w:val="0007771E"/>
    <w:rsid w:val="00080EB1"/>
    <w:rsid w:val="00084C65"/>
    <w:rsid w:val="00085BE0"/>
    <w:rsid w:val="00087388"/>
    <w:rsid w:val="00090391"/>
    <w:rsid w:val="000958E5"/>
    <w:rsid w:val="000A0DE7"/>
    <w:rsid w:val="000A0E80"/>
    <w:rsid w:val="000A2034"/>
    <w:rsid w:val="000B2B85"/>
    <w:rsid w:val="000B3D2F"/>
    <w:rsid w:val="000B62A8"/>
    <w:rsid w:val="000B738E"/>
    <w:rsid w:val="000B7872"/>
    <w:rsid w:val="000C00D2"/>
    <w:rsid w:val="000C01ED"/>
    <w:rsid w:val="000C0C97"/>
    <w:rsid w:val="000C2335"/>
    <w:rsid w:val="000C6919"/>
    <w:rsid w:val="000D1AB1"/>
    <w:rsid w:val="000E0455"/>
    <w:rsid w:val="000E0C90"/>
    <w:rsid w:val="000E1D10"/>
    <w:rsid w:val="000E41E9"/>
    <w:rsid w:val="000E54DA"/>
    <w:rsid w:val="000E581D"/>
    <w:rsid w:val="000E6A17"/>
    <w:rsid w:val="000E6CAD"/>
    <w:rsid w:val="000F207A"/>
    <w:rsid w:val="000F264E"/>
    <w:rsid w:val="000F2878"/>
    <w:rsid w:val="000F3D2E"/>
    <w:rsid w:val="000F5F83"/>
    <w:rsid w:val="000F79DE"/>
    <w:rsid w:val="00101B97"/>
    <w:rsid w:val="00103CFC"/>
    <w:rsid w:val="00105C94"/>
    <w:rsid w:val="001079EB"/>
    <w:rsid w:val="00107FCF"/>
    <w:rsid w:val="00111029"/>
    <w:rsid w:val="00111558"/>
    <w:rsid w:val="001139A2"/>
    <w:rsid w:val="00116072"/>
    <w:rsid w:val="00117F18"/>
    <w:rsid w:val="0012036A"/>
    <w:rsid w:val="001205F8"/>
    <w:rsid w:val="001220F4"/>
    <w:rsid w:val="001247E5"/>
    <w:rsid w:val="00137603"/>
    <w:rsid w:val="00137853"/>
    <w:rsid w:val="001401D4"/>
    <w:rsid w:val="00144FD2"/>
    <w:rsid w:val="001501E6"/>
    <w:rsid w:val="00151C7E"/>
    <w:rsid w:val="00152FAC"/>
    <w:rsid w:val="001544BD"/>
    <w:rsid w:val="001566B9"/>
    <w:rsid w:val="00156977"/>
    <w:rsid w:val="0017060C"/>
    <w:rsid w:val="00170DA8"/>
    <w:rsid w:val="00171100"/>
    <w:rsid w:val="00172B67"/>
    <w:rsid w:val="00174697"/>
    <w:rsid w:val="0017512D"/>
    <w:rsid w:val="0017648E"/>
    <w:rsid w:val="001772D3"/>
    <w:rsid w:val="0018061A"/>
    <w:rsid w:val="0018074A"/>
    <w:rsid w:val="00180903"/>
    <w:rsid w:val="00180F53"/>
    <w:rsid w:val="001845E6"/>
    <w:rsid w:val="001951A3"/>
    <w:rsid w:val="00197CE6"/>
    <w:rsid w:val="001A03BB"/>
    <w:rsid w:val="001A0A79"/>
    <w:rsid w:val="001A4555"/>
    <w:rsid w:val="001A5936"/>
    <w:rsid w:val="001A5B2F"/>
    <w:rsid w:val="001A5FB9"/>
    <w:rsid w:val="001B032B"/>
    <w:rsid w:val="001B06F7"/>
    <w:rsid w:val="001B09E4"/>
    <w:rsid w:val="001B1EF4"/>
    <w:rsid w:val="001B2CB1"/>
    <w:rsid w:val="001C5039"/>
    <w:rsid w:val="001C5FEF"/>
    <w:rsid w:val="001D12B5"/>
    <w:rsid w:val="001D23D7"/>
    <w:rsid w:val="001D49A0"/>
    <w:rsid w:val="001D5840"/>
    <w:rsid w:val="001D6865"/>
    <w:rsid w:val="001D6A48"/>
    <w:rsid w:val="001E48A0"/>
    <w:rsid w:val="001E6E08"/>
    <w:rsid w:val="001F11CB"/>
    <w:rsid w:val="001F323D"/>
    <w:rsid w:val="001F76DE"/>
    <w:rsid w:val="001F7AE2"/>
    <w:rsid w:val="00200C8F"/>
    <w:rsid w:val="00204076"/>
    <w:rsid w:val="002100EE"/>
    <w:rsid w:val="00210135"/>
    <w:rsid w:val="0021117C"/>
    <w:rsid w:val="00211493"/>
    <w:rsid w:val="002133FC"/>
    <w:rsid w:val="00216DB1"/>
    <w:rsid w:val="002202BB"/>
    <w:rsid w:val="0022031C"/>
    <w:rsid w:val="00222FBE"/>
    <w:rsid w:val="00224779"/>
    <w:rsid w:val="002255E4"/>
    <w:rsid w:val="0023299A"/>
    <w:rsid w:val="00234A0E"/>
    <w:rsid w:val="00236669"/>
    <w:rsid w:val="00236A0C"/>
    <w:rsid w:val="002412AB"/>
    <w:rsid w:val="00242E90"/>
    <w:rsid w:val="00244510"/>
    <w:rsid w:val="00244E9B"/>
    <w:rsid w:val="00246D26"/>
    <w:rsid w:val="00250ADD"/>
    <w:rsid w:val="00250DD3"/>
    <w:rsid w:val="00254CC5"/>
    <w:rsid w:val="0025509B"/>
    <w:rsid w:val="0025541B"/>
    <w:rsid w:val="0025645D"/>
    <w:rsid w:val="0025710A"/>
    <w:rsid w:val="0026158B"/>
    <w:rsid w:val="002637A0"/>
    <w:rsid w:val="0026470D"/>
    <w:rsid w:val="002670FA"/>
    <w:rsid w:val="00272261"/>
    <w:rsid w:val="002738F1"/>
    <w:rsid w:val="00274FE2"/>
    <w:rsid w:val="0027527D"/>
    <w:rsid w:val="002754C9"/>
    <w:rsid w:val="00275A25"/>
    <w:rsid w:val="00275C80"/>
    <w:rsid w:val="00281D65"/>
    <w:rsid w:val="0028570C"/>
    <w:rsid w:val="00285EC6"/>
    <w:rsid w:val="0029158F"/>
    <w:rsid w:val="002922A8"/>
    <w:rsid w:val="00292F87"/>
    <w:rsid w:val="002968DF"/>
    <w:rsid w:val="00297AFA"/>
    <w:rsid w:val="002A19AA"/>
    <w:rsid w:val="002A30E4"/>
    <w:rsid w:val="002A4654"/>
    <w:rsid w:val="002A4F52"/>
    <w:rsid w:val="002A6440"/>
    <w:rsid w:val="002A717A"/>
    <w:rsid w:val="002A7FE9"/>
    <w:rsid w:val="002B05F8"/>
    <w:rsid w:val="002B5F42"/>
    <w:rsid w:val="002B5FA8"/>
    <w:rsid w:val="002B615F"/>
    <w:rsid w:val="002C40DE"/>
    <w:rsid w:val="002C628A"/>
    <w:rsid w:val="002D408A"/>
    <w:rsid w:val="002D58EF"/>
    <w:rsid w:val="002E02DF"/>
    <w:rsid w:val="002E1C1C"/>
    <w:rsid w:val="002E45A3"/>
    <w:rsid w:val="002E530C"/>
    <w:rsid w:val="002E5F84"/>
    <w:rsid w:val="002E6A78"/>
    <w:rsid w:val="002F4499"/>
    <w:rsid w:val="002F4578"/>
    <w:rsid w:val="002F48CD"/>
    <w:rsid w:val="002F5FCB"/>
    <w:rsid w:val="002F608D"/>
    <w:rsid w:val="002F6B05"/>
    <w:rsid w:val="00300F51"/>
    <w:rsid w:val="003017E8"/>
    <w:rsid w:val="00305CF0"/>
    <w:rsid w:val="003064ED"/>
    <w:rsid w:val="0031073D"/>
    <w:rsid w:val="00310BBF"/>
    <w:rsid w:val="00311329"/>
    <w:rsid w:val="00315B87"/>
    <w:rsid w:val="00322D5B"/>
    <w:rsid w:val="0032521B"/>
    <w:rsid w:val="003253F1"/>
    <w:rsid w:val="003343E5"/>
    <w:rsid w:val="0033490B"/>
    <w:rsid w:val="003355C0"/>
    <w:rsid w:val="003360B6"/>
    <w:rsid w:val="00340AA1"/>
    <w:rsid w:val="0034340C"/>
    <w:rsid w:val="00344473"/>
    <w:rsid w:val="0034518E"/>
    <w:rsid w:val="0034637F"/>
    <w:rsid w:val="003474BD"/>
    <w:rsid w:val="00347595"/>
    <w:rsid w:val="00352A86"/>
    <w:rsid w:val="00360252"/>
    <w:rsid w:val="00364D63"/>
    <w:rsid w:val="00366384"/>
    <w:rsid w:val="00370EFD"/>
    <w:rsid w:val="00373576"/>
    <w:rsid w:val="00374059"/>
    <w:rsid w:val="00375060"/>
    <w:rsid w:val="003750AA"/>
    <w:rsid w:val="003805D3"/>
    <w:rsid w:val="0038113A"/>
    <w:rsid w:val="0038562B"/>
    <w:rsid w:val="00386FF4"/>
    <w:rsid w:val="0039009B"/>
    <w:rsid w:val="00390638"/>
    <w:rsid w:val="0039094C"/>
    <w:rsid w:val="00392C90"/>
    <w:rsid w:val="00393242"/>
    <w:rsid w:val="0039658E"/>
    <w:rsid w:val="003A0D0F"/>
    <w:rsid w:val="003A160A"/>
    <w:rsid w:val="003A1769"/>
    <w:rsid w:val="003A2C5F"/>
    <w:rsid w:val="003A2C8E"/>
    <w:rsid w:val="003A5465"/>
    <w:rsid w:val="003A5652"/>
    <w:rsid w:val="003A6043"/>
    <w:rsid w:val="003B034F"/>
    <w:rsid w:val="003B11F9"/>
    <w:rsid w:val="003B19F0"/>
    <w:rsid w:val="003C02CD"/>
    <w:rsid w:val="003C0B1F"/>
    <w:rsid w:val="003C25A8"/>
    <w:rsid w:val="003C3FA8"/>
    <w:rsid w:val="003C55F4"/>
    <w:rsid w:val="003C6C81"/>
    <w:rsid w:val="003C7F9A"/>
    <w:rsid w:val="003D28DC"/>
    <w:rsid w:val="003D668D"/>
    <w:rsid w:val="003D7FD1"/>
    <w:rsid w:val="003E55F5"/>
    <w:rsid w:val="003E5949"/>
    <w:rsid w:val="003E707B"/>
    <w:rsid w:val="003F0600"/>
    <w:rsid w:val="003F1E32"/>
    <w:rsid w:val="003F2F4B"/>
    <w:rsid w:val="003F7260"/>
    <w:rsid w:val="004032EF"/>
    <w:rsid w:val="0040454B"/>
    <w:rsid w:val="0040600D"/>
    <w:rsid w:val="00407A2F"/>
    <w:rsid w:val="00410E0C"/>
    <w:rsid w:val="004118C0"/>
    <w:rsid w:val="004134AB"/>
    <w:rsid w:val="00417CD7"/>
    <w:rsid w:val="00420135"/>
    <w:rsid w:val="00420BC1"/>
    <w:rsid w:val="00421048"/>
    <w:rsid w:val="004212D9"/>
    <w:rsid w:val="00423084"/>
    <w:rsid w:val="00430769"/>
    <w:rsid w:val="004311D9"/>
    <w:rsid w:val="00431487"/>
    <w:rsid w:val="00431EF9"/>
    <w:rsid w:val="0043264C"/>
    <w:rsid w:val="0043493C"/>
    <w:rsid w:val="00437883"/>
    <w:rsid w:val="004414E7"/>
    <w:rsid w:val="004439F0"/>
    <w:rsid w:val="00443A68"/>
    <w:rsid w:val="0044452B"/>
    <w:rsid w:val="004534EC"/>
    <w:rsid w:val="004545DE"/>
    <w:rsid w:val="00454E46"/>
    <w:rsid w:val="00457F3F"/>
    <w:rsid w:val="00460842"/>
    <w:rsid w:val="0046143E"/>
    <w:rsid w:val="00461C58"/>
    <w:rsid w:val="00463B72"/>
    <w:rsid w:val="00471F1F"/>
    <w:rsid w:val="004820F3"/>
    <w:rsid w:val="00483837"/>
    <w:rsid w:val="004844F2"/>
    <w:rsid w:val="004862F3"/>
    <w:rsid w:val="0048650B"/>
    <w:rsid w:val="00490CFA"/>
    <w:rsid w:val="004911E1"/>
    <w:rsid w:val="00495601"/>
    <w:rsid w:val="00497AD1"/>
    <w:rsid w:val="004A0CD3"/>
    <w:rsid w:val="004A2049"/>
    <w:rsid w:val="004A2FF7"/>
    <w:rsid w:val="004A4C30"/>
    <w:rsid w:val="004A4DD2"/>
    <w:rsid w:val="004A5B82"/>
    <w:rsid w:val="004A7152"/>
    <w:rsid w:val="004B07B0"/>
    <w:rsid w:val="004B14B0"/>
    <w:rsid w:val="004B5AD5"/>
    <w:rsid w:val="004B633A"/>
    <w:rsid w:val="004C0D4A"/>
    <w:rsid w:val="004C17CE"/>
    <w:rsid w:val="004C1B78"/>
    <w:rsid w:val="004C340D"/>
    <w:rsid w:val="004C4E75"/>
    <w:rsid w:val="004C5A2B"/>
    <w:rsid w:val="004C78E4"/>
    <w:rsid w:val="004D1709"/>
    <w:rsid w:val="004D2D01"/>
    <w:rsid w:val="004D48DE"/>
    <w:rsid w:val="004D5024"/>
    <w:rsid w:val="004D66AD"/>
    <w:rsid w:val="004E1202"/>
    <w:rsid w:val="004E273C"/>
    <w:rsid w:val="004E4B86"/>
    <w:rsid w:val="004E4FE7"/>
    <w:rsid w:val="004E4FF1"/>
    <w:rsid w:val="004E6308"/>
    <w:rsid w:val="004E752D"/>
    <w:rsid w:val="004E767E"/>
    <w:rsid w:val="004F0215"/>
    <w:rsid w:val="004F1C93"/>
    <w:rsid w:val="004F4BC9"/>
    <w:rsid w:val="00501257"/>
    <w:rsid w:val="00503E9E"/>
    <w:rsid w:val="00506582"/>
    <w:rsid w:val="00510811"/>
    <w:rsid w:val="00511C3B"/>
    <w:rsid w:val="00514B90"/>
    <w:rsid w:val="00515002"/>
    <w:rsid w:val="00516E04"/>
    <w:rsid w:val="00520711"/>
    <w:rsid w:val="00521ADF"/>
    <w:rsid w:val="0052297E"/>
    <w:rsid w:val="00523C9C"/>
    <w:rsid w:val="005266F7"/>
    <w:rsid w:val="00526D57"/>
    <w:rsid w:val="0052774B"/>
    <w:rsid w:val="005277D8"/>
    <w:rsid w:val="00527C87"/>
    <w:rsid w:val="0053353E"/>
    <w:rsid w:val="00534B28"/>
    <w:rsid w:val="00536580"/>
    <w:rsid w:val="00537A98"/>
    <w:rsid w:val="0054283D"/>
    <w:rsid w:val="00545E2C"/>
    <w:rsid w:val="00546E35"/>
    <w:rsid w:val="00551CBF"/>
    <w:rsid w:val="005525E2"/>
    <w:rsid w:val="00552A68"/>
    <w:rsid w:val="00560CC5"/>
    <w:rsid w:val="005617B9"/>
    <w:rsid w:val="00561960"/>
    <w:rsid w:val="0056281E"/>
    <w:rsid w:val="00563486"/>
    <w:rsid w:val="00565189"/>
    <w:rsid w:val="0056654B"/>
    <w:rsid w:val="0056704D"/>
    <w:rsid w:val="00571CA6"/>
    <w:rsid w:val="0057413B"/>
    <w:rsid w:val="00582D71"/>
    <w:rsid w:val="00585EA7"/>
    <w:rsid w:val="005916E1"/>
    <w:rsid w:val="00591AAD"/>
    <w:rsid w:val="005933D8"/>
    <w:rsid w:val="005940A9"/>
    <w:rsid w:val="005950C9"/>
    <w:rsid w:val="00596582"/>
    <w:rsid w:val="005A3A23"/>
    <w:rsid w:val="005A5EB6"/>
    <w:rsid w:val="005A7DC8"/>
    <w:rsid w:val="005A7F23"/>
    <w:rsid w:val="005B0125"/>
    <w:rsid w:val="005B28BF"/>
    <w:rsid w:val="005B5482"/>
    <w:rsid w:val="005B6D9E"/>
    <w:rsid w:val="005B7A35"/>
    <w:rsid w:val="005B7D8C"/>
    <w:rsid w:val="005C1641"/>
    <w:rsid w:val="005C3C18"/>
    <w:rsid w:val="005C4A59"/>
    <w:rsid w:val="005C5EAC"/>
    <w:rsid w:val="005C61B9"/>
    <w:rsid w:val="005C68AF"/>
    <w:rsid w:val="005C7D22"/>
    <w:rsid w:val="005D0521"/>
    <w:rsid w:val="005D311A"/>
    <w:rsid w:val="005D3857"/>
    <w:rsid w:val="005D3B59"/>
    <w:rsid w:val="005D7211"/>
    <w:rsid w:val="005D7FD9"/>
    <w:rsid w:val="005E321E"/>
    <w:rsid w:val="005E45EE"/>
    <w:rsid w:val="005E795A"/>
    <w:rsid w:val="005F0941"/>
    <w:rsid w:val="005F1A6C"/>
    <w:rsid w:val="005F251B"/>
    <w:rsid w:val="005F4CCC"/>
    <w:rsid w:val="005F5DF6"/>
    <w:rsid w:val="006050E2"/>
    <w:rsid w:val="00606C91"/>
    <w:rsid w:val="006079D8"/>
    <w:rsid w:val="0061054D"/>
    <w:rsid w:val="006105E1"/>
    <w:rsid w:val="00611456"/>
    <w:rsid w:val="00615432"/>
    <w:rsid w:val="00615D83"/>
    <w:rsid w:val="00616381"/>
    <w:rsid w:val="0062062D"/>
    <w:rsid w:val="00622D15"/>
    <w:rsid w:val="00623A9E"/>
    <w:rsid w:val="00626390"/>
    <w:rsid w:val="00627446"/>
    <w:rsid w:val="00630EF4"/>
    <w:rsid w:val="00633466"/>
    <w:rsid w:val="00634C52"/>
    <w:rsid w:val="0063642B"/>
    <w:rsid w:val="00637E8D"/>
    <w:rsid w:val="00641D78"/>
    <w:rsid w:val="00642154"/>
    <w:rsid w:val="00642169"/>
    <w:rsid w:val="00643C5A"/>
    <w:rsid w:val="00643C82"/>
    <w:rsid w:val="0064588E"/>
    <w:rsid w:val="00646B84"/>
    <w:rsid w:val="00646BAD"/>
    <w:rsid w:val="00651D45"/>
    <w:rsid w:val="00654406"/>
    <w:rsid w:val="00656BAE"/>
    <w:rsid w:val="00660F46"/>
    <w:rsid w:val="0066621F"/>
    <w:rsid w:val="0066672D"/>
    <w:rsid w:val="00666D44"/>
    <w:rsid w:val="006709BB"/>
    <w:rsid w:val="00670A12"/>
    <w:rsid w:val="00674223"/>
    <w:rsid w:val="006746CC"/>
    <w:rsid w:val="00674F06"/>
    <w:rsid w:val="00677701"/>
    <w:rsid w:val="00677F44"/>
    <w:rsid w:val="006813A5"/>
    <w:rsid w:val="00682FD6"/>
    <w:rsid w:val="00690208"/>
    <w:rsid w:val="006926E7"/>
    <w:rsid w:val="00695AEE"/>
    <w:rsid w:val="006A0438"/>
    <w:rsid w:val="006A1F2F"/>
    <w:rsid w:val="006A2763"/>
    <w:rsid w:val="006A2D3F"/>
    <w:rsid w:val="006A33BE"/>
    <w:rsid w:val="006A5CE2"/>
    <w:rsid w:val="006B06C8"/>
    <w:rsid w:val="006B2EF7"/>
    <w:rsid w:val="006B3D00"/>
    <w:rsid w:val="006B5374"/>
    <w:rsid w:val="006B5FCD"/>
    <w:rsid w:val="006B7552"/>
    <w:rsid w:val="006C0966"/>
    <w:rsid w:val="006C29ED"/>
    <w:rsid w:val="006C4CC1"/>
    <w:rsid w:val="006D0461"/>
    <w:rsid w:val="006D09CA"/>
    <w:rsid w:val="006D1370"/>
    <w:rsid w:val="006D34F9"/>
    <w:rsid w:val="006D360C"/>
    <w:rsid w:val="006D51D4"/>
    <w:rsid w:val="006D5540"/>
    <w:rsid w:val="006E1F52"/>
    <w:rsid w:val="006E4397"/>
    <w:rsid w:val="006E587B"/>
    <w:rsid w:val="006E7217"/>
    <w:rsid w:val="006F2941"/>
    <w:rsid w:val="006F3025"/>
    <w:rsid w:val="006F4C77"/>
    <w:rsid w:val="006F7BE3"/>
    <w:rsid w:val="006F7C1E"/>
    <w:rsid w:val="00701617"/>
    <w:rsid w:val="00704B23"/>
    <w:rsid w:val="00704B25"/>
    <w:rsid w:val="007052D6"/>
    <w:rsid w:val="00706B4A"/>
    <w:rsid w:val="00711AFF"/>
    <w:rsid w:val="00714967"/>
    <w:rsid w:val="00716FD5"/>
    <w:rsid w:val="00720C86"/>
    <w:rsid w:val="00720E2F"/>
    <w:rsid w:val="00720F51"/>
    <w:rsid w:val="0072107F"/>
    <w:rsid w:val="0073458A"/>
    <w:rsid w:val="00740D53"/>
    <w:rsid w:val="00743E83"/>
    <w:rsid w:val="00745412"/>
    <w:rsid w:val="007513CC"/>
    <w:rsid w:val="007527D1"/>
    <w:rsid w:val="007560C5"/>
    <w:rsid w:val="007565A9"/>
    <w:rsid w:val="00761395"/>
    <w:rsid w:val="007617D2"/>
    <w:rsid w:val="007619FB"/>
    <w:rsid w:val="00762388"/>
    <w:rsid w:val="007633AD"/>
    <w:rsid w:val="007647D8"/>
    <w:rsid w:val="00764D3B"/>
    <w:rsid w:val="0077562F"/>
    <w:rsid w:val="00776A76"/>
    <w:rsid w:val="00783EC3"/>
    <w:rsid w:val="007843CC"/>
    <w:rsid w:val="00785415"/>
    <w:rsid w:val="0078582C"/>
    <w:rsid w:val="00790027"/>
    <w:rsid w:val="007919C0"/>
    <w:rsid w:val="00795A3E"/>
    <w:rsid w:val="00796728"/>
    <w:rsid w:val="00797C3A"/>
    <w:rsid w:val="007A25A2"/>
    <w:rsid w:val="007A2E26"/>
    <w:rsid w:val="007A5E92"/>
    <w:rsid w:val="007A607D"/>
    <w:rsid w:val="007A629D"/>
    <w:rsid w:val="007A6931"/>
    <w:rsid w:val="007B0D03"/>
    <w:rsid w:val="007B214B"/>
    <w:rsid w:val="007C5394"/>
    <w:rsid w:val="007C5A8D"/>
    <w:rsid w:val="007D0B28"/>
    <w:rsid w:val="007D0E03"/>
    <w:rsid w:val="007D243D"/>
    <w:rsid w:val="007D7C44"/>
    <w:rsid w:val="007E1E10"/>
    <w:rsid w:val="007E6BEF"/>
    <w:rsid w:val="007F12C1"/>
    <w:rsid w:val="007F250A"/>
    <w:rsid w:val="007F5343"/>
    <w:rsid w:val="007F5871"/>
    <w:rsid w:val="007F7DCC"/>
    <w:rsid w:val="008053CC"/>
    <w:rsid w:val="00807B76"/>
    <w:rsid w:val="00814FB7"/>
    <w:rsid w:val="0081583C"/>
    <w:rsid w:val="00816430"/>
    <w:rsid w:val="00817D77"/>
    <w:rsid w:val="00821FA7"/>
    <w:rsid w:val="00822CA1"/>
    <w:rsid w:val="00825813"/>
    <w:rsid w:val="008259E3"/>
    <w:rsid w:val="00827664"/>
    <w:rsid w:val="0083038E"/>
    <w:rsid w:val="00830622"/>
    <w:rsid w:val="008315EC"/>
    <w:rsid w:val="00832831"/>
    <w:rsid w:val="00832894"/>
    <w:rsid w:val="00832933"/>
    <w:rsid w:val="008336E9"/>
    <w:rsid w:val="0083406A"/>
    <w:rsid w:val="008342A1"/>
    <w:rsid w:val="008455E3"/>
    <w:rsid w:val="00851C84"/>
    <w:rsid w:val="00852035"/>
    <w:rsid w:val="00852063"/>
    <w:rsid w:val="008603A7"/>
    <w:rsid w:val="00863350"/>
    <w:rsid w:val="00863907"/>
    <w:rsid w:val="00865173"/>
    <w:rsid w:val="00865ADB"/>
    <w:rsid w:val="008661FD"/>
    <w:rsid w:val="00874A87"/>
    <w:rsid w:val="00875E7D"/>
    <w:rsid w:val="00877D98"/>
    <w:rsid w:val="00883432"/>
    <w:rsid w:val="00883B2B"/>
    <w:rsid w:val="0088613E"/>
    <w:rsid w:val="00887912"/>
    <w:rsid w:val="008909BB"/>
    <w:rsid w:val="00895F63"/>
    <w:rsid w:val="00896839"/>
    <w:rsid w:val="008A08CE"/>
    <w:rsid w:val="008A094B"/>
    <w:rsid w:val="008A339C"/>
    <w:rsid w:val="008A3D3B"/>
    <w:rsid w:val="008A728E"/>
    <w:rsid w:val="008B12EA"/>
    <w:rsid w:val="008B32DB"/>
    <w:rsid w:val="008B43A7"/>
    <w:rsid w:val="008B7678"/>
    <w:rsid w:val="008B7B99"/>
    <w:rsid w:val="008C24D2"/>
    <w:rsid w:val="008C4B94"/>
    <w:rsid w:val="008C6290"/>
    <w:rsid w:val="008C700A"/>
    <w:rsid w:val="008C7D29"/>
    <w:rsid w:val="008D0F06"/>
    <w:rsid w:val="008D288F"/>
    <w:rsid w:val="008D7969"/>
    <w:rsid w:val="008E0FB9"/>
    <w:rsid w:val="008E2CDD"/>
    <w:rsid w:val="008E372B"/>
    <w:rsid w:val="008E47B3"/>
    <w:rsid w:val="008E569B"/>
    <w:rsid w:val="008E578E"/>
    <w:rsid w:val="008E7980"/>
    <w:rsid w:val="008E7A10"/>
    <w:rsid w:val="008E7FBB"/>
    <w:rsid w:val="008F06B2"/>
    <w:rsid w:val="008F4DD4"/>
    <w:rsid w:val="008F636A"/>
    <w:rsid w:val="008F7B47"/>
    <w:rsid w:val="008F7EBF"/>
    <w:rsid w:val="00900BEA"/>
    <w:rsid w:val="009011C9"/>
    <w:rsid w:val="00902859"/>
    <w:rsid w:val="00903100"/>
    <w:rsid w:val="0090468D"/>
    <w:rsid w:val="00906305"/>
    <w:rsid w:val="00907B3B"/>
    <w:rsid w:val="00910332"/>
    <w:rsid w:val="00911889"/>
    <w:rsid w:val="00911897"/>
    <w:rsid w:val="00911DF8"/>
    <w:rsid w:val="00914A6E"/>
    <w:rsid w:val="00915FA8"/>
    <w:rsid w:val="00922FC0"/>
    <w:rsid w:val="00924DBA"/>
    <w:rsid w:val="0092505D"/>
    <w:rsid w:val="009267AC"/>
    <w:rsid w:val="009275D8"/>
    <w:rsid w:val="00927860"/>
    <w:rsid w:val="00931437"/>
    <w:rsid w:val="00931A09"/>
    <w:rsid w:val="00931BFE"/>
    <w:rsid w:val="0093214C"/>
    <w:rsid w:val="00933CEC"/>
    <w:rsid w:val="0094085E"/>
    <w:rsid w:val="0094589C"/>
    <w:rsid w:val="009458C9"/>
    <w:rsid w:val="00950454"/>
    <w:rsid w:val="00957BE1"/>
    <w:rsid w:val="00961E14"/>
    <w:rsid w:val="009622D7"/>
    <w:rsid w:val="00963131"/>
    <w:rsid w:val="009720CB"/>
    <w:rsid w:val="00972A5F"/>
    <w:rsid w:val="00972CB2"/>
    <w:rsid w:val="00974091"/>
    <w:rsid w:val="0097497A"/>
    <w:rsid w:val="00975896"/>
    <w:rsid w:val="00976060"/>
    <w:rsid w:val="00976DCE"/>
    <w:rsid w:val="009773D5"/>
    <w:rsid w:val="00977E9B"/>
    <w:rsid w:val="00980DF8"/>
    <w:rsid w:val="0098562B"/>
    <w:rsid w:val="009860B1"/>
    <w:rsid w:val="00987C1C"/>
    <w:rsid w:val="00990686"/>
    <w:rsid w:val="00991F8E"/>
    <w:rsid w:val="00994B93"/>
    <w:rsid w:val="00996158"/>
    <w:rsid w:val="009A2064"/>
    <w:rsid w:val="009A2446"/>
    <w:rsid w:val="009A4A79"/>
    <w:rsid w:val="009D2B1D"/>
    <w:rsid w:val="009D5DD1"/>
    <w:rsid w:val="009D6248"/>
    <w:rsid w:val="009D64D7"/>
    <w:rsid w:val="009E07B7"/>
    <w:rsid w:val="009E35A9"/>
    <w:rsid w:val="009E3FC8"/>
    <w:rsid w:val="009E496C"/>
    <w:rsid w:val="009E5481"/>
    <w:rsid w:val="009F08A8"/>
    <w:rsid w:val="009F47A6"/>
    <w:rsid w:val="009F497A"/>
    <w:rsid w:val="009F4FE3"/>
    <w:rsid w:val="009F7D7F"/>
    <w:rsid w:val="00A0043F"/>
    <w:rsid w:val="00A0101E"/>
    <w:rsid w:val="00A0593B"/>
    <w:rsid w:val="00A10D84"/>
    <w:rsid w:val="00A148BB"/>
    <w:rsid w:val="00A159C3"/>
    <w:rsid w:val="00A1669D"/>
    <w:rsid w:val="00A175FA"/>
    <w:rsid w:val="00A2085E"/>
    <w:rsid w:val="00A23B04"/>
    <w:rsid w:val="00A240B3"/>
    <w:rsid w:val="00A255CD"/>
    <w:rsid w:val="00A259B9"/>
    <w:rsid w:val="00A30D22"/>
    <w:rsid w:val="00A32D1B"/>
    <w:rsid w:val="00A3316C"/>
    <w:rsid w:val="00A340A5"/>
    <w:rsid w:val="00A345C6"/>
    <w:rsid w:val="00A365D1"/>
    <w:rsid w:val="00A4090C"/>
    <w:rsid w:val="00A40A65"/>
    <w:rsid w:val="00A42CF0"/>
    <w:rsid w:val="00A45B14"/>
    <w:rsid w:val="00A516BE"/>
    <w:rsid w:val="00A5202D"/>
    <w:rsid w:val="00A54EB0"/>
    <w:rsid w:val="00A55780"/>
    <w:rsid w:val="00A62611"/>
    <w:rsid w:val="00A6302C"/>
    <w:rsid w:val="00A633FC"/>
    <w:rsid w:val="00A65D27"/>
    <w:rsid w:val="00A71CB5"/>
    <w:rsid w:val="00A74281"/>
    <w:rsid w:val="00A76B1E"/>
    <w:rsid w:val="00A76B52"/>
    <w:rsid w:val="00A7775B"/>
    <w:rsid w:val="00A77A91"/>
    <w:rsid w:val="00A8312D"/>
    <w:rsid w:val="00A84C2B"/>
    <w:rsid w:val="00A914F1"/>
    <w:rsid w:val="00AA0A01"/>
    <w:rsid w:val="00AA1AE8"/>
    <w:rsid w:val="00AA217C"/>
    <w:rsid w:val="00AA2A73"/>
    <w:rsid w:val="00AA3F50"/>
    <w:rsid w:val="00AA4D86"/>
    <w:rsid w:val="00AA5514"/>
    <w:rsid w:val="00AA5D1D"/>
    <w:rsid w:val="00AA60FE"/>
    <w:rsid w:val="00AA796D"/>
    <w:rsid w:val="00AB2792"/>
    <w:rsid w:val="00AB78D2"/>
    <w:rsid w:val="00AC2FEF"/>
    <w:rsid w:val="00AD0BB8"/>
    <w:rsid w:val="00AD30C5"/>
    <w:rsid w:val="00AE062B"/>
    <w:rsid w:val="00AE0ACE"/>
    <w:rsid w:val="00AE1269"/>
    <w:rsid w:val="00AE282B"/>
    <w:rsid w:val="00AE447F"/>
    <w:rsid w:val="00AE587B"/>
    <w:rsid w:val="00AE6BF7"/>
    <w:rsid w:val="00AF2DBE"/>
    <w:rsid w:val="00AF3761"/>
    <w:rsid w:val="00AF69F7"/>
    <w:rsid w:val="00B000DE"/>
    <w:rsid w:val="00B0124D"/>
    <w:rsid w:val="00B03BFF"/>
    <w:rsid w:val="00B050CF"/>
    <w:rsid w:val="00B077FF"/>
    <w:rsid w:val="00B14999"/>
    <w:rsid w:val="00B14CBD"/>
    <w:rsid w:val="00B166F1"/>
    <w:rsid w:val="00B16CB1"/>
    <w:rsid w:val="00B204D9"/>
    <w:rsid w:val="00B25544"/>
    <w:rsid w:val="00B25DCB"/>
    <w:rsid w:val="00B26429"/>
    <w:rsid w:val="00B30B94"/>
    <w:rsid w:val="00B408F6"/>
    <w:rsid w:val="00B419AB"/>
    <w:rsid w:val="00B424CC"/>
    <w:rsid w:val="00B43893"/>
    <w:rsid w:val="00B45DCD"/>
    <w:rsid w:val="00B460A7"/>
    <w:rsid w:val="00B511FD"/>
    <w:rsid w:val="00B52813"/>
    <w:rsid w:val="00B5348F"/>
    <w:rsid w:val="00B622B2"/>
    <w:rsid w:val="00B62B11"/>
    <w:rsid w:val="00B62DE7"/>
    <w:rsid w:val="00B65184"/>
    <w:rsid w:val="00B65C9E"/>
    <w:rsid w:val="00B66947"/>
    <w:rsid w:val="00B7142E"/>
    <w:rsid w:val="00B725D8"/>
    <w:rsid w:val="00B72C8D"/>
    <w:rsid w:val="00B73AF7"/>
    <w:rsid w:val="00B7649B"/>
    <w:rsid w:val="00B842B9"/>
    <w:rsid w:val="00B94892"/>
    <w:rsid w:val="00B95980"/>
    <w:rsid w:val="00B96DF0"/>
    <w:rsid w:val="00B97007"/>
    <w:rsid w:val="00BA00C4"/>
    <w:rsid w:val="00BA1404"/>
    <w:rsid w:val="00BA265A"/>
    <w:rsid w:val="00BA47D0"/>
    <w:rsid w:val="00BB4663"/>
    <w:rsid w:val="00BB64A1"/>
    <w:rsid w:val="00BB72B7"/>
    <w:rsid w:val="00BB76F5"/>
    <w:rsid w:val="00BC65FD"/>
    <w:rsid w:val="00BC6983"/>
    <w:rsid w:val="00BD061A"/>
    <w:rsid w:val="00BD2EB3"/>
    <w:rsid w:val="00BD401D"/>
    <w:rsid w:val="00BD43AE"/>
    <w:rsid w:val="00BD6A54"/>
    <w:rsid w:val="00BE116A"/>
    <w:rsid w:val="00BE12F8"/>
    <w:rsid w:val="00BE53DC"/>
    <w:rsid w:val="00BE7677"/>
    <w:rsid w:val="00BF2B64"/>
    <w:rsid w:val="00BF41F9"/>
    <w:rsid w:val="00BF4623"/>
    <w:rsid w:val="00BF5BD8"/>
    <w:rsid w:val="00BF5D1C"/>
    <w:rsid w:val="00C00A56"/>
    <w:rsid w:val="00C00FD2"/>
    <w:rsid w:val="00C01641"/>
    <w:rsid w:val="00C02D68"/>
    <w:rsid w:val="00C02DF0"/>
    <w:rsid w:val="00C049D8"/>
    <w:rsid w:val="00C17797"/>
    <w:rsid w:val="00C226F3"/>
    <w:rsid w:val="00C23269"/>
    <w:rsid w:val="00C236F3"/>
    <w:rsid w:val="00C24565"/>
    <w:rsid w:val="00C24B51"/>
    <w:rsid w:val="00C25699"/>
    <w:rsid w:val="00C275A8"/>
    <w:rsid w:val="00C32889"/>
    <w:rsid w:val="00C3324C"/>
    <w:rsid w:val="00C3477B"/>
    <w:rsid w:val="00C36C9F"/>
    <w:rsid w:val="00C42944"/>
    <w:rsid w:val="00C4341B"/>
    <w:rsid w:val="00C43690"/>
    <w:rsid w:val="00C56CE9"/>
    <w:rsid w:val="00C61AEC"/>
    <w:rsid w:val="00C6238D"/>
    <w:rsid w:val="00C65613"/>
    <w:rsid w:val="00C6682D"/>
    <w:rsid w:val="00C66B37"/>
    <w:rsid w:val="00C67643"/>
    <w:rsid w:val="00C67BFE"/>
    <w:rsid w:val="00C7048D"/>
    <w:rsid w:val="00C762BB"/>
    <w:rsid w:val="00C770E1"/>
    <w:rsid w:val="00C77FAB"/>
    <w:rsid w:val="00C8332E"/>
    <w:rsid w:val="00C85196"/>
    <w:rsid w:val="00C903E8"/>
    <w:rsid w:val="00C907F1"/>
    <w:rsid w:val="00C90BE6"/>
    <w:rsid w:val="00C913D9"/>
    <w:rsid w:val="00C91DFC"/>
    <w:rsid w:val="00C9279A"/>
    <w:rsid w:val="00C94D24"/>
    <w:rsid w:val="00C96CD3"/>
    <w:rsid w:val="00C9776F"/>
    <w:rsid w:val="00CA1524"/>
    <w:rsid w:val="00CA2836"/>
    <w:rsid w:val="00CA2F07"/>
    <w:rsid w:val="00CA7136"/>
    <w:rsid w:val="00CB2440"/>
    <w:rsid w:val="00CB2D9F"/>
    <w:rsid w:val="00CB2E63"/>
    <w:rsid w:val="00CB4FC1"/>
    <w:rsid w:val="00CC2F1E"/>
    <w:rsid w:val="00CC2F9F"/>
    <w:rsid w:val="00CC5EB3"/>
    <w:rsid w:val="00CC72D4"/>
    <w:rsid w:val="00CC755B"/>
    <w:rsid w:val="00CC7C13"/>
    <w:rsid w:val="00CD0225"/>
    <w:rsid w:val="00CD1E1E"/>
    <w:rsid w:val="00CD3DD1"/>
    <w:rsid w:val="00CD70EA"/>
    <w:rsid w:val="00CD77CA"/>
    <w:rsid w:val="00CE06C3"/>
    <w:rsid w:val="00CE0DAB"/>
    <w:rsid w:val="00CE16AC"/>
    <w:rsid w:val="00CE2371"/>
    <w:rsid w:val="00CE43FF"/>
    <w:rsid w:val="00CF1298"/>
    <w:rsid w:val="00CF174B"/>
    <w:rsid w:val="00CF1A85"/>
    <w:rsid w:val="00CF1CBE"/>
    <w:rsid w:val="00CF3006"/>
    <w:rsid w:val="00CF4278"/>
    <w:rsid w:val="00CF4AA2"/>
    <w:rsid w:val="00D01582"/>
    <w:rsid w:val="00D0170B"/>
    <w:rsid w:val="00D01884"/>
    <w:rsid w:val="00D027B4"/>
    <w:rsid w:val="00D15E66"/>
    <w:rsid w:val="00D16ECB"/>
    <w:rsid w:val="00D224C3"/>
    <w:rsid w:val="00D23245"/>
    <w:rsid w:val="00D25383"/>
    <w:rsid w:val="00D27A2B"/>
    <w:rsid w:val="00D30218"/>
    <w:rsid w:val="00D30E89"/>
    <w:rsid w:val="00D31396"/>
    <w:rsid w:val="00D31612"/>
    <w:rsid w:val="00D319E7"/>
    <w:rsid w:val="00D325F5"/>
    <w:rsid w:val="00D329D6"/>
    <w:rsid w:val="00D36E77"/>
    <w:rsid w:val="00D40911"/>
    <w:rsid w:val="00D4448F"/>
    <w:rsid w:val="00D45651"/>
    <w:rsid w:val="00D47773"/>
    <w:rsid w:val="00D542CA"/>
    <w:rsid w:val="00D556AF"/>
    <w:rsid w:val="00D60FAB"/>
    <w:rsid w:val="00D62493"/>
    <w:rsid w:val="00D62B9E"/>
    <w:rsid w:val="00D648DE"/>
    <w:rsid w:val="00D71366"/>
    <w:rsid w:val="00D77DB5"/>
    <w:rsid w:val="00D816D7"/>
    <w:rsid w:val="00D81C24"/>
    <w:rsid w:val="00D83CF8"/>
    <w:rsid w:val="00D8677F"/>
    <w:rsid w:val="00D86C77"/>
    <w:rsid w:val="00D92829"/>
    <w:rsid w:val="00D93A27"/>
    <w:rsid w:val="00D97A67"/>
    <w:rsid w:val="00DA2F49"/>
    <w:rsid w:val="00DA6194"/>
    <w:rsid w:val="00DA7600"/>
    <w:rsid w:val="00DB0293"/>
    <w:rsid w:val="00DB2E4B"/>
    <w:rsid w:val="00DB50BC"/>
    <w:rsid w:val="00DB6F4C"/>
    <w:rsid w:val="00DC1582"/>
    <w:rsid w:val="00DC35C7"/>
    <w:rsid w:val="00DC5787"/>
    <w:rsid w:val="00DC64DE"/>
    <w:rsid w:val="00DD192B"/>
    <w:rsid w:val="00DD26C3"/>
    <w:rsid w:val="00DD46C3"/>
    <w:rsid w:val="00DD4746"/>
    <w:rsid w:val="00DD57A5"/>
    <w:rsid w:val="00DD63BC"/>
    <w:rsid w:val="00DD64F3"/>
    <w:rsid w:val="00DD6750"/>
    <w:rsid w:val="00DE1722"/>
    <w:rsid w:val="00DE2DAF"/>
    <w:rsid w:val="00DE7CBC"/>
    <w:rsid w:val="00DF4B2A"/>
    <w:rsid w:val="00DF5240"/>
    <w:rsid w:val="00DF54A4"/>
    <w:rsid w:val="00DF62A2"/>
    <w:rsid w:val="00DF6F3A"/>
    <w:rsid w:val="00DF72CD"/>
    <w:rsid w:val="00E02F02"/>
    <w:rsid w:val="00E02FDE"/>
    <w:rsid w:val="00E03B8E"/>
    <w:rsid w:val="00E04CCC"/>
    <w:rsid w:val="00E06004"/>
    <w:rsid w:val="00E11343"/>
    <w:rsid w:val="00E12660"/>
    <w:rsid w:val="00E14E26"/>
    <w:rsid w:val="00E157DE"/>
    <w:rsid w:val="00E2269E"/>
    <w:rsid w:val="00E2311E"/>
    <w:rsid w:val="00E24ADA"/>
    <w:rsid w:val="00E24CF1"/>
    <w:rsid w:val="00E27456"/>
    <w:rsid w:val="00E33329"/>
    <w:rsid w:val="00E34ADA"/>
    <w:rsid w:val="00E34CC5"/>
    <w:rsid w:val="00E36D8F"/>
    <w:rsid w:val="00E40246"/>
    <w:rsid w:val="00E42F3E"/>
    <w:rsid w:val="00E43E86"/>
    <w:rsid w:val="00E45397"/>
    <w:rsid w:val="00E477DF"/>
    <w:rsid w:val="00E47EF3"/>
    <w:rsid w:val="00E502FC"/>
    <w:rsid w:val="00E50E7E"/>
    <w:rsid w:val="00E51BD3"/>
    <w:rsid w:val="00E51F27"/>
    <w:rsid w:val="00E52041"/>
    <w:rsid w:val="00E552A2"/>
    <w:rsid w:val="00E559E3"/>
    <w:rsid w:val="00E61555"/>
    <w:rsid w:val="00E63898"/>
    <w:rsid w:val="00E6642B"/>
    <w:rsid w:val="00E673DC"/>
    <w:rsid w:val="00E71421"/>
    <w:rsid w:val="00E7270F"/>
    <w:rsid w:val="00E750F5"/>
    <w:rsid w:val="00E76261"/>
    <w:rsid w:val="00E76447"/>
    <w:rsid w:val="00E775FA"/>
    <w:rsid w:val="00E77A66"/>
    <w:rsid w:val="00E77DD2"/>
    <w:rsid w:val="00E80AB4"/>
    <w:rsid w:val="00E80FAD"/>
    <w:rsid w:val="00E810E2"/>
    <w:rsid w:val="00E9174F"/>
    <w:rsid w:val="00E92257"/>
    <w:rsid w:val="00E92894"/>
    <w:rsid w:val="00E95BF5"/>
    <w:rsid w:val="00E9719C"/>
    <w:rsid w:val="00E972A5"/>
    <w:rsid w:val="00EA14F8"/>
    <w:rsid w:val="00EA214E"/>
    <w:rsid w:val="00EA3CF1"/>
    <w:rsid w:val="00EA6BA9"/>
    <w:rsid w:val="00EB0D0B"/>
    <w:rsid w:val="00EB2D22"/>
    <w:rsid w:val="00EB394B"/>
    <w:rsid w:val="00EB403F"/>
    <w:rsid w:val="00EB6725"/>
    <w:rsid w:val="00EB77C8"/>
    <w:rsid w:val="00EC02CE"/>
    <w:rsid w:val="00EC16B9"/>
    <w:rsid w:val="00EC1CF9"/>
    <w:rsid w:val="00EC2365"/>
    <w:rsid w:val="00EC6643"/>
    <w:rsid w:val="00ED4740"/>
    <w:rsid w:val="00ED4944"/>
    <w:rsid w:val="00EE451C"/>
    <w:rsid w:val="00EE4734"/>
    <w:rsid w:val="00EE53BC"/>
    <w:rsid w:val="00EE6445"/>
    <w:rsid w:val="00EE64D1"/>
    <w:rsid w:val="00EE69C4"/>
    <w:rsid w:val="00EF547D"/>
    <w:rsid w:val="00EF568B"/>
    <w:rsid w:val="00EF5E78"/>
    <w:rsid w:val="00EF68C5"/>
    <w:rsid w:val="00F021DC"/>
    <w:rsid w:val="00F02DE0"/>
    <w:rsid w:val="00F100D8"/>
    <w:rsid w:val="00F11EE0"/>
    <w:rsid w:val="00F1207E"/>
    <w:rsid w:val="00F120B7"/>
    <w:rsid w:val="00F15796"/>
    <w:rsid w:val="00F17970"/>
    <w:rsid w:val="00F21732"/>
    <w:rsid w:val="00F2788F"/>
    <w:rsid w:val="00F30B04"/>
    <w:rsid w:val="00F31617"/>
    <w:rsid w:val="00F32279"/>
    <w:rsid w:val="00F32543"/>
    <w:rsid w:val="00F32BD9"/>
    <w:rsid w:val="00F362AF"/>
    <w:rsid w:val="00F364F0"/>
    <w:rsid w:val="00F3723A"/>
    <w:rsid w:val="00F448B7"/>
    <w:rsid w:val="00F45D33"/>
    <w:rsid w:val="00F46BC9"/>
    <w:rsid w:val="00F46D21"/>
    <w:rsid w:val="00F46DA3"/>
    <w:rsid w:val="00F477C8"/>
    <w:rsid w:val="00F53C2F"/>
    <w:rsid w:val="00F545A3"/>
    <w:rsid w:val="00F63334"/>
    <w:rsid w:val="00F65902"/>
    <w:rsid w:val="00F6766E"/>
    <w:rsid w:val="00F67F07"/>
    <w:rsid w:val="00F722E6"/>
    <w:rsid w:val="00F72D2F"/>
    <w:rsid w:val="00F74CF8"/>
    <w:rsid w:val="00F75302"/>
    <w:rsid w:val="00F80FE6"/>
    <w:rsid w:val="00F830C7"/>
    <w:rsid w:val="00F84FF5"/>
    <w:rsid w:val="00F866B2"/>
    <w:rsid w:val="00F86B81"/>
    <w:rsid w:val="00F8768A"/>
    <w:rsid w:val="00F90EEA"/>
    <w:rsid w:val="00F930A3"/>
    <w:rsid w:val="00F9702C"/>
    <w:rsid w:val="00F97481"/>
    <w:rsid w:val="00FA7C5A"/>
    <w:rsid w:val="00FB0DDD"/>
    <w:rsid w:val="00FB1E45"/>
    <w:rsid w:val="00FB2248"/>
    <w:rsid w:val="00FB312C"/>
    <w:rsid w:val="00FB4EF7"/>
    <w:rsid w:val="00FB53A9"/>
    <w:rsid w:val="00FC0098"/>
    <w:rsid w:val="00FC0279"/>
    <w:rsid w:val="00FC2011"/>
    <w:rsid w:val="00FC5B3A"/>
    <w:rsid w:val="00FC65C4"/>
    <w:rsid w:val="00FC7599"/>
    <w:rsid w:val="00FD2EB9"/>
    <w:rsid w:val="00FD45F9"/>
    <w:rsid w:val="00FD5875"/>
    <w:rsid w:val="00FE15C1"/>
    <w:rsid w:val="00FE1ABF"/>
    <w:rsid w:val="00FE1FC5"/>
    <w:rsid w:val="00FE352F"/>
    <w:rsid w:val="00FE366F"/>
    <w:rsid w:val="00FE5E63"/>
    <w:rsid w:val="00FF0522"/>
    <w:rsid w:val="00FF4E96"/>
    <w:rsid w:val="00FF60A7"/>
    <w:rsid w:val="00FF6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tabs>
        <w:tab w:val="num" w:pos="0"/>
      </w:tabs>
      <w:jc w:val="center"/>
      <w:outlineLvl w:val="0"/>
    </w:pPr>
    <w:rPr>
      <w:rFonts w:ascii="Arial" w:hAnsi="Arial" w:cs="Arial"/>
      <w:b/>
      <w:bCs/>
      <w:sz w:val="28"/>
      <w:szCs w:val="28"/>
      <w:lang w:val="lv-LV"/>
    </w:rPr>
  </w:style>
  <w:style w:type="paragraph" w:styleId="Heading2">
    <w:name w:val="heading 2"/>
    <w:basedOn w:val="Normal"/>
    <w:next w:val="Normal"/>
    <w:qFormat/>
    <w:pPr>
      <w:keepNext/>
      <w:tabs>
        <w:tab w:val="num" w:pos="0"/>
      </w:tabs>
      <w:jc w:val="both"/>
      <w:outlineLvl w:val="1"/>
    </w:pPr>
    <w:rPr>
      <w:sz w:val="32"/>
      <w:szCs w:val="32"/>
      <w:lang w:val="lv-LV"/>
    </w:rPr>
  </w:style>
  <w:style w:type="paragraph" w:styleId="Heading4">
    <w:name w:val="heading 4"/>
    <w:basedOn w:val="Normal"/>
    <w:next w:val="Normal"/>
    <w:qFormat/>
    <w:pPr>
      <w:keepNext/>
      <w:widowControl w:val="0"/>
      <w:tabs>
        <w:tab w:val="num" w:pos="0"/>
      </w:tabs>
      <w:jc w:val="both"/>
      <w:outlineLvl w:val="3"/>
    </w:pPr>
    <w:rPr>
      <w:i/>
      <w:iCs/>
      <w:lang w:val="lv-LV"/>
    </w:rPr>
  </w:style>
  <w:style w:type="paragraph" w:styleId="Heading6">
    <w:name w:val="heading 6"/>
    <w:basedOn w:val="Normal"/>
    <w:next w:val="BodyText"/>
    <w:qFormat/>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customStyle="1" w:styleId="CharChar11">
    <w:name w:val="Char Char11"/>
    <w:rPr>
      <w:rFonts w:ascii="Cambria" w:eastAsia="Times New Roman" w:hAnsi="Cambria" w:cs="Times New Roman"/>
      <w:b/>
      <w:bCs/>
      <w:kern w:val="1"/>
      <w:sz w:val="32"/>
      <w:szCs w:val="32"/>
      <w:lang w:val="en-GB"/>
    </w:rPr>
  </w:style>
  <w:style w:type="character" w:customStyle="1" w:styleId="CharChar10">
    <w:name w:val="Char Char10"/>
    <w:rPr>
      <w:rFonts w:ascii="Cambria" w:eastAsia="Times New Roman" w:hAnsi="Cambria" w:cs="Times New Roman"/>
      <w:b/>
      <w:bCs/>
      <w:i/>
      <w:iCs/>
      <w:sz w:val="28"/>
      <w:szCs w:val="28"/>
      <w:lang w:val="en-GB"/>
    </w:rPr>
  </w:style>
  <w:style w:type="character" w:customStyle="1" w:styleId="CharChar9">
    <w:name w:val="Char Char9"/>
    <w:rPr>
      <w:rFonts w:ascii="Calibri" w:eastAsia="Times New Roman" w:hAnsi="Calibri" w:cs="Times New Roman"/>
      <w:b/>
      <w:bCs/>
      <w:sz w:val="28"/>
      <w:szCs w:val="28"/>
      <w:lang w:val="en-GB"/>
    </w:rPr>
  </w:style>
  <w:style w:type="character" w:customStyle="1" w:styleId="CharChar8">
    <w:name w:val="Char Char8"/>
    <w:rPr>
      <w:rFonts w:ascii="Cambria" w:eastAsia="Times New Roman" w:hAnsi="Cambria" w:cs="Times New Roman"/>
      <w:sz w:val="24"/>
      <w:szCs w:val="24"/>
      <w:lang w:val="en-GB"/>
    </w:rPr>
  </w:style>
  <w:style w:type="character" w:customStyle="1" w:styleId="CharChar7">
    <w:name w:val="Char Char7"/>
    <w:rPr>
      <w:sz w:val="16"/>
      <w:szCs w:val="16"/>
      <w:lang w:val="en-GB"/>
    </w:rPr>
  </w:style>
  <w:style w:type="character" w:customStyle="1" w:styleId="CharChar6">
    <w:name w:val="Char Char6"/>
    <w:rPr>
      <w:sz w:val="24"/>
      <w:szCs w:val="24"/>
      <w:lang w:val="en-GB"/>
    </w:rPr>
  </w:style>
  <w:style w:type="character" w:customStyle="1" w:styleId="CharChar5">
    <w:name w:val="Char Char5"/>
    <w:rPr>
      <w:sz w:val="24"/>
      <w:szCs w:val="24"/>
      <w:lang w:val="en-GB"/>
    </w:rPr>
  </w:style>
  <w:style w:type="character" w:customStyle="1" w:styleId="CharChar4">
    <w:name w:val="Char Char4"/>
    <w:rPr>
      <w:sz w:val="24"/>
      <w:szCs w:val="24"/>
      <w:lang w:val="en-GB"/>
    </w:rPr>
  </w:style>
  <w:style w:type="character" w:styleId="PageNumber">
    <w:name w:val="page number"/>
    <w:rPr>
      <w:rFonts w:cs="Times New Roman"/>
    </w:rPr>
  </w:style>
  <w:style w:type="character" w:customStyle="1" w:styleId="CharChar3">
    <w:name w:val="Char Char3"/>
    <w:rPr>
      <w:sz w:val="24"/>
      <w:szCs w:val="24"/>
      <w:lang w:val="en-GB"/>
    </w:rPr>
  </w:style>
  <w:style w:type="character" w:styleId="Hyperlink">
    <w:name w:val="Hyperlink"/>
    <w:rPr>
      <w:rFonts w:cs="Times New Roman"/>
      <w:color w:val="0000FF"/>
      <w:u w:val="single"/>
    </w:rPr>
  </w:style>
  <w:style w:type="character" w:styleId="CommentReference">
    <w:name w:val="annotation reference"/>
    <w:semiHidden/>
    <w:rPr>
      <w:rFonts w:cs="Times New Roman"/>
      <w:sz w:val="16"/>
      <w:szCs w:val="16"/>
    </w:rPr>
  </w:style>
  <w:style w:type="character" w:customStyle="1" w:styleId="CharChar2">
    <w:name w:val="Char Char2"/>
    <w:rPr>
      <w:sz w:val="20"/>
      <w:szCs w:val="20"/>
      <w:lang w:val="en-GB"/>
    </w:rPr>
  </w:style>
  <w:style w:type="character" w:customStyle="1" w:styleId="CharChar1">
    <w:name w:val="Char Char1"/>
    <w:rPr>
      <w:b/>
      <w:bCs/>
      <w:sz w:val="20"/>
      <w:szCs w:val="20"/>
      <w:lang w:val="en-GB"/>
    </w:rPr>
  </w:style>
  <w:style w:type="character" w:customStyle="1" w:styleId="CharChar">
    <w:name w:val="Char Char"/>
    <w:rPr>
      <w:rFonts w:ascii="Tahoma" w:hAnsi="Tahoma" w:cs="Tahoma"/>
      <w:sz w:val="16"/>
      <w:szCs w:val="16"/>
      <w:lang w:val="en-GB"/>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right"/>
    </w:pPr>
    <w:rPr>
      <w:b/>
      <w:bCs/>
      <w:sz w:val="28"/>
      <w:szCs w:val="28"/>
      <w:lang w:val="lv-LV"/>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isc">
    <w:name w:val="naisc"/>
    <w:basedOn w:val="Normal"/>
    <w:pPr>
      <w:spacing w:before="450" w:after="300"/>
      <w:jc w:val="center"/>
    </w:pPr>
    <w:rPr>
      <w:rFonts w:eastAsia="Arial Unicode MS"/>
      <w:sz w:val="26"/>
      <w:szCs w:val="26"/>
    </w:rPr>
  </w:style>
  <w:style w:type="paragraph" w:styleId="Subtitle">
    <w:name w:val="Subtitle"/>
    <w:basedOn w:val="Normal"/>
    <w:next w:val="BodyText"/>
    <w:qFormat/>
    <w:pPr>
      <w:jc w:val="center"/>
    </w:pPr>
    <w:rPr>
      <w:b/>
      <w:bCs/>
      <w:sz w:val="28"/>
      <w:szCs w:val="28"/>
      <w:lang w:val="lv-LV"/>
    </w:rPr>
  </w:style>
  <w:style w:type="paragraph" w:styleId="BodyText3">
    <w:name w:val="Body Text 3"/>
    <w:basedOn w:val="Normal"/>
    <w:pPr>
      <w:jc w:val="both"/>
    </w:pPr>
    <w:rPr>
      <w:b/>
      <w:bCs/>
      <w:sz w:val="28"/>
      <w:szCs w:val="28"/>
      <w:lang w:val="lv-LV"/>
    </w:rPr>
  </w:style>
  <w:style w:type="paragraph" w:styleId="Header">
    <w:name w:val="header"/>
    <w:basedOn w:val="Normal"/>
    <w:link w:val="HeaderChar"/>
    <w:uiPriority w:val="99"/>
    <w:pPr>
      <w:tabs>
        <w:tab w:val="center" w:pos="4153"/>
        <w:tab w:val="right" w:pos="8306"/>
      </w:tabs>
    </w:pPr>
    <w:rPr>
      <w:sz w:val="28"/>
      <w:szCs w:val="28"/>
      <w:lang w:val="lv-LV"/>
    </w:rPr>
  </w:style>
  <w:style w:type="paragraph" w:styleId="BodyText2">
    <w:name w:val="Body Text 2"/>
    <w:basedOn w:val="Normal"/>
    <w:pPr>
      <w:jc w:val="both"/>
    </w:pPr>
    <w:rPr>
      <w:sz w:val="28"/>
      <w:szCs w:val="28"/>
      <w:lang w:val="lv-LV"/>
    </w:rPr>
  </w:style>
  <w:style w:type="paragraph" w:styleId="Footer">
    <w:name w:val="footer"/>
    <w:basedOn w:val="Normal"/>
    <w:link w:val="FooterChar"/>
    <w:pPr>
      <w:tabs>
        <w:tab w:val="center" w:pos="4153"/>
        <w:tab w:val="right" w:pos="8306"/>
      </w:tabs>
    </w:pPr>
    <w:rPr>
      <w:sz w:val="28"/>
      <w:szCs w:val="28"/>
      <w:lang w:val="lv-LV"/>
    </w:rPr>
  </w:style>
  <w:style w:type="paragraph" w:customStyle="1" w:styleId="naisf">
    <w:name w:val="naisf"/>
    <w:basedOn w:val="Normal"/>
    <w:pPr>
      <w:spacing w:before="75" w:after="75"/>
      <w:ind w:firstLine="375"/>
      <w:jc w:val="both"/>
    </w:pPr>
    <w:rPr>
      <w:lang w:val="lv-LV"/>
    </w:rPr>
  </w:style>
  <w:style w:type="paragraph" w:customStyle="1" w:styleId="Style">
    <w:name w:val="Style"/>
    <w:basedOn w:val="Normal"/>
    <w:rPr>
      <w:lang w:val="pl-PL"/>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lang w:val="lv-LV"/>
    </w:rPr>
  </w:style>
  <w:style w:type="paragraph" w:customStyle="1" w:styleId="naiskr">
    <w:name w:val="naiskr"/>
    <w:basedOn w:val="Normal"/>
    <w:pPr>
      <w:spacing w:before="280" w:after="280"/>
    </w:pPr>
    <w:rPr>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western">
    <w:name w:val="western"/>
    <w:basedOn w:val="Normal"/>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F3723A"/>
    <w:pPr>
      <w:suppressAutoHyphens w:val="0"/>
      <w:jc w:val="both"/>
    </w:pPr>
    <w:rPr>
      <w:szCs w:val="20"/>
      <w:lang w:val="lv-LV" w:eastAsia="en-US"/>
    </w:rPr>
  </w:style>
  <w:style w:type="paragraph" w:styleId="Title">
    <w:name w:val="Title"/>
    <w:basedOn w:val="Normal"/>
    <w:link w:val="TitleChar"/>
    <w:qFormat/>
    <w:rsid w:val="009D5DD1"/>
    <w:pPr>
      <w:suppressAutoHyphens w:val="0"/>
      <w:jc w:val="center"/>
    </w:pPr>
    <w:rPr>
      <w:rFonts w:ascii="Dutch TL" w:hAnsi="Dutch TL"/>
      <w:sz w:val="28"/>
      <w:szCs w:val="20"/>
      <w:lang w:val="lv-LV" w:eastAsia="lv-LV"/>
    </w:rPr>
  </w:style>
  <w:style w:type="character" w:customStyle="1" w:styleId="TitleChar">
    <w:name w:val="Title Char"/>
    <w:link w:val="Title"/>
    <w:rsid w:val="009D5DD1"/>
    <w:rPr>
      <w:rFonts w:ascii="Dutch TL" w:hAnsi="Dutch TL"/>
      <w:sz w:val="28"/>
    </w:rPr>
  </w:style>
  <w:style w:type="character" w:styleId="Emphasis">
    <w:name w:val="Emphasis"/>
    <w:uiPriority w:val="20"/>
    <w:qFormat/>
    <w:rsid w:val="008315EC"/>
    <w:rPr>
      <w:i/>
      <w:iCs/>
    </w:rPr>
  </w:style>
  <w:style w:type="paragraph" w:customStyle="1" w:styleId="naislab">
    <w:name w:val="naislab"/>
    <w:basedOn w:val="Normal"/>
    <w:rsid w:val="003F2F4B"/>
    <w:pPr>
      <w:suppressAutoHyphens w:val="0"/>
      <w:spacing w:before="100" w:beforeAutospacing="1" w:after="100" w:afterAutospacing="1"/>
    </w:pPr>
    <w:rPr>
      <w:lang w:val="lv-LV" w:eastAsia="lv-LV"/>
    </w:rPr>
  </w:style>
  <w:style w:type="paragraph" w:customStyle="1" w:styleId="naisnod">
    <w:name w:val="naisnod"/>
    <w:basedOn w:val="Normal"/>
    <w:rsid w:val="003F2F4B"/>
    <w:pPr>
      <w:suppressAutoHyphens w:val="0"/>
      <w:spacing w:before="100" w:beforeAutospacing="1" w:after="100" w:afterAutospacing="1"/>
    </w:pPr>
    <w:rPr>
      <w:lang w:val="lv-LV" w:eastAsia="lv-LV"/>
    </w:rPr>
  </w:style>
  <w:style w:type="character" w:customStyle="1" w:styleId="HeaderChar">
    <w:name w:val="Header Char"/>
    <w:link w:val="Header"/>
    <w:uiPriority w:val="99"/>
    <w:rsid w:val="00552A68"/>
    <w:rPr>
      <w:sz w:val="28"/>
      <w:szCs w:val="28"/>
      <w:lang w:eastAsia="ar-SA"/>
    </w:rPr>
  </w:style>
  <w:style w:type="character" w:customStyle="1" w:styleId="FooterChar">
    <w:name w:val="Footer Char"/>
    <w:link w:val="Footer"/>
    <w:rsid w:val="00F021DC"/>
    <w:rPr>
      <w:sz w:val="28"/>
      <w:szCs w:val="28"/>
      <w:lang w:eastAsia="ar-SA"/>
    </w:rPr>
  </w:style>
  <w:style w:type="paragraph" w:customStyle="1" w:styleId="Default">
    <w:name w:val="Default"/>
    <w:basedOn w:val="Normal"/>
    <w:rsid w:val="00B511FD"/>
    <w:pPr>
      <w:suppressAutoHyphens w:val="0"/>
      <w:autoSpaceDE w:val="0"/>
      <w:autoSpaceDN w:val="0"/>
    </w:pPr>
    <w:rPr>
      <w:rFonts w:ascii="Cambria" w:eastAsia="Calibri" w:hAnsi="Cambria"/>
      <w:color w:val="000000"/>
      <w:lang w:val="lv-LV" w:eastAsia="lv-LV"/>
    </w:rPr>
  </w:style>
  <w:style w:type="character" w:customStyle="1" w:styleId="apple-style-span">
    <w:name w:val="apple-style-span"/>
    <w:basedOn w:val="DefaultParagraphFont"/>
    <w:rsid w:val="00D027B4"/>
  </w:style>
  <w:style w:type="character" w:styleId="Strong">
    <w:name w:val="Strong"/>
    <w:basedOn w:val="DefaultParagraphFont"/>
    <w:uiPriority w:val="22"/>
    <w:qFormat/>
    <w:rsid w:val="00591A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tabs>
        <w:tab w:val="num" w:pos="0"/>
      </w:tabs>
      <w:jc w:val="center"/>
      <w:outlineLvl w:val="0"/>
    </w:pPr>
    <w:rPr>
      <w:rFonts w:ascii="Arial" w:hAnsi="Arial" w:cs="Arial"/>
      <w:b/>
      <w:bCs/>
      <w:sz w:val="28"/>
      <w:szCs w:val="28"/>
      <w:lang w:val="lv-LV"/>
    </w:rPr>
  </w:style>
  <w:style w:type="paragraph" w:styleId="Heading2">
    <w:name w:val="heading 2"/>
    <w:basedOn w:val="Normal"/>
    <w:next w:val="Normal"/>
    <w:qFormat/>
    <w:pPr>
      <w:keepNext/>
      <w:tabs>
        <w:tab w:val="num" w:pos="0"/>
      </w:tabs>
      <w:jc w:val="both"/>
      <w:outlineLvl w:val="1"/>
    </w:pPr>
    <w:rPr>
      <w:sz w:val="32"/>
      <w:szCs w:val="32"/>
      <w:lang w:val="lv-LV"/>
    </w:rPr>
  </w:style>
  <w:style w:type="paragraph" w:styleId="Heading4">
    <w:name w:val="heading 4"/>
    <w:basedOn w:val="Normal"/>
    <w:next w:val="Normal"/>
    <w:qFormat/>
    <w:pPr>
      <w:keepNext/>
      <w:widowControl w:val="0"/>
      <w:tabs>
        <w:tab w:val="num" w:pos="0"/>
      </w:tabs>
      <w:jc w:val="both"/>
      <w:outlineLvl w:val="3"/>
    </w:pPr>
    <w:rPr>
      <w:i/>
      <w:iCs/>
      <w:lang w:val="lv-LV"/>
    </w:rPr>
  </w:style>
  <w:style w:type="paragraph" w:styleId="Heading6">
    <w:name w:val="heading 6"/>
    <w:basedOn w:val="Normal"/>
    <w:next w:val="BodyText"/>
    <w:qFormat/>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customStyle="1" w:styleId="CharChar11">
    <w:name w:val="Char Char11"/>
    <w:rPr>
      <w:rFonts w:ascii="Cambria" w:eastAsia="Times New Roman" w:hAnsi="Cambria" w:cs="Times New Roman"/>
      <w:b/>
      <w:bCs/>
      <w:kern w:val="1"/>
      <w:sz w:val="32"/>
      <w:szCs w:val="32"/>
      <w:lang w:val="en-GB"/>
    </w:rPr>
  </w:style>
  <w:style w:type="character" w:customStyle="1" w:styleId="CharChar10">
    <w:name w:val="Char Char10"/>
    <w:rPr>
      <w:rFonts w:ascii="Cambria" w:eastAsia="Times New Roman" w:hAnsi="Cambria" w:cs="Times New Roman"/>
      <w:b/>
      <w:bCs/>
      <w:i/>
      <w:iCs/>
      <w:sz w:val="28"/>
      <w:szCs w:val="28"/>
      <w:lang w:val="en-GB"/>
    </w:rPr>
  </w:style>
  <w:style w:type="character" w:customStyle="1" w:styleId="CharChar9">
    <w:name w:val="Char Char9"/>
    <w:rPr>
      <w:rFonts w:ascii="Calibri" w:eastAsia="Times New Roman" w:hAnsi="Calibri" w:cs="Times New Roman"/>
      <w:b/>
      <w:bCs/>
      <w:sz w:val="28"/>
      <w:szCs w:val="28"/>
      <w:lang w:val="en-GB"/>
    </w:rPr>
  </w:style>
  <w:style w:type="character" w:customStyle="1" w:styleId="CharChar8">
    <w:name w:val="Char Char8"/>
    <w:rPr>
      <w:rFonts w:ascii="Cambria" w:eastAsia="Times New Roman" w:hAnsi="Cambria" w:cs="Times New Roman"/>
      <w:sz w:val="24"/>
      <w:szCs w:val="24"/>
      <w:lang w:val="en-GB"/>
    </w:rPr>
  </w:style>
  <w:style w:type="character" w:customStyle="1" w:styleId="CharChar7">
    <w:name w:val="Char Char7"/>
    <w:rPr>
      <w:sz w:val="16"/>
      <w:szCs w:val="16"/>
      <w:lang w:val="en-GB"/>
    </w:rPr>
  </w:style>
  <w:style w:type="character" w:customStyle="1" w:styleId="CharChar6">
    <w:name w:val="Char Char6"/>
    <w:rPr>
      <w:sz w:val="24"/>
      <w:szCs w:val="24"/>
      <w:lang w:val="en-GB"/>
    </w:rPr>
  </w:style>
  <w:style w:type="character" w:customStyle="1" w:styleId="CharChar5">
    <w:name w:val="Char Char5"/>
    <w:rPr>
      <w:sz w:val="24"/>
      <w:szCs w:val="24"/>
      <w:lang w:val="en-GB"/>
    </w:rPr>
  </w:style>
  <w:style w:type="character" w:customStyle="1" w:styleId="CharChar4">
    <w:name w:val="Char Char4"/>
    <w:rPr>
      <w:sz w:val="24"/>
      <w:szCs w:val="24"/>
      <w:lang w:val="en-GB"/>
    </w:rPr>
  </w:style>
  <w:style w:type="character" w:styleId="PageNumber">
    <w:name w:val="page number"/>
    <w:rPr>
      <w:rFonts w:cs="Times New Roman"/>
    </w:rPr>
  </w:style>
  <w:style w:type="character" w:customStyle="1" w:styleId="CharChar3">
    <w:name w:val="Char Char3"/>
    <w:rPr>
      <w:sz w:val="24"/>
      <w:szCs w:val="24"/>
      <w:lang w:val="en-GB"/>
    </w:rPr>
  </w:style>
  <w:style w:type="character" w:styleId="Hyperlink">
    <w:name w:val="Hyperlink"/>
    <w:rPr>
      <w:rFonts w:cs="Times New Roman"/>
      <w:color w:val="0000FF"/>
      <w:u w:val="single"/>
    </w:rPr>
  </w:style>
  <w:style w:type="character" w:styleId="CommentReference">
    <w:name w:val="annotation reference"/>
    <w:semiHidden/>
    <w:rPr>
      <w:rFonts w:cs="Times New Roman"/>
      <w:sz w:val="16"/>
      <w:szCs w:val="16"/>
    </w:rPr>
  </w:style>
  <w:style w:type="character" w:customStyle="1" w:styleId="CharChar2">
    <w:name w:val="Char Char2"/>
    <w:rPr>
      <w:sz w:val="20"/>
      <w:szCs w:val="20"/>
      <w:lang w:val="en-GB"/>
    </w:rPr>
  </w:style>
  <w:style w:type="character" w:customStyle="1" w:styleId="CharChar1">
    <w:name w:val="Char Char1"/>
    <w:rPr>
      <w:b/>
      <w:bCs/>
      <w:sz w:val="20"/>
      <w:szCs w:val="20"/>
      <w:lang w:val="en-GB"/>
    </w:rPr>
  </w:style>
  <w:style w:type="character" w:customStyle="1" w:styleId="CharChar">
    <w:name w:val="Char Char"/>
    <w:rPr>
      <w:rFonts w:ascii="Tahoma" w:hAnsi="Tahoma" w:cs="Tahoma"/>
      <w:sz w:val="16"/>
      <w:szCs w:val="16"/>
      <w:lang w:val="en-GB"/>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right"/>
    </w:pPr>
    <w:rPr>
      <w:b/>
      <w:bCs/>
      <w:sz w:val="28"/>
      <w:szCs w:val="28"/>
      <w:lang w:val="lv-LV"/>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isc">
    <w:name w:val="naisc"/>
    <w:basedOn w:val="Normal"/>
    <w:pPr>
      <w:spacing w:before="450" w:after="300"/>
      <w:jc w:val="center"/>
    </w:pPr>
    <w:rPr>
      <w:rFonts w:eastAsia="Arial Unicode MS"/>
      <w:sz w:val="26"/>
      <w:szCs w:val="26"/>
    </w:rPr>
  </w:style>
  <w:style w:type="paragraph" w:styleId="Subtitle">
    <w:name w:val="Subtitle"/>
    <w:basedOn w:val="Normal"/>
    <w:next w:val="BodyText"/>
    <w:qFormat/>
    <w:pPr>
      <w:jc w:val="center"/>
    </w:pPr>
    <w:rPr>
      <w:b/>
      <w:bCs/>
      <w:sz w:val="28"/>
      <w:szCs w:val="28"/>
      <w:lang w:val="lv-LV"/>
    </w:rPr>
  </w:style>
  <w:style w:type="paragraph" w:styleId="BodyText3">
    <w:name w:val="Body Text 3"/>
    <w:basedOn w:val="Normal"/>
    <w:pPr>
      <w:jc w:val="both"/>
    </w:pPr>
    <w:rPr>
      <w:b/>
      <w:bCs/>
      <w:sz w:val="28"/>
      <w:szCs w:val="28"/>
      <w:lang w:val="lv-LV"/>
    </w:rPr>
  </w:style>
  <w:style w:type="paragraph" w:styleId="Header">
    <w:name w:val="header"/>
    <w:basedOn w:val="Normal"/>
    <w:link w:val="HeaderChar"/>
    <w:uiPriority w:val="99"/>
    <w:pPr>
      <w:tabs>
        <w:tab w:val="center" w:pos="4153"/>
        <w:tab w:val="right" w:pos="8306"/>
      </w:tabs>
    </w:pPr>
    <w:rPr>
      <w:sz w:val="28"/>
      <w:szCs w:val="28"/>
      <w:lang w:val="lv-LV"/>
    </w:rPr>
  </w:style>
  <w:style w:type="paragraph" w:styleId="BodyText2">
    <w:name w:val="Body Text 2"/>
    <w:basedOn w:val="Normal"/>
    <w:pPr>
      <w:jc w:val="both"/>
    </w:pPr>
    <w:rPr>
      <w:sz w:val="28"/>
      <w:szCs w:val="28"/>
      <w:lang w:val="lv-LV"/>
    </w:rPr>
  </w:style>
  <w:style w:type="paragraph" w:styleId="Footer">
    <w:name w:val="footer"/>
    <w:basedOn w:val="Normal"/>
    <w:link w:val="FooterChar"/>
    <w:pPr>
      <w:tabs>
        <w:tab w:val="center" w:pos="4153"/>
        <w:tab w:val="right" w:pos="8306"/>
      </w:tabs>
    </w:pPr>
    <w:rPr>
      <w:sz w:val="28"/>
      <w:szCs w:val="28"/>
      <w:lang w:val="lv-LV"/>
    </w:rPr>
  </w:style>
  <w:style w:type="paragraph" w:customStyle="1" w:styleId="naisf">
    <w:name w:val="naisf"/>
    <w:basedOn w:val="Normal"/>
    <w:pPr>
      <w:spacing w:before="75" w:after="75"/>
      <w:ind w:firstLine="375"/>
      <w:jc w:val="both"/>
    </w:pPr>
    <w:rPr>
      <w:lang w:val="lv-LV"/>
    </w:rPr>
  </w:style>
  <w:style w:type="paragraph" w:customStyle="1" w:styleId="Style">
    <w:name w:val="Style"/>
    <w:basedOn w:val="Normal"/>
    <w:rPr>
      <w:lang w:val="pl-PL"/>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lang w:val="lv-LV"/>
    </w:rPr>
  </w:style>
  <w:style w:type="paragraph" w:customStyle="1" w:styleId="naiskr">
    <w:name w:val="naiskr"/>
    <w:basedOn w:val="Normal"/>
    <w:pPr>
      <w:spacing w:before="280" w:after="280"/>
    </w:pPr>
    <w:rPr>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western">
    <w:name w:val="western"/>
    <w:basedOn w:val="Normal"/>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F3723A"/>
    <w:pPr>
      <w:suppressAutoHyphens w:val="0"/>
      <w:jc w:val="both"/>
    </w:pPr>
    <w:rPr>
      <w:szCs w:val="20"/>
      <w:lang w:val="lv-LV" w:eastAsia="en-US"/>
    </w:rPr>
  </w:style>
  <w:style w:type="paragraph" w:styleId="Title">
    <w:name w:val="Title"/>
    <w:basedOn w:val="Normal"/>
    <w:link w:val="TitleChar"/>
    <w:qFormat/>
    <w:rsid w:val="009D5DD1"/>
    <w:pPr>
      <w:suppressAutoHyphens w:val="0"/>
      <w:jc w:val="center"/>
    </w:pPr>
    <w:rPr>
      <w:rFonts w:ascii="Dutch TL" w:hAnsi="Dutch TL"/>
      <w:sz w:val="28"/>
      <w:szCs w:val="20"/>
      <w:lang w:val="lv-LV" w:eastAsia="lv-LV"/>
    </w:rPr>
  </w:style>
  <w:style w:type="character" w:customStyle="1" w:styleId="TitleChar">
    <w:name w:val="Title Char"/>
    <w:link w:val="Title"/>
    <w:rsid w:val="009D5DD1"/>
    <w:rPr>
      <w:rFonts w:ascii="Dutch TL" w:hAnsi="Dutch TL"/>
      <w:sz w:val="28"/>
    </w:rPr>
  </w:style>
  <w:style w:type="character" w:styleId="Emphasis">
    <w:name w:val="Emphasis"/>
    <w:uiPriority w:val="20"/>
    <w:qFormat/>
    <w:rsid w:val="008315EC"/>
    <w:rPr>
      <w:i/>
      <w:iCs/>
    </w:rPr>
  </w:style>
  <w:style w:type="paragraph" w:customStyle="1" w:styleId="naislab">
    <w:name w:val="naislab"/>
    <w:basedOn w:val="Normal"/>
    <w:rsid w:val="003F2F4B"/>
    <w:pPr>
      <w:suppressAutoHyphens w:val="0"/>
      <w:spacing w:before="100" w:beforeAutospacing="1" w:after="100" w:afterAutospacing="1"/>
    </w:pPr>
    <w:rPr>
      <w:lang w:val="lv-LV" w:eastAsia="lv-LV"/>
    </w:rPr>
  </w:style>
  <w:style w:type="paragraph" w:customStyle="1" w:styleId="naisnod">
    <w:name w:val="naisnod"/>
    <w:basedOn w:val="Normal"/>
    <w:rsid w:val="003F2F4B"/>
    <w:pPr>
      <w:suppressAutoHyphens w:val="0"/>
      <w:spacing w:before="100" w:beforeAutospacing="1" w:after="100" w:afterAutospacing="1"/>
    </w:pPr>
    <w:rPr>
      <w:lang w:val="lv-LV" w:eastAsia="lv-LV"/>
    </w:rPr>
  </w:style>
  <w:style w:type="character" w:customStyle="1" w:styleId="HeaderChar">
    <w:name w:val="Header Char"/>
    <w:link w:val="Header"/>
    <w:uiPriority w:val="99"/>
    <w:rsid w:val="00552A68"/>
    <w:rPr>
      <w:sz w:val="28"/>
      <w:szCs w:val="28"/>
      <w:lang w:eastAsia="ar-SA"/>
    </w:rPr>
  </w:style>
  <w:style w:type="character" w:customStyle="1" w:styleId="FooterChar">
    <w:name w:val="Footer Char"/>
    <w:link w:val="Footer"/>
    <w:rsid w:val="00F021DC"/>
    <w:rPr>
      <w:sz w:val="28"/>
      <w:szCs w:val="28"/>
      <w:lang w:eastAsia="ar-SA"/>
    </w:rPr>
  </w:style>
  <w:style w:type="paragraph" w:customStyle="1" w:styleId="Default">
    <w:name w:val="Default"/>
    <w:basedOn w:val="Normal"/>
    <w:rsid w:val="00B511FD"/>
    <w:pPr>
      <w:suppressAutoHyphens w:val="0"/>
      <w:autoSpaceDE w:val="0"/>
      <w:autoSpaceDN w:val="0"/>
    </w:pPr>
    <w:rPr>
      <w:rFonts w:ascii="Cambria" w:eastAsia="Calibri" w:hAnsi="Cambria"/>
      <w:color w:val="000000"/>
      <w:lang w:val="lv-LV" w:eastAsia="lv-LV"/>
    </w:rPr>
  </w:style>
  <w:style w:type="character" w:customStyle="1" w:styleId="apple-style-span">
    <w:name w:val="apple-style-span"/>
    <w:basedOn w:val="DefaultParagraphFont"/>
    <w:rsid w:val="00D027B4"/>
  </w:style>
  <w:style w:type="character" w:styleId="Strong">
    <w:name w:val="Strong"/>
    <w:basedOn w:val="DefaultParagraphFont"/>
    <w:uiPriority w:val="22"/>
    <w:qFormat/>
    <w:rsid w:val="00591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173">
      <w:bodyDiv w:val="1"/>
      <w:marLeft w:val="0"/>
      <w:marRight w:val="0"/>
      <w:marTop w:val="0"/>
      <w:marBottom w:val="0"/>
      <w:divBdr>
        <w:top w:val="none" w:sz="0" w:space="0" w:color="auto"/>
        <w:left w:val="none" w:sz="0" w:space="0" w:color="auto"/>
        <w:bottom w:val="none" w:sz="0" w:space="0" w:color="auto"/>
        <w:right w:val="none" w:sz="0" w:space="0" w:color="auto"/>
      </w:divBdr>
    </w:div>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270168871">
      <w:bodyDiv w:val="1"/>
      <w:marLeft w:val="0"/>
      <w:marRight w:val="0"/>
      <w:marTop w:val="0"/>
      <w:marBottom w:val="0"/>
      <w:divBdr>
        <w:top w:val="none" w:sz="0" w:space="0" w:color="auto"/>
        <w:left w:val="none" w:sz="0" w:space="0" w:color="auto"/>
        <w:bottom w:val="none" w:sz="0" w:space="0" w:color="auto"/>
        <w:right w:val="none" w:sz="0" w:space="0" w:color="auto"/>
      </w:divBdr>
    </w:div>
    <w:div w:id="639651568">
      <w:bodyDiv w:val="1"/>
      <w:marLeft w:val="0"/>
      <w:marRight w:val="0"/>
      <w:marTop w:val="0"/>
      <w:marBottom w:val="0"/>
      <w:divBdr>
        <w:top w:val="none" w:sz="0" w:space="0" w:color="auto"/>
        <w:left w:val="none" w:sz="0" w:space="0" w:color="auto"/>
        <w:bottom w:val="none" w:sz="0" w:space="0" w:color="auto"/>
        <w:right w:val="none" w:sz="0" w:space="0" w:color="auto"/>
      </w:divBdr>
    </w:div>
    <w:div w:id="1257522128">
      <w:bodyDiv w:val="1"/>
      <w:marLeft w:val="0"/>
      <w:marRight w:val="0"/>
      <w:marTop w:val="0"/>
      <w:marBottom w:val="0"/>
      <w:divBdr>
        <w:top w:val="none" w:sz="0" w:space="0" w:color="auto"/>
        <w:left w:val="none" w:sz="0" w:space="0" w:color="auto"/>
        <w:bottom w:val="none" w:sz="0" w:space="0" w:color="auto"/>
        <w:right w:val="none" w:sz="0" w:space="0" w:color="auto"/>
      </w:divBdr>
    </w:div>
    <w:div w:id="1729644130">
      <w:bodyDiv w:val="1"/>
      <w:marLeft w:val="0"/>
      <w:marRight w:val="0"/>
      <w:marTop w:val="0"/>
      <w:marBottom w:val="0"/>
      <w:divBdr>
        <w:top w:val="none" w:sz="0" w:space="0" w:color="auto"/>
        <w:left w:val="none" w:sz="0" w:space="0" w:color="auto"/>
        <w:bottom w:val="none" w:sz="0" w:space="0" w:color="auto"/>
        <w:right w:val="none" w:sz="0" w:space="0" w:color="auto"/>
      </w:divBdr>
    </w:div>
    <w:div w:id="1981301156">
      <w:bodyDiv w:val="1"/>
      <w:marLeft w:val="0"/>
      <w:marRight w:val="0"/>
      <w:marTop w:val="0"/>
      <w:marBottom w:val="0"/>
      <w:divBdr>
        <w:top w:val="none" w:sz="0" w:space="0" w:color="auto"/>
        <w:left w:val="none" w:sz="0" w:space="0" w:color="auto"/>
        <w:bottom w:val="none" w:sz="0" w:space="0" w:color="auto"/>
        <w:right w:val="none" w:sz="0" w:space="0" w:color="auto"/>
      </w:divBdr>
    </w:div>
    <w:div w:id="2035572128">
      <w:bodyDiv w:val="1"/>
      <w:marLeft w:val="0"/>
      <w:marRight w:val="0"/>
      <w:marTop w:val="0"/>
      <w:marBottom w:val="0"/>
      <w:divBdr>
        <w:top w:val="none" w:sz="0" w:space="0" w:color="auto"/>
        <w:left w:val="none" w:sz="0" w:space="0" w:color="auto"/>
        <w:bottom w:val="none" w:sz="0" w:space="0" w:color="auto"/>
        <w:right w:val="none" w:sz="0" w:space="0" w:color="auto"/>
      </w:divBdr>
    </w:div>
    <w:div w:id="20486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ga.Jermacane@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18D4-3E55-4FF4-BA03-DB204EED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8447</Words>
  <Characters>4815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Likumprojekta “Fiskālās disciplīnas likums" sākotnējās ietekmes novērtējuma ziņojums(anotācija)</vt:lpstr>
    </vt:vector>
  </TitlesOfParts>
  <Company>Finanšu ministrija</Company>
  <LinksUpToDate>false</LinksUpToDate>
  <CharactersWithSpaces>13236</CharactersWithSpaces>
  <SharedDoc>false</SharedDoc>
  <HLinks>
    <vt:vector size="6" baseType="variant">
      <vt:variant>
        <vt:i4>1507379</vt:i4>
      </vt:variant>
      <vt:variant>
        <vt:i4>0</vt:i4>
      </vt:variant>
      <vt:variant>
        <vt:i4>0</vt:i4>
      </vt:variant>
      <vt:variant>
        <vt:i4>5</vt:i4>
      </vt:variant>
      <vt:variant>
        <vt:lpwstr>mailto:Ilga.Jermacane@fm.gov.lv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“Fiskālās disciplīnas likums" sākotnējās ietekmes novērtējuma ziņojums(anotācija)</dc:title>
  <dc:subject>Anotācija</dc:subject>
  <dc:creator>Ilga Jermacāne</dc:creator>
  <cp:keywords/>
  <dc:description>I.Jermacāne
67095429,  Ilga.Jermacane@fm.gov.lv</dc:description>
  <cp:lastModifiedBy>FPD</cp:lastModifiedBy>
  <cp:revision>15</cp:revision>
  <cp:lastPrinted>2011-11-25T11:07:00Z</cp:lastPrinted>
  <dcterms:created xsi:type="dcterms:W3CDTF">2011-11-21T19:35:00Z</dcterms:created>
  <dcterms:modified xsi:type="dcterms:W3CDTF">2011-11-25T11:07:00Z</dcterms:modified>
</cp:coreProperties>
</file>