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F0" w:rsidRPr="0034617C" w:rsidRDefault="00404FF0" w:rsidP="00404FF0">
      <w:pPr>
        <w:tabs>
          <w:tab w:val="left" w:pos="709"/>
        </w:tabs>
        <w:ind w:left="57"/>
        <w:jc w:val="center"/>
        <w:rPr>
          <w:sz w:val="28"/>
          <w:szCs w:val="28"/>
        </w:rPr>
      </w:pPr>
      <w:bookmarkStart w:id="0" w:name="OLE_LINK3"/>
      <w:bookmarkStart w:id="1" w:name="OLE_LINK4"/>
      <w:bookmarkStart w:id="2" w:name="OLE_LINK1"/>
      <w:bookmarkStart w:id="3" w:name="OLE_LINK2"/>
      <w:bookmarkStart w:id="4" w:name="OLE_LINK5"/>
      <w:bookmarkStart w:id="5" w:name="OLE_LINK6"/>
      <w:bookmarkStart w:id="6" w:name="_GoBack"/>
      <w:bookmarkEnd w:id="6"/>
      <w:r w:rsidRPr="0034617C">
        <w:rPr>
          <w:bCs/>
          <w:sz w:val="28"/>
          <w:szCs w:val="28"/>
        </w:rPr>
        <w:t xml:space="preserve">Ministru kabineta noteikumu projekta </w:t>
      </w:r>
      <w:r w:rsidRPr="0034617C">
        <w:rPr>
          <w:b/>
          <w:bCs/>
          <w:sz w:val="28"/>
          <w:szCs w:val="28"/>
        </w:rPr>
        <w:t>„Grozījumi Ministru kabineta 2007. gada 10. aprīļa noteikumos Nr. 237 „Skaidrā naudā veikto darījumu deklarēšanas noteikumi””</w:t>
      </w:r>
      <w:r w:rsidRPr="0034617C">
        <w:rPr>
          <w:bCs/>
          <w:sz w:val="28"/>
          <w:szCs w:val="28"/>
        </w:rPr>
        <w:t xml:space="preserve"> </w:t>
      </w:r>
    </w:p>
    <w:p w:rsidR="002A37B0" w:rsidRDefault="00646DDB" w:rsidP="00E755D1">
      <w:pPr>
        <w:jc w:val="center"/>
        <w:rPr>
          <w:sz w:val="28"/>
          <w:szCs w:val="28"/>
        </w:rPr>
      </w:pPr>
      <w:bookmarkStart w:id="7" w:name="OLE_LINK7"/>
      <w:bookmarkStart w:id="8" w:name="OLE_LINK8"/>
      <w:bookmarkEnd w:id="0"/>
      <w:bookmarkEnd w:id="1"/>
      <w:r w:rsidRPr="00404FF0">
        <w:rPr>
          <w:sz w:val="28"/>
          <w:szCs w:val="28"/>
        </w:rPr>
        <w:t>sākotnējās ietekmes novērtējuma ziņojums</w:t>
      </w:r>
      <w:bookmarkEnd w:id="2"/>
      <w:bookmarkEnd w:id="3"/>
      <w:r w:rsidR="00E755D1" w:rsidRPr="00404FF0">
        <w:rPr>
          <w:sz w:val="28"/>
          <w:szCs w:val="28"/>
        </w:rPr>
        <w:t xml:space="preserve"> </w:t>
      </w:r>
      <w:r w:rsidRPr="00404FF0">
        <w:rPr>
          <w:sz w:val="28"/>
          <w:szCs w:val="28"/>
        </w:rPr>
        <w:t>(anotācija)</w:t>
      </w:r>
      <w:bookmarkEnd w:id="4"/>
      <w:bookmarkEnd w:id="5"/>
      <w:bookmarkEnd w:id="7"/>
      <w:bookmarkEnd w:id="8"/>
    </w:p>
    <w:p w:rsidR="007470E5" w:rsidRPr="00404FF0" w:rsidRDefault="007470E5" w:rsidP="00E755D1">
      <w:pPr>
        <w:jc w:val="center"/>
        <w:rPr>
          <w:rStyle w:val="apple-style-span"/>
          <w:sz w:val="28"/>
          <w:szCs w:val="28"/>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268"/>
        <w:gridCol w:w="6667"/>
      </w:tblGrid>
      <w:tr w:rsidR="00195FE9" w:rsidRPr="00AA3DA3" w:rsidTr="00195FE9">
        <w:tc>
          <w:tcPr>
            <w:tcW w:w="9503" w:type="dxa"/>
            <w:gridSpan w:val="3"/>
            <w:vAlign w:val="center"/>
          </w:tcPr>
          <w:p w:rsidR="00195FE9" w:rsidRPr="00AA3DA3" w:rsidRDefault="00195FE9" w:rsidP="00195FE9">
            <w:pPr>
              <w:pStyle w:val="naisnod"/>
              <w:spacing w:before="0" w:after="0"/>
            </w:pPr>
            <w:r w:rsidRPr="00AA3DA3">
              <w:t>I. Tiesību akta projekta izstrādes nepieciešamība</w:t>
            </w:r>
          </w:p>
        </w:tc>
      </w:tr>
      <w:tr w:rsidR="00195FE9" w:rsidRPr="00AA3DA3" w:rsidTr="00195FE9">
        <w:trPr>
          <w:trHeight w:val="630"/>
        </w:trPr>
        <w:tc>
          <w:tcPr>
            <w:tcW w:w="568" w:type="dxa"/>
          </w:tcPr>
          <w:p w:rsidR="00195FE9" w:rsidRPr="00AA3DA3" w:rsidRDefault="00195FE9" w:rsidP="00195FE9">
            <w:pPr>
              <w:pStyle w:val="naiskr"/>
              <w:spacing w:before="0" w:after="0"/>
            </w:pPr>
            <w:r w:rsidRPr="00AA3DA3">
              <w:t>1.</w:t>
            </w:r>
          </w:p>
        </w:tc>
        <w:tc>
          <w:tcPr>
            <w:tcW w:w="2268" w:type="dxa"/>
          </w:tcPr>
          <w:p w:rsidR="00195FE9" w:rsidRPr="00AA3DA3" w:rsidRDefault="00195FE9" w:rsidP="00195FE9">
            <w:pPr>
              <w:pStyle w:val="naiskr"/>
              <w:spacing w:before="0" w:after="0"/>
              <w:ind w:hanging="10"/>
            </w:pPr>
            <w:r w:rsidRPr="00AA3DA3">
              <w:t>Pamatojums</w:t>
            </w:r>
          </w:p>
        </w:tc>
        <w:tc>
          <w:tcPr>
            <w:tcW w:w="6667" w:type="dxa"/>
          </w:tcPr>
          <w:p w:rsidR="009143B3" w:rsidRDefault="004D3859" w:rsidP="00195FE9">
            <w:pPr>
              <w:jc w:val="both"/>
              <w:rPr>
                <w:rFonts w:eastAsia="Calibri"/>
                <w:color w:val="000000"/>
              </w:rPr>
            </w:pPr>
            <w:r>
              <w:rPr>
                <w:rFonts w:eastAsia="Calibri"/>
                <w:color w:val="000000"/>
              </w:rPr>
              <w:t>L</w:t>
            </w:r>
            <w:r w:rsidR="003E3593">
              <w:rPr>
                <w:rFonts w:eastAsia="Calibri"/>
                <w:color w:val="000000"/>
              </w:rPr>
              <w:t xml:space="preserve">ikuma „Par nodokļiem un nodevām” </w:t>
            </w:r>
            <w:r w:rsidR="00E64F90">
              <w:rPr>
                <w:rFonts w:eastAsia="Calibri"/>
                <w:color w:val="000000"/>
              </w:rPr>
              <w:t xml:space="preserve">30.panta pirmā, otrā, </w:t>
            </w:r>
            <w:r w:rsidR="00E73601">
              <w:rPr>
                <w:rFonts w:eastAsia="Calibri"/>
                <w:color w:val="000000"/>
              </w:rPr>
              <w:t>septītā</w:t>
            </w:r>
            <w:r w:rsidR="00E64F90">
              <w:rPr>
                <w:rFonts w:eastAsia="Calibri"/>
                <w:color w:val="000000"/>
              </w:rPr>
              <w:t xml:space="preserve"> daļa un </w:t>
            </w:r>
            <w:r w:rsidR="003E3593">
              <w:rPr>
                <w:rFonts w:eastAsia="Calibri"/>
                <w:color w:val="000000"/>
              </w:rPr>
              <w:t>pārejas noteikumu 143.punk</w:t>
            </w:r>
            <w:r>
              <w:rPr>
                <w:rFonts w:eastAsia="Calibri"/>
                <w:color w:val="000000"/>
              </w:rPr>
              <w:t>ts.</w:t>
            </w:r>
            <w:r w:rsidR="003E3593">
              <w:rPr>
                <w:rFonts w:eastAsia="Calibri"/>
                <w:color w:val="000000"/>
              </w:rPr>
              <w:t xml:space="preserve"> </w:t>
            </w:r>
          </w:p>
          <w:p w:rsidR="007470E5" w:rsidRPr="00195FE9" w:rsidRDefault="006C7DDD" w:rsidP="004D3859">
            <w:pPr>
              <w:jc w:val="both"/>
            </w:pPr>
            <w:r>
              <w:t xml:space="preserve">Ministru prezidenta </w:t>
            </w:r>
            <w:r w:rsidR="004D3859">
              <w:rPr>
                <w:rFonts w:eastAsia="Calibri"/>
                <w:color w:val="000000"/>
              </w:rPr>
              <w:t xml:space="preserve">2012.gada 25.jūlija </w:t>
            </w:r>
            <w:r>
              <w:t>rezolūcija</w:t>
            </w:r>
            <w:r w:rsidR="004D3859">
              <w:rPr>
                <w:rFonts w:eastAsia="Calibri"/>
                <w:color w:val="000000"/>
              </w:rPr>
              <w:t xml:space="preserve"> Nr.12/2012-JUR-151</w:t>
            </w:r>
            <w:r>
              <w:t>.</w:t>
            </w:r>
          </w:p>
        </w:tc>
      </w:tr>
      <w:tr w:rsidR="00195FE9" w:rsidRPr="00AA3DA3" w:rsidTr="00195FE9">
        <w:trPr>
          <w:trHeight w:val="472"/>
        </w:trPr>
        <w:tc>
          <w:tcPr>
            <w:tcW w:w="568" w:type="dxa"/>
          </w:tcPr>
          <w:p w:rsidR="00195FE9" w:rsidRPr="00AA3DA3" w:rsidRDefault="00195FE9" w:rsidP="00195FE9">
            <w:pPr>
              <w:pStyle w:val="naiskr"/>
              <w:spacing w:before="0" w:after="0"/>
            </w:pPr>
            <w:r w:rsidRPr="00AA3DA3">
              <w:t>2.</w:t>
            </w:r>
          </w:p>
        </w:tc>
        <w:tc>
          <w:tcPr>
            <w:tcW w:w="2268" w:type="dxa"/>
          </w:tcPr>
          <w:p w:rsidR="00195FE9" w:rsidRPr="00AA3DA3" w:rsidRDefault="00195FE9" w:rsidP="00195FE9">
            <w:pPr>
              <w:pStyle w:val="naiskr"/>
              <w:tabs>
                <w:tab w:val="left" w:pos="170"/>
              </w:tabs>
              <w:spacing w:before="0" w:after="0"/>
            </w:pPr>
            <w:r w:rsidRPr="00AA3DA3">
              <w:t>Pašreizējā situācija un problēmas</w:t>
            </w:r>
          </w:p>
        </w:tc>
        <w:tc>
          <w:tcPr>
            <w:tcW w:w="6667" w:type="dxa"/>
          </w:tcPr>
          <w:p w:rsidR="00C251DD" w:rsidRDefault="0090664B" w:rsidP="00C251DD">
            <w:pPr>
              <w:tabs>
                <w:tab w:val="left" w:pos="7354"/>
                <w:tab w:val="left" w:pos="7433"/>
              </w:tabs>
              <w:ind w:left="4" w:right="113" w:firstLine="544"/>
              <w:jc w:val="both"/>
              <w:rPr>
                <w:iCs/>
                <w:lang w:eastAsia="en-US"/>
              </w:rPr>
            </w:pPr>
            <w:bookmarkStart w:id="9" w:name="bkm278"/>
            <w:r w:rsidRPr="0090664B">
              <w:rPr>
                <w:iCs/>
                <w:lang w:eastAsia="en-US"/>
              </w:rPr>
              <w:t xml:space="preserve">Saskaņā ar spēkā esošo tiesisko regulējumu nodokļu maksātājiem, izņemot fiziskās personas, kuras nav individuālie komersanti, katru mēnesi līdz 15.datumam ir </w:t>
            </w:r>
            <w:bookmarkEnd w:id="9"/>
            <w:r w:rsidRPr="0090664B">
              <w:rPr>
                <w:iCs/>
                <w:lang w:eastAsia="en-US"/>
              </w:rPr>
              <w:t xml:space="preserve">jādeklarē visi iepriekšējā mēneša laikā savstarpēji </w:t>
            </w:r>
            <w:hyperlink r:id="rId9" w:tgtFrame="_top" w:tooltip="Skaidrā naudā veikto darījumu deklarēšanas noteikumi" w:history="1">
              <w:r w:rsidRPr="0090664B">
                <w:rPr>
                  <w:iCs/>
                  <w:lang w:eastAsia="en-US"/>
                </w:rPr>
                <w:t>skaidrā naudā</w:t>
              </w:r>
            </w:hyperlink>
            <w:r w:rsidRPr="0090664B">
              <w:rPr>
                <w:iCs/>
                <w:lang w:eastAsia="en-US"/>
              </w:rPr>
              <w:t xml:space="preserve"> veiktie darījumi, ja to summa pārsniedz 3000 latu. </w:t>
            </w:r>
          </w:p>
          <w:p w:rsidR="00C251DD" w:rsidRPr="008A5C70" w:rsidRDefault="00247EFD" w:rsidP="00C251DD">
            <w:pPr>
              <w:tabs>
                <w:tab w:val="left" w:pos="7354"/>
                <w:tab w:val="left" w:pos="7433"/>
              </w:tabs>
              <w:ind w:left="4" w:right="113" w:firstLine="544"/>
              <w:jc w:val="both"/>
              <w:rPr>
                <w:iCs/>
                <w:lang w:eastAsia="en-US"/>
              </w:rPr>
            </w:pPr>
            <w:r w:rsidRPr="008A5C70">
              <w:rPr>
                <w:color w:val="000000"/>
              </w:rPr>
              <w:t xml:space="preserve">2012.gada </w:t>
            </w:r>
            <w:r w:rsidR="00993D86" w:rsidRPr="008A5C70">
              <w:rPr>
                <w:color w:val="000000"/>
              </w:rPr>
              <w:t>12.jūlijā</w:t>
            </w:r>
            <w:r w:rsidR="00CD34C2" w:rsidRPr="008A5C70">
              <w:rPr>
                <w:color w:val="000000"/>
              </w:rPr>
              <w:t xml:space="preserve"> </w:t>
            </w:r>
            <w:r w:rsidR="00993D86" w:rsidRPr="008A5C70">
              <w:rPr>
                <w:color w:val="000000"/>
              </w:rPr>
              <w:t>tika izsludināt</w:t>
            </w:r>
            <w:r w:rsidR="00EB5EB0" w:rsidRPr="008A5C70">
              <w:rPr>
                <w:color w:val="000000"/>
              </w:rPr>
              <w:t>s</w:t>
            </w:r>
            <w:r w:rsidR="00993D86" w:rsidRPr="008A5C70">
              <w:rPr>
                <w:color w:val="000000"/>
              </w:rPr>
              <w:t xml:space="preserve"> oficiālajā izdevumā „Latvijas Vēstnesis” likums</w:t>
            </w:r>
            <w:r w:rsidRPr="008A5C70">
              <w:rPr>
                <w:color w:val="000000"/>
              </w:rPr>
              <w:t xml:space="preserve"> „Grozījumi</w:t>
            </w:r>
            <w:r w:rsidR="00CD34C2" w:rsidRPr="008A5C70">
              <w:rPr>
                <w:color w:val="000000"/>
              </w:rPr>
              <w:t xml:space="preserve"> likumā</w:t>
            </w:r>
            <w:r w:rsidR="00F331DF" w:rsidRPr="008A5C70">
              <w:rPr>
                <w:iCs/>
                <w:lang w:eastAsia="en-US"/>
              </w:rPr>
              <w:t xml:space="preserve"> „Par nodokļiem un nodevām</w:t>
            </w:r>
            <w:r w:rsidR="002E6C44" w:rsidRPr="008A5C70">
              <w:rPr>
                <w:iCs/>
                <w:lang w:eastAsia="en-US"/>
              </w:rPr>
              <w:t>””</w:t>
            </w:r>
            <w:r w:rsidR="00993D86" w:rsidRPr="008A5C70">
              <w:rPr>
                <w:iCs/>
                <w:lang w:eastAsia="en-US"/>
              </w:rPr>
              <w:t>, kas paredz</w:t>
            </w:r>
            <w:r w:rsidRPr="008A5C70">
              <w:t xml:space="preserve"> samazināt slieksni, sasniedzot kuru </w:t>
            </w:r>
            <w:r w:rsidR="00C251DD" w:rsidRPr="008A5C70">
              <w:t>ir</w:t>
            </w:r>
            <w:r w:rsidRPr="008A5C70">
              <w:t xml:space="preserve"> </w:t>
            </w:r>
            <w:r w:rsidR="00C251DD" w:rsidRPr="008A5C70">
              <w:t>jā</w:t>
            </w:r>
            <w:r w:rsidRPr="008A5C70">
              <w:t>deklarē skaidrā naudā veiktos darījumus - no pašreizējiem 3000 uz 1000 lat</w:t>
            </w:r>
            <w:r w:rsidR="00C251DD" w:rsidRPr="008A5C70">
              <w:t>iem</w:t>
            </w:r>
            <w:r w:rsidRPr="008A5C70">
              <w:t>.</w:t>
            </w:r>
          </w:p>
          <w:p w:rsidR="00CD34C2" w:rsidRPr="008A5C70" w:rsidRDefault="00CD34C2" w:rsidP="002E6C44">
            <w:pPr>
              <w:tabs>
                <w:tab w:val="left" w:pos="7354"/>
                <w:tab w:val="left" w:pos="7433"/>
              </w:tabs>
              <w:ind w:left="4" w:right="113" w:firstLine="544"/>
              <w:jc w:val="both"/>
              <w:rPr>
                <w:color w:val="000000"/>
              </w:rPr>
            </w:pPr>
            <w:r w:rsidRPr="008A5C70">
              <w:rPr>
                <w:color w:val="000000"/>
              </w:rPr>
              <w:t>Savukārt, lai ierobežotu nelegālās naudas plūsmu, kas iegūta no nereģistrētās nodarbinātības un ēnu ekonomikas</w:t>
            </w:r>
            <w:r w:rsidR="002E6C44" w:rsidRPr="008A5C70">
              <w:rPr>
                <w:color w:val="000000"/>
              </w:rPr>
              <w:t>, likums paredz</w:t>
            </w:r>
            <w:r w:rsidRPr="008A5C70">
              <w:rPr>
                <w:color w:val="000000"/>
              </w:rPr>
              <w:t xml:space="preserve"> </w:t>
            </w:r>
            <w:r w:rsidR="009143B3" w:rsidRPr="008A5C70">
              <w:rPr>
                <w:color w:val="000000"/>
              </w:rPr>
              <w:t xml:space="preserve">jaunu pienākumu </w:t>
            </w:r>
            <w:r w:rsidR="002E6C44" w:rsidRPr="008A5C70">
              <w:rPr>
                <w:color w:val="000000"/>
              </w:rPr>
              <w:t>nodokļu maksātājiem, kas veic saimniecisko darbību</w:t>
            </w:r>
            <w:r w:rsidR="00AC1936" w:rsidRPr="008A5C70">
              <w:rPr>
                <w:color w:val="000000"/>
              </w:rPr>
              <w:t>,</w:t>
            </w:r>
            <w:r w:rsidRPr="008A5C70">
              <w:rPr>
                <w:color w:val="000000"/>
              </w:rPr>
              <w:t xml:space="preserve"> deklarē</w:t>
            </w:r>
            <w:r w:rsidR="002E6C44" w:rsidRPr="008A5C70">
              <w:rPr>
                <w:color w:val="000000"/>
              </w:rPr>
              <w:t>t</w:t>
            </w:r>
            <w:r w:rsidRPr="008A5C70">
              <w:rPr>
                <w:color w:val="000000"/>
              </w:rPr>
              <w:t xml:space="preserve"> darījum</w:t>
            </w:r>
            <w:r w:rsidR="002E6C44" w:rsidRPr="008A5C70">
              <w:rPr>
                <w:color w:val="000000"/>
              </w:rPr>
              <w:t>us</w:t>
            </w:r>
            <w:r w:rsidR="000A6BD5" w:rsidRPr="008A5C70">
              <w:rPr>
                <w:color w:val="000000"/>
              </w:rPr>
              <w:t xml:space="preserve"> arī ar fiziskajām personām, kurām nav jāreģistrējas Valsts ieņēmumu dienestā kā saimnieciskās darbības veicējiem</w:t>
            </w:r>
            <w:r w:rsidRPr="008A5C70">
              <w:rPr>
                <w:color w:val="000000"/>
              </w:rPr>
              <w:t>,</w:t>
            </w:r>
            <w:r w:rsidR="000A6BD5" w:rsidRPr="008A5C70">
              <w:rPr>
                <w:color w:val="000000"/>
              </w:rPr>
              <w:t xml:space="preserve"> ja skaidrā naudā veiktais darījums</w:t>
            </w:r>
            <w:r w:rsidRPr="008A5C70">
              <w:rPr>
                <w:color w:val="000000"/>
              </w:rPr>
              <w:t xml:space="preserve"> </w:t>
            </w:r>
            <w:r w:rsidR="00AC1936" w:rsidRPr="008A5C70">
              <w:rPr>
                <w:color w:val="000000"/>
              </w:rPr>
              <w:t xml:space="preserve">vienā operācijā </w:t>
            </w:r>
            <w:r w:rsidRPr="008A5C70">
              <w:rPr>
                <w:color w:val="000000"/>
              </w:rPr>
              <w:t>pārsniedz 2000 latus</w:t>
            </w:r>
            <w:r w:rsidR="00D50B23" w:rsidRPr="008A5C70">
              <w:rPr>
                <w:color w:val="000000"/>
              </w:rPr>
              <w:t xml:space="preserve">. </w:t>
            </w:r>
            <w:r w:rsidR="00AC1936" w:rsidRPr="008A5C70">
              <w:rPr>
                <w:color w:val="000000"/>
              </w:rPr>
              <w:t>N</w:t>
            </w:r>
            <w:r w:rsidR="00D50B23" w:rsidRPr="008A5C70">
              <w:rPr>
                <w:color w:val="000000"/>
              </w:rPr>
              <w:t xml:space="preserve">oteiktais </w:t>
            </w:r>
            <w:r w:rsidR="00993D86" w:rsidRPr="008A5C70">
              <w:t>skaidrā naudā veikto darījumu deklarēšanas pienākums pildāms, sākot ar 2014. gadu un katru gadu deklarējot iepriekšējā gadā skaidrā naudā veiktos darījumus.</w:t>
            </w:r>
            <w:r w:rsidR="002E6C44" w:rsidRPr="008A5C70">
              <w:rPr>
                <w:color w:val="000000"/>
              </w:rPr>
              <w:t xml:space="preserve"> </w:t>
            </w:r>
          </w:p>
          <w:p w:rsidR="00993D86" w:rsidRPr="008A5C70" w:rsidRDefault="00993D86" w:rsidP="00993D86">
            <w:pPr>
              <w:ind w:firstLine="720"/>
              <w:jc w:val="both"/>
            </w:pPr>
            <w:r w:rsidRPr="008A5C70">
              <w:t>Likuma „Par nodokļiem un nodevām” pārejas noteikumu 143. punkts paredz, ka Ministru kabinetam līdz 2012. gada 30. decembrim ir jāizdod likuma „Par nodokļiem un nodevām” 30. panta septītajā daļā paredzētie noteikumi.</w:t>
            </w:r>
          </w:p>
          <w:p w:rsidR="00993D86" w:rsidRPr="00075FE9" w:rsidRDefault="00D50B23" w:rsidP="00D50B23">
            <w:pPr>
              <w:ind w:firstLine="720"/>
              <w:jc w:val="both"/>
            </w:pPr>
            <w:r>
              <w:t xml:space="preserve"> </w:t>
            </w:r>
          </w:p>
        </w:tc>
      </w:tr>
      <w:tr w:rsidR="00195FE9" w:rsidRPr="00AA3DA3" w:rsidTr="00195FE9">
        <w:trPr>
          <w:trHeight w:val="530"/>
        </w:trPr>
        <w:tc>
          <w:tcPr>
            <w:tcW w:w="568" w:type="dxa"/>
          </w:tcPr>
          <w:p w:rsidR="00195FE9" w:rsidRPr="00AA3DA3" w:rsidRDefault="00195FE9" w:rsidP="00195FE9">
            <w:pPr>
              <w:pStyle w:val="naiskr"/>
              <w:spacing w:before="0" w:after="0"/>
            </w:pPr>
            <w:r w:rsidRPr="00AA3DA3">
              <w:t>3.</w:t>
            </w:r>
          </w:p>
        </w:tc>
        <w:tc>
          <w:tcPr>
            <w:tcW w:w="2268" w:type="dxa"/>
          </w:tcPr>
          <w:p w:rsidR="00195FE9" w:rsidRPr="00AA3DA3" w:rsidRDefault="00195FE9" w:rsidP="00195FE9">
            <w:pPr>
              <w:pStyle w:val="naiskr"/>
              <w:spacing w:before="0" w:after="0"/>
            </w:pPr>
            <w:r w:rsidRPr="00AA3DA3">
              <w:t>Saistītie politikas ietekmes novērtējumi un pētījumi</w:t>
            </w:r>
          </w:p>
        </w:tc>
        <w:tc>
          <w:tcPr>
            <w:tcW w:w="6667" w:type="dxa"/>
          </w:tcPr>
          <w:p w:rsidR="00195FE9" w:rsidRPr="00AA3DA3" w:rsidRDefault="00195FE9" w:rsidP="000A6BD5">
            <w:pPr>
              <w:pStyle w:val="FootnoteText"/>
              <w:ind w:firstLine="571"/>
              <w:rPr>
                <w:sz w:val="24"/>
                <w:szCs w:val="24"/>
              </w:rPr>
            </w:pPr>
            <w:r>
              <w:rPr>
                <w:sz w:val="24"/>
                <w:szCs w:val="24"/>
              </w:rPr>
              <w:t>Projekts šo jomu neskar.</w:t>
            </w:r>
          </w:p>
        </w:tc>
      </w:tr>
      <w:tr w:rsidR="00195FE9" w:rsidRPr="00AA3DA3" w:rsidTr="00195FE9">
        <w:trPr>
          <w:trHeight w:val="384"/>
        </w:trPr>
        <w:tc>
          <w:tcPr>
            <w:tcW w:w="568" w:type="dxa"/>
          </w:tcPr>
          <w:p w:rsidR="00195FE9" w:rsidRPr="00AA3DA3" w:rsidRDefault="00195FE9" w:rsidP="00195FE9">
            <w:pPr>
              <w:pStyle w:val="naiskr"/>
              <w:spacing w:before="0" w:after="0"/>
            </w:pPr>
            <w:r w:rsidRPr="00AA3DA3">
              <w:t>4.</w:t>
            </w:r>
          </w:p>
        </w:tc>
        <w:tc>
          <w:tcPr>
            <w:tcW w:w="2268" w:type="dxa"/>
          </w:tcPr>
          <w:p w:rsidR="00195FE9" w:rsidRPr="00AA3DA3" w:rsidRDefault="00195FE9" w:rsidP="00195FE9">
            <w:pPr>
              <w:pStyle w:val="naiskr"/>
              <w:spacing w:before="0" w:after="0"/>
            </w:pPr>
            <w:r w:rsidRPr="00AA3DA3">
              <w:t>Tiesiskā regulējuma mērķis un būtība</w:t>
            </w:r>
          </w:p>
        </w:tc>
        <w:tc>
          <w:tcPr>
            <w:tcW w:w="6667" w:type="dxa"/>
          </w:tcPr>
          <w:p w:rsidR="000F1294" w:rsidRDefault="000F1294" w:rsidP="002E6C44">
            <w:pPr>
              <w:tabs>
                <w:tab w:val="left" w:pos="7354"/>
                <w:tab w:val="left" w:pos="7433"/>
              </w:tabs>
              <w:ind w:left="4" w:right="113" w:firstLine="544"/>
              <w:jc w:val="both"/>
              <w:rPr>
                <w:color w:val="000000"/>
              </w:rPr>
            </w:pPr>
            <w:r>
              <w:rPr>
                <w:color w:val="000000"/>
              </w:rPr>
              <w:t>Noteikumu projekta mērķis ir nodrošināt noteikumu re</w:t>
            </w:r>
            <w:r w:rsidR="008D43E0">
              <w:rPr>
                <w:color w:val="000000"/>
              </w:rPr>
              <w:t>d</w:t>
            </w:r>
            <w:r>
              <w:rPr>
                <w:color w:val="000000"/>
              </w:rPr>
              <w:t>akcijas atbilstību likuma „Par nodokļiem un nodevām” 30.pantā noteiktajam.</w:t>
            </w:r>
          </w:p>
          <w:p w:rsidR="008D43E0" w:rsidRDefault="002E6C44" w:rsidP="008D43E0">
            <w:pPr>
              <w:tabs>
                <w:tab w:val="left" w:pos="7354"/>
                <w:tab w:val="left" w:pos="7433"/>
              </w:tabs>
              <w:ind w:left="4" w:right="113" w:firstLine="544"/>
              <w:jc w:val="both"/>
              <w:rPr>
                <w:color w:val="000000"/>
              </w:rPr>
            </w:pPr>
            <w:r>
              <w:rPr>
                <w:color w:val="000000"/>
              </w:rPr>
              <w:t>Noteikumu projekts</w:t>
            </w:r>
            <w:r w:rsidRPr="00CF07FA">
              <w:rPr>
                <w:color w:val="000000"/>
              </w:rPr>
              <w:t xml:space="preserve"> paredz </w:t>
            </w:r>
            <w:r w:rsidR="007A7853">
              <w:rPr>
                <w:color w:val="000000"/>
              </w:rPr>
              <w:t>samazināt slieksni</w:t>
            </w:r>
            <w:r w:rsidR="00E52808">
              <w:rPr>
                <w:color w:val="000000"/>
              </w:rPr>
              <w:t>, sasniedzot kuru, ir nepieciešams deklarēt skaidrā naudā veiktos darījumus no</w:t>
            </w:r>
            <w:r w:rsidR="007A7853">
              <w:rPr>
                <w:color w:val="000000"/>
              </w:rPr>
              <w:t xml:space="preserve"> 3000 un 1000 latiem,</w:t>
            </w:r>
            <w:r w:rsidR="00E52808">
              <w:rPr>
                <w:color w:val="000000"/>
              </w:rPr>
              <w:t xml:space="preserve"> kā arī samazināt slieksni, sasniedzot kuru, ir nepieciešams deklarēt skaidrā naudā veiktos darījumus</w:t>
            </w:r>
            <w:r w:rsidRPr="00CF07FA">
              <w:rPr>
                <w:color w:val="000000"/>
              </w:rPr>
              <w:t xml:space="preserve"> no 10 000 līdz 5000 latiem</w:t>
            </w:r>
            <w:r w:rsidR="00863822">
              <w:rPr>
                <w:color w:val="000000"/>
              </w:rPr>
              <w:t xml:space="preserve"> kuģu aģentēšanas un gaisakuģu aģentēšanas komercsabiedrībām, kā arī starptautisko autopārvadājumu un kravas ekspedīcijas komercsabiedrīb</w:t>
            </w:r>
            <w:r w:rsidR="008D43E0">
              <w:rPr>
                <w:color w:val="000000"/>
              </w:rPr>
              <w:t xml:space="preserve">u </w:t>
            </w:r>
            <w:r w:rsidR="00863822">
              <w:rPr>
                <w:color w:val="000000"/>
              </w:rPr>
              <w:t>veiktajiem starptautiskajiem autopārvadājumiem un kravas ekspedīcij</w:t>
            </w:r>
            <w:r w:rsidR="008D43E0">
              <w:rPr>
                <w:color w:val="000000"/>
              </w:rPr>
              <w:t>as darījumiem.</w:t>
            </w:r>
          </w:p>
          <w:p w:rsidR="00195FE9" w:rsidRPr="008A5C70" w:rsidRDefault="00CA6A6E" w:rsidP="00120089">
            <w:pPr>
              <w:jc w:val="both"/>
            </w:pPr>
            <w:r>
              <w:rPr>
                <w:color w:val="000000"/>
              </w:rPr>
              <w:lastRenderedPageBreak/>
              <w:t xml:space="preserve">Noteikumu projekts paredz </w:t>
            </w:r>
            <w:r w:rsidR="00EB5EB0">
              <w:rPr>
                <w:color w:val="000000"/>
              </w:rPr>
              <w:t xml:space="preserve">kārtību pienākuma izpildei, t.i., </w:t>
            </w:r>
            <w:r w:rsidR="002E6C44">
              <w:rPr>
                <w:color w:val="000000"/>
              </w:rPr>
              <w:t xml:space="preserve"> </w:t>
            </w:r>
            <w:r w:rsidR="00863822">
              <w:rPr>
                <w:color w:val="000000"/>
              </w:rPr>
              <w:t>nodokļu maksātājiem</w:t>
            </w:r>
            <w:r w:rsidR="00EB5EB0">
              <w:rPr>
                <w:color w:val="000000"/>
              </w:rPr>
              <w:t>, kas veic saimniecisko darbību,</w:t>
            </w:r>
            <w:r>
              <w:rPr>
                <w:color w:val="000000"/>
              </w:rPr>
              <w:t xml:space="preserve"> </w:t>
            </w:r>
            <w:r w:rsidR="00863822">
              <w:rPr>
                <w:color w:val="000000"/>
              </w:rPr>
              <w:t xml:space="preserve">līdz taksācijas gadam sekojošā gada 1.februārim </w:t>
            </w:r>
            <w:r w:rsidR="00863822" w:rsidRPr="00EB5EB0">
              <w:rPr>
                <w:color w:val="000000"/>
                <w:u w:val="single"/>
              </w:rPr>
              <w:t>deklarēt</w:t>
            </w:r>
            <w:r w:rsidR="00863822">
              <w:rPr>
                <w:color w:val="000000"/>
              </w:rPr>
              <w:t xml:space="preserve"> visus iepriekšējā gada laikā skaidrā naudā veiktos darījumus ar fiziskajām personām, kurām atbilstoši nodokļu jomu reglamentējošiem normatīvajiem aktiem nav jāreģistrē saimnieciskā darbība, ja viena darījuma summa vienā operācijā ar katru darījum</w:t>
            </w:r>
            <w:r>
              <w:rPr>
                <w:color w:val="000000"/>
              </w:rPr>
              <w:t>a partneri pārsniedz 2000 latu. Noteiktais skaidrā naudā veikto darījumu deklarēšanas pienākums līdz 1.februārim pildāms, sākot ar 2014.gadu un turpmāk katru gadu.</w:t>
            </w:r>
            <w:r w:rsidR="002E6C44">
              <w:rPr>
                <w:color w:val="000000"/>
              </w:rPr>
              <w:t xml:space="preserve"> </w:t>
            </w:r>
            <w:r w:rsidR="00542CCE" w:rsidRPr="008A5C70">
              <w:rPr>
                <w:color w:val="000000"/>
              </w:rPr>
              <w:t xml:space="preserve">Noteikumu projekts paredz konkrētu fizisko personu datu iegūšanu un apstrādi, </w:t>
            </w:r>
            <w:r w:rsidR="0090372C" w:rsidRPr="008A5C70">
              <w:rPr>
                <w:color w:val="000000"/>
              </w:rPr>
              <w:t xml:space="preserve">lai </w:t>
            </w:r>
            <w:r w:rsidR="00C3015D" w:rsidRPr="008A5C70">
              <w:t xml:space="preserve">novērstu </w:t>
            </w:r>
            <w:r w:rsidR="00044EBE" w:rsidRPr="008A5C70">
              <w:t>nelegāli iegūtu līdzekļu legal</w:t>
            </w:r>
            <w:r w:rsidR="00120089" w:rsidRPr="008A5C70">
              <w:t>izāciju un terorisma finansēšanas iespējas, aizsargājot</w:t>
            </w:r>
            <w:r w:rsidR="00044EBE" w:rsidRPr="008A5C70">
              <w:t xml:space="preserve"> </w:t>
            </w:r>
            <w:r w:rsidR="00C3015D" w:rsidRPr="008A5C70">
              <w:t>sabiedrību kopumā</w:t>
            </w:r>
            <w:r w:rsidR="00120089" w:rsidRPr="008A5C70">
              <w:t xml:space="preserve">. </w:t>
            </w:r>
          </w:p>
          <w:p w:rsidR="007470E5" w:rsidRPr="000A6BD5" w:rsidRDefault="007470E5" w:rsidP="00CA6A6E">
            <w:pPr>
              <w:tabs>
                <w:tab w:val="left" w:pos="7354"/>
                <w:tab w:val="left" w:pos="7433"/>
              </w:tabs>
              <w:ind w:left="4" w:right="113" w:firstLine="544"/>
              <w:jc w:val="both"/>
              <w:rPr>
                <w:iCs/>
                <w:lang w:eastAsia="en-US"/>
              </w:rPr>
            </w:pPr>
          </w:p>
        </w:tc>
      </w:tr>
      <w:tr w:rsidR="00195FE9" w:rsidRPr="00AA3DA3" w:rsidTr="00195FE9">
        <w:trPr>
          <w:trHeight w:val="476"/>
        </w:trPr>
        <w:tc>
          <w:tcPr>
            <w:tcW w:w="568" w:type="dxa"/>
          </w:tcPr>
          <w:p w:rsidR="00195FE9" w:rsidRPr="00AA3DA3" w:rsidRDefault="00195FE9" w:rsidP="00195FE9">
            <w:pPr>
              <w:pStyle w:val="naiskr"/>
              <w:spacing w:before="0" w:after="0"/>
            </w:pPr>
            <w:r w:rsidRPr="00AA3DA3">
              <w:lastRenderedPageBreak/>
              <w:t>5.</w:t>
            </w:r>
          </w:p>
        </w:tc>
        <w:tc>
          <w:tcPr>
            <w:tcW w:w="2268" w:type="dxa"/>
          </w:tcPr>
          <w:p w:rsidR="00195FE9" w:rsidRPr="00AA3DA3" w:rsidRDefault="00195FE9" w:rsidP="00195FE9">
            <w:pPr>
              <w:pStyle w:val="naiskr"/>
              <w:spacing w:before="0" w:after="0"/>
            </w:pPr>
            <w:r w:rsidRPr="00AA3DA3">
              <w:t>Projekta izstrādē iesaistītās institūcijas</w:t>
            </w:r>
          </w:p>
        </w:tc>
        <w:tc>
          <w:tcPr>
            <w:tcW w:w="6667" w:type="dxa"/>
          </w:tcPr>
          <w:p w:rsidR="00195FE9" w:rsidRPr="00AA3DA3" w:rsidRDefault="00E52808" w:rsidP="000A6BD5">
            <w:pPr>
              <w:pStyle w:val="naiskr"/>
              <w:spacing w:before="0" w:after="0"/>
              <w:ind w:firstLine="571"/>
              <w:jc w:val="both"/>
            </w:pPr>
            <w:r>
              <w:t>Projekts šo jomu neskar.</w:t>
            </w:r>
          </w:p>
        </w:tc>
      </w:tr>
      <w:tr w:rsidR="00195FE9" w:rsidRPr="00AA3DA3" w:rsidTr="00195FE9">
        <w:trPr>
          <w:trHeight w:val="275"/>
        </w:trPr>
        <w:tc>
          <w:tcPr>
            <w:tcW w:w="568" w:type="dxa"/>
          </w:tcPr>
          <w:p w:rsidR="00195FE9" w:rsidRPr="00AA3DA3" w:rsidRDefault="00195FE9" w:rsidP="00195FE9">
            <w:pPr>
              <w:pStyle w:val="naiskr"/>
              <w:spacing w:before="0" w:after="0"/>
            </w:pPr>
            <w:r w:rsidRPr="00AA3DA3">
              <w:t>6.</w:t>
            </w:r>
          </w:p>
        </w:tc>
        <w:tc>
          <w:tcPr>
            <w:tcW w:w="2268" w:type="dxa"/>
          </w:tcPr>
          <w:p w:rsidR="00195FE9" w:rsidRPr="00AA3DA3" w:rsidRDefault="00195FE9" w:rsidP="00195FE9">
            <w:pPr>
              <w:pStyle w:val="naiskr"/>
              <w:spacing w:before="0" w:after="0"/>
              <w:rPr>
                <w:i/>
                <w:highlight w:val="yellow"/>
              </w:rPr>
            </w:pPr>
            <w:r w:rsidRPr="00AA3DA3">
              <w:t>Iemesli, kādēļ netika nodrošināta sabiedrības līdzdalība</w:t>
            </w:r>
          </w:p>
        </w:tc>
        <w:tc>
          <w:tcPr>
            <w:tcW w:w="6667" w:type="dxa"/>
          </w:tcPr>
          <w:p w:rsidR="00075FE9" w:rsidRPr="00E52808" w:rsidRDefault="00E52808" w:rsidP="000A6BD5">
            <w:pPr>
              <w:pStyle w:val="FootnoteText"/>
              <w:ind w:firstLine="571"/>
              <w:jc w:val="both"/>
              <w:rPr>
                <w:sz w:val="24"/>
                <w:szCs w:val="24"/>
              </w:rPr>
            </w:pPr>
            <w:r w:rsidRPr="00E52808">
              <w:rPr>
                <w:sz w:val="24"/>
                <w:szCs w:val="24"/>
              </w:rPr>
              <w:t>Projekts šo jomu neskar.</w:t>
            </w:r>
          </w:p>
        </w:tc>
      </w:tr>
      <w:tr w:rsidR="00195FE9" w:rsidRPr="00AA3DA3" w:rsidTr="00195FE9">
        <w:tc>
          <w:tcPr>
            <w:tcW w:w="568" w:type="dxa"/>
          </w:tcPr>
          <w:p w:rsidR="00195FE9" w:rsidRPr="00AA3DA3" w:rsidRDefault="00195FE9" w:rsidP="00195FE9">
            <w:pPr>
              <w:pStyle w:val="naiskr"/>
              <w:spacing w:before="0" w:after="0"/>
            </w:pPr>
            <w:r w:rsidRPr="00AA3DA3">
              <w:t>7.</w:t>
            </w:r>
          </w:p>
        </w:tc>
        <w:tc>
          <w:tcPr>
            <w:tcW w:w="2268" w:type="dxa"/>
          </w:tcPr>
          <w:p w:rsidR="00195FE9" w:rsidRPr="00AA3DA3" w:rsidRDefault="00195FE9" w:rsidP="00195FE9">
            <w:pPr>
              <w:pStyle w:val="naiskr"/>
              <w:spacing w:before="0" w:after="0"/>
            </w:pPr>
            <w:r w:rsidRPr="00AA3DA3">
              <w:t>Cita informācija</w:t>
            </w:r>
          </w:p>
        </w:tc>
        <w:tc>
          <w:tcPr>
            <w:tcW w:w="6667" w:type="dxa"/>
          </w:tcPr>
          <w:p w:rsidR="00195FE9" w:rsidRDefault="00A93914" w:rsidP="007470E5">
            <w:pPr>
              <w:pStyle w:val="naiskr"/>
              <w:spacing w:before="0" w:after="0"/>
              <w:ind w:firstLine="571"/>
              <w:jc w:val="both"/>
            </w:pPr>
            <w:r>
              <w:t>Jauni noteikumi par skaidrās naudas darījumu deklarēšanu netika izstrādāti, jo grozījumi paredz vienīgi deklarēšanas sliekšņa samazinājumu, papildinot ar prasību par darījumiem arī ar fiziskajām personām. Tādējādi pēc būtības noteikumu projekts saturs pali</w:t>
            </w:r>
            <w:r w:rsidR="00064C30">
              <w:t>e</w:t>
            </w:r>
            <w:r>
              <w:t xml:space="preserve">k nemainīgs, izņemot </w:t>
            </w:r>
            <w:r w:rsidR="00CA6A6E">
              <w:t xml:space="preserve">papildus </w:t>
            </w:r>
            <w:r>
              <w:t>noteikto vienu pienākumu</w:t>
            </w:r>
            <w:r w:rsidR="00CA6A6E">
              <w:t>.</w:t>
            </w:r>
            <w:r w:rsidR="00195FE9" w:rsidRPr="00AA3DA3">
              <w:t xml:space="preserve"> </w:t>
            </w:r>
          </w:p>
          <w:p w:rsidR="007470E5" w:rsidRPr="00AA3DA3" w:rsidRDefault="007470E5" w:rsidP="00CA6A6E">
            <w:pPr>
              <w:pStyle w:val="naiskr"/>
              <w:spacing w:before="0" w:after="0"/>
              <w:jc w:val="both"/>
            </w:pPr>
          </w:p>
        </w:tc>
      </w:tr>
    </w:tbl>
    <w:p w:rsidR="00195FE9" w:rsidRPr="00215301" w:rsidRDefault="00195FE9" w:rsidP="00646DDB">
      <w:pPr>
        <w:spacing w:line="270" w:lineRule="atLeast"/>
        <w:rPr>
          <w:rStyle w:val="apple-style-span"/>
          <w:color w:val="000000"/>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2268"/>
        <w:gridCol w:w="6662"/>
      </w:tblGrid>
      <w:tr w:rsidR="00646DDB" w:rsidRPr="000C5706" w:rsidTr="000C570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646DDB" w:rsidRPr="000C5706" w:rsidRDefault="00646DDB" w:rsidP="00D639CD">
            <w:pPr>
              <w:pStyle w:val="NormalWeb"/>
              <w:jc w:val="center"/>
              <w:rPr>
                <w:b/>
                <w:bCs/>
              </w:rPr>
            </w:pPr>
            <w:r w:rsidRPr="000C5706">
              <w:rPr>
                <w:b/>
                <w:bCs/>
              </w:rPr>
              <w:t>II. Tiesību akta projekta ietekme uz sabiedrību</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1.</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Sabiedrības mērķgrupa</w:t>
            </w:r>
          </w:p>
        </w:tc>
        <w:tc>
          <w:tcPr>
            <w:tcW w:w="3507" w:type="pct"/>
            <w:tcBorders>
              <w:top w:val="outset" w:sz="6" w:space="0" w:color="000000"/>
              <w:left w:val="outset" w:sz="6" w:space="0" w:color="000000"/>
              <w:bottom w:val="outset" w:sz="6" w:space="0" w:color="000000"/>
              <w:right w:val="outset" w:sz="6" w:space="0" w:color="000000"/>
            </w:tcBorders>
          </w:tcPr>
          <w:p w:rsidR="005A7C86" w:rsidRDefault="00E26689" w:rsidP="007470E5">
            <w:pPr>
              <w:pStyle w:val="NormalWeb"/>
              <w:spacing w:before="0" w:beforeAutospacing="0" w:after="0" w:afterAutospacing="0"/>
              <w:ind w:firstLine="679"/>
              <w:jc w:val="both"/>
            </w:pPr>
            <w:r>
              <w:t>Noteikumu projekta</w:t>
            </w:r>
            <w:r w:rsidR="008E5C08">
              <w:t xml:space="preserve"> tiesiskais regulējums </w:t>
            </w:r>
            <w:r w:rsidR="00AC0E70">
              <w:t>attiecas uz</w:t>
            </w:r>
            <w:r w:rsidR="005A7C86">
              <w:t>:</w:t>
            </w:r>
            <w:r w:rsidR="00AC0E70">
              <w:t xml:space="preserve"> </w:t>
            </w:r>
          </w:p>
          <w:p w:rsidR="005A7C86" w:rsidRDefault="00CA1BF5" w:rsidP="005A7C86">
            <w:pPr>
              <w:pStyle w:val="NormalWeb"/>
              <w:numPr>
                <w:ilvl w:val="0"/>
                <w:numId w:val="14"/>
              </w:numPr>
              <w:tabs>
                <w:tab w:val="left" w:pos="643"/>
                <w:tab w:val="left" w:pos="823"/>
                <w:tab w:val="left" w:pos="1078"/>
              </w:tabs>
              <w:spacing w:before="0" w:beforeAutospacing="0" w:after="0" w:afterAutospacing="0"/>
              <w:ind w:left="0" w:firstLine="679"/>
              <w:jc w:val="both"/>
            </w:pPr>
            <w:r>
              <w:t xml:space="preserve">saimnieciskās darbības veicējiem, kuri veic skaidrā naudā darījumus un </w:t>
            </w:r>
            <w:r w:rsidR="00CA6A6E">
              <w:t xml:space="preserve">savstarpējo </w:t>
            </w:r>
            <w:r>
              <w:t>dar</w:t>
            </w:r>
            <w:r w:rsidR="007470E5">
              <w:t xml:space="preserve">ījuma summa </w:t>
            </w:r>
            <w:r w:rsidR="00AC1936">
              <w:t xml:space="preserve">mēneša laikā </w:t>
            </w:r>
            <w:r w:rsidR="007470E5">
              <w:t xml:space="preserve">pārsniedz 1000 latu, bet attiecībā uz darījumiem ar fiziskajām personām, ja darījuma summa </w:t>
            </w:r>
            <w:r w:rsidR="00AC1936">
              <w:t xml:space="preserve">vienā operācijā </w:t>
            </w:r>
            <w:r w:rsidR="007470E5">
              <w:t>pārsniedz 2000 latu</w:t>
            </w:r>
            <w:r w:rsidR="005A7C86">
              <w:t>;</w:t>
            </w:r>
          </w:p>
          <w:p w:rsidR="00646DDB" w:rsidRDefault="00CA1BF5" w:rsidP="005A7C86">
            <w:pPr>
              <w:pStyle w:val="NormalWeb"/>
              <w:numPr>
                <w:ilvl w:val="0"/>
                <w:numId w:val="14"/>
              </w:numPr>
              <w:tabs>
                <w:tab w:val="left" w:pos="913"/>
              </w:tabs>
              <w:spacing w:before="0" w:beforeAutospacing="0" w:after="0" w:afterAutospacing="0"/>
              <w:ind w:left="-30" w:firstLine="709"/>
              <w:jc w:val="both"/>
            </w:pPr>
            <w:r>
              <w:t xml:space="preserve"> kuģu aģentēšanas un gaisakuģu aģentēšanas komercsabiedrībām, kā arī starptautisko autopārvadājumu un kravas ekspedīcijas komercsabiedrību veiktajiem starptautiskajiem autopārvadājumiem un kravas ekspedīcijas darījumiem skaidrā naudā, ja to kopsumma pārsniedz 5000 latu.</w:t>
            </w:r>
          </w:p>
          <w:p w:rsidR="007470E5" w:rsidRPr="000C5706" w:rsidRDefault="007470E5" w:rsidP="007470E5">
            <w:pPr>
              <w:pStyle w:val="NormalWeb"/>
              <w:spacing w:before="0" w:beforeAutospacing="0" w:after="0" w:afterAutospacing="0"/>
              <w:ind w:firstLine="679"/>
              <w:jc w:val="both"/>
            </w:pP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2.</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Citas sabiedrības grupas (bez mērķgrupas), kuras tiesiskais regulējums arī ietekmē vai varētu ietekmēt</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0A6BD5" w:rsidP="007470E5">
            <w:pPr>
              <w:pStyle w:val="NormalWeb"/>
              <w:ind w:firstLine="679"/>
              <w:jc w:val="both"/>
            </w:pPr>
            <w:r>
              <w:t xml:space="preserve">Fiziskās personas, </w:t>
            </w:r>
            <w:r w:rsidRPr="00CF07FA">
              <w:rPr>
                <w:color w:val="000000"/>
              </w:rPr>
              <w:t>kurām nav jāreģistrējas Valsts ieņēmumu dienestā kā</w:t>
            </w:r>
            <w:r w:rsidR="007470E5">
              <w:rPr>
                <w:color w:val="000000"/>
              </w:rPr>
              <w:t xml:space="preserve"> saimnieciskās darbības veicējā</w:t>
            </w:r>
            <w:r w:rsidRPr="00CF07FA">
              <w:rPr>
                <w:color w:val="000000"/>
              </w:rPr>
              <w:t>m,</w:t>
            </w:r>
            <w:r>
              <w:rPr>
                <w:color w:val="000000"/>
              </w:rPr>
              <w:t xml:space="preserve"> ja skaidrā naudā veiktais darījums</w:t>
            </w:r>
            <w:r w:rsidRPr="00CF07FA">
              <w:rPr>
                <w:color w:val="000000"/>
              </w:rPr>
              <w:t xml:space="preserve"> </w:t>
            </w:r>
            <w:r>
              <w:rPr>
                <w:color w:val="000000"/>
              </w:rPr>
              <w:t xml:space="preserve">ar saimnieciskās darbības veicēju </w:t>
            </w:r>
            <w:r w:rsidR="00AC1936">
              <w:rPr>
                <w:color w:val="000000"/>
              </w:rPr>
              <w:t xml:space="preserve">vienā operācijā </w:t>
            </w:r>
            <w:r w:rsidRPr="00CF07FA">
              <w:rPr>
                <w:color w:val="000000"/>
              </w:rPr>
              <w:t>pārsniedz 2000 latus.</w:t>
            </w:r>
            <w:r>
              <w:t xml:space="preserve"> Pienākums deklarēt šādus darījumus ir tika</w:t>
            </w:r>
            <w:r w:rsidR="003D4FC7">
              <w:t>i</w:t>
            </w:r>
            <w:r>
              <w:t xml:space="preserve"> saimnieciskās darbības veicējam.</w:t>
            </w:r>
            <w:r w:rsidR="007470E5">
              <w:t xml:space="preserve"> Fiziskās personas šos darījumus nedeklarē.</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3.</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finansiālā ietekme</w:t>
            </w:r>
          </w:p>
        </w:tc>
        <w:tc>
          <w:tcPr>
            <w:tcW w:w="3507" w:type="pct"/>
            <w:tcBorders>
              <w:top w:val="outset" w:sz="6" w:space="0" w:color="000000"/>
              <w:left w:val="outset" w:sz="6" w:space="0" w:color="000000"/>
              <w:bottom w:val="outset" w:sz="6" w:space="0" w:color="000000"/>
              <w:right w:val="outset" w:sz="6" w:space="0" w:color="000000"/>
            </w:tcBorders>
          </w:tcPr>
          <w:p w:rsidR="00990A43" w:rsidRPr="000A6BD5" w:rsidRDefault="000A6BD5" w:rsidP="000A6BD5">
            <w:pPr>
              <w:pStyle w:val="ListParagraph"/>
              <w:autoSpaceDE w:val="0"/>
              <w:autoSpaceDN w:val="0"/>
              <w:adjustRightInd w:val="0"/>
              <w:ind w:left="0" w:firstLine="679"/>
              <w:jc w:val="both"/>
              <w:rPr>
                <w:rFonts w:ascii="Times New Roman" w:hAnsi="Times New Roman"/>
                <w:color w:val="000000"/>
                <w:sz w:val="24"/>
                <w:szCs w:val="24"/>
                <w:lang w:eastAsia="en-US"/>
              </w:rPr>
            </w:pPr>
            <w:r w:rsidRPr="000A6BD5">
              <w:rPr>
                <w:rFonts w:ascii="Times New Roman" w:hAnsi="Times New Roman"/>
                <w:sz w:val="24"/>
                <w:szCs w:val="24"/>
              </w:rP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4.</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nefinansiālā ietekme</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195FE9" w:rsidP="000A6BD5">
            <w:pPr>
              <w:pStyle w:val="NormalWeb"/>
              <w:ind w:firstLine="679"/>
              <w:jc w:val="both"/>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5.</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Administratīvās procedūras </w:t>
            </w:r>
            <w:r w:rsidRPr="000C5706">
              <w:lastRenderedPageBreak/>
              <w:t>raksturojums</w:t>
            </w:r>
          </w:p>
        </w:tc>
        <w:tc>
          <w:tcPr>
            <w:tcW w:w="3507" w:type="pct"/>
            <w:tcBorders>
              <w:top w:val="outset" w:sz="6" w:space="0" w:color="000000"/>
              <w:left w:val="outset" w:sz="6" w:space="0" w:color="000000"/>
              <w:bottom w:val="outset" w:sz="6" w:space="0" w:color="000000"/>
              <w:right w:val="outset" w:sz="6" w:space="0" w:color="000000"/>
            </w:tcBorders>
          </w:tcPr>
          <w:p w:rsidR="007470E5" w:rsidRPr="008A5C70" w:rsidRDefault="00904EF9" w:rsidP="001D5D31">
            <w:pPr>
              <w:ind w:firstLine="720"/>
              <w:jc w:val="both"/>
            </w:pPr>
            <w:r w:rsidRPr="008A5C70">
              <w:lastRenderedPageBreak/>
              <w:t xml:space="preserve">Nodokļu maksātājam, kas veic saimniecisko darbību, būs jāpieprasa personu apliecinošu dokumentu un jāuzskaita fiziskās </w:t>
            </w:r>
            <w:r w:rsidRPr="008A5C70">
              <w:lastRenderedPageBreak/>
              <w:t xml:space="preserve">personas, kurām atbilstoši nodokļu jomu reglamentējošajiem normatīvajiem aktiem nav jāreģistrē saimnieciskā darbība, ja ar šādām personām tiek veikti skaidrā naudā darījumi, kuru summa </w:t>
            </w:r>
            <w:r w:rsidR="00AC1936" w:rsidRPr="008A5C70">
              <w:t xml:space="preserve">vienā operācijā </w:t>
            </w:r>
            <w:r w:rsidRPr="008A5C70">
              <w:t>pārsniedz 2000 latu. Minēto darījumu partnera identifikācijas datus – vārds, uzvārds un personas kods - būs jānorāda deklarācijā par skaidrā naudā veiktajiem darījumiem.</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lastRenderedPageBreak/>
              <w:t>6.</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Administratīvo izmaksu monetārs novērtējums</w:t>
            </w:r>
          </w:p>
        </w:tc>
        <w:tc>
          <w:tcPr>
            <w:tcW w:w="3507" w:type="pct"/>
            <w:tcBorders>
              <w:top w:val="outset" w:sz="6" w:space="0" w:color="000000"/>
              <w:left w:val="outset" w:sz="6" w:space="0" w:color="000000"/>
              <w:bottom w:val="outset" w:sz="6" w:space="0" w:color="000000"/>
              <w:right w:val="outset" w:sz="6" w:space="0" w:color="000000"/>
            </w:tcBorders>
          </w:tcPr>
          <w:p w:rsidR="00646DDB" w:rsidRPr="008A5C70" w:rsidRDefault="00195FE9" w:rsidP="000A6BD5">
            <w:pPr>
              <w:pStyle w:val="NormalWeb"/>
              <w:ind w:firstLine="679"/>
              <w:rPr>
                <w:color w:val="000000"/>
              </w:rPr>
            </w:pPr>
            <w:r w:rsidRPr="008A5C70">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7.</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 informācija</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646DDB" w:rsidP="000A6BD5">
            <w:pPr>
              <w:pStyle w:val="NormalWeb"/>
              <w:ind w:firstLine="679"/>
            </w:pPr>
            <w:r w:rsidRPr="000C5706">
              <w:t>Nav</w:t>
            </w:r>
          </w:p>
        </w:tc>
      </w:tr>
    </w:tbl>
    <w:p w:rsidR="006D6EF9" w:rsidRDefault="006D6EF9" w:rsidP="000A6BD5">
      <w:pPr>
        <w:pStyle w:val="naisf"/>
        <w:spacing w:before="0" w:after="0"/>
        <w:ind w:firstLine="0"/>
        <w:rPr>
          <w:i/>
          <w:sz w:val="28"/>
          <w:szCs w:val="28"/>
        </w:rPr>
      </w:pPr>
    </w:p>
    <w:p w:rsidR="00195FE9" w:rsidRDefault="00606E06" w:rsidP="00606E06">
      <w:pPr>
        <w:pStyle w:val="naisf"/>
        <w:spacing w:before="0" w:after="0"/>
        <w:ind w:firstLine="0"/>
        <w:jc w:val="center"/>
        <w:rPr>
          <w:i/>
          <w:sz w:val="28"/>
          <w:szCs w:val="28"/>
        </w:rPr>
      </w:pPr>
      <w:r>
        <w:rPr>
          <w:i/>
          <w:sz w:val="28"/>
          <w:szCs w:val="28"/>
        </w:rPr>
        <w:t xml:space="preserve">Anotācijas </w:t>
      </w:r>
      <w:r w:rsidR="00CA1BF5">
        <w:rPr>
          <w:i/>
          <w:sz w:val="28"/>
          <w:szCs w:val="28"/>
        </w:rPr>
        <w:t>III, IV,</w:t>
      </w:r>
      <w:r w:rsidR="00676C09">
        <w:rPr>
          <w:i/>
          <w:sz w:val="28"/>
          <w:szCs w:val="28"/>
        </w:rPr>
        <w:t>V un</w:t>
      </w:r>
      <w:r w:rsidR="00195FE9">
        <w:rPr>
          <w:i/>
          <w:sz w:val="28"/>
          <w:szCs w:val="28"/>
        </w:rPr>
        <w:t xml:space="preserve"> V</w:t>
      </w:r>
      <w:r w:rsidR="00676C09">
        <w:rPr>
          <w:i/>
          <w:sz w:val="28"/>
          <w:szCs w:val="28"/>
        </w:rPr>
        <w:t>I</w:t>
      </w:r>
      <w:r w:rsidR="00195FE9">
        <w:rPr>
          <w:i/>
          <w:sz w:val="28"/>
          <w:szCs w:val="28"/>
        </w:rPr>
        <w:t xml:space="preserve"> </w:t>
      </w:r>
      <w:r w:rsidR="00195FE9" w:rsidRPr="00525AA4">
        <w:rPr>
          <w:i/>
          <w:sz w:val="28"/>
          <w:szCs w:val="28"/>
        </w:rPr>
        <w:t>sadaļa – projekts šīs jomas neskar.</w:t>
      </w:r>
    </w:p>
    <w:p w:rsidR="00646DDB" w:rsidRPr="00215301" w:rsidRDefault="00646DDB" w:rsidP="00195FE9">
      <w:pPr>
        <w:pStyle w:val="naisf"/>
        <w:spacing w:before="0" w:after="0"/>
        <w:ind w:firstLine="0"/>
        <w:rPr>
          <w:sz w:val="28"/>
          <w:szCs w:val="28"/>
        </w:rPr>
      </w:pPr>
    </w:p>
    <w:tbl>
      <w:tblPr>
        <w:tblW w:w="953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14"/>
        <w:gridCol w:w="3057"/>
        <w:gridCol w:w="5666"/>
      </w:tblGrid>
      <w:tr w:rsidR="00646DDB" w:rsidRPr="00774ECF" w:rsidTr="00195FE9">
        <w:trPr>
          <w:jc w:val="center"/>
        </w:trPr>
        <w:tc>
          <w:tcPr>
            <w:tcW w:w="9537"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195FE9">
        <w:trPr>
          <w:trHeight w:val="427"/>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1.</w:t>
            </w:r>
          </w:p>
        </w:tc>
        <w:tc>
          <w:tcPr>
            <w:tcW w:w="3057"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5666" w:type="dxa"/>
          </w:tcPr>
          <w:p w:rsidR="00646DDB" w:rsidRPr="00774ECF" w:rsidRDefault="000A6BD5" w:rsidP="00316B66">
            <w:pPr>
              <w:pStyle w:val="naisnod"/>
              <w:spacing w:before="0" w:after="0"/>
              <w:ind w:left="57" w:right="57"/>
              <w:jc w:val="both"/>
              <w:rPr>
                <w:b w:val="0"/>
              </w:rPr>
            </w:pPr>
            <w:r>
              <w:rPr>
                <w:b w:val="0"/>
              </w:rPr>
              <w:t>Valsts ieņēmumu dienests</w:t>
            </w:r>
          </w:p>
        </w:tc>
      </w:tr>
      <w:tr w:rsidR="00646DDB" w:rsidRPr="00774ECF" w:rsidTr="00195FE9">
        <w:trPr>
          <w:trHeight w:val="46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2.</w:t>
            </w:r>
          </w:p>
        </w:tc>
        <w:tc>
          <w:tcPr>
            <w:tcW w:w="3057"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5666" w:type="dxa"/>
          </w:tcPr>
          <w:p w:rsidR="00646DDB" w:rsidRPr="00B13C1A" w:rsidRDefault="00B13C1A" w:rsidP="00B1638B">
            <w:pPr>
              <w:pStyle w:val="naisnod"/>
              <w:spacing w:before="0" w:after="0"/>
              <w:ind w:left="57" w:right="57"/>
              <w:jc w:val="left"/>
              <w:rPr>
                <w:b w:val="0"/>
              </w:rPr>
            </w:pPr>
            <w:r w:rsidRPr="00B13C1A">
              <w:rPr>
                <w:b w:val="0"/>
              </w:rPr>
              <w:t>Projekts šo jomu neskar</w:t>
            </w:r>
          </w:p>
        </w:tc>
      </w:tr>
      <w:tr w:rsidR="00646DDB" w:rsidRPr="00774ECF" w:rsidTr="00195FE9">
        <w:trPr>
          <w:trHeight w:val="725"/>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3.</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5666" w:type="dxa"/>
          </w:tcPr>
          <w:p w:rsidR="00646DDB" w:rsidRPr="00B13C1A" w:rsidRDefault="00B13C1A" w:rsidP="00D639CD">
            <w:pPr>
              <w:pStyle w:val="naisnod"/>
              <w:spacing w:before="0" w:after="0"/>
              <w:ind w:left="57" w:right="57"/>
              <w:jc w:val="left"/>
              <w:rPr>
                <w:b w:val="0"/>
              </w:rPr>
            </w:pPr>
            <w:r w:rsidRPr="00B13C1A">
              <w:rPr>
                <w:b w:val="0"/>
              </w:rPr>
              <w:t>Projekts šo jomu neskar</w:t>
            </w:r>
          </w:p>
        </w:tc>
      </w:tr>
      <w:tr w:rsidR="00646DDB" w:rsidRPr="00774ECF" w:rsidTr="00195FE9">
        <w:trPr>
          <w:trHeight w:val="780"/>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4.</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likvidācija</w:t>
            </w:r>
          </w:p>
        </w:tc>
        <w:tc>
          <w:tcPr>
            <w:tcW w:w="5666" w:type="dxa"/>
          </w:tcPr>
          <w:p w:rsidR="00646DDB" w:rsidRPr="00B13C1A" w:rsidRDefault="00B13C1A" w:rsidP="00D639CD">
            <w:pPr>
              <w:pStyle w:val="naisnod"/>
              <w:spacing w:before="0" w:after="0"/>
              <w:ind w:left="57" w:right="57"/>
              <w:jc w:val="left"/>
              <w:rPr>
                <w:b w:val="0"/>
              </w:rPr>
            </w:pPr>
            <w:r w:rsidRPr="00B13C1A">
              <w:rPr>
                <w:b w:val="0"/>
              </w:rPr>
              <w:t>Projekts šo j</w:t>
            </w:r>
            <w:r>
              <w:rPr>
                <w:b w:val="0"/>
              </w:rPr>
              <w:t>omu neskar</w:t>
            </w:r>
          </w:p>
        </w:tc>
      </w:tr>
      <w:tr w:rsidR="00646DDB" w:rsidRPr="00774ECF" w:rsidTr="00195FE9">
        <w:trPr>
          <w:trHeight w:val="70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5.</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5666" w:type="dxa"/>
          </w:tcPr>
          <w:p w:rsidR="00646DDB" w:rsidRPr="00B13C1A" w:rsidRDefault="00B13C1A" w:rsidP="00D639CD">
            <w:pPr>
              <w:pStyle w:val="naisnod"/>
              <w:spacing w:before="0" w:after="0"/>
              <w:ind w:left="57" w:right="57"/>
              <w:jc w:val="both"/>
              <w:rPr>
                <w:b w:val="0"/>
              </w:rPr>
            </w:pPr>
            <w:r w:rsidRPr="00B13C1A">
              <w:rPr>
                <w:b w:val="0"/>
              </w:rPr>
              <w:t>Projekts šo jomu neskar</w:t>
            </w:r>
          </w:p>
        </w:tc>
      </w:tr>
      <w:tr w:rsidR="00646DDB" w:rsidRPr="00774ECF" w:rsidTr="00195FE9">
        <w:trPr>
          <w:trHeight w:val="476"/>
          <w:jc w:val="center"/>
        </w:trPr>
        <w:tc>
          <w:tcPr>
            <w:tcW w:w="814" w:type="dxa"/>
          </w:tcPr>
          <w:p w:rsidR="00646DDB" w:rsidRPr="00774ECF" w:rsidRDefault="00646DDB" w:rsidP="00D639CD">
            <w:pPr>
              <w:pStyle w:val="naiskr"/>
              <w:spacing w:before="0" w:after="0"/>
              <w:ind w:left="57" w:right="57"/>
            </w:pPr>
            <w:r w:rsidRPr="00774ECF">
              <w:t>6.</w:t>
            </w:r>
          </w:p>
        </w:tc>
        <w:tc>
          <w:tcPr>
            <w:tcW w:w="3057" w:type="dxa"/>
          </w:tcPr>
          <w:p w:rsidR="00646DDB" w:rsidRPr="00774ECF" w:rsidRDefault="00646DDB" w:rsidP="00D639CD">
            <w:pPr>
              <w:pStyle w:val="naiskr"/>
              <w:spacing w:before="0" w:after="0"/>
              <w:ind w:left="57" w:right="57"/>
            </w:pPr>
            <w:r w:rsidRPr="00774ECF">
              <w:t>Cita informācija</w:t>
            </w:r>
          </w:p>
        </w:tc>
        <w:tc>
          <w:tcPr>
            <w:tcW w:w="5666" w:type="dxa"/>
          </w:tcPr>
          <w:p w:rsidR="00646DDB" w:rsidRPr="00774ECF" w:rsidRDefault="00646DDB" w:rsidP="00D639CD">
            <w:pPr>
              <w:pStyle w:val="naiskr"/>
              <w:spacing w:before="0" w:after="0"/>
              <w:ind w:left="57" w:right="57"/>
            </w:pPr>
            <w:r w:rsidRPr="00774ECF">
              <w:t>Nav</w:t>
            </w:r>
          </w:p>
        </w:tc>
      </w:tr>
    </w:tbl>
    <w:p w:rsidR="00195FE9" w:rsidRDefault="00195FE9" w:rsidP="00316B66">
      <w:pPr>
        <w:pStyle w:val="naisf"/>
        <w:tabs>
          <w:tab w:val="left" w:pos="5760"/>
        </w:tabs>
        <w:spacing w:before="0" w:after="0"/>
        <w:ind w:firstLine="0"/>
        <w:rPr>
          <w:sz w:val="28"/>
          <w:szCs w:val="28"/>
        </w:rPr>
      </w:pPr>
    </w:p>
    <w:p w:rsidR="00316B66" w:rsidRPr="00F6439B" w:rsidRDefault="00316B66" w:rsidP="00316B66">
      <w:pPr>
        <w:pStyle w:val="naisf"/>
        <w:tabs>
          <w:tab w:val="left" w:pos="5760"/>
        </w:tabs>
        <w:spacing w:before="0" w:after="0"/>
        <w:ind w:firstLine="0"/>
        <w:rPr>
          <w:sz w:val="28"/>
          <w:szCs w:val="28"/>
        </w:rPr>
      </w:pPr>
    </w:p>
    <w:p w:rsidR="004C0C0C" w:rsidRDefault="00404FF0" w:rsidP="00316B66">
      <w:pPr>
        <w:pStyle w:val="Footer"/>
        <w:jc w:val="center"/>
        <w:rPr>
          <w:sz w:val="28"/>
          <w:szCs w:val="28"/>
        </w:rPr>
      </w:pPr>
      <w:r>
        <w:rPr>
          <w:sz w:val="28"/>
          <w:szCs w:val="28"/>
        </w:rPr>
        <w:t>Finanšu ministrs</w:t>
      </w:r>
      <w:r w:rsidR="004C0C0C">
        <w:rPr>
          <w:sz w:val="28"/>
          <w:szCs w:val="28"/>
        </w:rPr>
        <w:t xml:space="preserve">                          </w:t>
      </w:r>
      <w:r w:rsidR="00B13C1A">
        <w:rPr>
          <w:sz w:val="28"/>
          <w:szCs w:val="28"/>
        </w:rPr>
        <w:t xml:space="preserve">                           </w:t>
      </w:r>
      <w:r w:rsidR="00B13C1A">
        <w:rPr>
          <w:sz w:val="28"/>
          <w:szCs w:val="28"/>
        </w:rPr>
        <w:tab/>
      </w:r>
      <w:r>
        <w:rPr>
          <w:sz w:val="28"/>
          <w:szCs w:val="28"/>
        </w:rPr>
        <w:t>A.Vilks</w:t>
      </w:r>
    </w:p>
    <w:p w:rsidR="00646DDB" w:rsidRPr="00316B66" w:rsidRDefault="005E323B" w:rsidP="004C2555">
      <w:pPr>
        <w:jc w:val="both"/>
        <w:rPr>
          <w:b/>
          <w:sz w:val="28"/>
          <w:szCs w:val="28"/>
        </w:rPr>
      </w:pPr>
      <w:r w:rsidRPr="00316B66">
        <w:rPr>
          <w:b/>
          <w:sz w:val="28"/>
          <w:szCs w:val="28"/>
        </w:rPr>
        <w:tab/>
      </w:r>
    </w:p>
    <w:p w:rsidR="003D4FC7" w:rsidRDefault="003D4FC7" w:rsidP="00BE10C1">
      <w:pPr>
        <w:rPr>
          <w:sz w:val="18"/>
          <w:szCs w:val="18"/>
        </w:rPr>
      </w:pPr>
    </w:p>
    <w:p w:rsidR="006B6A75" w:rsidRDefault="006B6A75" w:rsidP="00BE10C1">
      <w:pPr>
        <w:rPr>
          <w:sz w:val="18"/>
          <w:szCs w:val="18"/>
        </w:rPr>
      </w:pPr>
      <w:r>
        <w:rPr>
          <w:sz w:val="18"/>
          <w:szCs w:val="18"/>
        </w:rPr>
        <w:t>08.10.2012 11:36</w:t>
      </w:r>
    </w:p>
    <w:p w:rsidR="00BE10C1" w:rsidRPr="00BE10C1" w:rsidRDefault="00BE10C1" w:rsidP="00BE10C1">
      <w:pPr>
        <w:rPr>
          <w:sz w:val="18"/>
          <w:szCs w:val="18"/>
        </w:rPr>
      </w:pPr>
      <w:r w:rsidRPr="00BE10C1">
        <w:rPr>
          <w:sz w:val="18"/>
          <w:szCs w:val="18"/>
        </w:rPr>
        <w:fldChar w:fldCharType="begin"/>
      </w:r>
      <w:r w:rsidRPr="00BE10C1">
        <w:rPr>
          <w:sz w:val="18"/>
          <w:szCs w:val="18"/>
        </w:rPr>
        <w:instrText xml:space="preserve"> NUMWORDS   \* MERGEFORMAT </w:instrText>
      </w:r>
      <w:r w:rsidRPr="00BE10C1">
        <w:rPr>
          <w:sz w:val="18"/>
          <w:szCs w:val="18"/>
        </w:rPr>
        <w:fldChar w:fldCharType="separate"/>
      </w:r>
      <w:r w:rsidR="006B6A75">
        <w:rPr>
          <w:noProof/>
          <w:sz w:val="18"/>
          <w:szCs w:val="18"/>
        </w:rPr>
        <w:t>821</w:t>
      </w:r>
      <w:r w:rsidRPr="00BE10C1">
        <w:rPr>
          <w:sz w:val="18"/>
          <w:szCs w:val="18"/>
        </w:rPr>
        <w:fldChar w:fldCharType="end"/>
      </w:r>
    </w:p>
    <w:p w:rsidR="00BE10C1" w:rsidRPr="00BE10C1" w:rsidRDefault="00BE10C1" w:rsidP="00BE10C1">
      <w:pPr>
        <w:contextualSpacing/>
        <w:jc w:val="both"/>
        <w:rPr>
          <w:sz w:val="18"/>
          <w:szCs w:val="18"/>
        </w:rPr>
      </w:pPr>
      <w:r w:rsidRPr="00BE10C1">
        <w:rPr>
          <w:sz w:val="18"/>
          <w:szCs w:val="18"/>
        </w:rPr>
        <w:t>I.Vanaga</w:t>
      </w:r>
    </w:p>
    <w:p w:rsidR="00BE10C1" w:rsidRPr="00BE10C1" w:rsidRDefault="00BE10C1" w:rsidP="00BE10C1">
      <w:pPr>
        <w:contextualSpacing/>
        <w:jc w:val="both"/>
        <w:rPr>
          <w:sz w:val="18"/>
          <w:szCs w:val="18"/>
        </w:rPr>
      </w:pPr>
      <w:r w:rsidRPr="00BE10C1">
        <w:rPr>
          <w:sz w:val="18"/>
          <w:szCs w:val="18"/>
        </w:rPr>
        <w:t>Finanšu ministrijas</w:t>
      </w:r>
    </w:p>
    <w:p w:rsidR="00BE10C1" w:rsidRPr="00BE10C1" w:rsidRDefault="00BE10C1" w:rsidP="00BE10C1">
      <w:pPr>
        <w:contextualSpacing/>
        <w:jc w:val="both"/>
        <w:rPr>
          <w:sz w:val="18"/>
          <w:szCs w:val="18"/>
        </w:rPr>
      </w:pPr>
      <w:r w:rsidRPr="00BE10C1">
        <w:rPr>
          <w:sz w:val="18"/>
          <w:szCs w:val="18"/>
        </w:rPr>
        <w:t xml:space="preserve">Nodokļu administrēšanas </w:t>
      </w:r>
      <w:r w:rsidR="000A6BD5">
        <w:rPr>
          <w:sz w:val="18"/>
          <w:szCs w:val="18"/>
        </w:rPr>
        <w:t xml:space="preserve">un grāmatvedības </w:t>
      </w:r>
      <w:r w:rsidRPr="00BE10C1">
        <w:rPr>
          <w:sz w:val="18"/>
          <w:szCs w:val="18"/>
        </w:rPr>
        <w:t>politikas departamenta</w:t>
      </w:r>
    </w:p>
    <w:p w:rsidR="00BE10C1" w:rsidRPr="00BE10C1" w:rsidRDefault="00BE10C1" w:rsidP="00BE10C1">
      <w:pPr>
        <w:contextualSpacing/>
        <w:jc w:val="both"/>
        <w:rPr>
          <w:sz w:val="18"/>
          <w:szCs w:val="18"/>
        </w:rPr>
      </w:pPr>
      <w:r w:rsidRPr="00BE10C1">
        <w:rPr>
          <w:sz w:val="18"/>
          <w:szCs w:val="18"/>
        </w:rPr>
        <w:t>Nodokļu administrēšanas</w:t>
      </w:r>
      <w:r w:rsidR="000A6BD5">
        <w:rPr>
          <w:sz w:val="18"/>
          <w:szCs w:val="18"/>
        </w:rPr>
        <w:t xml:space="preserve"> politikas</w:t>
      </w:r>
      <w:r w:rsidRPr="00BE10C1">
        <w:rPr>
          <w:sz w:val="18"/>
          <w:szCs w:val="18"/>
        </w:rPr>
        <w:t xml:space="preserve"> nodaļas vecākā referente</w:t>
      </w:r>
    </w:p>
    <w:p w:rsidR="00BE10C1" w:rsidRPr="00BE10C1" w:rsidRDefault="00BE10C1" w:rsidP="00BE10C1">
      <w:pPr>
        <w:contextualSpacing/>
        <w:jc w:val="both"/>
        <w:rPr>
          <w:sz w:val="18"/>
          <w:szCs w:val="18"/>
        </w:rPr>
      </w:pPr>
      <w:r w:rsidRPr="00BE10C1">
        <w:rPr>
          <w:sz w:val="18"/>
          <w:szCs w:val="18"/>
        </w:rPr>
        <w:t>tālr. 67083901,fakss 67095497</w:t>
      </w:r>
    </w:p>
    <w:p w:rsidR="0095487B" w:rsidRPr="000A6BD5" w:rsidRDefault="00D17C95" w:rsidP="000A6BD5">
      <w:pPr>
        <w:contextualSpacing/>
        <w:jc w:val="both"/>
        <w:rPr>
          <w:sz w:val="18"/>
          <w:szCs w:val="18"/>
        </w:rPr>
      </w:pPr>
      <w:hyperlink r:id="rId10" w:history="1">
        <w:r w:rsidR="00BE10C1" w:rsidRPr="00BE10C1">
          <w:rPr>
            <w:color w:val="0000FF"/>
            <w:sz w:val="18"/>
            <w:szCs w:val="18"/>
            <w:u w:val="single"/>
          </w:rPr>
          <w:t>inese.vanaga@fm.gov.lv</w:t>
        </w:r>
      </w:hyperlink>
    </w:p>
    <w:sectPr w:rsidR="0095487B" w:rsidRPr="000A6BD5" w:rsidSect="00197905">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BE" w:rsidRDefault="00044EBE" w:rsidP="000B5C6F">
      <w:r>
        <w:separator/>
      </w:r>
    </w:p>
  </w:endnote>
  <w:endnote w:type="continuationSeparator" w:id="0">
    <w:p w:rsidR="00044EBE" w:rsidRDefault="00044EBE" w:rsidP="000B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Default="00044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BE10C1" w:rsidRDefault="00044EBE" w:rsidP="00AC1936">
    <w:pPr>
      <w:tabs>
        <w:tab w:val="left" w:pos="709"/>
      </w:tabs>
      <w:ind w:left="57"/>
      <w:jc w:val="both"/>
      <w:rPr>
        <w:sz w:val="20"/>
        <w:szCs w:val="20"/>
      </w:rPr>
    </w:pPr>
    <w:r>
      <w:rPr>
        <w:sz w:val="22"/>
        <w:szCs w:val="22"/>
      </w:rPr>
      <w:t xml:space="preserve">FMAnot_270912_MKgroz_237; </w:t>
    </w:r>
    <w:r w:rsidRPr="00BE10C1">
      <w:rPr>
        <w:bCs/>
        <w:sz w:val="20"/>
        <w:szCs w:val="20"/>
      </w:rPr>
      <w:t xml:space="preserve">Ministru kabineta noteikumu projekta „Grozījumi Ministru kabineta 2007. gada 10. aprīļa noteikumos Nr. 237 „Skaidrā naudā veikto darījumu deklarēšanas noteikumi”” </w:t>
    </w:r>
    <w:r w:rsidRPr="00BE10C1">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BE10C1" w:rsidRDefault="00044EBE" w:rsidP="00CD34C2">
    <w:pPr>
      <w:tabs>
        <w:tab w:val="left" w:pos="709"/>
      </w:tabs>
      <w:ind w:left="57"/>
      <w:jc w:val="both"/>
      <w:rPr>
        <w:rStyle w:val="apple-style-span"/>
        <w:sz w:val="20"/>
        <w:szCs w:val="20"/>
      </w:rPr>
    </w:pPr>
    <w:r>
      <w:rPr>
        <w:sz w:val="22"/>
        <w:szCs w:val="22"/>
      </w:rPr>
      <w:t xml:space="preserve">FMAnot_270912_MKgroz_237; </w:t>
    </w:r>
    <w:r w:rsidRPr="00BE10C1">
      <w:rPr>
        <w:bCs/>
        <w:sz w:val="20"/>
        <w:szCs w:val="20"/>
      </w:rPr>
      <w:t xml:space="preserve">Ministru kabineta noteikumu projekta „Grozījumi Ministru kabineta 2007. gada 10. aprīļa noteikumos Nr. 237 „Skaidrā naudā veikto darījumu deklarēšanas noteikumi”” </w:t>
    </w:r>
    <w:r w:rsidRPr="00BE10C1">
      <w:rPr>
        <w:sz w:val="20"/>
        <w:szCs w:val="20"/>
      </w:rPr>
      <w:t>sākotnējās ietekmes novērtējuma ziņojums (anotācija)</w:t>
    </w:r>
  </w:p>
  <w:p w:rsidR="00044EBE" w:rsidRPr="00BE10C1" w:rsidRDefault="00044EBE" w:rsidP="00CD34C2">
    <w:pPr>
      <w:jc w:val="both"/>
      <w:rPr>
        <w:sz w:val="20"/>
        <w:szCs w:val="20"/>
      </w:rPr>
    </w:pPr>
  </w:p>
  <w:p w:rsidR="00044EBE" w:rsidRPr="00CD34C2" w:rsidRDefault="00044EBE" w:rsidP="00CD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BE" w:rsidRDefault="00044EBE" w:rsidP="000B5C6F">
      <w:r>
        <w:separator/>
      </w:r>
    </w:p>
  </w:footnote>
  <w:footnote w:type="continuationSeparator" w:id="0">
    <w:p w:rsidR="00044EBE" w:rsidRDefault="00044EBE" w:rsidP="000B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Default="00044EBE"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EBE" w:rsidRDefault="0004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195FE9" w:rsidRDefault="00044EBE" w:rsidP="00D639CD">
    <w:pPr>
      <w:pStyle w:val="Header"/>
      <w:framePr w:wrap="around" w:vAnchor="text" w:hAnchor="margin" w:xAlign="center" w:y="1"/>
      <w:rPr>
        <w:rStyle w:val="PageNumber"/>
        <w:sz w:val="22"/>
        <w:szCs w:val="22"/>
      </w:rPr>
    </w:pPr>
    <w:r w:rsidRPr="00195FE9">
      <w:rPr>
        <w:rStyle w:val="PageNumber"/>
        <w:sz w:val="22"/>
        <w:szCs w:val="22"/>
      </w:rPr>
      <w:fldChar w:fldCharType="begin"/>
    </w:r>
    <w:r w:rsidRPr="00195FE9">
      <w:rPr>
        <w:rStyle w:val="PageNumber"/>
        <w:sz w:val="22"/>
        <w:szCs w:val="22"/>
      </w:rPr>
      <w:instrText xml:space="preserve">PAGE  </w:instrText>
    </w:r>
    <w:r w:rsidRPr="00195FE9">
      <w:rPr>
        <w:rStyle w:val="PageNumber"/>
        <w:sz w:val="22"/>
        <w:szCs w:val="22"/>
      </w:rPr>
      <w:fldChar w:fldCharType="separate"/>
    </w:r>
    <w:r w:rsidR="00D17C95">
      <w:rPr>
        <w:rStyle w:val="PageNumber"/>
        <w:noProof/>
        <w:sz w:val="22"/>
        <w:szCs w:val="22"/>
      </w:rPr>
      <w:t>3</w:t>
    </w:r>
    <w:r w:rsidRPr="00195FE9">
      <w:rPr>
        <w:rStyle w:val="PageNumber"/>
        <w:sz w:val="22"/>
        <w:szCs w:val="22"/>
      </w:rPr>
      <w:fldChar w:fldCharType="end"/>
    </w:r>
  </w:p>
  <w:p w:rsidR="00044EBE" w:rsidRDefault="00044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Default="00044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B2209"/>
    <w:multiLevelType w:val="hybridMultilevel"/>
    <w:tmpl w:val="FA985300"/>
    <w:lvl w:ilvl="0" w:tplc="046C14E6">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9F1287"/>
    <w:multiLevelType w:val="hybridMultilevel"/>
    <w:tmpl w:val="24149554"/>
    <w:lvl w:ilvl="0" w:tplc="046C14E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D0712"/>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C2155"/>
    <w:multiLevelType w:val="multilevel"/>
    <w:tmpl w:val="52C81B3A"/>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A697518"/>
    <w:multiLevelType w:val="hybridMultilevel"/>
    <w:tmpl w:val="848201E0"/>
    <w:lvl w:ilvl="0" w:tplc="962EF054">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10">
    <w:nsid w:val="5C7821E4"/>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2"/>
  </w:num>
  <w:num w:numId="7">
    <w:abstractNumId w:val="11"/>
  </w:num>
  <w:num w:numId="8">
    <w:abstractNumId w:val="4"/>
  </w:num>
  <w:num w:numId="9">
    <w:abstractNumId w:val="6"/>
  </w:num>
  <w:num w:numId="10">
    <w:abstractNumId w:val="3"/>
  </w:num>
  <w:num w:numId="11">
    <w:abstractNumId w:val="10"/>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DB"/>
    <w:rsid w:val="00004239"/>
    <w:rsid w:val="00010380"/>
    <w:rsid w:val="00027B67"/>
    <w:rsid w:val="000445EB"/>
    <w:rsid w:val="00044EBE"/>
    <w:rsid w:val="00045AF4"/>
    <w:rsid w:val="000643B3"/>
    <w:rsid w:val="00064C30"/>
    <w:rsid w:val="00075FE9"/>
    <w:rsid w:val="000760AC"/>
    <w:rsid w:val="000A6BD5"/>
    <w:rsid w:val="000A7490"/>
    <w:rsid w:val="000B5106"/>
    <w:rsid w:val="000B5C6F"/>
    <w:rsid w:val="000C37EF"/>
    <w:rsid w:val="000C474F"/>
    <w:rsid w:val="000C5706"/>
    <w:rsid w:val="000E3265"/>
    <w:rsid w:val="000F0C1D"/>
    <w:rsid w:val="000F1294"/>
    <w:rsid w:val="000F409C"/>
    <w:rsid w:val="001040FC"/>
    <w:rsid w:val="0010794A"/>
    <w:rsid w:val="00120089"/>
    <w:rsid w:val="001206C4"/>
    <w:rsid w:val="00127A95"/>
    <w:rsid w:val="00135721"/>
    <w:rsid w:val="00181B32"/>
    <w:rsid w:val="001878CA"/>
    <w:rsid w:val="001929B0"/>
    <w:rsid w:val="00195FE9"/>
    <w:rsid w:val="00197905"/>
    <w:rsid w:val="001C55A8"/>
    <w:rsid w:val="001D191B"/>
    <w:rsid w:val="001D4D55"/>
    <w:rsid w:val="001D5D31"/>
    <w:rsid w:val="001E58C2"/>
    <w:rsid w:val="001F5D42"/>
    <w:rsid w:val="00213C6D"/>
    <w:rsid w:val="00214BF6"/>
    <w:rsid w:val="00215301"/>
    <w:rsid w:val="002167CF"/>
    <w:rsid w:val="00216AFF"/>
    <w:rsid w:val="002243D8"/>
    <w:rsid w:val="00226BB5"/>
    <w:rsid w:val="00237C76"/>
    <w:rsid w:val="00240542"/>
    <w:rsid w:val="002413B7"/>
    <w:rsid w:val="00246A79"/>
    <w:rsid w:val="00247EFD"/>
    <w:rsid w:val="00270C36"/>
    <w:rsid w:val="00274565"/>
    <w:rsid w:val="0027657C"/>
    <w:rsid w:val="00280C2F"/>
    <w:rsid w:val="00296798"/>
    <w:rsid w:val="002A37B0"/>
    <w:rsid w:val="002A6264"/>
    <w:rsid w:val="002B2890"/>
    <w:rsid w:val="002C5382"/>
    <w:rsid w:val="002D188C"/>
    <w:rsid w:val="002D589E"/>
    <w:rsid w:val="002D7209"/>
    <w:rsid w:val="002E25B0"/>
    <w:rsid w:val="002E6C44"/>
    <w:rsid w:val="00316B66"/>
    <w:rsid w:val="0034617C"/>
    <w:rsid w:val="00354FC5"/>
    <w:rsid w:val="00360488"/>
    <w:rsid w:val="003741B2"/>
    <w:rsid w:val="0037648E"/>
    <w:rsid w:val="00390044"/>
    <w:rsid w:val="00390B94"/>
    <w:rsid w:val="00395DE8"/>
    <w:rsid w:val="003A7948"/>
    <w:rsid w:val="003B67A8"/>
    <w:rsid w:val="003B7BD2"/>
    <w:rsid w:val="003C0710"/>
    <w:rsid w:val="003C0F95"/>
    <w:rsid w:val="003D0570"/>
    <w:rsid w:val="003D4FC7"/>
    <w:rsid w:val="003D7265"/>
    <w:rsid w:val="003E02EA"/>
    <w:rsid w:val="003E3593"/>
    <w:rsid w:val="003F2C2D"/>
    <w:rsid w:val="003F3FBD"/>
    <w:rsid w:val="00404FF0"/>
    <w:rsid w:val="004401D5"/>
    <w:rsid w:val="0045420F"/>
    <w:rsid w:val="00456A26"/>
    <w:rsid w:val="004677AD"/>
    <w:rsid w:val="00473D2D"/>
    <w:rsid w:val="0049634E"/>
    <w:rsid w:val="004B0D7F"/>
    <w:rsid w:val="004B47F8"/>
    <w:rsid w:val="004C0C0C"/>
    <w:rsid w:val="004C2555"/>
    <w:rsid w:val="004D25DE"/>
    <w:rsid w:val="004D3859"/>
    <w:rsid w:val="004D62A0"/>
    <w:rsid w:val="004E5629"/>
    <w:rsid w:val="004F0324"/>
    <w:rsid w:val="00501540"/>
    <w:rsid w:val="00505070"/>
    <w:rsid w:val="00506EAC"/>
    <w:rsid w:val="005117BD"/>
    <w:rsid w:val="00511C15"/>
    <w:rsid w:val="00511C6D"/>
    <w:rsid w:val="0052684B"/>
    <w:rsid w:val="00536A45"/>
    <w:rsid w:val="00541590"/>
    <w:rsid w:val="00542CCE"/>
    <w:rsid w:val="00545D75"/>
    <w:rsid w:val="0055209A"/>
    <w:rsid w:val="00557CBD"/>
    <w:rsid w:val="00560B41"/>
    <w:rsid w:val="00570F85"/>
    <w:rsid w:val="00572B5E"/>
    <w:rsid w:val="00573F3F"/>
    <w:rsid w:val="00574B73"/>
    <w:rsid w:val="00575884"/>
    <w:rsid w:val="005A0638"/>
    <w:rsid w:val="005A7C86"/>
    <w:rsid w:val="005C193F"/>
    <w:rsid w:val="005C7E03"/>
    <w:rsid w:val="005D19C2"/>
    <w:rsid w:val="005D369B"/>
    <w:rsid w:val="005E0984"/>
    <w:rsid w:val="005E323B"/>
    <w:rsid w:val="005E5C47"/>
    <w:rsid w:val="00606E06"/>
    <w:rsid w:val="006360A0"/>
    <w:rsid w:val="00646DDB"/>
    <w:rsid w:val="006714E9"/>
    <w:rsid w:val="00673DDB"/>
    <w:rsid w:val="00676C09"/>
    <w:rsid w:val="0068431F"/>
    <w:rsid w:val="00686737"/>
    <w:rsid w:val="00695E3B"/>
    <w:rsid w:val="006A4280"/>
    <w:rsid w:val="006A6BD6"/>
    <w:rsid w:val="006B2F26"/>
    <w:rsid w:val="006B6A75"/>
    <w:rsid w:val="006C3FDE"/>
    <w:rsid w:val="006C7DDD"/>
    <w:rsid w:val="006D2DF6"/>
    <w:rsid w:val="006D6EF9"/>
    <w:rsid w:val="006D744C"/>
    <w:rsid w:val="006E6EDF"/>
    <w:rsid w:val="006F0294"/>
    <w:rsid w:val="00700005"/>
    <w:rsid w:val="00701092"/>
    <w:rsid w:val="00703AEE"/>
    <w:rsid w:val="00705AD8"/>
    <w:rsid w:val="0070700E"/>
    <w:rsid w:val="00743361"/>
    <w:rsid w:val="00744EC6"/>
    <w:rsid w:val="007470E5"/>
    <w:rsid w:val="00752327"/>
    <w:rsid w:val="00754375"/>
    <w:rsid w:val="00755FB1"/>
    <w:rsid w:val="0076233A"/>
    <w:rsid w:val="007626D4"/>
    <w:rsid w:val="00764D20"/>
    <w:rsid w:val="007659AE"/>
    <w:rsid w:val="00774ECF"/>
    <w:rsid w:val="0077671C"/>
    <w:rsid w:val="00777DAF"/>
    <w:rsid w:val="007950DD"/>
    <w:rsid w:val="007A0BFC"/>
    <w:rsid w:val="007A7853"/>
    <w:rsid w:val="007B054B"/>
    <w:rsid w:val="007B3A29"/>
    <w:rsid w:val="007C2679"/>
    <w:rsid w:val="007C30AB"/>
    <w:rsid w:val="007C60EA"/>
    <w:rsid w:val="007E3A8B"/>
    <w:rsid w:val="007E3C5B"/>
    <w:rsid w:val="007F2505"/>
    <w:rsid w:val="007F311E"/>
    <w:rsid w:val="007F4197"/>
    <w:rsid w:val="00813311"/>
    <w:rsid w:val="0082741F"/>
    <w:rsid w:val="00831B92"/>
    <w:rsid w:val="0083659B"/>
    <w:rsid w:val="00843DE9"/>
    <w:rsid w:val="00855E80"/>
    <w:rsid w:val="00860BE8"/>
    <w:rsid w:val="00860DA3"/>
    <w:rsid w:val="00863822"/>
    <w:rsid w:val="0086640A"/>
    <w:rsid w:val="00866910"/>
    <w:rsid w:val="0087279F"/>
    <w:rsid w:val="0087446B"/>
    <w:rsid w:val="008747A8"/>
    <w:rsid w:val="00886B41"/>
    <w:rsid w:val="00891C80"/>
    <w:rsid w:val="008A5C70"/>
    <w:rsid w:val="008B204D"/>
    <w:rsid w:val="008C6A6C"/>
    <w:rsid w:val="008D08A0"/>
    <w:rsid w:val="008D43E0"/>
    <w:rsid w:val="008D5826"/>
    <w:rsid w:val="008E21B8"/>
    <w:rsid w:val="008E5C08"/>
    <w:rsid w:val="008F01A6"/>
    <w:rsid w:val="0090372C"/>
    <w:rsid w:val="00904EF9"/>
    <w:rsid w:val="00906254"/>
    <w:rsid w:val="0090664B"/>
    <w:rsid w:val="00906847"/>
    <w:rsid w:val="00907840"/>
    <w:rsid w:val="009143B3"/>
    <w:rsid w:val="00942B07"/>
    <w:rsid w:val="00947007"/>
    <w:rsid w:val="0095487B"/>
    <w:rsid w:val="00967BBC"/>
    <w:rsid w:val="00981DC8"/>
    <w:rsid w:val="00987348"/>
    <w:rsid w:val="00990A43"/>
    <w:rsid w:val="00992A2E"/>
    <w:rsid w:val="00993D86"/>
    <w:rsid w:val="009C704F"/>
    <w:rsid w:val="009F18CA"/>
    <w:rsid w:val="00A108DB"/>
    <w:rsid w:val="00A25A76"/>
    <w:rsid w:val="00A43A21"/>
    <w:rsid w:val="00A52059"/>
    <w:rsid w:val="00A5360E"/>
    <w:rsid w:val="00A7068C"/>
    <w:rsid w:val="00A747C5"/>
    <w:rsid w:val="00A755B3"/>
    <w:rsid w:val="00A86499"/>
    <w:rsid w:val="00A93914"/>
    <w:rsid w:val="00AA1397"/>
    <w:rsid w:val="00AA2541"/>
    <w:rsid w:val="00AA3D5D"/>
    <w:rsid w:val="00AA3DA3"/>
    <w:rsid w:val="00AB56C7"/>
    <w:rsid w:val="00AB6308"/>
    <w:rsid w:val="00AB7A96"/>
    <w:rsid w:val="00AC0E70"/>
    <w:rsid w:val="00AC1936"/>
    <w:rsid w:val="00AC4DFF"/>
    <w:rsid w:val="00AD3346"/>
    <w:rsid w:val="00AE551F"/>
    <w:rsid w:val="00AE6CB6"/>
    <w:rsid w:val="00B00016"/>
    <w:rsid w:val="00B000C0"/>
    <w:rsid w:val="00B13C17"/>
    <w:rsid w:val="00B13C1A"/>
    <w:rsid w:val="00B1638B"/>
    <w:rsid w:val="00B1730A"/>
    <w:rsid w:val="00B32446"/>
    <w:rsid w:val="00B430C3"/>
    <w:rsid w:val="00B61981"/>
    <w:rsid w:val="00B77EED"/>
    <w:rsid w:val="00B83048"/>
    <w:rsid w:val="00B8679A"/>
    <w:rsid w:val="00BB2871"/>
    <w:rsid w:val="00BB2A08"/>
    <w:rsid w:val="00BC00BF"/>
    <w:rsid w:val="00BC2410"/>
    <w:rsid w:val="00BD1CBE"/>
    <w:rsid w:val="00BE10C1"/>
    <w:rsid w:val="00BF2BAD"/>
    <w:rsid w:val="00BF2D5A"/>
    <w:rsid w:val="00C13012"/>
    <w:rsid w:val="00C153F8"/>
    <w:rsid w:val="00C15A92"/>
    <w:rsid w:val="00C214C7"/>
    <w:rsid w:val="00C251DD"/>
    <w:rsid w:val="00C3015D"/>
    <w:rsid w:val="00C308DF"/>
    <w:rsid w:val="00C4069B"/>
    <w:rsid w:val="00C47120"/>
    <w:rsid w:val="00C55C48"/>
    <w:rsid w:val="00C93AD7"/>
    <w:rsid w:val="00C975D8"/>
    <w:rsid w:val="00CA1BF5"/>
    <w:rsid w:val="00CA6A6E"/>
    <w:rsid w:val="00CA7F46"/>
    <w:rsid w:val="00CB07FE"/>
    <w:rsid w:val="00CC1B46"/>
    <w:rsid w:val="00CD0666"/>
    <w:rsid w:val="00CD34C2"/>
    <w:rsid w:val="00CD6515"/>
    <w:rsid w:val="00CE0C65"/>
    <w:rsid w:val="00CE2BE8"/>
    <w:rsid w:val="00CF07FA"/>
    <w:rsid w:val="00CF235F"/>
    <w:rsid w:val="00CF259F"/>
    <w:rsid w:val="00CF2DC2"/>
    <w:rsid w:val="00D13D70"/>
    <w:rsid w:val="00D17C95"/>
    <w:rsid w:val="00D22588"/>
    <w:rsid w:val="00D50B23"/>
    <w:rsid w:val="00D639CD"/>
    <w:rsid w:val="00D65D61"/>
    <w:rsid w:val="00D66735"/>
    <w:rsid w:val="00D8092A"/>
    <w:rsid w:val="00DA1AEE"/>
    <w:rsid w:val="00DA415C"/>
    <w:rsid w:val="00DB0BAB"/>
    <w:rsid w:val="00DE15A9"/>
    <w:rsid w:val="00DE64B1"/>
    <w:rsid w:val="00E01F6E"/>
    <w:rsid w:val="00E02A9E"/>
    <w:rsid w:val="00E07ED5"/>
    <w:rsid w:val="00E26689"/>
    <w:rsid w:val="00E3332E"/>
    <w:rsid w:val="00E51BD4"/>
    <w:rsid w:val="00E520DC"/>
    <w:rsid w:val="00E52808"/>
    <w:rsid w:val="00E64F90"/>
    <w:rsid w:val="00E66870"/>
    <w:rsid w:val="00E66F36"/>
    <w:rsid w:val="00E73601"/>
    <w:rsid w:val="00E755D1"/>
    <w:rsid w:val="00E86CC8"/>
    <w:rsid w:val="00E95B6C"/>
    <w:rsid w:val="00EA29AF"/>
    <w:rsid w:val="00EA4C69"/>
    <w:rsid w:val="00EA6444"/>
    <w:rsid w:val="00EB131B"/>
    <w:rsid w:val="00EB5EB0"/>
    <w:rsid w:val="00EC75AE"/>
    <w:rsid w:val="00ED17FC"/>
    <w:rsid w:val="00EE4D1D"/>
    <w:rsid w:val="00EE56BF"/>
    <w:rsid w:val="00EF0853"/>
    <w:rsid w:val="00F06A16"/>
    <w:rsid w:val="00F131E7"/>
    <w:rsid w:val="00F1427B"/>
    <w:rsid w:val="00F331DF"/>
    <w:rsid w:val="00F5161B"/>
    <w:rsid w:val="00F552A3"/>
    <w:rsid w:val="00F629C4"/>
    <w:rsid w:val="00F6439B"/>
    <w:rsid w:val="00F6627F"/>
    <w:rsid w:val="00F70040"/>
    <w:rsid w:val="00F715FA"/>
    <w:rsid w:val="00F7379F"/>
    <w:rsid w:val="00F801F8"/>
    <w:rsid w:val="00F953EB"/>
    <w:rsid w:val="00FC2965"/>
    <w:rsid w:val="00FE589B"/>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9274">
      <w:bodyDiv w:val="1"/>
      <w:marLeft w:val="0"/>
      <w:marRight w:val="0"/>
      <w:marTop w:val="0"/>
      <w:marBottom w:val="0"/>
      <w:divBdr>
        <w:top w:val="none" w:sz="0" w:space="0" w:color="auto"/>
        <w:left w:val="none" w:sz="0" w:space="0" w:color="auto"/>
        <w:bottom w:val="none" w:sz="0" w:space="0" w:color="auto"/>
        <w:right w:val="none" w:sz="0" w:space="0" w:color="auto"/>
      </w:divBdr>
    </w:div>
    <w:div w:id="688066714">
      <w:bodyDiv w:val="1"/>
      <w:marLeft w:val="0"/>
      <w:marRight w:val="0"/>
      <w:marTop w:val="0"/>
      <w:marBottom w:val="0"/>
      <w:divBdr>
        <w:top w:val="none" w:sz="0" w:space="0" w:color="auto"/>
        <w:left w:val="none" w:sz="0" w:space="0" w:color="auto"/>
        <w:bottom w:val="none" w:sz="0" w:space="0" w:color="auto"/>
        <w:right w:val="none" w:sz="0" w:space="0" w:color="auto"/>
      </w:divBdr>
      <w:divsChild>
        <w:div w:id="1462847714">
          <w:marLeft w:val="0"/>
          <w:marRight w:val="0"/>
          <w:marTop w:val="0"/>
          <w:marBottom w:val="0"/>
          <w:divBdr>
            <w:top w:val="none" w:sz="0" w:space="0" w:color="auto"/>
            <w:left w:val="none" w:sz="0" w:space="0" w:color="auto"/>
            <w:bottom w:val="none" w:sz="0" w:space="0" w:color="auto"/>
            <w:right w:val="none" w:sz="0" w:space="0" w:color="auto"/>
          </w:divBdr>
          <w:divsChild>
            <w:div w:id="1824422002">
              <w:marLeft w:val="0"/>
              <w:marRight w:val="0"/>
              <w:marTop w:val="0"/>
              <w:marBottom w:val="0"/>
              <w:divBdr>
                <w:top w:val="none" w:sz="0" w:space="0" w:color="auto"/>
                <w:left w:val="none" w:sz="0" w:space="0" w:color="auto"/>
                <w:bottom w:val="none" w:sz="0" w:space="0" w:color="auto"/>
                <w:right w:val="none" w:sz="0" w:space="0" w:color="auto"/>
              </w:divBdr>
              <w:divsChild>
                <w:div w:id="1349940568">
                  <w:marLeft w:val="0"/>
                  <w:marRight w:val="0"/>
                  <w:marTop w:val="0"/>
                  <w:marBottom w:val="0"/>
                  <w:divBdr>
                    <w:top w:val="none" w:sz="0" w:space="0" w:color="auto"/>
                    <w:left w:val="none" w:sz="0" w:space="0" w:color="auto"/>
                    <w:bottom w:val="none" w:sz="0" w:space="0" w:color="auto"/>
                    <w:right w:val="none" w:sz="0" w:space="0" w:color="auto"/>
                  </w:divBdr>
                  <w:divsChild>
                    <w:div w:id="784812006">
                      <w:marLeft w:val="0"/>
                      <w:marRight w:val="0"/>
                      <w:marTop w:val="0"/>
                      <w:marBottom w:val="225"/>
                      <w:divBdr>
                        <w:top w:val="none" w:sz="0" w:space="0" w:color="auto"/>
                        <w:left w:val="none" w:sz="0" w:space="0" w:color="auto"/>
                        <w:bottom w:val="none" w:sz="0" w:space="0" w:color="auto"/>
                        <w:right w:val="none" w:sz="0" w:space="0" w:color="auto"/>
                      </w:divBdr>
                      <w:divsChild>
                        <w:div w:id="1794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5798">
      <w:bodyDiv w:val="1"/>
      <w:marLeft w:val="45"/>
      <w:marRight w:val="45"/>
      <w:marTop w:val="90"/>
      <w:marBottom w:val="90"/>
      <w:divBdr>
        <w:top w:val="none" w:sz="0" w:space="0" w:color="auto"/>
        <w:left w:val="none" w:sz="0" w:space="0" w:color="auto"/>
        <w:bottom w:val="none" w:sz="0" w:space="0" w:color="auto"/>
        <w:right w:val="none" w:sz="0" w:space="0" w:color="auto"/>
      </w:divBdr>
      <w:divsChild>
        <w:div w:id="42141498">
          <w:marLeft w:val="0"/>
          <w:marRight w:val="0"/>
          <w:marTop w:val="0"/>
          <w:marBottom w:val="567"/>
          <w:divBdr>
            <w:top w:val="none" w:sz="0" w:space="0" w:color="auto"/>
            <w:left w:val="none" w:sz="0" w:space="0" w:color="auto"/>
            <w:bottom w:val="none" w:sz="0" w:space="0" w:color="auto"/>
            <w:right w:val="none" w:sz="0" w:space="0" w:color="auto"/>
          </w:divBdr>
        </w:div>
      </w:divsChild>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910131">
      <w:bodyDiv w:val="1"/>
      <w:marLeft w:val="0"/>
      <w:marRight w:val="0"/>
      <w:marTop w:val="0"/>
      <w:marBottom w:val="0"/>
      <w:divBdr>
        <w:top w:val="none" w:sz="0" w:space="0" w:color="auto"/>
        <w:left w:val="none" w:sz="0" w:space="0" w:color="auto"/>
        <w:bottom w:val="none" w:sz="0" w:space="0" w:color="auto"/>
        <w:right w:val="none" w:sz="0" w:space="0" w:color="auto"/>
      </w:divBdr>
    </w:div>
    <w:div w:id="1369911637">
      <w:bodyDiv w:val="1"/>
      <w:marLeft w:val="0"/>
      <w:marRight w:val="0"/>
      <w:marTop w:val="0"/>
      <w:marBottom w:val="0"/>
      <w:divBdr>
        <w:top w:val="none" w:sz="0" w:space="0" w:color="auto"/>
        <w:left w:val="none" w:sz="0" w:space="0" w:color="auto"/>
        <w:bottom w:val="none" w:sz="0" w:space="0" w:color="auto"/>
        <w:right w:val="none" w:sz="0" w:space="0" w:color="auto"/>
      </w:divBdr>
      <w:divsChild>
        <w:div w:id="586809516">
          <w:marLeft w:val="0"/>
          <w:marRight w:val="0"/>
          <w:marTop w:val="0"/>
          <w:marBottom w:val="0"/>
          <w:divBdr>
            <w:top w:val="none" w:sz="0" w:space="0" w:color="auto"/>
            <w:left w:val="none" w:sz="0" w:space="0" w:color="auto"/>
            <w:bottom w:val="none" w:sz="0" w:space="0" w:color="auto"/>
            <w:right w:val="none" w:sz="0" w:space="0" w:color="auto"/>
          </w:divBdr>
          <w:divsChild>
            <w:div w:id="1229458720">
              <w:marLeft w:val="0"/>
              <w:marRight w:val="0"/>
              <w:marTop w:val="0"/>
              <w:marBottom w:val="0"/>
              <w:divBdr>
                <w:top w:val="none" w:sz="0" w:space="0" w:color="auto"/>
                <w:left w:val="none" w:sz="0" w:space="0" w:color="auto"/>
                <w:bottom w:val="none" w:sz="0" w:space="0" w:color="auto"/>
                <w:right w:val="none" w:sz="0" w:space="0" w:color="auto"/>
              </w:divBdr>
              <w:divsChild>
                <w:div w:id="389308434">
                  <w:marLeft w:val="0"/>
                  <w:marRight w:val="0"/>
                  <w:marTop w:val="0"/>
                  <w:marBottom w:val="0"/>
                  <w:divBdr>
                    <w:top w:val="none" w:sz="0" w:space="0" w:color="auto"/>
                    <w:left w:val="none" w:sz="0" w:space="0" w:color="auto"/>
                    <w:bottom w:val="none" w:sz="0" w:space="0" w:color="auto"/>
                    <w:right w:val="none" w:sz="0" w:space="0" w:color="auto"/>
                  </w:divBdr>
                  <w:divsChild>
                    <w:div w:id="1553887357">
                      <w:marLeft w:val="0"/>
                      <w:marRight w:val="0"/>
                      <w:marTop w:val="0"/>
                      <w:marBottom w:val="0"/>
                      <w:divBdr>
                        <w:top w:val="none" w:sz="0" w:space="0" w:color="auto"/>
                        <w:left w:val="none" w:sz="0" w:space="0" w:color="auto"/>
                        <w:bottom w:val="none" w:sz="0" w:space="0" w:color="auto"/>
                        <w:right w:val="none" w:sz="0" w:space="0" w:color="auto"/>
                      </w:divBdr>
                      <w:divsChild>
                        <w:div w:id="488860972">
                          <w:marLeft w:val="0"/>
                          <w:marRight w:val="0"/>
                          <w:marTop w:val="0"/>
                          <w:marBottom w:val="0"/>
                          <w:divBdr>
                            <w:top w:val="none" w:sz="0" w:space="0" w:color="auto"/>
                            <w:left w:val="none" w:sz="0" w:space="0" w:color="auto"/>
                            <w:bottom w:val="none" w:sz="0" w:space="0" w:color="auto"/>
                            <w:right w:val="none" w:sz="0" w:space="0" w:color="auto"/>
                          </w:divBdr>
                          <w:divsChild>
                            <w:div w:id="474446787">
                              <w:marLeft w:val="0"/>
                              <w:marRight w:val="0"/>
                              <w:marTop w:val="0"/>
                              <w:marBottom w:val="0"/>
                              <w:divBdr>
                                <w:top w:val="none" w:sz="0" w:space="0" w:color="auto"/>
                                <w:left w:val="none" w:sz="0" w:space="0" w:color="auto"/>
                                <w:bottom w:val="none" w:sz="0" w:space="0" w:color="auto"/>
                                <w:right w:val="none" w:sz="0" w:space="0" w:color="auto"/>
                              </w:divBdr>
                              <w:divsChild>
                                <w:div w:id="1960797298">
                                  <w:marLeft w:val="0"/>
                                  <w:marRight w:val="0"/>
                                  <w:marTop w:val="0"/>
                                  <w:marBottom w:val="0"/>
                                  <w:divBdr>
                                    <w:top w:val="none" w:sz="0" w:space="0" w:color="auto"/>
                                    <w:left w:val="none" w:sz="0" w:space="0" w:color="auto"/>
                                    <w:bottom w:val="none" w:sz="0" w:space="0" w:color="auto"/>
                                    <w:right w:val="none" w:sz="0" w:space="0" w:color="auto"/>
                                  </w:divBdr>
                                  <w:divsChild>
                                    <w:div w:id="1793136204">
                                      <w:marLeft w:val="0"/>
                                      <w:marRight w:val="0"/>
                                      <w:marTop w:val="0"/>
                                      <w:marBottom w:val="0"/>
                                      <w:divBdr>
                                        <w:top w:val="none" w:sz="0" w:space="0" w:color="auto"/>
                                        <w:left w:val="none" w:sz="0" w:space="0" w:color="auto"/>
                                        <w:bottom w:val="none" w:sz="0" w:space="0" w:color="auto"/>
                                        <w:right w:val="none" w:sz="0" w:space="0" w:color="auto"/>
                                      </w:divBdr>
                                      <w:divsChild>
                                        <w:div w:id="1256400678">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336485">
      <w:bodyDiv w:val="1"/>
      <w:marLeft w:val="45"/>
      <w:marRight w:val="45"/>
      <w:marTop w:val="90"/>
      <w:marBottom w:val="90"/>
      <w:divBdr>
        <w:top w:val="none" w:sz="0" w:space="0" w:color="auto"/>
        <w:left w:val="none" w:sz="0" w:space="0" w:color="auto"/>
        <w:bottom w:val="none" w:sz="0" w:space="0" w:color="auto"/>
        <w:right w:val="none" w:sz="0" w:space="0" w:color="auto"/>
      </w:divBdr>
      <w:divsChild>
        <w:div w:id="515997273">
          <w:marLeft w:val="0"/>
          <w:marRight w:val="0"/>
          <w:marTop w:val="0"/>
          <w:marBottom w:val="567"/>
          <w:divBdr>
            <w:top w:val="none" w:sz="0" w:space="0" w:color="auto"/>
            <w:left w:val="none" w:sz="0" w:space="0" w:color="auto"/>
            <w:bottom w:val="none" w:sz="0" w:space="0" w:color="auto"/>
            <w:right w:val="none" w:sz="0" w:space="0" w:color="auto"/>
          </w:divBdr>
        </w:div>
      </w:divsChild>
    </w:div>
    <w:div w:id="16288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ese.vanaga@fm.gov.lv" TargetMode="External"/><Relationship Id="rId4" Type="http://schemas.microsoft.com/office/2007/relationships/stylesWithEffects" Target="stylesWithEffects.xml"/><Relationship Id="rId9" Type="http://schemas.openxmlformats.org/officeDocument/2006/relationships/hyperlink" Target="http://pro.nais.lv/naiser/text.cfm?Ref=0103011995020232770&amp;Req=0103011995020232770&amp;Key=0101032007041000237&amp;Has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0505-0DF1-4CC2-8D1D-F7451179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4432</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 gada 10. aprīļa noteikumos Nr. 237 „Skaidrā naudā veikto darījumu deklarēšanas noteikumi””</vt:lpstr>
    </vt:vector>
  </TitlesOfParts>
  <Company>Veselības ministrija</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 gada 10. aprīļa noteikumos Nr.237 „Skaidrā naudā veikto darījumu deklarēšanas noteikumi””</dc:title>
  <dc:subject>anotācija</dc:subject>
  <dc:creator>I.Vanaga</dc:creator>
  <dc:description>67083901,
Inese.Vanaga@fm.gov.lv</dc:description>
  <cp:lastModifiedBy>Windows User</cp:lastModifiedBy>
  <cp:revision>7</cp:revision>
  <cp:lastPrinted>2012-09-25T09:24:00Z</cp:lastPrinted>
  <dcterms:created xsi:type="dcterms:W3CDTF">2012-09-27T11:41:00Z</dcterms:created>
  <dcterms:modified xsi:type="dcterms:W3CDTF">2012-10-23T06:43:00Z</dcterms:modified>
</cp:coreProperties>
</file>