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8DB" w:rsidRPr="00D378DB" w:rsidRDefault="00F83BA3" w:rsidP="00D378DB">
      <w:pPr>
        <w:pStyle w:val="naisf"/>
        <w:spacing w:before="0" w:beforeAutospacing="0" w:after="0" w:afterAutospacing="0"/>
        <w:jc w:val="center"/>
        <w:rPr>
          <w:b/>
          <w:lang w:val="lv-LV"/>
        </w:rPr>
      </w:pPr>
      <w:bookmarkStart w:id="0" w:name="OLE_LINK1"/>
      <w:bookmarkStart w:id="1" w:name="OLE_LINK2"/>
      <w:r w:rsidRPr="00035560">
        <w:rPr>
          <w:b/>
          <w:lang w:val="lv-LV"/>
        </w:rPr>
        <w:t>Ministru kabineta</w:t>
      </w:r>
      <w:r w:rsidR="00BA6631" w:rsidRPr="00035560">
        <w:rPr>
          <w:b/>
          <w:lang w:val="lv-LV"/>
        </w:rPr>
        <w:t xml:space="preserve"> noteikumu</w:t>
      </w:r>
      <w:r w:rsidRPr="00035560">
        <w:rPr>
          <w:b/>
          <w:lang w:val="lv-LV"/>
        </w:rPr>
        <w:t xml:space="preserve"> projekta</w:t>
      </w:r>
      <w:r w:rsidRPr="00035560">
        <w:rPr>
          <w:lang w:val="lv-LV"/>
        </w:rPr>
        <w:t xml:space="preserve"> </w:t>
      </w:r>
      <w:r w:rsidR="000A081B" w:rsidRPr="00035560">
        <w:rPr>
          <w:lang w:val="lv-LV"/>
        </w:rPr>
        <w:t>„</w:t>
      </w:r>
      <w:r w:rsidR="00C46656" w:rsidRPr="00035560">
        <w:rPr>
          <w:b/>
          <w:bCs/>
          <w:lang w:val="lv-LV" w:eastAsia="lv-LV"/>
        </w:rPr>
        <w:t>Grozījum</w:t>
      </w:r>
      <w:r w:rsidR="005D7964">
        <w:rPr>
          <w:b/>
          <w:bCs/>
          <w:lang w:val="lv-LV" w:eastAsia="lv-LV"/>
        </w:rPr>
        <w:t>s</w:t>
      </w:r>
      <w:r w:rsidR="00C46656" w:rsidRPr="00035560">
        <w:rPr>
          <w:b/>
          <w:bCs/>
          <w:lang w:val="lv-LV" w:eastAsia="lv-LV"/>
        </w:rPr>
        <w:t xml:space="preserve"> Ministru kabineta</w:t>
      </w:r>
      <w:r w:rsidR="00C46656" w:rsidRPr="00035560">
        <w:rPr>
          <w:b/>
          <w:bCs/>
          <w:color w:val="943634"/>
          <w:lang w:val="lv-LV" w:eastAsia="lv-LV"/>
        </w:rPr>
        <w:t xml:space="preserve"> </w:t>
      </w:r>
      <w:r w:rsidR="00C46656" w:rsidRPr="00035560">
        <w:rPr>
          <w:b/>
          <w:bCs/>
          <w:lang w:val="lv-LV" w:eastAsia="lv-LV"/>
        </w:rPr>
        <w:t>20</w:t>
      </w:r>
      <w:r w:rsidR="003B56BA" w:rsidRPr="00035560">
        <w:rPr>
          <w:b/>
          <w:bCs/>
          <w:lang w:val="lv-LV" w:eastAsia="lv-LV"/>
        </w:rPr>
        <w:t>10</w:t>
      </w:r>
      <w:r w:rsidR="00C46656" w:rsidRPr="00035560">
        <w:rPr>
          <w:b/>
          <w:bCs/>
          <w:lang w:val="lv-LV" w:eastAsia="lv-LV"/>
        </w:rPr>
        <w:t>.gada</w:t>
      </w:r>
      <w:r w:rsidR="00C46656" w:rsidRPr="00035560">
        <w:rPr>
          <w:b/>
          <w:bCs/>
          <w:color w:val="943634"/>
          <w:lang w:val="lv-LV" w:eastAsia="lv-LV"/>
        </w:rPr>
        <w:t xml:space="preserve"> </w:t>
      </w:r>
      <w:r w:rsidR="003B56BA" w:rsidRPr="00035560">
        <w:rPr>
          <w:b/>
          <w:bCs/>
          <w:lang w:val="lv-LV" w:eastAsia="lv-LV"/>
        </w:rPr>
        <w:t>9.novembra</w:t>
      </w:r>
      <w:r w:rsidR="00C46656" w:rsidRPr="00035560">
        <w:rPr>
          <w:b/>
          <w:bCs/>
          <w:color w:val="943634"/>
          <w:lang w:val="lv-LV" w:eastAsia="lv-LV"/>
        </w:rPr>
        <w:t xml:space="preserve"> </w:t>
      </w:r>
      <w:r w:rsidR="00C46656" w:rsidRPr="00035560">
        <w:rPr>
          <w:b/>
          <w:bCs/>
          <w:lang w:val="lv-LV" w:eastAsia="lv-LV"/>
        </w:rPr>
        <w:t>noteikumos Nr.</w:t>
      </w:r>
      <w:r w:rsidR="003B56BA" w:rsidRPr="00035560">
        <w:rPr>
          <w:b/>
          <w:bCs/>
          <w:lang w:val="lv-LV" w:eastAsia="lv-LV"/>
        </w:rPr>
        <w:t>10</w:t>
      </w:r>
      <w:r w:rsidR="00E26C38">
        <w:rPr>
          <w:b/>
          <w:bCs/>
          <w:lang w:val="lv-LV" w:eastAsia="lv-LV"/>
        </w:rPr>
        <w:t>41</w:t>
      </w:r>
      <w:r w:rsidR="00C46656" w:rsidRPr="00035560">
        <w:rPr>
          <w:b/>
          <w:bCs/>
          <w:lang w:val="lv-LV" w:eastAsia="lv-LV"/>
        </w:rPr>
        <w:t xml:space="preserve"> „</w:t>
      </w:r>
      <w:r w:rsidR="003B56BA" w:rsidRPr="00035560">
        <w:rPr>
          <w:b/>
          <w:bCs/>
          <w:lang w:val="lv-LV" w:eastAsia="lv-LV"/>
        </w:rPr>
        <w:t>Kārtība, kādā paredzami valsts budžeta līdzekļi Eiropas Savienības struktūrfondu un Kohēzijas fonda līdzfinansēto projektu īstenošanai, kā arī maksājumu veikšanas un izdevumu deklarācijas sagatavošanas kārtība</w:t>
      </w:r>
      <w:r w:rsidR="00C46656" w:rsidRPr="00035560">
        <w:rPr>
          <w:b/>
          <w:bCs/>
          <w:lang w:val="lv-LV" w:eastAsia="lv-LV"/>
        </w:rPr>
        <w:t xml:space="preserve">”” </w:t>
      </w:r>
      <w:r w:rsidR="00332EC6" w:rsidRPr="00035560">
        <w:rPr>
          <w:b/>
          <w:lang w:val="lv-LV"/>
        </w:rPr>
        <w:t>sākotnējās ietekmes novērtējuma ziņojums</w:t>
      </w:r>
      <w:r w:rsidR="00C46656" w:rsidRPr="00035560">
        <w:rPr>
          <w:b/>
          <w:lang w:val="lv-LV"/>
        </w:rPr>
        <w:t xml:space="preserve"> </w:t>
      </w:r>
      <w:r w:rsidR="00332EC6" w:rsidRPr="00035560">
        <w:rPr>
          <w:b/>
          <w:lang w:val="lv-LV"/>
        </w:rPr>
        <w:t>(anotācija)</w:t>
      </w:r>
    </w:p>
    <w:p w:rsidR="00C858E3" w:rsidRPr="00035560" w:rsidRDefault="00C858E3" w:rsidP="00980955">
      <w:pPr>
        <w:pStyle w:val="naisf"/>
        <w:spacing w:before="0" w:beforeAutospacing="0" w:after="0" w:afterAutospacing="0"/>
        <w:jc w:val="center"/>
        <w:rPr>
          <w:lang w:val="lv-LV"/>
        </w:rPr>
      </w:pPr>
    </w:p>
    <w:tbl>
      <w:tblPr>
        <w:tblW w:w="8946" w:type="dxa"/>
        <w:tblCellSpacing w:w="0" w:type="dxa"/>
        <w:tblBorders>
          <w:top w:val="single" w:sz="6" w:space="0" w:color="EEECE1"/>
          <w:left w:val="single" w:sz="6" w:space="0" w:color="EEECE1"/>
          <w:bottom w:val="single" w:sz="6" w:space="0" w:color="EEECE1"/>
          <w:right w:val="single" w:sz="6" w:space="0" w:color="EEECE1"/>
          <w:insideH w:val="single" w:sz="6" w:space="0" w:color="EEECE1"/>
          <w:insideV w:val="single" w:sz="6" w:space="0" w:color="EEECE1"/>
        </w:tblBorders>
        <w:tblCellMar>
          <w:left w:w="0" w:type="dxa"/>
          <w:right w:w="0" w:type="dxa"/>
        </w:tblCellMar>
        <w:tblLook w:val="04A0" w:firstRow="1" w:lastRow="0" w:firstColumn="1" w:lastColumn="0" w:noHBand="0" w:noVBand="1"/>
      </w:tblPr>
      <w:tblGrid>
        <w:gridCol w:w="517"/>
        <w:gridCol w:w="2617"/>
        <w:gridCol w:w="5812"/>
      </w:tblGrid>
      <w:tr w:rsidR="00D867A7" w:rsidRPr="00356C9E" w:rsidTr="003B30F8">
        <w:trPr>
          <w:tblCellSpacing w:w="0" w:type="dxa"/>
        </w:trPr>
        <w:tc>
          <w:tcPr>
            <w:tcW w:w="8946" w:type="dxa"/>
            <w:gridSpan w:val="3"/>
            <w:vAlign w:val="center"/>
            <w:hideMark/>
          </w:tcPr>
          <w:p w:rsidR="00B60E79" w:rsidRDefault="00034CDC" w:rsidP="00034CDC">
            <w:pPr>
              <w:spacing w:before="100" w:beforeAutospacing="1"/>
              <w:ind w:left="357"/>
              <w:jc w:val="center"/>
              <w:rPr>
                <w:b/>
                <w:bCs/>
                <w:lang w:val="lv-LV" w:eastAsia="lv-LV"/>
              </w:rPr>
            </w:pPr>
            <w:r>
              <w:rPr>
                <w:b/>
                <w:bCs/>
                <w:lang w:val="lv-LV" w:eastAsia="lv-LV"/>
              </w:rPr>
              <w:t xml:space="preserve">I. </w:t>
            </w:r>
            <w:r w:rsidR="00D867A7" w:rsidRPr="00035560">
              <w:rPr>
                <w:b/>
                <w:bCs/>
                <w:lang w:val="lv-LV" w:eastAsia="lv-LV"/>
              </w:rPr>
              <w:t>Tiesību akta projekta izstrādes nepieciešamība</w:t>
            </w:r>
          </w:p>
          <w:p w:rsidR="00034CDC" w:rsidRPr="00034CDC" w:rsidRDefault="00034CDC" w:rsidP="00034CDC">
            <w:pPr>
              <w:spacing w:after="100" w:afterAutospacing="1"/>
              <w:ind w:left="357"/>
              <w:jc w:val="center"/>
              <w:rPr>
                <w:b/>
                <w:bCs/>
                <w:lang w:val="lv-LV" w:eastAsia="lv-LV"/>
              </w:rPr>
            </w:pPr>
          </w:p>
        </w:tc>
      </w:tr>
      <w:tr w:rsidR="00D867A7" w:rsidRPr="00356C9E" w:rsidTr="00D378DB">
        <w:trPr>
          <w:trHeight w:val="630"/>
          <w:tblCellSpacing w:w="0" w:type="dxa"/>
        </w:trPr>
        <w:tc>
          <w:tcPr>
            <w:tcW w:w="517" w:type="dxa"/>
            <w:hideMark/>
          </w:tcPr>
          <w:p w:rsidR="00D867A7" w:rsidRPr="00035560" w:rsidRDefault="00D867A7" w:rsidP="00D867A7">
            <w:pPr>
              <w:spacing w:before="100" w:beforeAutospacing="1" w:after="100" w:afterAutospacing="1"/>
              <w:rPr>
                <w:lang w:val="lv-LV" w:eastAsia="lv-LV"/>
              </w:rPr>
            </w:pPr>
            <w:r w:rsidRPr="00035560">
              <w:rPr>
                <w:lang w:val="lv-LV" w:eastAsia="lv-LV"/>
              </w:rPr>
              <w:t> 1.</w:t>
            </w:r>
          </w:p>
        </w:tc>
        <w:tc>
          <w:tcPr>
            <w:tcW w:w="2617" w:type="dxa"/>
            <w:hideMark/>
          </w:tcPr>
          <w:p w:rsidR="00D867A7" w:rsidRPr="00035560" w:rsidRDefault="00D867A7" w:rsidP="00D867A7">
            <w:pPr>
              <w:spacing w:before="100" w:beforeAutospacing="1" w:after="100" w:afterAutospacing="1"/>
              <w:rPr>
                <w:lang w:val="lv-LV" w:eastAsia="lv-LV"/>
              </w:rPr>
            </w:pPr>
            <w:r w:rsidRPr="00035560">
              <w:rPr>
                <w:lang w:val="lv-LV" w:eastAsia="lv-LV"/>
              </w:rPr>
              <w:t> Pamatojums</w:t>
            </w:r>
          </w:p>
        </w:tc>
        <w:tc>
          <w:tcPr>
            <w:tcW w:w="5812" w:type="dxa"/>
            <w:hideMark/>
          </w:tcPr>
          <w:p w:rsidR="00D867A7" w:rsidRPr="00035560" w:rsidRDefault="003B034A" w:rsidP="003E394E">
            <w:pPr>
              <w:spacing w:before="100" w:beforeAutospacing="1" w:after="100" w:afterAutospacing="1"/>
              <w:jc w:val="both"/>
              <w:rPr>
                <w:lang w:val="lv-LV" w:eastAsia="lv-LV"/>
              </w:rPr>
            </w:pPr>
            <w:r w:rsidRPr="009816AF">
              <w:rPr>
                <w:lang w:val="lv-LV" w:eastAsia="lv-LV"/>
              </w:rPr>
              <w:t xml:space="preserve">Ministru kabineta 2012.gada 24.janvāra sēdes </w:t>
            </w:r>
            <w:proofErr w:type="spellStart"/>
            <w:r w:rsidRPr="009816AF">
              <w:rPr>
                <w:lang w:val="lv-LV" w:eastAsia="lv-LV"/>
              </w:rPr>
              <w:t>protokollēmums</w:t>
            </w:r>
            <w:proofErr w:type="spellEnd"/>
            <w:r w:rsidRPr="009816AF">
              <w:rPr>
                <w:lang w:val="lv-LV" w:eastAsia="lv-LV"/>
              </w:rPr>
              <w:t xml:space="preserve"> (</w:t>
            </w:r>
            <w:proofErr w:type="spellStart"/>
            <w:r w:rsidRPr="009816AF">
              <w:rPr>
                <w:lang w:val="lv-LV" w:eastAsia="lv-LV"/>
              </w:rPr>
              <w:t>prot</w:t>
            </w:r>
            <w:proofErr w:type="spellEnd"/>
            <w:r w:rsidRPr="009816AF">
              <w:rPr>
                <w:lang w:val="lv-LV" w:eastAsia="lv-LV"/>
              </w:rPr>
              <w:t>. Nr.5 22.§), ar kuru Finanšu ministrijai uzdots izstrādāt priekšlikumus grozījumiem normatīvajos aktos Eiropas Savienības struktūrfo</w:t>
            </w:r>
            <w:r w:rsidR="005F5558">
              <w:rPr>
                <w:lang w:val="lv-LV" w:eastAsia="lv-LV"/>
              </w:rPr>
              <w:t>ndu un Kohēzijas fonda (turpmāk</w:t>
            </w:r>
            <w:r w:rsidRPr="009816AF">
              <w:rPr>
                <w:lang w:val="lv-LV" w:eastAsia="lv-LV"/>
              </w:rPr>
              <w:t xml:space="preserve">– ES fondi) ieviešanas jomā, lai precizētu </w:t>
            </w:r>
            <w:r w:rsidR="009816AF" w:rsidRPr="009816AF">
              <w:rPr>
                <w:lang w:val="lv-LV" w:eastAsia="lv-LV"/>
              </w:rPr>
              <w:t>ES</w:t>
            </w:r>
            <w:r w:rsidRPr="009816AF">
              <w:rPr>
                <w:lang w:val="lv-LV" w:eastAsia="lv-LV"/>
              </w:rPr>
              <w:t xml:space="preserve"> fondu vadībā iesaistīto institūciju un Finanšu ministrijas tiesības un</w:t>
            </w:r>
            <w:r w:rsidRPr="003B034A">
              <w:rPr>
                <w:lang w:val="lv-LV" w:eastAsia="lv-LV"/>
              </w:rPr>
              <w:t xml:space="preserve"> pienākumus saistībā ar Eiropas Savienības fondu maksājumu apturēšanu ministrijai vai iestādei. Projekta izstrāde paredzēta arī kā viens no ES fondu vadības un kontroles sistēmas trūkumu novēršanas pasākumiem, </w:t>
            </w:r>
            <w:r w:rsidRPr="00E01428">
              <w:rPr>
                <w:lang w:val="lv-LV" w:eastAsia="lv-LV"/>
              </w:rPr>
              <w:t>kas jāveic, lai E</w:t>
            </w:r>
            <w:r w:rsidR="003E394E" w:rsidRPr="00E01428">
              <w:rPr>
                <w:lang w:val="lv-LV" w:eastAsia="lv-LV"/>
              </w:rPr>
              <w:t>iropas Komisija</w:t>
            </w:r>
            <w:r w:rsidRPr="00E01428">
              <w:rPr>
                <w:lang w:val="lv-LV" w:eastAsia="lv-LV"/>
              </w:rPr>
              <w:t xml:space="preserve"> atjaunotu maksājumus visās darbības programmās</w:t>
            </w:r>
            <w:r w:rsidR="00EB201F" w:rsidRPr="00E01428">
              <w:rPr>
                <w:lang w:val="lv-LV" w:eastAsia="lv-LV"/>
              </w:rPr>
              <w:t xml:space="preserve"> („Nodarbinātība un cilvēkresursi”, „Uzņēmējdarbība un </w:t>
            </w:r>
            <w:r w:rsidR="00485EF3" w:rsidRPr="00E01428">
              <w:rPr>
                <w:lang w:val="lv-LV" w:eastAsia="lv-LV"/>
              </w:rPr>
              <w:t>inovācijas”, „Infrastruktūra un pakalpojumi”)</w:t>
            </w:r>
            <w:r w:rsidRPr="00E01428">
              <w:rPr>
                <w:lang w:val="lv-LV" w:eastAsia="lv-LV"/>
              </w:rPr>
              <w:t xml:space="preserve">. Pamatojoties uz </w:t>
            </w:r>
            <w:r w:rsidR="008A24D5" w:rsidRPr="00E01428">
              <w:rPr>
                <w:lang w:val="lv-LV" w:eastAsia="lv-LV"/>
              </w:rPr>
              <w:t>Eiropas Komisijas Reģionu politikas ģenerāldirektorāta (</w:t>
            </w:r>
            <w:r w:rsidR="009816AF" w:rsidRPr="00E01428">
              <w:rPr>
                <w:lang w:val="lv-LV" w:eastAsia="lv-LV"/>
              </w:rPr>
              <w:t xml:space="preserve">turpmāk – </w:t>
            </w:r>
            <w:r w:rsidRPr="00E01428">
              <w:rPr>
                <w:lang w:val="lv-LV" w:eastAsia="lv-LV"/>
              </w:rPr>
              <w:t>DG REGIO</w:t>
            </w:r>
            <w:r w:rsidR="008A24D5" w:rsidRPr="00E01428">
              <w:rPr>
                <w:lang w:val="lv-LV" w:eastAsia="lv-LV"/>
              </w:rPr>
              <w:t>)</w:t>
            </w:r>
            <w:r w:rsidRPr="00E01428">
              <w:rPr>
                <w:lang w:val="lv-LV" w:eastAsia="lv-LV"/>
              </w:rPr>
              <w:t xml:space="preserve"> 2012.gada 27.janvāra vēstuli Nr.H2/DS/</w:t>
            </w:r>
            <w:proofErr w:type="spellStart"/>
            <w:r w:rsidRPr="00E01428">
              <w:rPr>
                <w:lang w:val="lv-LV" w:eastAsia="lv-LV"/>
              </w:rPr>
              <w:t>sl</w:t>
            </w:r>
            <w:proofErr w:type="spellEnd"/>
            <w:r w:rsidRPr="00E01428">
              <w:rPr>
                <w:lang w:val="lv-LV" w:eastAsia="lv-LV"/>
              </w:rPr>
              <w:t xml:space="preserve"> D(2001) 1530145 un </w:t>
            </w:r>
            <w:r w:rsidR="008A24D5" w:rsidRPr="00E01428">
              <w:rPr>
                <w:lang w:val="lv-LV" w:eastAsia="lv-LV"/>
              </w:rPr>
              <w:t xml:space="preserve">Nodarbinātības, sociālo lietu un </w:t>
            </w:r>
            <w:proofErr w:type="spellStart"/>
            <w:r w:rsidR="008A24D5" w:rsidRPr="00E01428">
              <w:rPr>
                <w:lang w:val="lv-LV" w:eastAsia="lv-LV"/>
              </w:rPr>
              <w:t>iekļautības</w:t>
            </w:r>
            <w:proofErr w:type="spellEnd"/>
            <w:r w:rsidR="008A24D5" w:rsidRPr="00E01428">
              <w:rPr>
                <w:lang w:val="lv-LV" w:eastAsia="lv-LV"/>
              </w:rPr>
              <w:t xml:space="preserve"> ģenerāldirektorāta (</w:t>
            </w:r>
            <w:r w:rsidR="005F5558">
              <w:rPr>
                <w:lang w:val="lv-LV" w:eastAsia="lv-LV"/>
              </w:rPr>
              <w:t>turpmāk</w:t>
            </w:r>
            <w:r w:rsidR="009816AF" w:rsidRPr="00E01428">
              <w:rPr>
                <w:lang w:val="lv-LV" w:eastAsia="lv-LV"/>
              </w:rPr>
              <w:t xml:space="preserve">– </w:t>
            </w:r>
            <w:r w:rsidRPr="00E01428">
              <w:rPr>
                <w:lang w:val="lv-LV" w:eastAsia="lv-LV"/>
              </w:rPr>
              <w:t>DG EMPLOY</w:t>
            </w:r>
            <w:r w:rsidR="008A24D5" w:rsidRPr="00E01428">
              <w:rPr>
                <w:lang w:val="lv-LV" w:eastAsia="lv-LV"/>
              </w:rPr>
              <w:t>)</w:t>
            </w:r>
            <w:r w:rsidRPr="00E01428">
              <w:rPr>
                <w:lang w:val="lv-LV" w:eastAsia="lv-LV"/>
              </w:rPr>
              <w:t xml:space="preserve"> 2012.gada 1.februāra vēstuli </w:t>
            </w:r>
            <w:proofErr w:type="spellStart"/>
            <w:r w:rsidRPr="00E01428">
              <w:rPr>
                <w:lang w:val="lv-LV" w:eastAsia="lv-LV"/>
              </w:rPr>
              <w:t>Nr.EMPL</w:t>
            </w:r>
            <w:proofErr w:type="spellEnd"/>
            <w:r w:rsidRPr="00E01428">
              <w:rPr>
                <w:lang w:val="lv-LV" w:eastAsia="lv-LV"/>
              </w:rPr>
              <w:t>/E5/ZR/</w:t>
            </w:r>
            <w:proofErr w:type="spellStart"/>
            <w:r w:rsidRPr="00E01428">
              <w:rPr>
                <w:lang w:val="lv-LV" w:eastAsia="lv-LV"/>
              </w:rPr>
              <w:t>as</w:t>
            </w:r>
            <w:proofErr w:type="spellEnd"/>
            <w:r w:rsidRPr="00E01428">
              <w:rPr>
                <w:lang w:val="lv-LV" w:eastAsia="lv-LV"/>
              </w:rPr>
              <w:t>, šobrīd</w:t>
            </w:r>
            <w:r w:rsidRPr="003B034A">
              <w:rPr>
                <w:lang w:val="lv-LV" w:eastAsia="lv-LV"/>
              </w:rPr>
              <w:t xml:space="preserve"> Latvijai atbilstoši </w:t>
            </w:r>
            <w:r w:rsidR="00485EF3">
              <w:rPr>
                <w:lang w:val="lv-LV" w:eastAsia="lv-LV"/>
              </w:rPr>
              <w:t xml:space="preserve">Padomes 2006.gada 11.jūlija </w:t>
            </w:r>
            <w:r w:rsidRPr="003B034A">
              <w:rPr>
                <w:lang w:val="lv-LV" w:eastAsia="lv-LV"/>
              </w:rPr>
              <w:t>Regulas</w:t>
            </w:r>
            <w:r w:rsidR="00485EF3">
              <w:rPr>
                <w:lang w:val="lv-LV" w:eastAsia="lv-LV"/>
              </w:rPr>
              <w:t xml:space="preserve"> (EK) </w:t>
            </w:r>
            <w:r w:rsidRPr="003B034A">
              <w:rPr>
                <w:lang w:val="lv-LV" w:eastAsia="lv-LV"/>
              </w:rPr>
              <w:t>Nr.1083/2006</w:t>
            </w:r>
            <w:r w:rsidR="00485EF3">
              <w:rPr>
                <w:lang w:val="lv-LV" w:eastAsia="lv-LV"/>
              </w:rPr>
              <w:t>, ar ko paredz vispārīgus noteikumus par Eiropas Reģionālās attīstības fondu, Eiropas Sociālo fondu un Kohēzijas fondu un atceļ Re</w:t>
            </w:r>
            <w:r w:rsidR="005F5558">
              <w:rPr>
                <w:lang w:val="lv-LV" w:eastAsia="lv-LV"/>
              </w:rPr>
              <w:t>gulu (EK) Nr.1260/1999 (turpmāk</w:t>
            </w:r>
            <w:r w:rsidR="00802DAF">
              <w:rPr>
                <w:lang w:val="lv-LV" w:eastAsia="lv-LV"/>
              </w:rPr>
              <w:t xml:space="preserve"> </w:t>
            </w:r>
            <w:r w:rsidR="00485EF3">
              <w:rPr>
                <w:lang w:val="lv-LV" w:eastAsia="lv-LV"/>
              </w:rPr>
              <w:t>– Regula Nr.</w:t>
            </w:r>
            <w:r w:rsidR="00D35215">
              <w:rPr>
                <w:lang w:val="lv-LV" w:eastAsia="lv-LV"/>
              </w:rPr>
              <w:t>1083/2006)</w:t>
            </w:r>
            <w:r w:rsidR="00485EF3">
              <w:rPr>
                <w:lang w:val="lv-LV" w:eastAsia="lv-LV"/>
              </w:rPr>
              <w:t>,</w:t>
            </w:r>
            <w:r w:rsidR="003E394E">
              <w:rPr>
                <w:lang w:val="lv-LV" w:eastAsia="lv-LV"/>
              </w:rPr>
              <w:t xml:space="preserve"> 91.pantam ir apturēti maksājumi</w:t>
            </w:r>
            <w:r w:rsidRPr="003B034A">
              <w:rPr>
                <w:lang w:val="lv-LV" w:eastAsia="lv-LV"/>
              </w:rPr>
              <w:t xml:space="preserve"> visās trīs darbības programmās.</w:t>
            </w:r>
          </w:p>
        </w:tc>
      </w:tr>
      <w:tr w:rsidR="00D867A7" w:rsidRPr="00356C9E" w:rsidTr="00D378DB">
        <w:trPr>
          <w:trHeight w:val="472"/>
          <w:tblCellSpacing w:w="0" w:type="dxa"/>
        </w:trPr>
        <w:tc>
          <w:tcPr>
            <w:tcW w:w="517" w:type="dxa"/>
            <w:hideMark/>
          </w:tcPr>
          <w:p w:rsidR="00D867A7" w:rsidRPr="00035560" w:rsidRDefault="00D867A7" w:rsidP="00D867A7">
            <w:pPr>
              <w:spacing w:before="100" w:beforeAutospacing="1" w:after="100" w:afterAutospacing="1"/>
              <w:rPr>
                <w:lang w:val="lv-LV" w:eastAsia="lv-LV"/>
              </w:rPr>
            </w:pPr>
            <w:r w:rsidRPr="00035560">
              <w:rPr>
                <w:lang w:val="lv-LV" w:eastAsia="lv-LV"/>
              </w:rPr>
              <w:t> 2.</w:t>
            </w:r>
          </w:p>
        </w:tc>
        <w:tc>
          <w:tcPr>
            <w:tcW w:w="2617" w:type="dxa"/>
            <w:hideMark/>
          </w:tcPr>
          <w:p w:rsidR="00D867A7" w:rsidRPr="00035560" w:rsidRDefault="00D867A7" w:rsidP="00D867A7">
            <w:pPr>
              <w:spacing w:before="100" w:beforeAutospacing="1" w:after="100" w:afterAutospacing="1"/>
              <w:rPr>
                <w:lang w:val="lv-LV" w:eastAsia="lv-LV"/>
              </w:rPr>
            </w:pPr>
            <w:r w:rsidRPr="00035560">
              <w:rPr>
                <w:lang w:val="lv-LV" w:eastAsia="lv-LV"/>
              </w:rPr>
              <w:t> Pašreizējā situācija un problēmas</w:t>
            </w:r>
          </w:p>
        </w:tc>
        <w:tc>
          <w:tcPr>
            <w:tcW w:w="5812" w:type="dxa"/>
            <w:hideMark/>
          </w:tcPr>
          <w:p w:rsidR="00485EF3" w:rsidRDefault="008A24D5" w:rsidP="00656C8D">
            <w:pPr>
              <w:jc w:val="both"/>
              <w:rPr>
                <w:lang w:val="lv-LV" w:eastAsia="lv-LV"/>
              </w:rPr>
            </w:pPr>
            <w:r w:rsidRPr="003B034A">
              <w:rPr>
                <w:lang w:val="lv-LV" w:eastAsia="lv-LV"/>
              </w:rPr>
              <w:t>DG REGIO 2012.gada 27.janvāra vēstul</w:t>
            </w:r>
            <w:r>
              <w:rPr>
                <w:lang w:val="lv-LV" w:eastAsia="lv-LV"/>
              </w:rPr>
              <w:t>ē</w:t>
            </w:r>
            <w:r w:rsidRPr="003B034A">
              <w:rPr>
                <w:lang w:val="lv-LV" w:eastAsia="lv-LV"/>
              </w:rPr>
              <w:t xml:space="preserve"> Nr.H2/DS/</w:t>
            </w:r>
            <w:proofErr w:type="spellStart"/>
            <w:r w:rsidRPr="003B034A">
              <w:rPr>
                <w:lang w:val="lv-LV" w:eastAsia="lv-LV"/>
              </w:rPr>
              <w:t>sl</w:t>
            </w:r>
            <w:proofErr w:type="spellEnd"/>
            <w:r w:rsidRPr="003B034A">
              <w:rPr>
                <w:lang w:val="lv-LV" w:eastAsia="lv-LV"/>
              </w:rPr>
              <w:t xml:space="preserve"> D</w:t>
            </w:r>
            <w:r w:rsidR="00802DAF">
              <w:rPr>
                <w:lang w:val="lv-LV" w:eastAsia="lv-LV"/>
              </w:rPr>
              <w:t xml:space="preserve"> </w:t>
            </w:r>
            <w:r w:rsidRPr="003B034A">
              <w:rPr>
                <w:lang w:val="lv-LV" w:eastAsia="lv-LV"/>
              </w:rPr>
              <w:t>(2001) 1530145 un DG EMPLOY 2012.gada 1.februāra vēstul</w:t>
            </w:r>
            <w:r>
              <w:rPr>
                <w:lang w:val="lv-LV" w:eastAsia="lv-LV"/>
              </w:rPr>
              <w:t>ē</w:t>
            </w:r>
            <w:r w:rsidRPr="003B034A">
              <w:rPr>
                <w:lang w:val="lv-LV" w:eastAsia="lv-LV"/>
              </w:rPr>
              <w:t xml:space="preserve"> </w:t>
            </w:r>
            <w:proofErr w:type="spellStart"/>
            <w:r w:rsidRPr="003B034A">
              <w:rPr>
                <w:lang w:val="lv-LV" w:eastAsia="lv-LV"/>
              </w:rPr>
              <w:t>Nr.EMPL</w:t>
            </w:r>
            <w:proofErr w:type="spellEnd"/>
            <w:r w:rsidRPr="003B034A">
              <w:rPr>
                <w:lang w:val="lv-LV" w:eastAsia="lv-LV"/>
              </w:rPr>
              <w:t>/E5/ZR/</w:t>
            </w:r>
            <w:proofErr w:type="spellStart"/>
            <w:r w:rsidRPr="003B034A">
              <w:rPr>
                <w:lang w:val="lv-LV" w:eastAsia="lv-LV"/>
              </w:rPr>
              <w:t>as</w:t>
            </w:r>
            <w:proofErr w:type="spellEnd"/>
            <w:r>
              <w:rPr>
                <w:lang w:val="lv-LV" w:eastAsia="lv-LV"/>
              </w:rPr>
              <w:t xml:space="preserve"> norādīts, ka no nacionālās sistēmas audita ziņojuma un no gada kontroles ziņojuma par 2011.gadu izriet, ka </w:t>
            </w:r>
            <w:r w:rsidR="00D3735F">
              <w:rPr>
                <w:lang w:val="lv-LV" w:eastAsia="lv-LV"/>
              </w:rPr>
              <w:t>starpniekinstitūcijas (atbildīgās iestādes un sadarbības iestādes) ne vienmēr ievēro vadošās iestādes ieteikumus un ka vadošajai iestādei nav pietiekamu pilnvaru panākt tās ieteikumu ievērošanu attiecībā uz kontroles sistēmas stiprināšanu, ja tā nav apmierināta ar starpniekinstitūciju darbu.</w:t>
            </w:r>
            <w:r w:rsidR="00A22A9A">
              <w:rPr>
                <w:lang w:val="lv-LV" w:eastAsia="lv-LV"/>
              </w:rPr>
              <w:t xml:space="preserve"> Tas</w:t>
            </w:r>
            <w:r w:rsidR="003E394E">
              <w:rPr>
                <w:lang w:val="lv-LV" w:eastAsia="lv-LV"/>
              </w:rPr>
              <w:t>,</w:t>
            </w:r>
            <w:r w:rsidR="00A22A9A">
              <w:rPr>
                <w:lang w:val="lv-LV" w:eastAsia="lv-LV"/>
              </w:rPr>
              <w:t xml:space="preserve"> savukārt</w:t>
            </w:r>
            <w:r w:rsidR="003E394E">
              <w:rPr>
                <w:lang w:val="lv-LV" w:eastAsia="lv-LV"/>
              </w:rPr>
              <w:t>,</w:t>
            </w:r>
            <w:r w:rsidR="00A22A9A">
              <w:rPr>
                <w:lang w:val="lv-LV" w:eastAsia="lv-LV"/>
              </w:rPr>
              <w:t xml:space="preserve"> rada Regulas Nr.1083/2006 59.panta 2.punkta, 60.panta b) punkta un Regulas Nr.1828/2006 12. un 13.panta pārkāpumu.</w:t>
            </w:r>
            <w:r w:rsidR="00686B22">
              <w:rPr>
                <w:lang w:val="lv-LV" w:eastAsia="lv-LV"/>
              </w:rPr>
              <w:t xml:space="preserve"> Minētās normas nosaka, ka dalībvalsts var iecelt vienu vai vairākas starpniekinstitūcijas, lai veiktu dažus vai visus vadošās iestādes uzdevumus tās atbildībā. Savukārt vadošā iestāde pārbauda līdzfinansēto ražojumu un pakalpojumu piegādi </w:t>
            </w:r>
            <w:r w:rsidR="00686B22">
              <w:rPr>
                <w:lang w:val="lv-LV" w:eastAsia="lv-LV"/>
              </w:rPr>
              <w:lastRenderedPageBreak/>
              <w:t>un to, vai finansējuma saņēmēju deklarētie darbību izdevumi ir faktiski veikti un atbilst Kopienas un attiecīgās valsts noteikumiem.</w:t>
            </w:r>
          </w:p>
          <w:p w:rsidR="00220908" w:rsidRDefault="00686B22" w:rsidP="00656C8D">
            <w:pPr>
              <w:jc w:val="both"/>
              <w:rPr>
                <w:lang w:val="lv-LV" w:eastAsia="lv-LV"/>
              </w:rPr>
            </w:pPr>
            <w:r>
              <w:rPr>
                <w:lang w:val="lv-LV" w:eastAsia="lv-LV"/>
              </w:rPr>
              <w:t xml:space="preserve">Saskaņā ar ES fondu ieviešanas normatīvo ietvaru vadošā iestāde </w:t>
            </w:r>
            <w:r w:rsidR="00642242">
              <w:rPr>
                <w:lang w:val="lv-LV" w:eastAsia="lv-LV"/>
              </w:rPr>
              <w:t xml:space="preserve">var uzticēt dažus vai visus tās uzdevumus starpniekinstitūcijām. Taču tā nevar deleģēt vispārēju atbildību par šo uzdevumu atbilstošu izpildi. Līdz ar to vadošajai iestādei kā uzraudzības institūcijai ir jānodrošina, ka šie uzdevumi ir pienācīgi izpildīti. </w:t>
            </w:r>
          </w:p>
          <w:p w:rsidR="00515039" w:rsidRPr="00F95F11" w:rsidRDefault="00220908" w:rsidP="006A4578">
            <w:pPr>
              <w:jc w:val="both"/>
              <w:rPr>
                <w:rFonts w:eastAsia="Calibri"/>
                <w:b/>
                <w:bCs/>
                <w:iCs/>
                <w:lang w:val="lv-LV" w:eastAsia="lv-LV"/>
              </w:rPr>
            </w:pPr>
            <w:r>
              <w:rPr>
                <w:lang w:val="lv-LV" w:eastAsia="lv-LV"/>
              </w:rPr>
              <w:t>Lai gan Eiropas Savienības struktūrfondu un Kohēzijas fonda vadības likuma 9.pantā vadošajai iestādei ir noteiktas tiesības veikt ES fondu ieviešanas kontroli un revīziju, lai nodrošinātu ES fondu vadību un tās īstenošanas efektivitāti, šobrīd normatīvajos aktos nav</w:t>
            </w:r>
            <w:r w:rsidR="002E79AC">
              <w:rPr>
                <w:lang w:val="lv-LV" w:eastAsia="lv-LV"/>
              </w:rPr>
              <w:t xml:space="preserve"> pietiekami konkrēti</w:t>
            </w:r>
            <w:r>
              <w:rPr>
                <w:lang w:val="lv-LV" w:eastAsia="lv-LV"/>
              </w:rPr>
              <w:t xml:space="preserve"> noteikt</w:t>
            </w:r>
            <w:r w:rsidR="002E79AC">
              <w:rPr>
                <w:lang w:val="lv-LV" w:eastAsia="lv-LV"/>
              </w:rPr>
              <w:t>i</w:t>
            </w:r>
            <w:r>
              <w:rPr>
                <w:lang w:val="lv-LV" w:eastAsia="lv-LV"/>
              </w:rPr>
              <w:t xml:space="preserve"> </w:t>
            </w:r>
            <w:r w:rsidR="002E79AC">
              <w:rPr>
                <w:lang w:val="lv-LV" w:eastAsia="lv-LV"/>
              </w:rPr>
              <w:t>pasākumi</w:t>
            </w:r>
            <w:r>
              <w:rPr>
                <w:lang w:val="lv-LV" w:eastAsia="lv-LV"/>
              </w:rPr>
              <w:t>, kād</w:t>
            </w:r>
            <w:r w:rsidR="002E79AC">
              <w:rPr>
                <w:lang w:val="lv-LV" w:eastAsia="lv-LV"/>
              </w:rPr>
              <w:t>us</w:t>
            </w:r>
            <w:r>
              <w:rPr>
                <w:lang w:val="lv-LV" w:eastAsia="lv-LV"/>
              </w:rPr>
              <w:t xml:space="preserve"> vadošā iestāde var </w:t>
            </w:r>
            <w:r w:rsidR="002E79AC">
              <w:rPr>
                <w:lang w:val="lv-LV" w:eastAsia="lv-LV"/>
              </w:rPr>
              <w:t>veikt, ja tā savu pārbaužu</w:t>
            </w:r>
            <w:r w:rsidR="009816AF">
              <w:rPr>
                <w:lang w:val="lv-LV" w:eastAsia="lv-LV"/>
              </w:rPr>
              <w:t>,</w:t>
            </w:r>
            <w:r w:rsidR="00DF062B">
              <w:rPr>
                <w:lang w:val="lv-LV" w:eastAsia="lv-LV"/>
              </w:rPr>
              <w:t xml:space="preserve"> iekšējā vai jebkura ārējā audita </w:t>
            </w:r>
            <w:r w:rsidR="002E79AC">
              <w:rPr>
                <w:lang w:val="lv-LV" w:eastAsia="lv-LV"/>
              </w:rPr>
              <w:t>rezultātā secina</w:t>
            </w:r>
            <w:r w:rsidR="00DF062B">
              <w:rPr>
                <w:lang w:val="lv-LV" w:eastAsia="lv-LV"/>
              </w:rPr>
              <w:t xml:space="preserve">, ka kādas atbildīgās iestādes vai sadarbības iestādes vadības un kontroles sistēma nenodrošina tai </w:t>
            </w:r>
            <w:r w:rsidR="002E79AC">
              <w:rPr>
                <w:lang w:val="lv-LV" w:eastAsia="lv-LV"/>
              </w:rPr>
              <w:t xml:space="preserve">iestādei </w:t>
            </w:r>
            <w:r w:rsidR="00DF062B">
              <w:rPr>
                <w:lang w:val="lv-LV" w:eastAsia="lv-LV"/>
              </w:rPr>
              <w:t>deleģēto funkciju pienācīgu izpildi.</w:t>
            </w:r>
            <w:r w:rsidR="002E79AC">
              <w:rPr>
                <w:lang w:val="lv-LV" w:eastAsia="lv-LV"/>
              </w:rPr>
              <w:t xml:space="preserve"> </w:t>
            </w:r>
            <w:r w:rsidR="00B55F5B">
              <w:rPr>
                <w:lang w:val="lv-LV" w:eastAsia="lv-LV"/>
              </w:rPr>
              <w:t xml:space="preserve">Tāpēc </w:t>
            </w:r>
            <w:r w:rsidR="00AF1FCA">
              <w:rPr>
                <w:lang w:val="lv-LV" w:eastAsia="lv-LV"/>
              </w:rPr>
              <w:t xml:space="preserve">ES fondu vadības un kontroles sistēmas </w:t>
            </w:r>
            <w:r w:rsidR="004D5547">
              <w:rPr>
                <w:lang w:val="lv-LV" w:eastAsia="lv-LV"/>
              </w:rPr>
              <w:t xml:space="preserve">trūkumu novēršanas rīcības plānā, kas izstrādāts, pamatojoties uz minētajām DG REGIO un DG EMPLOY vēstulēm, un saskaņots ar </w:t>
            </w:r>
            <w:r w:rsidR="00830485">
              <w:rPr>
                <w:lang w:val="lv-LV" w:eastAsia="lv-LV"/>
              </w:rPr>
              <w:t>revīzijas iestādi</w:t>
            </w:r>
            <w:r w:rsidR="004D5547">
              <w:rPr>
                <w:lang w:val="lv-LV" w:eastAsia="lv-LV"/>
              </w:rPr>
              <w:t>, ir paredzēt</w:t>
            </w:r>
            <w:r w:rsidR="00B55F5B">
              <w:rPr>
                <w:lang w:val="lv-LV" w:eastAsia="lv-LV"/>
              </w:rPr>
              <w:t xml:space="preserve">i </w:t>
            </w:r>
            <w:r w:rsidR="00D75F9C">
              <w:rPr>
                <w:lang w:val="lv-LV" w:eastAsia="lv-LV"/>
              </w:rPr>
              <w:t>arī</w:t>
            </w:r>
            <w:r w:rsidR="00B55F5B">
              <w:rPr>
                <w:lang w:val="lv-LV" w:eastAsia="lv-LV"/>
              </w:rPr>
              <w:t xml:space="preserve"> pasākumi vadošās iestādes kontroles funkciju</w:t>
            </w:r>
            <w:r w:rsidR="004D5547">
              <w:rPr>
                <w:lang w:val="lv-LV" w:eastAsia="lv-LV"/>
              </w:rPr>
              <w:t xml:space="preserve"> </w:t>
            </w:r>
            <w:r w:rsidR="00B55F5B">
              <w:rPr>
                <w:lang w:val="lv-LV" w:eastAsia="lv-LV"/>
              </w:rPr>
              <w:t xml:space="preserve">stiprināšanai ar mērķi </w:t>
            </w:r>
            <w:r w:rsidR="00D75F9C" w:rsidRPr="00D75F9C">
              <w:rPr>
                <w:rFonts w:ascii="TimesNewRomanPSMT" w:hAnsi="TimesNewRomanPSMT" w:cs="TimesNewRomanPSMT"/>
                <w:lang w:val="lv-LV"/>
              </w:rPr>
              <w:t xml:space="preserve">stiprināt </w:t>
            </w:r>
            <w:r w:rsidR="00D75F9C">
              <w:rPr>
                <w:rFonts w:ascii="TimesNewRomanPSMT" w:hAnsi="TimesNewRomanPSMT" w:cs="TimesNewRomanPSMT"/>
                <w:lang w:val="lv-LV"/>
              </w:rPr>
              <w:t xml:space="preserve">vadības un </w:t>
            </w:r>
            <w:r w:rsidR="00D75F9C" w:rsidRPr="00D75F9C">
              <w:rPr>
                <w:rFonts w:ascii="TimesNewRomanPSMT" w:hAnsi="TimesNewRomanPSMT" w:cs="TimesNewRomanPSMT"/>
                <w:lang w:val="lv-LV"/>
              </w:rPr>
              <w:t xml:space="preserve">kontroles sistēmu gadījumos, ja </w:t>
            </w:r>
            <w:r w:rsidR="00D75F9C">
              <w:rPr>
                <w:rFonts w:ascii="TimesNewRomanPSMT" w:hAnsi="TimesNewRomanPSMT" w:cs="TimesNewRomanPSMT"/>
                <w:lang w:val="lv-LV"/>
              </w:rPr>
              <w:t>vadošā</w:t>
            </w:r>
            <w:r w:rsidR="00812B7C">
              <w:rPr>
                <w:rFonts w:ascii="TimesNewRomanPSMT" w:hAnsi="TimesNewRomanPSMT" w:cs="TimesNewRomanPSMT"/>
                <w:lang w:val="lv-LV"/>
              </w:rPr>
              <w:t xml:space="preserve"> iestāde</w:t>
            </w:r>
            <w:r w:rsidR="00D75F9C">
              <w:rPr>
                <w:rFonts w:ascii="TimesNewRomanPSMT" w:hAnsi="TimesNewRomanPSMT" w:cs="TimesNewRomanPSMT"/>
                <w:lang w:val="lv-LV"/>
              </w:rPr>
              <w:t xml:space="preserve"> </w:t>
            </w:r>
            <w:r w:rsidR="00D75F9C" w:rsidRPr="00D75F9C">
              <w:rPr>
                <w:rFonts w:ascii="TimesNewRomanPSMT" w:hAnsi="TimesNewRomanPSMT" w:cs="TimesNewRomanPSMT"/>
                <w:lang w:val="lv-LV"/>
              </w:rPr>
              <w:t xml:space="preserve">nav apmierināta ar šo </w:t>
            </w:r>
            <w:r w:rsidR="00D75F9C">
              <w:rPr>
                <w:rFonts w:ascii="TimesNewRomanPSMT" w:hAnsi="TimesNewRomanPSMT" w:cs="TimesNewRomanPSMT"/>
                <w:lang w:val="lv-LV"/>
              </w:rPr>
              <w:t>starpniekinstitūciju</w:t>
            </w:r>
            <w:r w:rsidR="00D75F9C" w:rsidRPr="00D75F9C">
              <w:rPr>
                <w:rFonts w:ascii="TimesNewRomanPSMT" w:hAnsi="TimesNewRomanPSMT" w:cs="TimesNewRomanPSMT"/>
                <w:lang w:val="lv-LV"/>
              </w:rPr>
              <w:t xml:space="preserve"> darbu</w:t>
            </w:r>
            <w:r w:rsidR="00B55F5B">
              <w:rPr>
                <w:lang w:val="lv-LV" w:eastAsia="lv-LV"/>
              </w:rPr>
              <w:t xml:space="preserve">. </w:t>
            </w:r>
            <w:r w:rsidR="00D75F9C">
              <w:rPr>
                <w:lang w:val="lv-LV" w:eastAsia="lv-LV"/>
              </w:rPr>
              <w:t xml:space="preserve">Plānā paredzētas </w:t>
            </w:r>
            <w:r w:rsidR="004D5547" w:rsidRPr="009B1FC1">
              <w:rPr>
                <w:lang w:val="lv-LV" w:eastAsia="lv-LV"/>
              </w:rPr>
              <w:t>va</w:t>
            </w:r>
            <w:r w:rsidR="00D75F9C">
              <w:rPr>
                <w:lang w:val="lv-LV" w:eastAsia="lv-LV"/>
              </w:rPr>
              <w:t xml:space="preserve">došās iestādes tiesības apturēt maksājumus dažādos ES fondu ieviešanas līmeņos </w:t>
            </w:r>
            <w:r w:rsidR="00D75F9C" w:rsidRPr="00B152F1">
              <w:rPr>
                <w:lang w:val="lv-LV" w:eastAsia="lv-LV"/>
              </w:rPr>
              <w:t>(darbības program</w:t>
            </w:r>
            <w:r w:rsidR="003E394E">
              <w:rPr>
                <w:lang w:val="lv-LV" w:eastAsia="lv-LV"/>
              </w:rPr>
              <w:t xml:space="preserve">mā, prioritātē, pasākumā, aktivitātē, </w:t>
            </w:r>
            <w:proofErr w:type="spellStart"/>
            <w:r w:rsidR="003E394E">
              <w:rPr>
                <w:lang w:val="lv-LV" w:eastAsia="lv-LV"/>
              </w:rPr>
              <w:t>apakšaktivitātē</w:t>
            </w:r>
            <w:proofErr w:type="spellEnd"/>
            <w:r w:rsidR="00D75F9C" w:rsidRPr="00B152F1">
              <w:rPr>
                <w:lang w:val="lv-LV" w:eastAsia="lv-LV"/>
              </w:rPr>
              <w:t>)</w:t>
            </w:r>
            <w:r w:rsidR="00812B7C" w:rsidRPr="00B152F1">
              <w:rPr>
                <w:lang w:val="lv-LV" w:eastAsia="lv-LV"/>
              </w:rPr>
              <w:t>.</w:t>
            </w:r>
            <w:r w:rsidR="00D75F9C">
              <w:rPr>
                <w:lang w:val="lv-LV" w:eastAsia="lv-LV"/>
              </w:rPr>
              <w:t xml:space="preserve"> </w:t>
            </w:r>
            <w:r w:rsidR="00642242">
              <w:rPr>
                <w:lang w:val="lv-LV" w:eastAsia="lv-LV"/>
              </w:rPr>
              <w:t xml:space="preserve">Lai </w:t>
            </w:r>
            <w:r w:rsidR="004D5547">
              <w:rPr>
                <w:lang w:val="lv-LV" w:eastAsia="lv-LV"/>
              </w:rPr>
              <w:t>minētos pasākumus nostiprinātu normatīvajos aktos, nepieciešams izdarīt grozījumus</w:t>
            </w:r>
            <w:r w:rsidR="00642242">
              <w:rPr>
                <w:lang w:val="lv-LV" w:eastAsia="lv-LV"/>
              </w:rPr>
              <w:t xml:space="preserve"> </w:t>
            </w:r>
            <w:r w:rsidRPr="00220908">
              <w:rPr>
                <w:bCs/>
                <w:lang w:val="lv-LV" w:eastAsia="lv-LV"/>
              </w:rPr>
              <w:t>Ministru kabineta</w:t>
            </w:r>
            <w:r w:rsidRPr="00220908">
              <w:rPr>
                <w:bCs/>
                <w:color w:val="943634"/>
                <w:lang w:val="lv-LV" w:eastAsia="lv-LV"/>
              </w:rPr>
              <w:t xml:space="preserve"> </w:t>
            </w:r>
            <w:r w:rsidRPr="00220908">
              <w:rPr>
                <w:bCs/>
                <w:lang w:val="lv-LV" w:eastAsia="lv-LV"/>
              </w:rPr>
              <w:t>2010.gada</w:t>
            </w:r>
            <w:r w:rsidRPr="00220908">
              <w:rPr>
                <w:bCs/>
                <w:color w:val="943634"/>
                <w:lang w:val="lv-LV" w:eastAsia="lv-LV"/>
              </w:rPr>
              <w:t xml:space="preserve"> </w:t>
            </w:r>
            <w:r w:rsidRPr="00220908">
              <w:rPr>
                <w:bCs/>
                <w:lang w:val="lv-LV" w:eastAsia="lv-LV"/>
              </w:rPr>
              <w:t>9.novembra</w:t>
            </w:r>
            <w:r w:rsidRPr="00220908">
              <w:rPr>
                <w:bCs/>
                <w:color w:val="943634"/>
                <w:lang w:val="lv-LV" w:eastAsia="lv-LV"/>
              </w:rPr>
              <w:t xml:space="preserve"> </w:t>
            </w:r>
            <w:r w:rsidRPr="00220908">
              <w:rPr>
                <w:bCs/>
                <w:lang w:val="lv-LV" w:eastAsia="lv-LV"/>
              </w:rPr>
              <w:t>noteikumos Nr.1041 „Kārtība, kādā paredzami valsts budžeta līdzekļi Eiropas Savienības struktūrfondu un Kohēzijas fonda līdzfinansēto projektu īstenošanai, kā arī maksājumu veikšanas un izdevumu deklarācijas sagatavošanas kārtība”</w:t>
            </w:r>
            <w:r w:rsidR="005F5558">
              <w:rPr>
                <w:bCs/>
                <w:lang w:val="lv-LV" w:eastAsia="lv-LV"/>
              </w:rPr>
              <w:t xml:space="preserve"> (turpmāk</w:t>
            </w:r>
            <w:r w:rsidR="00802DAF">
              <w:rPr>
                <w:bCs/>
                <w:lang w:val="lv-LV" w:eastAsia="lv-LV"/>
              </w:rPr>
              <w:t xml:space="preserve"> </w:t>
            </w:r>
            <w:r>
              <w:rPr>
                <w:bCs/>
                <w:lang w:val="lv-LV" w:eastAsia="lv-LV"/>
              </w:rPr>
              <w:t>– MK noteikumi Nr.1041)</w:t>
            </w:r>
            <w:r w:rsidR="00DE729C">
              <w:rPr>
                <w:bCs/>
                <w:lang w:val="lv-LV" w:eastAsia="lv-LV"/>
              </w:rPr>
              <w:t>, kas regulē ES fondu maksājumu veikšanas un izdevumu dek</w:t>
            </w:r>
            <w:r w:rsidR="00717A3E">
              <w:rPr>
                <w:bCs/>
                <w:lang w:val="lv-LV" w:eastAsia="lv-LV"/>
              </w:rPr>
              <w:t>larācijas sagatavošanas kārtību</w:t>
            </w:r>
            <w:r w:rsidR="006A4578">
              <w:rPr>
                <w:bCs/>
                <w:lang w:val="lv-LV" w:eastAsia="lv-LV"/>
              </w:rPr>
              <w:t>.</w:t>
            </w:r>
          </w:p>
        </w:tc>
      </w:tr>
      <w:tr w:rsidR="00D867A7" w:rsidRPr="00035560" w:rsidTr="00D378DB">
        <w:trPr>
          <w:trHeight w:val="1071"/>
          <w:tblCellSpacing w:w="0" w:type="dxa"/>
        </w:trPr>
        <w:tc>
          <w:tcPr>
            <w:tcW w:w="517" w:type="dxa"/>
            <w:hideMark/>
          </w:tcPr>
          <w:p w:rsidR="00D867A7" w:rsidRPr="00035560" w:rsidRDefault="00D867A7" w:rsidP="00D867A7">
            <w:pPr>
              <w:spacing w:before="100" w:beforeAutospacing="1" w:after="100" w:afterAutospacing="1"/>
              <w:rPr>
                <w:lang w:val="lv-LV" w:eastAsia="lv-LV"/>
              </w:rPr>
            </w:pPr>
            <w:r w:rsidRPr="00035560">
              <w:rPr>
                <w:lang w:val="lv-LV" w:eastAsia="lv-LV"/>
              </w:rPr>
              <w:lastRenderedPageBreak/>
              <w:t> 3.</w:t>
            </w:r>
          </w:p>
        </w:tc>
        <w:tc>
          <w:tcPr>
            <w:tcW w:w="2617" w:type="dxa"/>
            <w:hideMark/>
          </w:tcPr>
          <w:p w:rsidR="00D867A7" w:rsidRPr="00035560" w:rsidRDefault="00D867A7" w:rsidP="00D867A7">
            <w:pPr>
              <w:spacing w:before="100" w:beforeAutospacing="1" w:after="100" w:afterAutospacing="1"/>
              <w:rPr>
                <w:lang w:val="lv-LV" w:eastAsia="lv-LV"/>
              </w:rPr>
            </w:pPr>
            <w:r w:rsidRPr="00035560">
              <w:rPr>
                <w:lang w:val="lv-LV" w:eastAsia="lv-LV"/>
              </w:rPr>
              <w:t>Saistītie politikas ietekmes novērtējumi un pētījumi</w:t>
            </w:r>
          </w:p>
        </w:tc>
        <w:tc>
          <w:tcPr>
            <w:tcW w:w="5812" w:type="dxa"/>
            <w:hideMark/>
          </w:tcPr>
          <w:p w:rsidR="00D867A7" w:rsidRPr="00035560" w:rsidRDefault="00412C59" w:rsidP="007D0057">
            <w:pPr>
              <w:spacing w:before="100" w:beforeAutospacing="1" w:after="100" w:afterAutospacing="1"/>
              <w:jc w:val="both"/>
              <w:rPr>
                <w:lang w:val="lv-LV" w:eastAsia="lv-LV"/>
              </w:rPr>
            </w:pPr>
            <w:r>
              <w:rPr>
                <w:lang w:val="lv-LV" w:eastAsia="lv-LV"/>
              </w:rPr>
              <w:t>Projekts šo jomu neskar.</w:t>
            </w:r>
          </w:p>
        </w:tc>
      </w:tr>
      <w:tr w:rsidR="00D867A7" w:rsidRPr="00D528AA" w:rsidTr="00D378DB">
        <w:trPr>
          <w:trHeight w:val="384"/>
          <w:tblCellSpacing w:w="0" w:type="dxa"/>
        </w:trPr>
        <w:tc>
          <w:tcPr>
            <w:tcW w:w="517" w:type="dxa"/>
            <w:hideMark/>
          </w:tcPr>
          <w:p w:rsidR="00D867A7" w:rsidRPr="00D528AA" w:rsidRDefault="00D867A7" w:rsidP="00D867A7">
            <w:pPr>
              <w:spacing w:before="100" w:beforeAutospacing="1" w:after="100" w:afterAutospacing="1"/>
              <w:rPr>
                <w:lang w:val="lv-LV" w:eastAsia="lv-LV"/>
              </w:rPr>
            </w:pPr>
            <w:r w:rsidRPr="00D528AA">
              <w:rPr>
                <w:lang w:val="lv-LV" w:eastAsia="lv-LV"/>
              </w:rPr>
              <w:t> 4.</w:t>
            </w:r>
          </w:p>
        </w:tc>
        <w:tc>
          <w:tcPr>
            <w:tcW w:w="2617" w:type="dxa"/>
            <w:hideMark/>
          </w:tcPr>
          <w:p w:rsidR="00D867A7" w:rsidRPr="00D528AA" w:rsidRDefault="00D867A7" w:rsidP="00D867A7">
            <w:pPr>
              <w:spacing w:before="100" w:beforeAutospacing="1" w:after="100" w:afterAutospacing="1"/>
              <w:rPr>
                <w:lang w:val="lv-LV" w:eastAsia="lv-LV"/>
              </w:rPr>
            </w:pPr>
            <w:r w:rsidRPr="00D528AA">
              <w:rPr>
                <w:lang w:val="lv-LV" w:eastAsia="lv-LV"/>
              </w:rPr>
              <w:t>Tiesiskā regulējuma mērķis un būtība</w:t>
            </w:r>
          </w:p>
        </w:tc>
        <w:tc>
          <w:tcPr>
            <w:tcW w:w="5812" w:type="dxa"/>
            <w:hideMark/>
          </w:tcPr>
          <w:p w:rsidR="00C65899" w:rsidRPr="00D528AA" w:rsidRDefault="00C65899" w:rsidP="00C65899">
            <w:pPr>
              <w:spacing w:before="100" w:beforeAutospacing="1" w:after="100" w:afterAutospacing="1"/>
              <w:jc w:val="both"/>
              <w:rPr>
                <w:rFonts w:eastAsia="Calibri"/>
                <w:bCs/>
                <w:iCs/>
                <w:lang w:val="lv-LV" w:eastAsia="lv-LV"/>
              </w:rPr>
            </w:pPr>
            <w:r w:rsidRPr="00D528AA">
              <w:rPr>
                <w:rFonts w:eastAsia="Calibri"/>
                <w:bCs/>
                <w:iCs/>
                <w:lang w:val="lv-LV" w:eastAsia="lv-LV"/>
              </w:rPr>
              <w:t>Ministru kabineta noteikumu projekt</w:t>
            </w:r>
            <w:r w:rsidR="00DE729C" w:rsidRPr="00D528AA">
              <w:rPr>
                <w:rFonts w:eastAsia="Calibri"/>
                <w:bCs/>
                <w:iCs/>
                <w:lang w:val="lv-LV" w:eastAsia="lv-LV"/>
              </w:rPr>
              <w:t>a</w:t>
            </w:r>
            <w:r w:rsidRPr="00D528AA">
              <w:rPr>
                <w:rFonts w:eastAsia="Calibri"/>
                <w:bCs/>
                <w:iCs/>
                <w:lang w:val="lv-LV" w:eastAsia="lv-LV"/>
              </w:rPr>
              <w:t xml:space="preserve"> „Grozījum</w:t>
            </w:r>
            <w:r w:rsidR="005D7964" w:rsidRPr="00D528AA">
              <w:rPr>
                <w:rFonts w:eastAsia="Calibri"/>
                <w:bCs/>
                <w:iCs/>
                <w:lang w:val="lv-LV" w:eastAsia="lv-LV"/>
              </w:rPr>
              <w:t>s</w:t>
            </w:r>
            <w:r w:rsidRPr="00D528AA">
              <w:rPr>
                <w:rFonts w:eastAsia="Calibri"/>
                <w:bCs/>
                <w:iCs/>
                <w:lang w:val="lv-LV" w:eastAsia="lv-LV"/>
              </w:rPr>
              <w:t xml:space="preserve"> Ministru kabineta 2010.gada 9.novembra noteikumos Nr.1041 „Kārtība, kādā paredzami valsts budžeta līdzekļi Eiropas Savienības struktūrfondu un Kohēzijas fonda līdzfinansēto projektu īstenošanai, kā arī maksājumu veikšanas un izdevumu deklarācijas sagatavo</w:t>
            </w:r>
            <w:r w:rsidR="005F5558" w:rsidRPr="00D528AA">
              <w:rPr>
                <w:rFonts w:eastAsia="Calibri"/>
                <w:bCs/>
                <w:iCs/>
                <w:lang w:val="lv-LV" w:eastAsia="lv-LV"/>
              </w:rPr>
              <w:t>šanas kārtība”” (turpmāk</w:t>
            </w:r>
            <w:r w:rsidRPr="00D528AA">
              <w:rPr>
                <w:rFonts w:eastAsia="Calibri"/>
                <w:bCs/>
                <w:iCs/>
                <w:lang w:val="lv-LV" w:eastAsia="lv-LV"/>
              </w:rPr>
              <w:t>– MK noteikumu projekts)</w:t>
            </w:r>
            <w:r w:rsidR="00FA1202" w:rsidRPr="00D528AA">
              <w:rPr>
                <w:rFonts w:eastAsia="Calibri"/>
                <w:bCs/>
                <w:iCs/>
                <w:lang w:val="lv-LV" w:eastAsia="lv-LV"/>
              </w:rPr>
              <w:t xml:space="preserve"> </w:t>
            </w:r>
            <w:r w:rsidR="00DE729C" w:rsidRPr="00D528AA">
              <w:rPr>
                <w:rFonts w:eastAsia="Calibri"/>
                <w:bCs/>
                <w:iCs/>
                <w:lang w:val="lv-LV" w:eastAsia="lv-LV"/>
              </w:rPr>
              <w:t xml:space="preserve">mērķis ir </w:t>
            </w:r>
            <w:r w:rsidR="00FA1202" w:rsidRPr="00D528AA">
              <w:rPr>
                <w:rFonts w:eastAsia="Calibri"/>
                <w:bCs/>
                <w:iCs/>
                <w:lang w:val="lv-LV" w:eastAsia="lv-LV"/>
              </w:rPr>
              <w:t>no</w:t>
            </w:r>
            <w:r w:rsidR="00DE729C" w:rsidRPr="00D528AA">
              <w:rPr>
                <w:rFonts w:eastAsia="Calibri"/>
                <w:bCs/>
                <w:iCs/>
                <w:lang w:val="lv-LV" w:eastAsia="lv-LV"/>
              </w:rPr>
              <w:t xml:space="preserve">teikt </w:t>
            </w:r>
            <w:r w:rsidR="00DE729C" w:rsidRPr="00D528AA">
              <w:rPr>
                <w:rFonts w:eastAsia="Calibri"/>
                <w:iCs/>
                <w:lang w:val="lv-LV" w:eastAsia="lv-LV"/>
              </w:rPr>
              <w:t xml:space="preserve">vadošās iestādes </w:t>
            </w:r>
            <w:r w:rsidR="00DE729C" w:rsidRPr="00D528AA">
              <w:rPr>
                <w:rFonts w:eastAsia="Calibri"/>
                <w:iCs/>
                <w:lang w:val="lv-LV" w:eastAsia="lv-LV"/>
              </w:rPr>
              <w:lastRenderedPageBreak/>
              <w:t>rīcību, ja tā konstatē, ka kāda atbildīgā iestāde vai sadarbības iestāde nespēj veikt tām deleģētās funkcijas atbilstoši ES fondu ieviešanu regulējošiem normatīvajiem aktiem un ES fondu vadības un kontroles sistēmas prasībām. Šāds regulējums mazinās risku, ka Eiropas Komisija arī nākotnē varētu apturēt maksājumu termiņu.</w:t>
            </w:r>
          </w:p>
          <w:p w:rsidR="00DE729C" w:rsidRPr="00D528AA" w:rsidRDefault="00DE729C" w:rsidP="00C65899">
            <w:pPr>
              <w:spacing w:before="100" w:beforeAutospacing="1" w:after="100" w:afterAutospacing="1"/>
              <w:jc w:val="both"/>
              <w:rPr>
                <w:rFonts w:eastAsia="Calibri"/>
                <w:bCs/>
                <w:iCs/>
                <w:lang w:val="lv-LV" w:eastAsia="lv-LV"/>
              </w:rPr>
            </w:pPr>
            <w:r w:rsidRPr="00D528AA">
              <w:rPr>
                <w:rFonts w:eastAsia="Calibri"/>
                <w:bCs/>
                <w:iCs/>
                <w:lang w:val="lv-LV" w:eastAsia="lv-LV"/>
              </w:rPr>
              <w:t>MK noteikumu projekts paredz:</w:t>
            </w:r>
          </w:p>
          <w:p w:rsidR="00626774" w:rsidRPr="004F6451" w:rsidRDefault="00E01428" w:rsidP="00626774">
            <w:pPr>
              <w:ind w:firstLine="720"/>
              <w:jc w:val="both"/>
              <w:rPr>
                <w:iCs/>
                <w:lang w:val="lv-LV"/>
              </w:rPr>
            </w:pPr>
            <w:r w:rsidRPr="00D528AA">
              <w:rPr>
                <w:rFonts w:eastAsia="Calibri"/>
                <w:bCs/>
                <w:iCs/>
                <w:lang w:val="lv-LV" w:eastAsia="lv-LV"/>
              </w:rPr>
              <w:t>1)</w:t>
            </w:r>
            <w:r w:rsidR="005F5558" w:rsidRPr="00D528AA">
              <w:rPr>
                <w:rFonts w:eastAsia="Calibri"/>
                <w:bCs/>
                <w:iCs/>
                <w:lang w:val="lv-LV" w:eastAsia="lv-LV"/>
              </w:rPr>
              <w:t xml:space="preserve"> </w:t>
            </w:r>
            <w:r w:rsidR="00A424C0" w:rsidRPr="00D528AA">
              <w:rPr>
                <w:rFonts w:eastAsia="Calibri"/>
                <w:bCs/>
                <w:iCs/>
                <w:lang w:val="lv-LV" w:eastAsia="lv-LV"/>
              </w:rPr>
              <w:t xml:space="preserve">pienākumu </w:t>
            </w:r>
            <w:r w:rsidR="00C21F29" w:rsidRPr="00D528AA">
              <w:rPr>
                <w:rFonts w:eastAsia="Calibri"/>
                <w:bCs/>
                <w:iCs/>
                <w:lang w:val="lv-LV" w:eastAsia="lv-LV"/>
              </w:rPr>
              <w:t xml:space="preserve">sertifikācijas iestādei, pamatojoties uz vadošās iestādes lēmumu </w:t>
            </w:r>
            <w:r w:rsidR="00C21F29" w:rsidRPr="00D528AA">
              <w:rPr>
                <w:iCs/>
                <w:lang w:val="lv-LV"/>
              </w:rPr>
              <w:t xml:space="preserve">par </w:t>
            </w:r>
            <w:r w:rsidR="0071304E" w:rsidRPr="00D528AA">
              <w:rPr>
                <w:iCs/>
                <w:lang w:val="lv-LV"/>
              </w:rPr>
              <w:t xml:space="preserve">darbības programmas, prioritātes, pasākuma, aktivitātes, </w:t>
            </w:r>
            <w:proofErr w:type="spellStart"/>
            <w:r w:rsidR="0071304E" w:rsidRPr="00D528AA">
              <w:rPr>
                <w:iCs/>
                <w:lang w:val="lv-LV"/>
              </w:rPr>
              <w:t>apakšaktivitātes</w:t>
            </w:r>
            <w:proofErr w:type="spellEnd"/>
            <w:r w:rsidR="0071304E" w:rsidRPr="00D528AA">
              <w:rPr>
                <w:iCs/>
                <w:lang w:val="lv-LV"/>
              </w:rPr>
              <w:t xml:space="preserve"> vai </w:t>
            </w:r>
            <w:r w:rsidR="00C21F29" w:rsidRPr="00D528AA">
              <w:rPr>
                <w:iCs/>
                <w:lang w:val="lv-LV"/>
              </w:rPr>
              <w:t xml:space="preserve">projekta ietvaros veikto izdevumu deklarēšanas </w:t>
            </w:r>
            <w:r w:rsidR="00A424C0" w:rsidRPr="00D528AA">
              <w:rPr>
                <w:iCs/>
                <w:lang w:val="lv-LV"/>
              </w:rPr>
              <w:t xml:space="preserve">apturēšanu  </w:t>
            </w:r>
            <w:r w:rsidR="00C21F29" w:rsidRPr="00D528AA">
              <w:rPr>
                <w:iCs/>
                <w:lang w:val="lv-LV"/>
              </w:rPr>
              <w:t>Eiropas Komisijā</w:t>
            </w:r>
            <w:r w:rsidR="00C21F29" w:rsidRPr="00D528AA">
              <w:rPr>
                <w:rFonts w:eastAsia="Calibri"/>
                <w:bCs/>
                <w:iCs/>
                <w:lang w:val="lv-LV" w:eastAsia="lv-LV"/>
              </w:rPr>
              <w:t xml:space="preserve">, </w:t>
            </w:r>
            <w:r w:rsidR="00B87446" w:rsidRPr="00D528AA">
              <w:rPr>
                <w:rFonts w:eastAsia="Calibri"/>
                <w:bCs/>
                <w:iCs/>
                <w:lang w:val="lv-LV" w:eastAsia="lv-LV"/>
              </w:rPr>
              <w:t xml:space="preserve">uz laiku līdz </w:t>
            </w:r>
            <w:r w:rsidR="006F6AEE" w:rsidRPr="00D528AA">
              <w:rPr>
                <w:rFonts w:eastAsia="Calibri"/>
                <w:bCs/>
                <w:iCs/>
                <w:lang w:val="lv-LV" w:eastAsia="lv-LV"/>
              </w:rPr>
              <w:t>attiecīgo trūkumu novēršanai</w:t>
            </w:r>
            <w:r w:rsidRPr="00D528AA">
              <w:rPr>
                <w:rFonts w:eastAsia="Calibri"/>
                <w:bCs/>
                <w:iCs/>
                <w:lang w:val="lv-LV" w:eastAsia="lv-LV"/>
              </w:rPr>
              <w:t>,</w:t>
            </w:r>
            <w:r w:rsidR="006F6AEE" w:rsidRPr="00D528AA">
              <w:rPr>
                <w:rFonts w:eastAsia="Calibri"/>
                <w:bCs/>
                <w:iCs/>
                <w:lang w:val="lv-LV" w:eastAsia="lv-LV"/>
              </w:rPr>
              <w:t xml:space="preserve"> </w:t>
            </w:r>
            <w:r w:rsidR="00B87446" w:rsidRPr="00D528AA">
              <w:rPr>
                <w:rFonts w:eastAsia="Calibri"/>
                <w:bCs/>
                <w:iCs/>
                <w:lang w:val="lv-LV" w:eastAsia="lv-LV"/>
              </w:rPr>
              <w:t xml:space="preserve"> </w:t>
            </w:r>
            <w:r w:rsidR="00C21F29" w:rsidRPr="00D528AA">
              <w:rPr>
                <w:iCs/>
                <w:lang w:val="lv-LV"/>
              </w:rPr>
              <w:t xml:space="preserve">apturēt turpmāku </w:t>
            </w:r>
            <w:r w:rsidR="0071304E" w:rsidRPr="00D528AA">
              <w:rPr>
                <w:iCs/>
                <w:lang w:val="lv-LV"/>
              </w:rPr>
              <w:t>minēto</w:t>
            </w:r>
            <w:r w:rsidR="00C21F29" w:rsidRPr="00D528AA">
              <w:rPr>
                <w:iCs/>
                <w:lang w:val="lv-LV"/>
              </w:rPr>
              <w:t xml:space="preserve"> izdevumu deklarēšanu Eiropas </w:t>
            </w:r>
            <w:r w:rsidR="00C21F29" w:rsidRPr="004F6451">
              <w:rPr>
                <w:iCs/>
                <w:lang w:val="lv-LV"/>
              </w:rPr>
              <w:t>Komisijā</w:t>
            </w:r>
            <w:r w:rsidR="005F5558" w:rsidRPr="004F6451">
              <w:rPr>
                <w:rFonts w:eastAsia="Calibri"/>
                <w:bCs/>
                <w:iCs/>
                <w:lang w:val="lv-LV" w:eastAsia="lv-LV"/>
              </w:rPr>
              <w:t>,</w:t>
            </w:r>
            <w:r w:rsidR="006F3A1D" w:rsidRPr="004F6451">
              <w:rPr>
                <w:iCs/>
                <w:lang w:val="lv-LV"/>
              </w:rPr>
              <w:t xml:space="preserve"> ja:</w:t>
            </w:r>
          </w:p>
          <w:p w:rsidR="006F3A1D" w:rsidRPr="00CC5F06" w:rsidRDefault="006F3A1D" w:rsidP="006F3A1D">
            <w:pPr>
              <w:jc w:val="both"/>
              <w:rPr>
                <w:iCs/>
                <w:lang w:val="lv-LV"/>
              </w:rPr>
            </w:pPr>
            <w:r w:rsidRPr="004F6451">
              <w:rPr>
                <w:iCs/>
                <w:lang w:val="lv-LV"/>
              </w:rPr>
              <w:t>-  revīzijas iestādes vai ārējā audita ziņojumā konstatēts, ka atbildīgās iestādes vai sadarbības iestādes vadības un kontro</w:t>
            </w:r>
            <w:r w:rsidR="00626774" w:rsidRPr="004F6451">
              <w:rPr>
                <w:iCs/>
                <w:lang w:val="lv-LV"/>
              </w:rPr>
              <w:t xml:space="preserve">les sistēmā ir būtiski </w:t>
            </w:r>
            <w:r w:rsidR="00626774" w:rsidRPr="00D05725">
              <w:rPr>
                <w:iCs/>
                <w:lang w:val="lv-LV"/>
              </w:rPr>
              <w:t>trūkumi</w:t>
            </w:r>
            <w:r w:rsidR="00CE401B" w:rsidRPr="00D05725">
              <w:rPr>
                <w:iCs/>
                <w:lang w:val="lv-LV"/>
              </w:rPr>
              <w:t xml:space="preserve"> (</w:t>
            </w:r>
            <w:r w:rsidR="00CC5F06" w:rsidRPr="00D05725">
              <w:rPr>
                <w:sz w:val="22"/>
                <w:szCs w:val="22"/>
                <w:lang w:val="lv-LV"/>
              </w:rPr>
              <w:t>Respektīvi, sistēma darbojas daļēji- gadījums, kad audita rezultātā konstatēts, ka nepieciešami būtiski uzlabojumi, jo konstatēti trūkumi, kas būtiski ietekmē Eiropas Savienības fondu vadības un kontroles sistēmas darbību. Sistēma nedarbojas- konstatēts liela apjoma sistemātisks būtisks trūkums, kurš būtiski ietekmē ES fondu vadības un kontroles sistēmas darbību.</w:t>
            </w:r>
            <w:r w:rsidR="00CE401B" w:rsidRPr="00D05725">
              <w:rPr>
                <w:sz w:val="22"/>
                <w:szCs w:val="22"/>
                <w:lang w:val="lv-LV"/>
              </w:rPr>
              <w:t>)</w:t>
            </w:r>
            <w:r w:rsidRPr="00D05725">
              <w:rPr>
                <w:iCs/>
                <w:lang w:val="lv-LV"/>
              </w:rPr>
              <w:t>;</w:t>
            </w:r>
          </w:p>
          <w:p w:rsidR="006F3A1D" w:rsidRPr="004F6451" w:rsidRDefault="006F3A1D" w:rsidP="006F3A1D">
            <w:pPr>
              <w:jc w:val="both"/>
              <w:rPr>
                <w:iCs/>
                <w:lang w:val="lv-LV"/>
              </w:rPr>
            </w:pPr>
            <w:r w:rsidRPr="004F6451">
              <w:rPr>
                <w:iCs/>
                <w:lang w:val="lv-LV"/>
              </w:rPr>
              <w:t>- ministrijas, kuras ietvaros izveidota atbildīgā iestāde vai sadarbības iestāde, iekšējā audita struktūrvienības darba salīdzinošās pārbaudes vai audita lietas kvalitātes pārbaudes rezultātā konstatēts, ka atbildīgās iestādes vai sadarbības iestādes vadības un kontroles sistēmā ir būtiski trūkumi;</w:t>
            </w:r>
          </w:p>
          <w:p w:rsidR="006F3A1D" w:rsidRPr="00F00DF1" w:rsidRDefault="006F3A1D" w:rsidP="006F3A1D">
            <w:pPr>
              <w:jc w:val="both"/>
              <w:rPr>
                <w:lang w:val="lv-LV"/>
              </w:rPr>
            </w:pPr>
            <w:r w:rsidRPr="004F6451">
              <w:rPr>
                <w:lang w:val="lv-LV"/>
              </w:rPr>
              <w:t xml:space="preserve">- </w:t>
            </w:r>
            <w:r w:rsidRPr="00F00DF1">
              <w:rPr>
                <w:iCs/>
                <w:lang w:val="lv-LV"/>
              </w:rPr>
              <w:t>vadošā iestāde atbildīgās iestādes vai sadarbības iestādes pārbaudē ir konstatējusi būtiskus trūkumus tās vadības un kontroles sistēmā</w:t>
            </w:r>
            <w:r w:rsidR="00D378DB" w:rsidRPr="00F00DF1">
              <w:rPr>
                <w:lang w:val="lv-LV"/>
              </w:rPr>
              <w:t>;</w:t>
            </w:r>
          </w:p>
          <w:p w:rsidR="00D378DB" w:rsidRPr="00F00DF1" w:rsidRDefault="00D378DB" w:rsidP="006F3A1D">
            <w:pPr>
              <w:jc w:val="both"/>
              <w:rPr>
                <w:lang w:val="lv-LV"/>
              </w:rPr>
            </w:pPr>
            <w:r w:rsidRPr="00F00DF1">
              <w:rPr>
                <w:lang w:val="lv-LV"/>
              </w:rPr>
              <w:t xml:space="preserve">- </w:t>
            </w:r>
            <w:r w:rsidR="00FD0D5C" w:rsidRPr="00FD0D5C">
              <w:rPr>
                <w:lang w:val="lv-LV"/>
              </w:rPr>
              <w:t>vadošās iestādes rīcībā ir cita objektīva un pamatota informācija, kas liecina par Padomes regulas (EK) Nr.1083/2006 60.pantā minēto un saskaņā ar Latvijas Republikas normatīvajiem aktiem atbildīgajai iestādei vai sadarbības iestādei deleģēto uzdevumu  nepienācīgu izpildi un pastāv Padomes regulas (EK) Nr.1083/2006 91. vai 92.pantā minētā gadījuma iestāšanās iespējamība.</w:t>
            </w:r>
          </w:p>
          <w:p w:rsidR="00E01428" w:rsidRPr="00D528AA" w:rsidRDefault="006F3A1D" w:rsidP="00E01428">
            <w:pPr>
              <w:spacing w:before="100" w:beforeAutospacing="1" w:after="100" w:afterAutospacing="1"/>
              <w:jc w:val="both"/>
              <w:rPr>
                <w:rFonts w:eastAsia="Calibri"/>
                <w:bCs/>
                <w:iCs/>
                <w:lang w:val="lv-LV" w:eastAsia="lv-LV"/>
              </w:rPr>
            </w:pPr>
            <w:r w:rsidRPr="00D528AA">
              <w:rPr>
                <w:rFonts w:eastAsia="Calibri"/>
                <w:bCs/>
                <w:iCs/>
                <w:lang w:val="lv-LV" w:eastAsia="lv-LV"/>
              </w:rPr>
              <w:t xml:space="preserve"> </w:t>
            </w:r>
            <w:r w:rsidR="00E01428" w:rsidRPr="00D528AA">
              <w:rPr>
                <w:rFonts w:eastAsia="Calibri"/>
                <w:bCs/>
                <w:iCs/>
                <w:lang w:val="lv-LV" w:eastAsia="lv-LV"/>
              </w:rPr>
              <w:t>2) a</w:t>
            </w:r>
            <w:r w:rsidR="008A739F" w:rsidRPr="00D528AA">
              <w:rPr>
                <w:rFonts w:eastAsia="Calibri"/>
                <w:bCs/>
                <w:iCs/>
                <w:lang w:val="lv-LV" w:eastAsia="lv-LV"/>
              </w:rPr>
              <w:t xml:space="preserve">tbildīgās iestādes vai sadarbības iestādes un vadošās iestādes turpmāko rīcību pēc iepriekšminētā vadošās iestādes lēmuma pieņemšanas. Pēc šāda lēmuma pieņemšanas attiecīgajai atbildīgajai iestādei vai sadarbības iestādei būs pienākums izstrādāt trūkumu novēršanas rīcības plānu, saskaņot to ar vadošo iestādi un tajā noteiktajos termiņos </w:t>
            </w:r>
            <w:r w:rsidR="00812B7C" w:rsidRPr="00D528AA">
              <w:rPr>
                <w:rFonts w:eastAsia="Calibri"/>
                <w:bCs/>
                <w:iCs/>
                <w:lang w:val="lv-LV" w:eastAsia="lv-LV"/>
              </w:rPr>
              <w:t xml:space="preserve">un kārtībā </w:t>
            </w:r>
            <w:r w:rsidR="008A739F" w:rsidRPr="00D528AA">
              <w:rPr>
                <w:rFonts w:eastAsia="Calibri"/>
                <w:bCs/>
                <w:iCs/>
                <w:lang w:val="lv-LV" w:eastAsia="lv-LV"/>
              </w:rPr>
              <w:t xml:space="preserve">ieviest. </w:t>
            </w:r>
          </w:p>
          <w:p w:rsidR="00E66FEC" w:rsidRPr="00D528AA" w:rsidRDefault="00E01428" w:rsidP="008F62B8">
            <w:pPr>
              <w:spacing w:before="100" w:beforeAutospacing="1" w:after="100" w:afterAutospacing="1"/>
              <w:jc w:val="both"/>
              <w:rPr>
                <w:rFonts w:eastAsia="Calibri"/>
                <w:bCs/>
                <w:iCs/>
                <w:lang w:val="lv-LV" w:eastAsia="lv-LV"/>
              </w:rPr>
            </w:pPr>
            <w:r w:rsidRPr="00D528AA">
              <w:rPr>
                <w:rFonts w:eastAsia="Calibri"/>
                <w:bCs/>
                <w:iCs/>
                <w:lang w:val="lv-LV" w:eastAsia="lv-LV"/>
              </w:rPr>
              <w:t>3) p</w:t>
            </w:r>
            <w:r w:rsidR="008A739F" w:rsidRPr="00D528AA">
              <w:rPr>
                <w:rFonts w:eastAsia="Calibri"/>
                <w:bCs/>
                <w:iCs/>
                <w:lang w:val="lv-LV" w:eastAsia="lv-LV"/>
              </w:rPr>
              <w:t xml:space="preserve">ēc trūkumu novēršanas rīcības plānā paredzēto </w:t>
            </w:r>
            <w:r w:rsidR="008A739F" w:rsidRPr="00D528AA">
              <w:rPr>
                <w:rFonts w:eastAsia="Calibri"/>
                <w:bCs/>
                <w:iCs/>
                <w:lang w:val="lv-LV" w:eastAsia="lv-LV"/>
              </w:rPr>
              <w:lastRenderedPageBreak/>
              <w:t xml:space="preserve">pasākumu ieviešanas vadošā iestāde pārbaudīs, vai minētie pasākumi ieviesti atbilstoši plānā noteiktajam. Ja vadošā </w:t>
            </w:r>
            <w:r w:rsidR="00D953C4" w:rsidRPr="00D528AA">
              <w:rPr>
                <w:rFonts w:eastAsia="Calibri"/>
                <w:bCs/>
                <w:iCs/>
                <w:lang w:val="lv-LV" w:eastAsia="lv-LV"/>
              </w:rPr>
              <w:t xml:space="preserve">iestāde secinās, ka iepriekš konstatētie trūkumi novērsti, tā pieņems lēmumu </w:t>
            </w:r>
            <w:r w:rsidR="009D78DC" w:rsidRPr="00D528AA">
              <w:rPr>
                <w:lang w:val="lv-LV"/>
              </w:rPr>
              <w:t xml:space="preserve">atsākt darbības programmas, prioritātes, pasākuma, aktivitātes, </w:t>
            </w:r>
            <w:proofErr w:type="spellStart"/>
            <w:r w:rsidR="009D78DC" w:rsidRPr="00D528AA">
              <w:rPr>
                <w:lang w:val="lv-LV"/>
              </w:rPr>
              <w:t>apakšaktivitātes</w:t>
            </w:r>
            <w:proofErr w:type="spellEnd"/>
            <w:r w:rsidR="009D78DC" w:rsidRPr="00D528AA">
              <w:rPr>
                <w:lang w:val="lv-LV"/>
              </w:rPr>
              <w:t xml:space="preserve"> vai projekta ietvaros veikto </w:t>
            </w:r>
            <w:r w:rsidR="009D78DC" w:rsidRPr="00D528AA">
              <w:rPr>
                <w:iCs/>
                <w:lang w:val="lv-LV"/>
              </w:rPr>
              <w:t>izdevumu deklarēšanu Eiropas Komisijā.</w:t>
            </w:r>
            <w:r w:rsidR="009D78DC" w:rsidRPr="00D528AA">
              <w:rPr>
                <w:rFonts w:eastAsia="Calibri"/>
                <w:bCs/>
                <w:iCs/>
                <w:lang w:val="lv-LV" w:eastAsia="lv-LV"/>
              </w:rPr>
              <w:t xml:space="preserve"> </w:t>
            </w:r>
          </w:p>
          <w:p w:rsidR="004D6527" w:rsidRPr="00D528AA" w:rsidRDefault="004D6527" w:rsidP="00626774">
            <w:pPr>
              <w:spacing w:before="100" w:beforeAutospacing="1" w:after="100" w:afterAutospacing="1"/>
              <w:jc w:val="both"/>
              <w:rPr>
                <w:rFonts w:eastAsia="Calibri"/>
                <w:bCs/>
                <w:iCs/>
                <w:lang w:val="lv-LV" w:eastAsia="lv-LV"/>
              </w:rPr>
            </w:pPr>
            <w:r w:rsidRPr="004F6451">
              <w:rPr>
                <w:rFonts w:eastAsia="Calibri"/>
                <w:bCs/>
                <w:iCs/>
                <w:lang w:val="lv-LV" w:eastAsia="lv-LV"/>
              </w:rPr>
              <w:t xml:space="preserve">4) </w:t>
            </w:r>
            <w:r w:rsidR="00626774" w:rsidRPr="004F6451">
              <w:rPr>
                <w:rFonts w:eastAsia="Calibri"/>
                <w:bCs/>
                <w:iCs/>
                <w:lang w:val="lv-LV" w:eastAsia="lv-LV"/>
              </w:rPr>
              <w:t>Ja atbildīgā iestāde vai sadarbības iestāde un vadošā iestāde nespēs vienoties par trūkumu novēršanas rīcības plānu vai atbildīgā iestāde vai sadarbības iestāde nebūs īstenojusi pasākumus atbilstoši trūkumu novēršanas rīcības plānā noteiktajam, vadošā iestāde informēs Ministru kabinetu.</w:t>
            </w:r>
          </w:p>
        </w:tc>
      </w:tr>
      <w:tr w:rsidR="00D867A7" w:rsidRPr="00356C9E" w:rsidTr="00D378DB">
        <w:trPr>
          <w:trHeight w:val="476"/>
          <w:tblCellSpacing w:w="0" w:type="dxa"/>
        </w:trPr>
        <w:tc>
          <w:tcPr>
            <w:tcW w:w="517" w:type="dxa"/>
            <w:hideMark/>
          </w:tcPr>
          <w:p w:rsidR="00D867A7" w:rsidRPr="00035560" w:rsidRDefault="00D867A7" w:rsidP="00D867A7">
            <w:pPr>
              <w:spacing w:before="100" w:beforeAutospacing="1" w:after="100" w:afterAutospacing="1"/>
              <w:rPr>
                <w:lang w:val="lv-LV" w:eastAsia="lv-LV"/>
              </w:rPr>
            </w:pPr>
            <w:r w:rsidRPr="00035560">
              <w:rPr>
                <w:lang w:val="lv-LV" w:eastAsia="lv-LV"/>
              </w:rPr>
              <w:lastRenderedPageBreak/>
              <w:t> 5.</w:t>
            </w:r>
          </w:p>
        </w:tc>
        <w:tc>
          <w:tcPr>
            <w:tcW w:w="2617" w:type="dxa"/>
            <w:hideMark/>
          </w:tcPr>
          <w:p w:rsidR="00D867A7" w:rsidRPr="00035560" w:rsidRDefault="00D867A7" w:rsidP="00D867A7">
            <w:pPr>
              <w:spacing w:before="100" w:beforeAutospacing="1" w:after="100" w:afterAutospacing="1"/>
              <w:rPr>
                <w:lang w:val="lv-LV" w:eastAsia="lv-LV"/>
              </w:rPr>
            </w:pPr>
            <w:r w:rsidRPr="00035560">
              <w:rPr>
                <w:lang w:val="lv-LV" w:eastAsia="lv-LV"/>
              </w:rPr>
              <w:t>Projekta izstrādē iesaistītās institūcijas</w:t>
            </w:r>
          </w:p>
        </w:tc>
        <w:tc>
          <w:tcPr>
            <w:tcW w:w="5812" w:type="dxa"/>
            <w:hideMark/>
          </w:tcPr>
          <w:p w:rsidR="00D867A7" w:rsidRPr="00035560" w:rsidRDefault="00E14DA5" w:rsidP="00412C59">
            <w:pPr>
              <w:spacing w:before="100" w:beforeAutospacing="1" w:after="100" w:afterAutospacing="1"/>
              <w:jc w:val="both"/>
              <w:rPr>
                <w:lang w:val="lv-LV" w:eastAsia="lv-LV"/>
              </w:rPr>
            </w:pPr>
            <w:r w:rsidRPr="00E14DA5">
              <w:rPr>
                <w:lang w:val="lv-LV" w:eastAsia="lv-LV"/>
              </w:rPr>
              <w:t>Finanšu ministrija, Valsts kase</w:t>
            </w:r>
            <w:r w:rsidR="00830485">
              <w:rPr>
                <w:lang w:val="lv-LV" w:eastAsia="lv-LV"/>
              </w:rPr>
              <w:t>, Centrālā finanšu un līgumu aģentūra</w:t>
            </w:r>
          </w:p>
        </w:tc>
      </w:tr>
      <w:tr w:rsidR="00D867A7" w:rsidRPr="00356C9E" w:rsidTr="00D378DB">
        <w:trPr>
          <w:trHeight w:val="1340"/>
          <w:tblCellSpacing w:w="0" w:type="dxa"/>
        </w:trPr>
        <w:tc>
          <w:tcPr>
            <w:tcW w:w="517" w:type="dxa"/>
            <w:hideMark/>
          </w:tcPr>
          <w:p w:rsidR="00D867A7" w:rsidRPr="00035560" w:rsidRDefault="00D867A7" w:rsidP="00807A10">
            <w:pPr>
              <w:spacing w:before="100" w:beforeAutospacing="1" w:after="100" w:afterAutospacing="1"/>
              <w:rPr>
                <w:lang w:val="lv-LV" w:eastAsia="lv-LV"/>
              </w:rPr>
            </w:pPr>
            <w:r w:rsidRPr="00035560">
              <w:rPr>
                <w:lang w:val="lv-LV" w:eastAsia="lv-LV"/>
              </w:rPr>
              <w:t> </w:t>
            </w:r>
            <w:r w:rsidRPr="00807A10">
              <w:rPr>
                <w:lang w:val="lv-LV" w:eastAsia="lv-LV"/>
              </w:rPr>
              <w:t>6.</w:t>
            </w:r>
          </w:p>
        </w:tc>
        <w:tc>
          <w:tcPr>
            <w:tcW w:w="2617" w:type="dxa"/>
            <w:hideMark/>
          </w:tcPr>
          <w:p w:rsidR="00D867A7" w:rsidRPr="00035560" w:rsidRDefault="00D867A7" w:rsidP="00D867A7">
            <w:pPr>
              <w:spacing w:before="100" w:beforeAutospacing="1" w:after="100" w:afterAutospacing="1"/>
              <w:rPr>
                <w:lang w:val="lv-LV" w:eastAsia="lv-LV"/>
              </w:rPr>
            </w:pPr>
            <w:r w:rsidRPr="00035560">
              <w:rPr>
                <w:lang w:val="lv-LV" w:eastAsia="lv-LV"/>
              </w:rPr>
              <w:t>Iemesli, kādēļ netika nodrošināta sabiedrības līdzdalība</w:t>
            </w:r>
          </w:p>
        </w:tc>
        <w:tc>
          <w:tcPr>
            <w:tcW w:w="5812" w:type="dxa"/>
            <w:hideMark/>
          </w:tcPr>
          <w:p w:rsidR="00182859" w:rsidRPr="003C0D4F" w:rsidRDefault="003744D4" w:rsidP="00412C59">
            <w:pPr>
              <w:spacing w:before="100" w:beforeAutospacing="1" w:after="100" w:afterAutospacing="1"/>
              <w:jc w:val="both"/>
              <w:rPr>
                <w:lang w:val="lv-LV" w:eastAsia="lv-LV"/>
              </w:rPr>
            </w:pPr>
            <w:r>
              <w:rPr>
                <w:lang w:val="lv-LV" w:eastAsia="lv-LV"/>
              </w:rPr>
              <w:t>Sabiedrības līdzdalība netika nodrošināta, jo a</w:t>
            </w:r>
            <w:r w:rsidR="00E14DA5" w:rsidRPr="00E14DA5">
              <w:rPr>
                <w:lang w:val="lv-LV" w:eastAsia="lv-LV"/>
              </w:rPr>
              <w:t xml:space="preserve">r MK noteikumu projektu tiek </w:t>
            </w:r>
            <w:r w:rsidR="00BC1C24">
              <w:rPr>
                <w:lang w:val="lv-LV" w:eastAsia="lv-LV"/>
              </w:rPr>
              <w:t xml:space="preserve">ieviestas Eiropas Komisijas prasības stiprināt vadošās iestādes </w:t>
            </w:r>
            <w:r>
              <w:rPr>
                <w:lang w:val="lv-LV" w:eastAsia="lv-LV"/>
              </w:rPr>
              <w:t>pilnvaras panākt, lai atbildīgās iestādes un sadarbības iestādes ievērotu vadošās iestādes ieteikumus,  un MK noteikumu projektā iekļautie pasākumi ir saskaņoti ar revīzijas iestādi.</w:t>
            </w:r>
          </w:p>
        </w:tc>
      </w:tr>
      <w:tr w:rsidR="00D867A7" w:rsidRPr="00356C9E" w:rsidTr="00D378DB">
        <w:trPr>
          <w:trHeight w:val="432"/>
          <w:tblCellSpacing w:w="0" w:type="dxa"/>
        </w:trPr>
        <w:tc>
          <w:tcPr>
            <w:tcW w:w="517" w:type="dxa"/>
            <w:hideMark/>
          </w:tcPr>
          <w:p w:rsidR="00D867A7" w:rsidRPr="00035560" w:rsidRDefault="00D867A7" w:rsidP="00D867A7">
            <w:pPr>
              <w:spacing w:before="100" w:beforeAutospacing="1" w:after="100" w:afterAutospacing="1"/>
              <w:rPr>
                <w:lang w:val="lv-LV" w:eastAsia="lv-LV"/>
              </w:rPr>
            </w:pPr>
            <w:r w:rsidRPr="00035560">
              <w:rPr>
                <w:lang w:val="lv-LV" w:eastAsia="lv-LV"/>
              </w:rPr>
              <w:t> 7.</w:t>
            </w:r>
          </w:p>
        </w:tc>
        <w:tc>
          <w:tcPr>
            <w:tcW w:w="2617" w:type="dxa"/>
            <w:hideMark/>
          </w:tcPr>
          <w:p w:rsidR="00D867A7" w:rsidRPr="00035560" w:rsidRDefault="00D867A7" w:rsidP="00D867A7">
            <w:pPr>
              <w:spacing w:before="100" w:beforeAutospacing="1" w:after="100" w:afterAutospacing="1"/>
              <w:rPr>
                <w:lang w:val="lv-LV" w:eastAsia="lv-LV"/>
              </w:rPr>
            </w:pPr>
            <w:r w:rsidRPr="00035560">
              <w:rPr>
                <w:lang w:val="lv-LV" w:eastAsia="lv-LV"/>
              </w:rPr>
              <w:t> Cita informācija</w:t>
            </w:r>
          </w:p>
        </w:tc>
        <w:tc>
          <w:tcPr>
            <w:tcW w:w="5812" w:type="dxa"/>
            <w:hideMark/>
          </w:tcPr>
          <w:p w:rsidR="00D867A7" w:rsidRPr="004F6451" w:rsidRDefault="002D41E4" w:rsidP="00626774">
            <w:pPr>
              <w:jc w:val="both"/>
              <w:rPr>
                <w:lang w:val="lv-LV" w:eastAsia="lv-LV"/>
              </w:rPr>
            </w:pPr>
            <w:r w:rsidRPr="004F6451">
              <w:rPr>
                <w:lang w:val="lv-LV" w:eastAsia="lv-LV"/>
              </w:rPr>
              <w:t>MK noteikumu projekts ir mehānisms, kas tiks piemērots, lai novērstu nepilnības atbildīgās iestādes, sadarbības iestādes darbībā. Tā piemērošana neietekmēs attiecīgās aktivitātes/</w:t>
            </w:r>
            <w:proofErr w:type="spellStart"/>
            <w:r w:rsidRPr="004F6451">
              <w:rPr>
                <w:lang w:val="lv-LV" w:eastAsia="lv-LV"/>
              </w:rPr>
              <w:t>apakšaktivitātes</w:t>
            </w:r>
            <w:proofErr w:type="spellEnd"/>
            <w:r w:rsidRPr="004F6451">
              <w:rPr>
                <w:lang w:val="lv-LV" w:eastAsia="lv-LV"/>
              </w:rPr>
              <w:t xml:space="preserve"> īstenošanu, tai skaitā neskars finansējuma saņēmēju, kas projektu īstenojis labticīgi, ievērojot normatīvajos aktos un vienošanās/līgumā par ES fondu projekta īstenošanu ietvertās prasības</w:t>
            </w:r>
            <w:r w:rsidR="00356C9E" w:rsidRPr="004F6451">
              <w:rPr>
                <w:lang w:val="lv-LV" w:eastAsia="lv-LV"/>
              </w:rPr>
              <w:t>, respektīvi, maksājumi finansējuma saņēmējiem tiks nodrošināti normatīvajos aktos un līgumā vai vienošanās noteiktajā kārtībā</w:t>
            </w:r>
            <w:r w:rsidRPr="004F6451">
              <w:rPr>
                <w:lang w:val="lv-LV" w:eastAsia="lv-LV"/>
              </w:rPr>
              <w:t>.</w:t>
            </w:r>
            <w:r w:rsidR="00356C9E" w:rsidRPr="004F6451">
              <w:rPr>
                <w:lang w:val="lv-LV" w:eastAsia="lv-LV"/>
              </w:rPr>
              <w:t xml:space="preserve"> Neatbilstību konstatēšana projektos un neatbilstoši veikto izdevumu atgūšana not</w:t>
            </w:r>
            <w:r w:rsidR="006F3A1D" w:rsidRPr="004F6451">
              <w:rPr>
                <w:lang w:val="lv-LV" w:eastAsia="lv-LV"/>
              </w:rPr>
              <w:t>iks</w:t>
            </w:r>
            <w:r w:rsidR="00356C9E" w:rsidRPr="004F6451">
              <w:rPr>
                <w:lang w:val="lv-LV" w:eastAsia="lv-LV"/>
              </w:rPr>
              <w:t xml:space="preserve"> saskaņā ar MK 2010.gada 10.augusta noteikumiem Nr.740 „</w:t>
            </w:r>
            <w:r w:rsidR="00356C9E" w:rsidRPr="004F6451">
              <w:rPr>
                <w:bCs/>
                <w:lang w:val="lv-LV"/>
              </w:rPr>
              <w:t>Kārtība, kādā ziņo par Eiropas Savienības struktūrfondu un Kohēzijas fonda ieviešanā konstatētajām neatbilstībām, pieņem lēmumu par piešķirtā finansējuma izlietojumu un atgūst neatbilstošos izdevumus”, neatkarīgi no paredzētajiem grozījumiem MK noteikumos Nr.1041.</w:t>
            </w:r>
          </w:p>
        </w:tc>
      </w:tr>
      <w:bookmarkEnd w:id="0"/>
      <w:bookmarkEnd w:id="1"/>
    </w:tbl>
    <w:p w:rsidR="00421C80" w:rsidRPr="006F3A1D" w:rsidRDefault="00421C80" w:rsidP="00421C80">
      <w:pPr>
        <w:rPr>
          <w:lang w:val="lv-LV"/>
        </w:rPr>
      </w:pPr>
    </w:p>
    <w:p w:rsidR="00034CDC" w:rsidRPr="00034CDC" w:rsidRDefault="00034CDC" w:rsidP="00421C80">
      <w:pPr>
        <w:rPr>
          <w:vanish/>
          <w:lang w:val="lv-LV"/>
        </w:rPr>
      </w:pPr>
    </w:p>
    <w:p w:rsidR="00412C59" w:rsidRDefault="00412C59" w:rsidP="00613168">
      <w:pPr>
        <w:rPr>
          <w:lang w:val="lv-LV"/>
        </w:rPr>
      </w:pPr>
    </w:p>
    <w:tbl>
      <w:tblPr>
        <w:tblW w:w="5071" w:type="pct"/>
        <w:tblCellSpacing w:w="0" w:type="dxa"/>
        <w:tblInd w:w="1" w:type="dxa"/>
        <w:tblBorders>
          <w:top w:val="single" w:sz="6" w:space="0" w:color="EEECE1"/>
          <w:left w:val="single" w:sz="6" w:space="0" w:color="EEECE1"/>
          <w:bottom w:val="single" w:sz="6" w:space="0" w:color="EEECE1"/>
          <w:right w:val="single" w:sz="6" w:space="0" w:color="EEECE1"/>
          <w:insideH w:val="single" w:sz="6" w:space="0" w:color="EEECE1"/>
          <w:insideV w:val="single" w:sz="6" w:space="0" w:color="EEECE1"/>
        </w:tblBorders>
        <w:tblCellMar>
          <w:left w:w="0" w:type="dxa"/>
          <w:right w:w="0" w:type="dxa"/>
        </w:tblCellMar>
        <w:tblLook w:val="04A0" w:firstRow="1" w:lastRow="0" w:firstColumn="1" w:lastColumn="0" w:noHBand="0" w:noVBand="1"/>
      </w:tblPr>
      <w:tblGrid>
        <w:gridCol w:w="370"/>
        <w:gridCol w:w="2764"/>
        <w:gridCol w:w="5810"/>
      </w:tblGrid>
      <w:tr w:rsidR="00412C59" w:rsidRPr="00356C9E" w:rsidTr="00412C59">
        <w:trPr>
          <w:tblCellSpacing w:w="0" w:type="dxa"/>
        </w:trPr>
        <w:tc>
          <w:tcPr>
            <w:tcW w:w="5000" w:type="pct"/>
            <w:gridSpan w:val="3"/>
            <w:shd w:val="clear" w:color="auto" w:fill="auto"/>
            <w:hideMark/>
          </w:tcPr>
          <w:p w:rsidR="00412C59" w:rsidRDefault="00412C59" w:rsidP="00034CDC">
            <w:pPr>
              <w:spacing w:before="100" w:beforeAutospacing="1"/>
              <w:jc w:val="center"/>
              <w:rPr>
                <w:b/>
                <w:bCs/>
                <w:lang w:val="lv-LV" w:eastAsia="lv-LV"/>
              </w:rPr>
            </w:pPr>
            <w:r w:rsidRPr="00035560">
              <w:rPr>
                <w:b/>
                <w:bCs/>
                <w:lang w:val="lv-LV" w:eastAsia="lv-LV"/>
              </w:rPr>
              <w:t>VII. Tiesību akta projekta izpildes nodrošināšana un tās ietekme uz institūcijām</w:t>
            </w:r>
          </w:p>
          <w:p w:rsidR="00034CDC" w:rsidRPr="00035560" w:rsidRDefault="00034CDC" w:rsidP="00034CDC">
            <w:pPr>
              <w:spacing w:after="100" w:afterAutospacing="1"/>
              <w:jc w:val="center"/>
              <w:rPr>
                <w:b/>
                <w:bCs/>
                <w:lang w:val="lv-LV" w:eastAsia="lv-LV"/>
              </w:rPr>
            </w:pPr>
          </w:p>
        </w:tc>
      </w:tr>
      <w:tr w:rsidR="00412C59" w:rsidRPr="00356C9E" w:rsidTr="002033E1">
        <w:trPr>
          <w:trHeight w:val="427"/>
          <w:tblCellSpacing w:w="0" w:type="dxa"/>
        </w:trPr>
        <w:tc>
          <w:tcPr>
            <w:tcW w:w="207" w:type="pct"/>
            <w:shd w:val="clear" w:color="auto" w:fill="auto"/>
            <w:hideMark/>
          </w:tcPr>
          <w:p w:rsidR="00412C59" w:rsidRPr="00035560" w:rsidRDefault="00412C59" w:rsidP="004D5547">
            <w:pPr>
              <w:spacing w:before="100" w:beforeAutospacing="1" w:after="100" w:afterAutospacing="1"/>
              <w:jc w:val="both"/>
              <w:rPr>
                <w:lang w:val="lv-LV" w:eastAsia="lv-LV"/>
              </w:rPr>
            </w:pPr>
            <w:r w:rsidRPr="00035560">
              <w:rPr>
                <w:lang w:val="lv-LV" w:eastAsia="lv-LV"/>
              </w:rPr>
              <w:t> 1.</w:t>
            </w:r>
          </w:p>
        </w:tc>
        <w:tc>
          <w:tcPr>
            <w:tcW w:w="1545" w:type="pct"/>
            <w:shd w:val="clear" w:color="auto" w:fill="auto"/>
            <w:hideMark/>
          </w:tcPr>
          <w:p w:rsidR="00412C59" w:rsidRPr="00035560" w:rsidRDefault="00412C59" w:rsidP="004D5547">
            <w:pPr>
              <w:spacing w:before="100" w:beforeAutospacing="1" w:after="100" w:afterAutospacing="1"/>
              <w:jc w:val="both"/>
              <w:rPr>
                <w:lang w:val="lv-LV" w:eastAsia="lv-LV"/>
              </w:rPr>
            </w:pPr>
            <w:r w:rsidRPr="00035560">
              <w:rPr>
                <w:lang w:val="lv-LV" w:eastAsia="lv-LV"/>
              </w:rPr>
              <w:t> Projekta izpildē iesaistītās institūcijas</w:t>
            </w:r>
          </w:p>
        </w:tc>
        <w:tc>
          <w:tcPr>
            <w:tcW w:w="3249" w:type="pct"/>
            <w:shd w:val="clear" w:color="auto" w:fill="auto"/>
            <w:hideMark/>
          </w:tcPr>
          <w:p w:rsidR="00412C59" w:rsidRPr="00035560" w:rsidRDefault="00412C59" w:rsidP="004D5547">
            <w:pPr>
              <w:spacing w:before="100" w:beforeAutospacing="1" w:after="100" w:afterAutospacing="1"/>
              <w:jc w:val="both"/>
              <w:rPr>
                <w:lang w:val="lv-LV" w:eastAsia="lv-LV"/>
              </w:rPr>
            </w:pPr>
            <w:r w:rsidRPr="00035560">
              <w:rPr>
                <w:lang w:val="lv-LV"/>
              </w:rPr>
              <w:t>Eiropas Savienības fondu vadībā iesaistītās institūcijas</w:t>
            </w:r>
          </w:p>
        </w:tc>
      </w:tr>
      <w:tr w:rsidR="00412C59" w:rsidRPr="00356C9E" w:rsidTr="002033E1">
        <w:trPr>
          <w:trHeight w:val="463"/>
          <w:tblCellSpacing w:w="0" w:type="dxa"/>
        </w:trPr>
        <w:tc>
          <w:tcPr>
            <w:tcW w:w="207" w:type="pct"/>
            <w:shd w:val="clear" w:color="auto" w:fill="auto"/>
            <w:hideMark/>
          </w:tcPr>
          <w:p w:rsidR="00412C59" w:rsidRPr="00035560" w:rsidRDefault="00412C59" w:rsidP="004D5547">
            <w:pPr>
              <w:spacing w:before="100" w:beforeAutospacing="1" w:after="100" w:afterAutospacing="1"/>
              <w:jc w:val="both"/>
              <w:rPr>
                <w:lang w:val="lv-LV" w:eastAsia="lv-LV"/>
              </w:rPr>
            </w:pPr>
            <w:r w:rsidRPr="00035560">
              <w:rPr>
                <w:lang w:val="lv-LV" w:eastAsia="lv-LV"/>
              </w:rPr>
              <w:t> 2.</w:t>
            </w:r>
          </w:p>
        </w:tc>
        <w:tc>
          <w:tcPr>
            <w:tcW w:w="1545" w:type="pct"/>
            <w:shd w:val="clear" w:color="auto" w:fill="auto"/>
            <w:hideMark/>
          </w:tcPr>
          <w:p w:rsidR="00412C59" w:rsidRPr="00035560" w:rsidRDefault="00412C59" w:rsidP="004D5547">
            <w:pPr>
              <w:spacing w:before="100" w:beforeAutospacing="1" w:after="100" w:afterAutospacing="1"/>
              <w:jc w:val="both"/>
              <w:rPr>
                <w:lang w:val="lv-LV" w:eastAsia="lv-LV"/>
              </w:rPr>
            </w:pPr>
            <w:r w:rsidRPr="00035560">
              <w:rPr>
                <w:lang w:val="lv-LV" w:eastAsia="lv-LV"/>
              </w:rPr>
              <w:t> Projekta izpildes ietekme uz pārvaldes funkcijām</w:t>
            </w:r>
          </w:p>
        </w:tc>
        <w:tc>
          <w:tcPr>
            <w:tcW w:w="3249" w:type="pct"/>
            <w:shd w:val="clear" w:color="auto" w:fill="auto"/>
            <w:hideMark/>
          </w:tcPr>
          <w:p w:rsidR="00412C59" w:rsidRPr="00035560" w:rsidRDefault="008F7F16" w:rsidP="00A424C0">
            <w:pPr>
              <w:spacing w:before="100" w:beforeAutospacing="1" w:after="100" w:afterAutospacing="1"/>
              <w:jc w:val="both"/>
              <w:rPr>
                <w:lang w:val="lv-LV" w:eastAsia="lv-LV"/>
              </w:rPr>
            </w:pPr>
            <w:r>
              <w:rPr>
                <w:lang w:val="lv-LV" w:eastAsia="lv-LV"/>
              </w:rPr>
              <w:t xml:space="preserve">Vadošajai iestādei nostiprinātas tiesības </w:t>
            </w:r>
            <w:r>
              <w:rPr>
                <w:rFonts w:eastAsia="Calibri"/>
                <w:bCs/>
                <w:iCs/>
                <w:lang w:val="lv-LV" w:eastAsia="lv-LV"/>
              </w:rPr>
              <w:t xml:space="preserve">pieņemt lēmumu uz laiku </w:t>
            </w:r>
            <w:r w:rsidRPr="00B152F1">
              <w:rPr>
                <w:rFonts w:eastAsia="Calibri"/>
                <w:bCs/>
                <w:iCs/>
                <w:lang w:val="lv-LV" w:eastAsia="lv-LV"/>
              </w:rPr>
              <w:t xml:space="preserve">līdz </w:t>
            </w:r>
            <w:r w:rsidR="006D76F5" w:rsidRPr="00B152F1">
              <w:rPr>
                <w:rFonts w:eastAsia="Calibri"/>
                <w:bCs/>
                <w:iCs/>
                <w:lang w:val="lv-LV" w:eastAsia="lv-LV"/>
              </w:rPr>
              <w:t>attiecīgo trūkumu novēršanai</w:t>
            </w:r>
            <w:r w:rsidR="00C21F29" w:rsidRPr="00B152F1">
              <w:rPr>
                <w:iCs/>
                <w:sz w:val="28"/>
                <w:szCs w:val="28"/>
                <w:lang w:val="lv-LV"/>
              </w:rPr>
              <w:t xml:space="preserve"> </w:t>
            </w:r>
            <w:r w:rsidR="00C21F29" w:rsidRPr="00B152F1">
              <w:rPr>
                <w:iCs/>
                <w:lang w:val="lv-LV"/>
              </w:rPr>
              <w:t xml:space="preserve">apturēt turpmāku darbības programmas, prioritātes, pasākuma, aktivitātes, </w:t>
            </w:r>
            <w:proofErr w:type="spellStart"/>
            <w:r w:rsidR="00C21F29" w:rsidRPr="00B152F1">
              <w:rPr>
                <w:iCs/>
                <w:lang w:val="lv-LV"/>
              </w:rPr>
              <w:t>apakšaktivitātes</w:t>
            </w:r>
            <w:proofErr w:type="spellEnd"/>
            <w:r w:rsidR="00C21F29" w:rsidRPr="00B152F1">
              <w:rPr>
                <w:iCs/>
                <w:lang w:val="lv-LV"/>
              </w:rPr>
              <w:t xml:space="preserve"> vai projekta ietvaros veikto izdevumu </w:t>
            </w:r>
            <w:r w:rsidR="00C21F29" w:rsidRPr="00B152F1">
              <w:rPr>
                <w:iCs/>
                <w:lang w:val="lv-LV"/>
              </w:rPr>
              <w:lastRenderedPageBreak/>
              <w:t>deklarēšanu Eiropas Komisijā</w:t>
            </w:r>
            <w:r w:rsidRPr="00B152F1">
              <w:rPr>
                <w:rFonts w:eastAsia="Calibri"/>
                <w:bCs/>
                <w:iCs/>
                <w:lang w:val="lv-LV" w:eastAsia="lv-LV"/>
              </w:rPr>
              <w:t xml:space="preserve">. Savukārt atbildīgajām iestādēm un sadarbības iestādēm, ja pieņemts minētais lēmums attiecībā uz to </w:t>
            </w:r>
            <w:proofErr w:type="spellStart"/>
            <w:r w:rsidRPr="00B152F1">
              <w:rPr>
                <w:rFonts w:eastAsia="Calibri"/>
                <w:bCs/>
                <w:iCs/>
                <w:lang w:val="lv-LV" w:eastAsia="lv-LV"/>
              </w:rPr>
              <w:t>pārziņā</w:t>
            </w:r>
            <w:proofErr w:type="spellEnd"/>
            <w:r w:rsidRPr="00B152F1">
              <w:rPr>
                <w:rFonts w:eastAsia="Calibri"/>
                <w:bCs/>
                <w:iCs/>
                <w:lang w:val="lv-LV" w:eastAsia="lv-LV"/>
              </w:rPr>
              <w:t xml:space="preserve"> esošajām aktivitātēm, </w:t>
            </w:r>
            <w:proofErr w:type="spellStart"/>
            <w:r w:rsidRPr="00B152F1">
              <w:rPr>
                <w:rFonts w:eastAsia="Calibri"/>
                <w:bCs/>
                <w:iCs/>
                <w:lang w:val="lv-LV" w:eastAsia="lv-LV"/>
              </w:rPr>
              <w:t>apakšaktivitātēm</w:t>
            </w:r>
            <w:proofErr w:type="spellEnd"/>
            <w:r w:rsidRPr="00B152F1">
              <w:rPr>
                <w:rFonts w:eastAsia="Calibri"/>
                <w:bCs/>
                <w:iCs/>
                <w:lang w:val="lv-LV" w:eastAsia="lv-LV"/>
              </w:rPr>
              <w:t xml:space="preserve"> vai projektiem, izstrādāt </w:t>
            </w:r>
            <w:r w:rsidR="006D76F5" w:rsidRPr="00B152F1">
              <w:rPr>
                <w:rFonts w:eastAsia="Calibri"/>
                <w:bCs/>
                <w:iCs/>
                <w:lang w:val="lv-LV" w:eastAsia="lv-LV"/>
              </w:rPr>
              <w:t xml:space="preserve">konstatēto </w:t>
            </w:r>
            <w:r w:rsidRPr="00B152F1">
              <w:rPr>
                <w:rFonts w:eastAsia="Calibri"/>
                <w:bCs/>
                <w:iCs/>
                <w:lang w:val="lv-LV" w:eastAsia="lv-LV"/>
              </w:rPr>
              <w:t xml:space="preserve">trūkumu novēršanas rīcības plānu, saskaņot to ar vadošo iestādi un ieviest </w:t>
            </w:r>
            <w:r w:rsidR="006D76F5" w:rsidRPr="00B152F1">
              <w:rPr>
                <w:rFonts w:eastAsia="Calibri"/>
                <w:bCs/>
                <w:iCs/>
                <w:lang w:val="lv-LV" w:eastAsia="lv-LV"/>
              </w:rPr>
              <w:t xml:space="preserve">minētajā plānā </w:t>
            </w:r>
            <w:r w:rsidRPr="00B152F1">
              <w:rPr>
                <w:rFonts w:eastAsia="Calibri"/>
                <w:bCs/>
                <w:iCs/>
                <w:lang w:val="lv-LV" w:eastAsia="lv-LV"/>
              </w:rPr>
              <w:t>paredz</w:t>
            </w:r>
            <w:r w:rsidR="006D76F5" w:rsidRPr="00B152F1">
              <w:rPr>
                <w:rFonts w:eastAsia="Calibri"/>
                <w:bCs/>
                <w:iCs/>
                <w:lang w:val="lv-LV" w:eastAsia="lv-LV"/>
              </w:rPr>
              <w:t>ētos pasākumus atbilstoši plānā noteiktajiem termiņiem un kārtībai</w:t>
            </w:r>
            <w:r w:rsidRPr="00B152F1">
              <w:rPr>
                <w:rFonts w:eastAsia="Calibri"/>
                <w:bCs/>
                <w:iCs/>
                <w:lang w:val="lv-LV" w:eastAsia="lv-LV"/>
              </w:rPr>
              <w:t>.</w:t>
            </w:r>
          </w:p>
        </w:tc>
      </w:tr>
      <w:tr w:rsidR="00412C59" w:rsidRPr="00356C9E" w:rsidTr="002033E1">
        <w:trPr>
          <w:trHeight w:val="725"/>
          <w:tblCellSpacing w:w="0" w:type="dxa"/>
        </w:trPr>
        <w:tc>
          <w:tcPr>
            <w:tcW w:w="207" w:type="pct"/>
            <w:shd w:val="clear" w:color="auto" w:fill="auto"/>
            <w:hideMark/>
          </w:tcPr>
          <w:p w:rsidR="00412C59" w:rsidRPr="00035560" w:rsidRDefault="00412C59" w:rsidP="004D5547">
            <w:pPr>
              <w:spacing w:before="100" w:beforeAutospacing="1" w:after="100" w:afterAutospacing="1"/>
              <w:jc w:val="both"/>
              <w:rPr>
                <w:lang w:val="lv-LV" w:eastAsia="lv-LV"/>
              </w:rPr>
            </w:pPr>
            <w:r w:rsidRPr="00035560">
              <w:rPr>
                <w:lang w:val="lv-LV" w:eastAsia="lv-LV"/>
              </w:rPr>
              <w:lastRenderedPageBreak/>
              <w:t> 3.</w:t>
            </w:r>
          </w:p>
        </w:tc>
        <w:tc>
          <w:tcPr>
            <w:tcW w:w="1545" w:type="pct"/>
            <w:shd w:val="clear" w:color="auto" w:fill="auto"/>
            <w:hideMark/>
          </w:tcPr>
          <w:p w:rsidR="00412C59" w:rsidRPr="00035560" w:rsidRDefault="00412C59" w:rsidP="004D5547">
            <w:pPr>
              <w:spacing w:before="100" w:beforeAutospacing="1" w:after="100" w:afterAutospacing="1"/>
              <w:jc w:val="both"/>
              <w:rPr>
                <w:lang w:val="lv-LV" w:eastAsia="lv-LV"/>
              </w:rPr>
            </w:pPr>
            <w:r w:rsidRPr="00035560">
              <w:rPr>
                <w:lang w:val="lv-LV" w:eastAsia="lv-LV"/>
              </w:rPr>
              <w:t> Projekta izpildes ietekme uz pārvaldes institucionālo struktūru.</w:t>
            </w:r>
          </w:p>
          <w:p w:rsidR="00412C59" w:rsidRPr="00035560" w:rsidRDefault="00412C59" w:rsidP="004D5547">
            <w:pPr>
              <w:spacing w:before="100" w:beforeAutospacing="1" w:after="100" w:afterAutospacing="1"/>
              <w:jc w:val="both"/>
              <w:rPr>
                <w:lang w:val="lv-LV" w:eastAsia="lv-LV"/>
              </w:rPr>
            </w:pPr>
            <w:r w:rsidRPr="00035560">
              <w:rPr>
                <w:lang w:val="lv-LV" w:eastAsia="lv-LV"/>
              </w:rPr>
              <w:t>Jaunu institūciju izveide</w:t>
            </w:r>
          </w:p>
        </w:tc>
        <w:tc>
          <w:tcPr>
            <w:tcW w:w="3249" w:type="pct"/>
            <w:shd w:val="clear" w:color="auto" w:fill="auto"/>
            <w:hideMark/>
          </w:tcPr>
          <w:p w:rsidR="00412C59" w:rsidRPr="00035560" w:rsidRDefault="00412C59" w:rsidP="004D5547">
            <w:pPr>
              <w:spacing w:before="100" w:beforeAutospacing="1" w:after="100" w:afterAutospacing="1"/>
              <w:jc w:val="both"/>
              <w:rPr>
                <w:lang w:val="lv-LV" w:eastAsia="lv-LV"/>
              </w:rPr>
            </w:pPr>
            <w:r w:rsidRPr="00035560">
              <w:rPr>
                <w:lang w:val="lv-LV" w:eastAsia="lv-LV"/>
              </w:rPr>
              <w:t> MK noteikumu projekta izpildei nav nepieciešams radīt jaunas institūcijas</w:t>
            </w:r>
          </w:p>
        </w:tc>
      </w:tr>
      <w:tr w:rsidR="00412C59" w:rsidRPr="00356C9E" w:rsidTr="002033E1">
        <w:trPr>
          <w:trHeight w:val="780"/>
          <w:tblCellSpacing w:w="0" w:type="dxa"/>
        </w:trPr>
        <w:tc>
          <w:tcPr>
            <w:tcW w:w="207" w:type="pct"/>
            <w:shd w:val="clear" w:color="auto" w:fill="auto"/>
            <w:hideMark/>
          </w:tcPr>
          <w:p w:rsidR="00412C59" w:rsidRPr="00035560" w:rsidRDefault="00412C59" w:rsidP="004D5547">
            <w:pPr>
              <w:spacing w:before="100" w:beforeAutospacing="1" w:after="100" w:afterAutospacing="1"/>
              <w:jc w:val="both"/>
              <w:rPr>
                <w:lang w:val="lv-LV" w:eastAsia="lv-LV"/>
              </w:rPr>
            </w:pPr>
            <w:r w:rsidRPr="00035560">
              <w:rPr>
                <w:lang w:val="lv-LV" w:eastAsia="lv-LV"/>
              </w:rPr>
              <w:t> 4.</w:t>
            </w:r>
          </w:p>
        </w:tc>
        <w:tc>
          <w:tcPr>
            <w:tcW w:w="1545" w:type="pct"/>
            <w:shd w:val="clear" w:color="auto" w:fill="auto"/>
            <w:hideMark/>
          </w:tcPr>
          <w:p w:rsidR="00412C59" w:rsidRPr="00035560" w:rsidRDefault="00412C59" w:rsidP="004D5547">
            <w:pPr>
              <w:spacing w:before="100" w:beforeAutospacing="1" w:after="100" w:afterAutospacing="1"/>
              <w:jc w:val="both"/>
              <w:rPr>
                <w:lang w:val="lv-LV" w:eastAsia="lv-LV"/>
              </w:rPr>
            </w:pPr>
            <w:r w:rsidRPr="00035560">
              <w:rPr>
                <w:lang w:val="lv-LV" w:eastAsia="lv-LV"/>
              </w:rPr>
              <w:t> Projekta izpildes ietekme uz pārvaldes institucionālo struktūru.</w:t>
            </w:r>
          </w:p>
          <w:p w:rsidR="00412C59" w:rsidRPr="00035560" w:rsidRDefault="00412C59" w:rsidP="004D5547">
            <w:pPr>
              <w:spacing w:before="100" w:beforeAutospacing="1" w:after="100" w:afterAutospacing="1"/>
              <w:jc w:val="both"/>
              <w:rPr>
                <w:lang w:val="lv-LV" w:eastAsia="lv-LV"/>
              </w:rPr>
            </w:pPr>
            <w:r w:rsidRPr="00035560">
              <w:rPr>
                <w:lang w:val="lv-LV" w:eastAsia="lv-LV"/>
              </w:rPr>
              <w:t>Esošu institūciju likvidācija</w:t>
            </w:r>
          </w:p>
        </w:tc>
        <w:tc>
          <w:tcPr>
            <w:tcW w:w="3249" w:type="pct"/>
            <w:shd w:val="clear" w:color="auto" w:fill="auto"/>
            <w:hideMark/>
          </w:tcPr>
          <w:p w:rsidR="00412C59" w:rsidRPr="00035560" w:rsidRDefault="00412C59" w:rsidP="004D5547">
            <w:pPr>
              <w:spacing w:before="100" w:beforeAutospacing="1" w:after="100" w:afterAutospacing="1"/>
              <w:jc w:val="both"/>
              <w:rPr>
                <w:lang w:val="lv-LV" w:eastAsia="lv-LV"/>
              </w:rPr>
            </w:pPr>
            <w:r w:rsidRPr="00035560">
              <w:rPr>
                <w:lang w:val="lv-LV" w:eastAsia="lv-LV"/>
              </w:rPr>
              <w:t> MK n</w:t>
            </w:r>
            <w:r w:rsidRPr="00035560">
              <w:rPr>
                <w:lang w:val="lv-LV"/>
              </w:rPr>
              <w:t>oteikumu projekta izpildei nav nepieciešams likvidēt esošās institūcijas</w:t>
            </w:r>
          </w:p>
        </w:tc>
      </w:tr>
      <w:tr w:rsidR="00412C59" w:rsidRPr="00356C9E" w:rsidTr="002033E1">
        <w:trPr>
          <w:trHeight w:val="703"/>
          <w:tblCellSpacing w:w="0" w:type="dxa"/>
        </w:trPr>
        <w:tc>
          <w:tcPr>
            <w:tcW w:w="207" w:type="pct"/>
            <w:shd w:val="clear" w:color="auto" w:fill="auto"/>
            <w:hideMark/>
          </w:tcPr>
          <w:p w:rsidR="00412C59" w:rsidRPr="00035560" w:rsidRDefault="00412C59" w:rsidP="004D5547">
            <w:pPr>
              <w:spacing w:before="100" w:beforeAutospacing="1" w:after="100" w:afterAutospacing="1"/>
              <w:jc w:val="both"/>
              <w:rPr>
                <w:lang w:val="lv-LV" w:eastAsia="lv-LV"/>
              </w:rPr>
            </w:pPr>
            <w:r w:rsidRPr="00035560">
              <w:rPr>
                <w:lang w:val="lv-LV" w:eastAsia="lv-LV"/>
              </w:rPr>
              <w:t> 5.</w:t>
            </w:r>
          </w:p>
        </w:tc>
        <w:tc>
          <w:tcPr>
            <w:tcW w:w="1545" w:type="pct"/>
            <w:shd w:val="clear" w:color="auto" w:fill="auto"/>
            <w:hideMark/>
          </w:tcPr>
          <w:p w:rsidR="00412C59" w:rsidRPr="00035560" w:rsidRDefault="00412C59" w:rsidP="004D5547">
            <w:pPr>
              <w:spacing w:before="100" w:beforeAutospacing="1" w:after="100" w:afterAutospacing="1"/>
              <w:jc w:val="both"/>
              <w:rPr>
                <w:lang w:val="lv-LV" w:eastAsia="lv-LV"/>
              </w:rPr>
            </w:pPr>
            <w:r w:rsidRPr="00035560">
              <w:rPr>
                <w:lang w:val="lv-LV" w:eastAsia="lv-LV"/>
              </w:rPr>
              <w:t> Projekta izpildes ietekme uz pārvaldes institucionālo struktūru.</w:t>
            </w:r>
          </w:p>
          <w:p w:rsidR="00412C59" w:rsidRPr="00035560" w:rsidRDefault="00412C59" w:rsidP="004D5547">
            <w:pPr>
              <w:spacing w:before="100" w:beforeAutospacing="1" w:after="100" w:afterAutospacing="1"/>
              <w:jc w:val="both"/>
              <w:rPr>
                <w:lang w:val="lv-LV" w:eastAsia="lv-LV"/>
              </w:rPr>
            </w:pPr>
            <w:r w:rsidRPr="00035560">
              <w:rPr>
                <w:lang w:val="lv-LV" w:eastAsia="lv-LV"/>
              </w:rPr>
              <w:t>Esošu institūciju reorganizācija</w:t>
            </w:r>
          </w:p>
        </w:tc>
        <w:tc>
          <w:tcPr>
            <w:tcW w:w="3249" w:type="pct"/>
            <w:shd w:val="clear" w:color="auto" w:fill="auto"/>
            <w:hideMark/>
          </w:tcPr>
          <w:p w:rsidR="00412C59" w:rsidRPr="00085B1F" w:rsidRDefault="00412C59" w:rsidP="004D5547">
            <w:pPr>
              <w:pStyle w:val="Footer"/>
              <w:tabs>
                <w:tab w:val="clear" w:pos="4153"/>
                <w:tab w:val="clear" w:pos="8306"/>
              </w:tabs>
              <w:snapToGrid/>
              <w:jc w:val="both"/>
              <w:rPr>
                <w:rFonts w:ascii="Times New Roman" w:eastAsia="Arial Unicode MS" w:hAnsi="Times New Roman"/>
                <w:sz w:val="24"/>
                <w:szCs w:val="24"/>
                <w:lang w:val="lv-LV"/>
              </w:rPr>
            </w:pPr>
            <w:r w:rsidRPr="00085B1F">
              <w:rPr>
                <w:rFonts w:ascii="Times New Roman" w:hAnsi="Times New Roman"/>
                <w:sz w:val="24"/>
                <w:szCs w:val="24"/>
                <w:lang w:val="lv-LV"/>
              </w:rPr>
              <w:t>MK noteikumu projekta izpildei nav nepieciešams reorganizēt esošās institūcijas.</w:t>
            </w:r>
          </w:p>
        </w:tc>
      </w:tr>
      <w:tr w:rsidR="00412C59" w:rsidRPr="00035560" w:rsidTr="002033E1">
        <w:trPr>
          <w:trHeight w:val="476"/>
          <w:tblCellSpacing w:w="0" w:type="dxa"/>
        </w:trPr>
        <w:tc>
          <w:tcPr>
            <w:tcW w:w="207" w:type="pct"/>
            <w:shd w:val="clear" w:color="auto" w:fill="auto"/>
            <w:hideMark/>
          </w:tcPr>
          <w:p w:rsidR="00412C59" w:rsidRPr="00035560" w:rsidRDefault="00412C59" w:rsidP="004D5547">
            <w:pPr>
              <w:spacing w:before="100" w:beforeAutospacing="1" w:after="100" w:afterAutospacing="1"/>
              <w:jc w:val="both"/>
              <w:rPr>
                <w:lang w:val="lv-LV" w:eastAsia="lv-LV"/>
              </w:rPr>
            </w:pPr>
            <w:r w:rsidRPr="00035560">
              <w:rPr>
                <w:lang w:val="lv-LV" w:eastAsia="lv-LV"/>
              </w:rPr>
              <w:t> 6.</w:t>
            </w:r>
          </w:p>
        </w:tc>
        <w:tc>
          <w:tcPr>
            <w:tcW w:w="1545" w:type="pct"/>
            <w:shd w:val="clear" w:color="auto" w:fill="auto"/>
            <w:hideMark/>
          </w:tcPr>
          <w:p w:rsidR="00412C59" w:rsidRPr="00035560" w:rsidRDefault="00412C59" w:rsidP="004D5547">
            <w:pPr>
              <w:spacing w:before="100" w:beforeAutospacing="1" w:after="100" w:afterAutospacing="1"/>
              <w:jc w:val="both"/>
              <w:rPr>
                <w:lang w:val="lv-LV" w:eastAsia="lv-LV"/>
              </w:rPr>
            </w:pPr>
            <w:r w:rsidRPr="00035560">
              <w:rPr>
                <w:lang w:val="lv-LV" w:eastAsia="lv-LV"/>
              </w:rPr>
              <w:t> Cita informācija</w:t>
            </w:r>
          </w:p>
        </w:tc>
        <w:tc>
          <w:tcPr>
            <w:tcW w:w="3249" w:type="pct"/>
            <w:shd w:val="clear" w:color="auto" w:fill="auto"/>
            <w:hideMark/>
          </w:tcPr>
          <w:p w:rsidR="00412C59" w:rsidRPr="00035560" w:rsidRDefault="00412C59" w:rsidP="004D5547">
            <w:pPr>
              <w:jc w:val="both"/>
              <w:rPr>
                <w:rFonts w:eastAsia="Arial Unicode MS"/>
                <w:lang w:val="lv-LV"/>
              </w:rPr>
            </w:pPr>
            <w:r w:rsidRPr="00035560">
              <w:rPr>
                <w:rFonts w:eastAsia="Arial Unicode MS"/>
                <w:lang w:val="lv-LV"/>
              </w:rPr>
              <w:t>Nav</w:t>
            </w:r>
          </w:p>
        </w:tc>
      </w:tr>
    </w:tbl>
    <w:p w:rsidR="008F62B8" w:rsidRDefault="00F5103B" w:rsidP="0046366B">
      <w:pPr>
        <w:pStyle w:val="Heading1"/>
        <w:keepNext w:val="0"/>
        <w:widowControl w:val="0"/>
        <w:jc w:val="both"/>
        <w:rPr>
          <w:b w:val="0"/>
          <w:sz w:val="24"/>
          <w:lang w:eastAsia="lv-LV"/>
        </w:rPr>
      </w:pPr>
      <w:r w:rsidRPr="00B152F1">
        <w:rPr>
          <w:b w:val="0"/>
          <w:sz w:val="24"/>
          <w:lang w:eastAsia="lv-LV"/>
        </w:rPr>
        <w:t>Anotācijas</w:t>
      </w:r>
      <w:r w:rsidR="00C65899" w:rsidRPr="00B152F1">
        <w:rPr>
          <w:b w:val="0"/>
          <w:sz w:val="24"/>
          <w:lang w:eastAsia="lv-LV"/>
        </w:rPr>
        <w:t xml:space="preserve"> </w:t>
      </w:r>
      <w:r w:rsidR="00C21F29" w:rsidRPr="00B152F1">
        <w:rPr>
          <w:b w:val="0"/>
          <w:sz w:val="24"/>
          <w:lang w:eastAsia="lv-LV"/>
        </w:rPr>
        <w:t xml:space="preserve">II, </w:t>
      </w:r>
      <w:r w:rsidR="007946F6" w:rsidRPr="00B152F1">
        <w:rPr>
          <w:b w:val="0"/>
          <w:sz w:val="24"/>
          <w:lang w:eastAsia="lv-LV"/>
        </w:rPr>
        <w:t>III</w:t>
      </w:r>
      <w:r w:rsidR="007946F6" w:rsidRPr="00035560">
        <w:rPr>
          <w:b w:val="0"/>
          <w:sz w:val="24"/>
          <w:lang w:eastAsia="lv-LV"/>
        </w:rPr>
        <w:t xml:space="preserve">, IV, </w:t>
      </w:r>
      <w:r w:rsidR="008028F6" w:rsidRPr="00035560">
        <w:rPr>
          <w:b w:val="0"/>
          <w:sz w:val="24"/>
          <w:lang w:eastAsia="lv-LV"/>
        </w:rPr>
        <w:t xml:space="preserve">V, VI sadaļa – </w:t>
      </w:r>
      <w:r w:rsidR="00830485">
        <w:rPr>
          <w:b w:val="0"/>
          <w:sz w:val="24"/>
          <w:lang w:eastAsia="lv-LV"/>
        </w:rPr>
        <w:t>projekts šo jomu neskar</w:t>
      </w:r>
      <w:r w:rsidR="008028F6" w:rsidRPr="00035560">
        <w:rPr>
          <w:b w:val="0"/>
          <w:sz w:val="24"/>
          <w:lang w:eastAsia="lv-LV"/>
        </w:rPr>
        <w:t>.</w:t>
      </w:r>
    </w:p>
    <w:p w:rsidR="008F62B8" w:rsidRDefault="008F62B8" w:rsidP="00B152F1">
      <w:pPr>
        <w:pStyle w:val="Heading1"/>
        <w:keepNext w:val="0"/>
        <w:widowControl w:val="0"/>
        <w:jc w:val="left"/>
        <w:rPr>
          <w:b w:val="0"/>
          <w:sz w:val="24"/>
        </w:rPr>
      </w:pPr>
    </w:p>
    <w:p w:rsidR="00775B0E" w:rsidRDefault="00775B0E" w:rsidP="0046366B">
      <w:pPr>
        <w:pStyle w:val="Heading1"/>
        <w:keepNext w:val="0"/>
        <w:widowControl w:val="0"/>
        <w:jc w:val="left"/>
        <w:rPr>
          <w:b w:val="0"/>
          <w:sz w:val="24"/>
        </w:rPr>
      </w:pPr>
    </w:p>
    <w:p w:rsidR="00775B0E" w:rsidRDefault="00775B0E" w:rsidP="0046366B">
      <w:pPr>
        <w:pStyle w:val="Heading1"/>
        <w:keepNext w:val="0"/>
        <w:widowControl w:val="0"/>
        <w:jc w:val="left"/>
        <w:rPr>
          <w:b w:val="0"/>
          <w:sz w:val="24"/>
        </w:rPr>
      </w:pPr>
    </w:p>
    <w:p w:rsidR="00775B0E" w:rsidRDefault="00775B0E" w:rsidP="0046366B">
      <w:pPr>
        <w:pStyle w:val="Heading1"/>
        <w:keepNext w:val="0"/>
        <w:widowControl w:val="0"/>
        <w:jc w:val="left"/>
        <w:rPr>
          <w:b w:val="0"/>
          <w:sz w:val="24"/>
        </w:rPr>
      </w:pPr>
    </w:p>
    <w:p w:rsidR="008F62B8" w:rsidRPr="001C227F" w:rsidRDefault="00DB6E78" w:rsidP="001C227F">
      <w:pPr>
        <w:pStyle w:val="Heading1"/>
        <w:keepNext w:val="0"/>
        <w:widowControl w:val="0"/>
        <w:jc w:val="left"/>
        <w:rPr>
          <w:rStyle w:val="Hyperlink"/>
          <w:b w:val="0"/>
          <w:color w:val="auto"/>
          <w:sz w:val="24"/>
          <w:u w:val="none"/>
        </w:rPr>
      </w:pPr>
      <w:r w:rsidRPr="00035560">
        <w:rPr>
          <w:b w:val="0"/>
          <w:sz w:val="24"/>
        </w:rPr>
        <w:t xml:space="preserve">Finanšu </w:t>
      </w:r>
      <w:r w:rsidR="00C35D18">
        <w:rPr>
          <w:b w:val="0"/>
          <w:sz w:val="24"/>
        </w:rPr>
        <w:t>ministrs</w:t>
      </w:r>
      <w:r w:rsidR="001C227F">
        <w:rPr>
          <w:b w:val="0"/>
          <w:sz w:val="24"/>
        </w:rPr>
        <w:tab/>
      </w:r>
      <w:r w:rsidR="001C227F">
        <w:rPr>
          <w:b w:val="0"/>
          <w:sz w:val="24"/>
        </w:rPr>
        <w:tab/>
      </w:r>
      <w:r w:rsidR="001C227F">
        <w:rPr>
          <w:b w:val="0"/>
          <w:sz w:val="24"/>
        </w:rPr>
        <w:tab/>
      </w:r>
      <w:r w:rsidR="001C227F">
        <w:rPr>
          <w:b w:val="0"/>
          <w:sz w:val="24"/>
        </w:rPr>
        <w:tab/>
      </w:r>
      <w:r w:rsidR="001C227F">
        <w:rPr>
          <w:b w:val="0"/>
          <w:sz w:val="24"/>
        </w:rPr>
        <w:tab/>
      </w:r>
      <w:r w:rsidR="001C227F">
        <w:rPr>
          <w:b w:val="0"/>
          <w:sz w:val="24"/>
        </w:rPr>
        <w:tab/>
      </w:r>
      <w:r w:rsidR="001C227F">
        <w:rPr>
          <w:b w:val="0"/>
          <w:sz w:val="24"/>
        </w:rPr>
        <w:tab/>
      </w:r>
      <w:r w:rsidR="001C227F">
        <w:rPr>
          <w:b w:val="0"/>
          <w:sz w:val="24"/>
        </w:rPr>
        <w:tab/>
      </w:r>
      <w:r w:rsidR="001C227F">
        <w:rPr>
          <w:b w:val="0"/>
          <w:sz w:val="24"/>
        </w:rPr>
        <w:tab/>
        <w:t>A.Vilks</w:t>
      </w:r>
    </w:p>
    <w:p w:rsidR="00D378DB" w:rsidRDefault="00D378DB" w:rsidP="00717A3E">
      <w:pPr>
        <w:pStyle w:val="NoSpacing"/>
        <w:jc w:val="both"/>
        <w:rPr>
          <w:rStyle w:val="Hyperlink"/>
          <w:rFonts w:ascii="Times New Roman" w:hAnsi="Times New Roman"/>
          <w:color w:val="auto"/>
          <w:sz w:val="20"/>
          <w:szCs w:val="20"/>
          <w:u w:val="none"/>
        </w:rPr>
      </w:pPr>
    </w:p>
    <w:p w:rsidR="00D378DB" w:rsidRDefault="00D378DB" w:rsidP="00717A3E">
      <w:pPr>
        <w:pStyle w:val="NoSpacing"/>
        <w:jc w:val="both"/>
        <w:rPr>
          <w:rStyle w:val="Hyperlink"/>
          <w:rFonts w:ascii="Times New Roman" w:hAnsi="Times New Roman"/>
          <w:color w:val="auto"/>
          <w:sz w:val="20"/>
          <w:szCs w:val="20"/>
          <w:u w:val="none"/>
        </w:rPr>
      </w:pPr>
    </w:p>
    <w:p w:rsidR="00D378DB" w:rsidRDefault="00D378DB" w:rsidP="00717A3E">
      <w:pPr>
        <w:pStyle w:val="NoSpacing"/>
        <w:jc w:val="both"/>
        <w:rPr>
          <w:rStyle w:val="Hyperlink"/>
          <w:rFonts w:ascii="Times New Roman" w:hAnsi="Times New Roman"/>
          <w:color w:val="auto"/>
          <w:sz w:val="20"/>
          <w:szCs w:val="20"/>
          <w:u w:val="none"/>
        </w:rPr>
      </w:pPr>
    </w:p>
    <w:p w:rsidR="00D378DB" w:rsidRDefault="00D378DB" w:rsidP="00717A3E">
      <w:pPr>
        <w:pStyle w:val="NoSpacing"/>
        <w:jc w:val="both"/>
        <w:rPr>
          <w:rStyle w:val="Hyperlink"/>
          <w:rFonts w:ascii="Times New Roman" w:hAnsi="Times New Roman"/>
          <w:color w:val="auto"/>
          <w:sz w:val="20"/>
          <w:szCs w:val="20"/>
          <w:u w:val="none"/>
        </w:rPr>
      </w:pPr>
    </w:p>
    <w:p w:rsidR="00D378DB" w:rsidRDefault="00D378DB" w:rsidP="00717A3E">
      <w:pPr>
        <w:pStyle w:val="NoSpacing"/>
        <w:jc w:val="both"/>
        <w:rPr>
          <w:rStyle w:val="Hyperlink"/>
          <w:rFonts w:ascii="Times New Roman" w:hAnsi="Times New Roman"/>
          <w:color w:val="auto"/>
          <w:sz w:val="20"/>
          <w:szCs w:val="20"/>
          <w:u w:val="none"/>
        </w:rPr>
      </w:pPr>
    </w:p>
    <w:p w:rsidR="00D378DB" w:rsidRDefault="00D378DB" w:rsidP="00717A3E">
      <w:pPr>
        <w:pStyle w:val="NoSpacing"/>
        <w:jc w:val="both"/>
        <w:rPr>
          <w:rStyle w:val="Hyperlink"/>
          <w:rFonts w:ascii="Times New Roman" w:hAnsi="Times New Roman"/>
          <w:color w:val="auto"/>
          <w:sz w:val="20"/>
          <w:szCs w:val="20"/>
          <w:u w:val="none"/>
        </w:rPr>
      </w:pPr>
    </w:p>
    <w:p w:rsidR="00D378DB" w:rsidRDefault="00D378DB" w:rsidP="00717A3E">
      <w:pPr>
        <w:pStyle w:val="NoSpacing"/>
        <w:jc w:val="both"/>
        <w:rPr>
          <w:rStyle w:val="Hyperlink"/>
          <w:rFonts w:ascii="Times New Roman" w:hAnsi="Times New Roman"/>
          <w:color w:val="auto"/>
          <w:sz w:val="20"/>
          <w:szCs w:val="20"/>
          <w:u w:val="none"/>
        </w:rPr>
      </w:pPr>
    </w:p>
    <w:p w:rsidR="008F62B8" w:rsidRPr="004F6451" w:rsidRDefault="001C227F" w:rsidP="00717A3E">
      <w:pPr>
        <w:pStyle w:val="NoSpacing"/>
        <w:jc w:val="both"/>
        <w:rPr>
          <w:rStyle w:val="Hyperlink"/>
          <w:rFonts w:ascii="Times New Roman" w:hAnsi="Times New Roman"/>
          <w:color w:val="auto"/>
          <w:sz w:val="20"/>
          <w:szCs w:val="20"/>
          <w:u w:val="none"/>
        </w:rPr>
      </w:pPr>
      <w:r>
        <w:rPr>
          <w:rStyle w:val="Hyperlink"/>
          <w:rFonts w:ascii="Times New Roman" w:hAnsi="Times New Roman"/>
          <w:color w:val="auto"/>
          <w:sz w:val="20"/>
          <w:szCs w:val="20"/>
          <w:u w:val="none"/>
        </w:rPr>
        <w:t>30</w:t>
      </w:r>
      <w:r w:rsidR="00CB4BD1">
        <w:rPr>
          <w:rStyle w:val="Hyperlink"/>
          <w:rFonts w:ascii="Times New Roman" w:hAnsi="Times New Roman"/>
          <w:color w:val="auto"/>
          <w:sz w:val="20"/>
          <w:szCs w:val="20"/>
          <w:u w:val="none"/>
        </w:rPr>
        <w:t>.03.12. 15</w:t>
      </w:r>
      <w:r w:rsidR="008F62B8" w:rsidRPr="004F6451">
        <w:rPr>
          <w:rStyle w:val="Hyperlink"/>
          <w:rFonts w:ascii="Times New Roman" w:hAnsi="Times New Roman"/>
          <w:color w:val="auto"/>
          <w:sz w:val="20"/>
          <w:szCs w:val="20"/>
          <w:u w:val="none"/>
        </w:rPr>
        <w:t>:</w:t>
      </w:r>
      <w:r w:rsidR="00C35D18">
        <w:rPr>
          <w:rStyle w:val="Hyperlink"/>
          <w:rFonts w:ascii="Times New Roman" w:hAnsi="Times New Roman"/>
          <w:color w:val="auto"/>
          <w:sz w:val="20"/>
          <w:szCs w:val="20"/>
          <w:u w:val="none"/>
        </w:rPr>
        <w:t>19</w:t>
      </w:r>
    </w:p>
    <w:p w:rsidR="008F62B8" w:rsidRDefault="008F62B8" w:rsidP="00717A3E">
      <w:pPr>
        <w:pStyle w:val="NoSpacing"/>
        <w:jc w:val="both"/>
        <w:rPr>
          <w:rStyle w:val="Hyperlink"/>
          <w:rFonts w:ascii="Times New Roman" w:hAnsi="Times New Roman"/>
          <w:color w:val="auto"/>
          <w:sz w:val="20"/>
          <w:szCs w:val="20"/>
          <w:u w:val="none"/>
        </w:rPr>
      </w:pPr>
      <w:r w:rsidRPr="004F6451">
        <w:rPr>
          <w:rStyle w:val="Hyperlink"/>
          <w:rFonts w:ascii="Times New Roman" w:hAnsi="Times New Roman"/>
          <w:color w:val="auto"/>
          <w:sz w:val="20"/>
          <w:szCs w:val="20"/>
          <w:u w:val="none"/>
        </w:rPr>
        <w:t>1 </w:t>
      </w:r>
      <w:r w:rsidR="001C227F">
        <w:rPr>
          <w:rStyle w:val="Hyperlink"/>
          <w:rFonts w:ascii="Times New Roman" w:hAnsi="Times New Roman"/>
          <w:color w:val="auto"/>
          <w:sz w:val="20"/>
          <w:szCs w:val="20"/>
          <w:u w:val="none"/>
        </w:rPr>
        <w:t>38</w:t>
      </w:r>
      <w:r w:rsidR="00C35D18">
        <w:rPr>
          <w:rStyle w:val="Hyperlink"/>
          <w:rFonts w:ascii="Times New Roman" w:hAnsi="Times New Roman"/>
          <w:color w:val="auto"/>
          <w:sz w:val="20"/>
          <w:szCs w:val="20"/>
          <w:u w:val="none"/>
        </w:rPr>
        <w:t>3</w:t>
      </w:r>
    </w:p>
    <w:p w:rsidR="008F62B8" w:rsidRDefault="008F62B8" w:rsidP="00717A3E">
      <w:pPr>
        <w:pStyle w:val="NoSpacing"/>
        <w:jc w:val="both"/>
        <w:rPr>
          <w:rStyle w:val="Hyperlink"/>
          <w:rFonts w:ascii="Times New Roman" w:hAnsi="Times New Roman"/>
          <w:color w:val="auto"/>
          <w:sz w:val="20"/>
          <w:szCs w:val="20"/>
          <w:u w:val="none"/>
        </w:rPr>
      </w:pPr>
      <w:r>
        <w:rPr>
          <w:rStyle w:val="Hyperlink"/>
          <w:rFonts w:ascii="Times New Roman" w:hAnsi="Times New Roman"/>
          <w:color w:val="auto"/>
          <w:sz w:val="20"/>
          <w:szCs w:val="20"/>
          <w:u w:val="none"/>
        </w:rPr>
        <w:t>Z.Logina</w:t>
      </w:r>
    </w:p>
    <w:p w:rsidR="008F62B8" w:rsidRPr="008F62B8" w:rsidRDefault="008F62B8" w:rsidP="00717A3E">
      <w:pPr>
        <w:pStyle w:val="NoSpacing"/>
        <w:jc w:val="both"/>
        <w:rPr>
          <w:rStyle w:val="Hyperlink"/>
          <w:rFonts w:ascii="Times New Roman" w:hAnsi="Times New Roman"/>
          <w:color w:val="auto"/>
          <w:sz w:val="20"/>
          <w:szCs w:val="20"/>
          <w:u w:val="none"/>
        </w:rPr>
      </w:pPr>
      <w:r>
        <w:rPr>
          <w:rStyle w:val="Hyperlink"/>
          <w:rFonts w:ascii="Times New Roman" w:hAnsi="Times New Roman"/>
          <w:color w:val="auto"/>
          <w:sz w:val="20"/>
          <w:szCs w:val="20"/>
          <w:u w:val="none"/>
        </w:rPr>
        <w:t xml:space="preserve">67083936, </w:t>
      </w:r>
      <w:hyperlink r:id="rId9" w:history="1">
        <w:r w:rsidRPr="003423A0">
          <w:rPr>
            <w:rStyle w:val="Hyperlink"/>
            <w:rFonts w:ascii="Times New Roman" w:hAnsi="Times New Roman"/>
            <w:sz w:val="20"/>
            <w:szCs w:val="20"/>
          </w:rPr>
          <w:t>Zane.Logina@fm.gov.lv</w:t>
        </w:r>
      </w:hyperlink>
      <w:r>
        <w:rPr>
          <w:rStyle w:val="Hyperlink"/>
          <w:rFonts w:ascii="Times New Roman" w:hAnsi="Times New Roman"/>
          <w:color w:val="auto"/>
          <w:sz w:val="20"/>
          <w:szCs w:val="20"/>
          <w:u w:val="none"/>
        </w:rPr>
        <w:t xml:space="preserve"> </w:t>
      </w:r>
    </w:p>
    <w:p w:rsidR="008F62B8" w:rsidRDefault="008F62B8" w:rsidP="00717A3E">
      <w:pPr>
        <w:pStyle w:val="NoSpacing"/>
        <w:jc w:val="both"/>
        <w:rPr>
          <w:rStyle w:val="Hyperlink"/>
          <w:rFonts w:ascii="Times New Roman" w:hAnsi="Times New Roman"/>
          <w:sz w:val="20"/>
          <w:szCs w:val="20"/>
        </w:rPr>
      </w:pPr>
      <w:bookmarkStart w:id="2" w:name="_GoBack"/>
      <w:bookmarkEnd w:id="2"/>
    </w:p>
    <w:p w:rsidR="008F62B8" w:rsidRDefault="008F62B8" w:rsidP="00717A3E">
      <w:pPr>
        <w:pStyle w:val="NoSpacing"/>
        <w:jc w:val="both"/>
        <w:rPr>
          <w:rStyle w:val="Hyperlink"/>
          <w:rFonts w:ascii="Times New Roman" w:hAnsi="Times New Roman"/>
          <w:sz w:val="20"/>
          <w:szCs w:val="20"/>
        </w:rPr>
      </w:pPr>
    </w:p>
    <w:p w:rsidR="008F62B8" w:rsidRDefault="008F62B8" w:rsidP="00717A3E">
      <w:pPr>
        <w:pStyle w:val="NoSpacing"/>
        <w:jc w:val="both"/>
        <w:rPr>
          <w:rStyle w:val="Hyperlink"/>
          <w:rFonts w:ascii="Times New Roman" w:hAnsi="Times New Roman"/>
          <w:sz w:val="20"/>
          <w:szCs w:val="20"/>
        </w:rPr>
      </w:pPr>
    </w:p>
    <w:sectPr w:rsidR="008F62B8" w:rsidSect="00A355C3">
      <w:headerReference w:type="even" r:id="rId10"/>
      <w:headerReference w:type="default" r:id="rId11"/>
      <w:footerReference w:type="default" r:id="rId12"/>
      <w:footerReference w:type="first" r:id="rId13"/>
      <w:pgSz w:w="11906" w:h="16838" w:code="9"/>
      <w:pgMar w:top="1418" w:right="1416"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3E1" w:rsidRDefault="002033E1">
      <w:r>
        <w:separator/>
      </w:r>
    </w:p>
  </w:endnote>
  <w:endnote w:type="continuationSeparator" w:id="0">
    <w:p w:rsidR="002033E1" w:rsidRDefault="00203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RimTimes">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3E1" w:rsidRPr="00035560" w:rsidRDefault="002033E1" w:rsidP="00035560">
    <w:pPr>
      <w:jc w:val="both"/>
      <w:rPr>
        <w:bCs/>
        <w:sz w:val="20"/>
        <w:szCs w:val="20"/>
        <w:lang w:val="lv-LV" w:eastAsia="lv-LV"/>
      </w:rPr>
    </w:pPr>
    <w:r w:rsidRPr="004075CF">
      <w:rPr>
        <w:bCs/>
        <w:sz w:val="20"/>
        <w:szCs w:val="20"/>
        <w:lang w:val="lv-LV" w:eastAsia="lv-LV"/>
      </w:rPr>
      <w:t>F</w:t>
    </w:r>
    <w:r w:rsidR="00CE401B">
      <w:rPr>
        <w:bCs/>
        <w:sz w:val="20"/>
        <w:szCs w:val="20"/>
        <w:lang w:val="lv-LV" w:eastAsia="lv-LV"/>
      </w:rPr>
      <w:t>MAnot_28</w:t>
    </w:r>
    <w:r>
      <w:rPr>
        <w:bCs/>
        <w:sz w:val="20"/>
        <w:szCs w:val="20"/>
        <w:lang w:val="lv-LV" w:eastAsia="lv-LV"/>
      </w:rPr>
      <w:t>0312_1041_aptur;</w:t>
    </w:r>
    <w:r w:rsidRPr="00C46656">
      <w:rPr>
        <w:bCs/>
        <w:sz w:val="20"/>
        <w:szCs w:val="20"/>
        <w:lang w:val="lv-LV" w:eastAsia="lv-LV"/>
      </w:rPr>
      <w:t xml:space="preserve"> Anotācija Ministru kabineta noteikumu projektam „</w:t>
    </w:r>
    <w:r w:rsidRPr="00AC1306">
      <w:rPr>
        <w:bCs/>
        <w:sz w:val="20"/>
        <w:szCs w:val="20"/>
        <w:lang w:val="lv-LV" w:eastAsia="lv-LV"/>
      </w:rPr>
      <w:t>Grozījum</w:t>
    </w:r>
    <w:r>
      <w:rPr>
        <w:bCs/>
        <w:sz w:val="20"/>
        <w:szCs w:val="20"/>
        <w:lang w:val="lv-LV" w:eastAsia="lv-LV"/>
      </w:rPr>
      <w:t>s</w:t>
    </w:r>
    <w:r w:rsidRPr="00AC1306">
      <w:rPr>
        <w:bCs/>
        <w:sz w:val="20"/>
        <w:szCs w:val="20"/>
        <w:lang w:val="lv-LV" w:eastAsia="lv-LV"/>
      </w:rPr>
      <w:t xml:space="preserve"> Ministru kabineta 2010.gada 9.novembra noteikumos Nr.1014 „Kārtība, kādā paredzami valsts budžeta līdzekļi Eiropas Savienības struktūrfondu un Kohēzijas fonda līdzfinansēto projektu īstenošanai, kā arī maksājumu veikšanas un izdevumu deklar</w:t>
    </w:r>
    <w:r>
      <w:rPr>
        <w:bCs/>
        <w:sz w:val="20"/>
        <w:szCs w:val="20"/>
        <w:lang w:val="lv-LV" w:eastAsia="lv-LV"/>
      </w:rPr>
      <w:t>ācijas sagatavošanas kārtība””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3E1" w:rsidRPr="00C46656" w:rsidRDefault="002033E1" w:rsidP="00B23705">
    <w:pPr>
      <w:jc w:val="both"/>
      <w:rPr>
        <w:bCs/>
        <w:sz w:val="20"/>
        <w:szCs w:val="20"/>
        <w:lang w:val="lv-LV" w:eastAsia="lv-LV"/>
      </w:rPr>
    </w:pPr>
    <w:r w:rsidRPr="00D05725">
      <w:rPr>
        <w:bCs/>
        <w:sz w:val="20"/>
        <w:szCs w:val="20"/>
        <w:lang w:val="lv-LV" w:eastAsia="lv-LV"/>
      </w:rPr>
      <w:t>F</w:t>
    </w:r>
    <w:r w:rsidR="00CE401B" w:rsidRPr="00D05725">
      <w:rPr>
        <w:bCs/>
        <w:sz w:val="20"/>
        <w:szCs w:val="20"/>
        <w:lang w:val="lv-LV" w:eastAsia="lv-LV"/>
      </w:rPr>
      <w:t>MAnot_28</w:t>
    </w:r>
    <w:r w:rsidRPr="00D05725">
      <w:rPr>
        <w:bCs/>
        <w:sz w:val="20"/>
        <w:szCs w:val="20"/>
        <w:lang w:val="lv-LV" w:eastAsia="lv-LV"/>
      </w:rPr>
      <w:t>0312_1041_aptur;</w:t>
    </w:r>
    <w:r w:rsidRPr="00C46656">
      <w:rPr>
        <w:bCs/>
        <w:sz w:val="20"/>
        <w:szCs w:val="20"/>
        <w:lang w:val="lv-LV" w:eastAsia="lv-LV"/>
      </w:rPr>
      <w:t xml:space="preserve"> Anotācija Ministru kabineta noteikumu projektam „</w:t>
    </w:r>
    <w:r w:rsidRPr="00AC1306">
      <w:rPr>
        <w:bCs/>
        <w:sz w:val="20"/>
        <w:szCs w:val="20"/>
        <w:lang w:val="lv-LV" w:eastAsia="lv-LV"/>
      </w:rPr>
      <w:t>Grozījum</w:t>
    </w:r>
    <w:r>
      <w:rPr>
        <w:bCs/>
        <w:sz w:val="20"/>
        <w:szCs w:val="20"/>
        <w:lang w:val="lv-LV" w:eastAsia="lv-LV"/>
      </w:rPr>
      <w:t>s</w:t>
    </w:r>
    <w:r w:rsidRPr="00AC1306">
      <w:rPr>
        <w:bCs/>
        <w:sz w:val="20"/>
        <w:szCs w:val="20"/>
        <w:lang w:val="lv-LV" w:eastAsia="lv-LV"/>
      </w:rPr>
      <w:t xml:space="preserve"> Ministru kabineta 2010.gada 9.novembra noteikumos Nr.1014 „Kārtība, kādā paredzami valsts budžeta līdzekļi Eiropas Savienības struktūrfondu un Kohēzijas fonda līdzfinansēto projektu īstenošanai, kā arī maksājumu veikšanas un izdevumu deklarācijas sagatavošanas kārtība””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3E1" w:rsidRDefault="002033E1">
      <w:r>
        <w:separator/>
      </w:r>
    </w:p>
  </w:footnote>
  <w:footnote w:type="continuationSeparator" w:id="0">
    <w:p w:rsidR="002033E1" w:rsidRDefault="002033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3E1" w:rsidRDefault="002033E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033E1" w:rsidRDefault="002033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3E1" w:rsidRDefault="002033E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35D18">
      <w:rPr>
        <w:rStyle w:val="PageNumber"/>
        <w:noProof/>
      </w:rPr>
      <w:t>5</w:t>
    </w:r>
    <w:r>
      <w:rPr>
        <w:rStyle w:val="PageNumber"/>
      </w:rPr>
      <w:fldChar w:fldCharType="end"/>
    </w:r>
  </w:p>
  <w:p w:rsidR="002033E1" w:rsidRDefault="002033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55F5"/>
    <w:multiLevelType w:val="hybridMultilevel"/>
    <w:tmpl w:val="F2E28444"/>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nsid w:val="05B40A31"/>
    <w:multiLevelType w:val="hybridMultilevel"/>
    <w:tmpl w:val="5CF0B99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B6D119B"/>
    <w:multiLevelType w:val="hybridMultilevel"/>
    <w:tmpl w:val="D890C192"/>
    <w:lvl w:ilvl="0" w:tplc="8E2A5972">
      <w:start w:val="4"/>
      <w:numFmt w:val="bullet"/>
      <w:lvlText w:val="-"/>
      <w:lvlJc w:val="left"/>
      <w:pPr>
        <w:tabs>
          <w:tab w:val="num" w:pos="930"/>
        </w:tabs>
        <w:ind w:left="930" w:hanging="57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1423A9"/>
    <w:multiLevelType w:val="hybridMultilevel"/>
    <w:tmpl w:val="9B3847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57556C2"/>
    <w:multiLevelType w:val="hybridMultilevel"/>
    <w:tmpl w:val="ABE6367A"/>
    <w:lvl w:ilvl="0" w:tplc="4EB84746">
      <w:start w:val="1"/>
      <w:numFmt w:val="decimal"/>
      <w:lvlText w:val="%1)"/>
      <w:lvlJc w:val="left"/>
      <w:pPr>
        <w:ind w:left="405" w:hanging="360"/>
      </w:pPr>
      <w:rPr>
        <w:rFonts w:hint="default"/>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5">
    <w:nsid w:val="17652E78"/>
    <w:multiLevelType w:val="hybridMultilevel"/>
    <w:tmpl w:val="8A2899E6"/>
    <w:lvl w:ilvl="0" w:tplc="FAD6A53C">
      <w:start w:val="1"/>
      <w:numFmt w:val="decimal"/>
      <w:lvlText w:val="%1)"/>
      <w:lvlJc w:val="left"/>
      <w:pPr>
        <w:ind w:left="405" w:hanging="360"/>
      </w:pPr>
      <w:rPr>
        <w:rFonts w:hint="default"/>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6">
    <w:nsid w:val="326B7147"/>
    <w:multiLevelType w:val="hybridMultilevel"/>
    <w:tmpl w:val="F5127214"/>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nsid w:val="3CBB0164"/>
    <w:multiLevelType w:val="hybridMultilevel"/>
    <w:tmpl w:val="CD6C3BC4"/>
    <w:lvl w:ilvl="0" w:tplc="A1A82DE4">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3E591D58"/>
    <w:multiLevelType w:val="hybridMultilevel"/>
    <w:tmpl w:val="55BA1C02"/>
    <w:lvl w:ilvl="0" w:tplc="FCC2594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EC96FDB"/>
    <w:multiLevelType w:val="hybridMultilevel"/>
    <w:tmpl w:val="CC4C0B7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466C57D1"/>
    <w:multiLevelType w:val="hybridMultilevel"/>
    <w:tmpl w:val="DA767112"/>
    <w:lvl w:ilvl="0" w:tplc="04260011">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488D1679"/>
    <w:multiLevelType w:val="hybridMultilevel"/>
    <w:tmpl w:val="6A9C6624"/>
    <w:lvl w:ilvl="0" w:tplc="0330877E">
      <w:start w:val="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52055420"/>
    <w:multiLevelType w:val="hybridMultilevel"/>
    <w:tmpl w:val="18C0F7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64732CE"/>
    <w:multiLevelType w:val="hybridMultilevel"/>
    <w:tmpl w:val="6C0ED526"/>
    <w:lvl w:ilvl="0" w:tplc="0426000F">
      <w:start w:val="1"/>
      <w:numFmt w:val="decimal"/>
      <w:lvlText w:val="%1."/>
      <w:lvlJc w:val="left"/>
      <w:pPr>
        <w:tabs>
          <w:tab w:val="num" w:pos="600"/>
        </w:tabs>
        <w:ind w:left="600" w:hanging="360"/>
      </w:pPr>
      <w:rPr>
        <w:rFonts w:hint="default"/>
      </w:rPr>
    </w:lvl>
    <w:lvl w:ilvl="1" w:tplc="04260019" w:tentative="1">
      <w:start w:val="1"/>
      <w:numFmt w:val="lowerLetter"/>
      <w:lvlText w:val="%2."/>
      <w:lvlJc w:val="left"/>
      <w:pPr>
        <w:tabs>
          <w:tab w:val="num" w:pos="1320"/>
        </w:tabs>
        <w:ind w:left="1320" w:hanging="360"/>
      </w:pPr>
    </w:lvl>
    <w:lvl w:ilvl="2" w:tplc="0426001B" w:tentative="1">
      <w:start w:val="1"/>
      <w:numFmt w:val="lowerRoman"/>
      <w:lvlText w:val="%3."/>
      <w:lvlJc w:val="right"/>
      <w:pPr>
        <w:tabs>
          <w:tab w:val="num" w:pos="2040"/>
        </w:tabs>
        <w:ind w:left="2040" w:hanging="180"/>
      </w:pPr>
    </w:lvl>
    <w:lvl w:ilvl="3" w:tplc="0426000F" w:tentative="1">
      <w:start w:val="1"/>
      <w:numFmt w:val="decimal"/>
      <w:lvlText w:val="%4."/>
      <w:lvlJc w:val="left"/>
      <w:pPr>
        <w:tabs>
          <w:tab w:val="num" w:pos="2760"/>
        </w:tabs>
        <w:ind w:left="2760" w:hanging="360"/>
      </w:pPr>
    </w:lvl>
    <w:lvl w:ilvl="4" w:tplc="04260019" w:tentative="1">
      <w:start w:val="1"/>
      <w:numFmt w:val="lowerLetter"/>
      <w:lvlText w:val="%5."/>
      <w:lvlJc w:val="left"/>
      <w:pPr>
        <w:tabs>
          <w:tab w:val="num" w:pos="3480"/>
        </w:tabs>
        <w:ind w:left="3480" w:hanging="360"/>
      </w:pPr>
    </w:lvl>
    <w:lvl w:ilvl="5" w:tplc="0426001B" w:tentative="1">
      <w:start w:val="1"/>
      <w:numFmt w:val="lowerRoman"/>
      <w:lvlText w:val="%6."/>
      <w:lvlJc w:val="right"/>
      <w:pPr>
        <w:tabs>
          <w:tab w:val="num" w:pos="4200"/>
        </w:tabs>
        <w:ind w:left="4200" w:hanging="180"/>
      </w:pPr>
    </w:lvl>
    <w:lvl w:ilvl="6" w:tplc="0426000F" w:tentative="1">
      <w:start w:val="1"/>
      <w:numFmt w:val="decimal"/>
      <w:lvlText w:val="%7."/>
      <w:lvlJc w:val="left"/>
      <w:pPr>
        <w:tabs>
          <w:tab w:val="num" w:pos="4920"/>
        </w:tabs>
        <w:ind w:left="4920" w:hanging="360"/>
      </w:pPr>
    </w:lvl>
    <w:lvl w:ilvl="7" w:tplc="04260019" w:tentative="1">
      <w:start w:val="1"/>
      <w:numFmt w:val="lowerLetter"/>
      <w:lvlText w:val="%8."/>
      <w:lvlJc w:val="left"/>
      <w:pPr>
        <w:tabs>
          <w:tab w:val="num" w:pos="5640"/>
        </w:tabs>
        <w:ind w:left="5640" w:hanging="360"/>
      </w:pPr>
    </w:lvl>
    <w:lvl w:ilvl="8" w:tplc="0426001B" w:tentative="1">
      <w:start w:val="1"/>
      <w:numFmt w:val="lowerRoman"/>
      <w:lvlText w:val="%9."/>
      <w:lvlJc w:val="right"/>
      <w:pPr>
        <w:tabs>
          <w:tab w:val="num" w:pos="6360"/>
        </w:tabs>
        <w:ind w:left="6360" w:hanging="180"/>
      </w:pPr>
    </w:lvl>
  </w:abstractNum>
  <w:abstractNum w:abstractNumId="14">
    <w:nsid w:val="5B691A42"/>
    <w:multiLevelType w:val="hybridMultilevel"/>
    <w:tmpl w:val="4A66829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32B3CBB"/>
    <w:multiLevelType w:val="hybridMultilevel"/>
    <w:tmpl w:val="28B658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EB8666B"/>
    <w:multiLevelType w:val="hybridMultilevel"/>
    <w:tmpl w:val="74B255D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6EE80610"/>
    <w:multiLevelType w:val="hybridMultilevel"/>
    <w:tmpl w:val="80E658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0855EE9"/>
    <w:multiLevelType w:val="hybridMultilevel"/>
    <w:tmpl w:val="CCC07CEA"/>
    <w:lvl w:ilvl="0" w:tplc="04260001">
      <w:start w:val="1"/>
      <w:numFmt w:val="bullet"/>
      <w:lvlText w:val=""/>
      <w:lvlJc w:val="left"/>
      <w:pPr>
        <w:ind w:left="659"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7E7B039E"/>
    <w:multiLevelType w:val="hybridMultilevel"/>
    <w:tmpl w:val="B794537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17"/>
  </w:num>
  <w:num w:numId="4">
    <w:abstractNumId w:val="14"/>
  </w:num>
  <w:num w:numId="5">
    <w:abstractNumId w:val="12"/>
  </w:num>
  <w:num w:numId="6">
    <w:abstractNumId w:val="6"/>
  </w:num>
  <w:num w:numId="7">
    <w:abstractNumId w:val="13"/>
  </w:num>
  <w:num w:numId="8">
    <w:abstractNumId w:val="5"/>
  </w:num>
  <w:num w:numId="9">
    <w:abstractNumId w:val="4"/>
  </w:num>
  <w:num w:numId="10">
    <w:abstractNumId w:val="8"/>
  </w:num>
  <w:num w:numId="11">
    <w:abstractNumId w:val="11"/>
  </w:num>
  <w:num w:numId="12">
    <w:abstractNumId w:val="1"/>
  </w:num>
  <w:num w:numId="13">
    <w:abstractNumId w:val="9"/>
  </w:num>
  <w:num w:numId="14">
    <w:abstractNumId w:val="18"/>
  </w:num>
  <w:num w:numId="15">
    <w:abstractNumId w:val="16"/>
  </w:num>
  <w:num w:numId="16">
    <w:abstractNumId w:val="19"/>
  </w:num>
  <w:num w:numId="17">
    <w:abstractNumId w:val="3"/>
  </w:num>
  <w:num w:numId="18">
    <w:abstractNumId w:val="0"/>
  </w:num>
  <w:num w:numId="19">
    <w:abstractNumId w:val="7"/>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F8D"/>
    <w:rsid w:val="00000D83"/>
    <w:rsid w:val="000012AA"/>
    <w:rsid w:val="00001CFA"/>
    <w:rsid w:val="000030F6"/>
    <w:rsid w:val="00003470"/>
    <w:rsid w:val="000100B6"/>
    <w:rsid w:val="0001274B"/>
    <w:rsid w:val="00013F53"/>
    <w:rsid w:val="00016631"/>
    <w:rsid w:val="000168B7"/>
    <w:rsid w:val="00016CD6"/>
    <w:rsid w:val="00017CB2"/>
    <w:rsid w:val="0002330F"/>
    <w:rsid w:val="0003130D"/>
    <w:rsid w:val="000323C9"/>
    <w:rsid w:val="00034CDC"/>
    <w:rsid w:val="00034F8D"/>
    <w:rsid w:val="00035560"/>
    <w:rsid w:val="000525C8"/>
    <w:rsid w:val="000528B9"/>
    <w:rsid w:val="00053AD9"/>
    <w:rsid w:val="00056991"/>
    <w:rsid w:val="000576F3"/>
    <w:rsid w:val="00057C93"/>
    <w:rsid w:val="00061117"/>
    <w:rsid w:val="0006334A"/>
    <w:rsid w:val="00070B32"/>
    <w:rsid w:val="00072154"/>
    <w:rsid w:val="00074D2A"/>
    <w:rsid w:val="00074E57"/>
    <w:rsid w:val="00075254"/>
    <w:rsid w:val="00075C44"/>
    <w:rsid w:val="00076367"/>
    <w:rsid w:val="00076E10"/>
    <w:rsid w:val="0007746D"/>
    <w:rsid w:val="00080701"/>
    <w:rsid w:val="00081283"/>
    <w:rsid w:val="000820A4"/>
    <w:rsid w:val="00083281"/>
    <w:rsid w:val="0008422B"/>
    <w:rsid w:val="00085B1F"/>
    <w:rsid w:val="00095D8C"/>
    <w:rsid w:val="000A07BE"/>
    <w:rsid w:val="000A081B"/>
    <w:rsid w:val="000A0CC6"/>
    <w:rsid w:val="000A2AA7"/>
    <w:rsid w:val="000A523A"/>
    <w:rsid w:val="000A67CD"/>
    <w:rsid w:val="000B32EF"/>
    <w:rsid w:val="000B3882"/>
    <w:rsid w:val="000B4AF1"/>
    <w:rsid w:val="000B7AB8"/>
    <w:rsid w:val="000C0FA7"/>
    <w:rsid w:val="000C2167"/>
    <w:rsid w:val="000C5D0D"/>
    <w:rsid w:val="000D0329"/>
    <w:rsid w:val="000D24AF"/>
    <w:rsid w:val="000D35DF"/>
    <w:rsid w:val="000D42F3"/>
    <w:rsid w:val="000E06C5"/>
    <w:rsid w:val="000E11AF"/>
    <w:rsid w:val="000E5F80"/>
    <w:rsid w:val="000E66AF"/>
    <w:rsid w:val="000F0198"/>
    <w:rsid w:val="000F01FC"/>
    <w:rsid w:val="000F2195"/>
    <w:rsid w:val="000F6DB0"/>
    <w:rsid w:val="00105AE2"/>
    <w:rsid w:val="001061BA"/>
    <w:rsid w:val="00110DF4"/>
    <w:rsid w:val="001124CC"/>
    <w:rsid w:val="00112D44"/>
    <w:rsid w:val="00112E2A"/>
    <w:rsid w:val="00114CC1"/>
    <w:rsid w:val="00114FAC"/>
    <w:rsid w:val="00116E5A"/>
    <w:rsid w:val="001177FE"/>
    <w:rsid w:val="001178E3"/>
    <w:rsid w:val="00131D05"/>
    <w:rsid w:val="00132015"/>
    <w:rsid w:val="00133053"/>
    <w:rsid w:val="001347E9"/>
    <w:rsid w:val="00136C98"/>
    <w:rsid w:val="001466B6"/>
    <w:rsid w:val="00146A8C"/>
    <w:rsid w:val="0015096D"/>
    <w:rsid w:val="0015254E"/>
    <w:rsid w:val="001531CE"/>
    <w:rsid w:val="0016011A"/>
    <w:rsid w:val="001608F4"/>
    <w:rsid w:val="0016261A"/>
    <w:rsid w:val="00164C5B"/>
    <w:rsid w:val="00165171"/>
    <w:rsid w:val="00170E08"/>
    <w:rsid w:val="001739AD"/>
    <w:rsid w:val="00177B09"/>
    <w:rsid w:val="00182859"/>
    <w:rsid w:val="00182C1E"/>
    <w:rsid w:val="001854F8"/>
    <w:rsid w:val="00187642"/>
    <w:rsid w:val="0019013A"/>
    <w:rsid w:val="00191B89"/>
    <w:rsid w:val="001969B1"/>
    <w:rsid w:val="001A3B92"/>
    <w:rsid w:val="001B4882"/>
    <w:rsid w:val="001B4EE0"/>
    <w:rsid w:val="001C227F"/>
    <w:rsid w:val="001C2C9F"/>
    <w:rsid w:val="001C736A"/>
    <w:rsid w:val="001C7CA2"/>
    <w:rsid w:val="001D4762"/>
    <w:rsid w:val="001D7D2B"/>
    <w:rsid w:val="001E05D9"/>
    <w:rsid w:val="001E14E1"/>
    <w:rsid w:val="001E264B"/>
    <w:rsid w:val="001E647F"/>
    <w:rsid w:val="001F04CA"/>
    <w:rsid w:val="001F1642"/>
    <w:rsid w:val="001F2AC5"/>
    <w:rsid w:val="00201A7E"/>
    <w:rsid w:val="002033E1"/>
    <w:rsid w:val="002043DB"/>
    <w:rsid w:val="00205224"/>
    <w:rsid w:val="002063C4"/>
    <w:rsid w:val="00206C91"/>
    <w:rsid w:val="002133C1"/>
    <w:rsid w:val="0021364F"/>
    <w:rsid w:val="00216F5E"/>
    <w:rsid w:val="00220908"/>
    <w:rsid w:val="002234A1"/>
    <w:rsid w:val="00226D56"/>
    <w:rsid w:val="0023032B"/>
    <w:rsid w:val="0023375E"/>
    <w:rsid w:val="00237A06"/>
    <w:rsid w:val="00245026"/>
    <w:rsid w:val="00246ADE"/>
    <w:rsid w:val="00247079"/>
    <w:rsid w:val="00247D93"/>
    <w:rsid w:val="00247F23"/>
    <w:rsid w:val="00252CBC"/>
    <w:rsid w:val="00253D3B"/>
    <w:rsid w:val="0025425E"/>
    <w:rsid w:val="002568AC"/>
    <w:rsid w:val="002603DA"/>
    <w:rsid w:val="0026657D"/>
    <w:rsid w:val="00266986"/>
    <w:rsid w:val="002709D6"/>
    <w:rsid w:val="00270E29"/>
    <w:rsid w:val="0027115D"/>
    <w:rsid w:val="002740B7"/>
    <w:rsid w:val="00274350"/>
    <w:rsid w:val="002822C2"/>
    <w:rsid w:val="00283FA1"/>
    <w:rsid w:val="00284920"/>
    <w:rsid w:val="00286958"/>
    <w:rsid w:val="0029048C"/>
    <w:rsid w:val="00291571"/>
    <w:rsid w:val="002915A2"/>
    <w:rsid w:val="00295038"/>
    <w:rsid w:val="0029700C"/>
    <w:rsid w:val="00297244"/>
    <w:rsid w:val="002A5A94"/>
    <w:rsid w:val="002B19A4"/>
    <w:rsid w:val="002B4F76"/>
    <w:rsid w:val="002C0056"/>
    <w:rsid w:val="002C3037"/>
    <w:rsid w:val="002C5489"/>
    <w:rsid w:val="002D06D5"/>
    <w:rsid w:val="002D1A3D"/>
    <w:rsid w:val="002D41E4"/>
    <w:rsid w:val="002D4842"/>
    <w:rsid w:val="002D4981"/>
    <w:rsid w:val="002D6217"/>
    <w:rsid w:val="002D6B41"/>
    <w:rsid w:val="002E3219"/>
    <w:rsid w:val="002E3FFA"/>
    <w:rsid w:val="002E79AC"/>
    <w:rsid w:val="002F0C7E"/>
    <w:rsid w:val="002F10A4"/>
    <w:rsid w:val="002F165B"/>
    <w:rsid w:val="002F5119"/>
    <w:rsid w:val="00306CD0"/>
    <w:rsid w:val="00311E46"/>
    <w:rsid w:val="00312457"/>
    <w:rsid w:val="003124EE"/>
    <w:rsid w:val="00313068"/>
    <w:rsid w:val="0031699C"/>
    <w:rsid w:val="0032141D"/>
    <w:rsid w:val="00322DEB"/>
    <w:rsid w:val="00332EC6"/>
    <w:rsid w:val="00332F3E"/>
    <w:rsid w:val="00333179"/>
    <w:rsid w:val="0033350D"/>
    <w:rsid w:val="003341C0"/>
    <w:rsid w:val="003353AA"/>
    <w:rsid w:val="00335891"/>
    <w:rsid w:val="00335D1C"/>
    <w:rsid w:val="003408C6"/>
    <w:rsid w:val="003468BB"/>
    <w:rsid w:val="003477AD"/>
    <w:rsid w:val="00347989"/>
    <w:rsid w:val="00351EB3"/>
    <w:rsid w:val="003544B0"/>
    <w:rsid w:val="00354899"/>
    <w:rsid w:val="003568B4"/>
    <w:rsid w:val="00356C9E"/>
    <w:rsid w:val="00356DA0"/>
    <w:rsid w:val="00361FAB"/>
    <w:rsid w:val="0036569C"/>
    <w:rsid w:val="0036665D"/>
    <w:rsid w:val="00366C0D"/>
    <w:rsid w:val="00366D9F"/>
    <w:rsid w:val="00370EAF"/>
    <w:rsid w:val="003744D4"/>
    <w:rsid w:val="003750BF"/>
    <w:rsid w:val="00375EF3"/>
    <w:rsid w:val="0038045D"/>
    <w:rsid w:val="00380C69"/>
    <w:rsid w:val="00381F72"/>
    <w:rsid w:val="0038260B"/>
    <w:rsid w:val="00384E5C"/>
    <w:rsid w:val="00386F48"/>
    <w:rsid w:val="0039464A"/>
    <w:rsid w:val="0039577F"/>
    <w:rsid w:val="00396735"/>
    <w:rsid w:val="003A3B32"/>
    <w:rsid w:val="003A434B"/>
    <w:rsid w:val="003A4522"/>
    <w:rsid w:val="003A5DF4"/>
    <w:rsid w:val="003A7459"/>
    <w:rsid w:val="003B034A"/>
    <w:rsid w:val="003B06DF"/>
    <w:rsid w:val="003B30F8"/>
    <w:rsid w:val="003B3C9E"/>
    <w:rsid w:val="003B5041"/>
    <w:rsid w:val="003B56BA"/>
    <w:rsid w:val="003B6C47"/>
    <w:rsid w:val="003C0D4F"/>
    <w:rsid w:val="003C1264"/>
    <w:rsid w:val="003C2517"/>
    <w:rsid w:val="003C2B26"/>
    <w:rsid w:val="003C2C1B"/>
    <w:rsid w:val="003C30EB"/>
    <w:rsid w:val="003C4AC2"/>
    <w:rsid w:val="003C5328"/>
    <w:rsid w:val="003C62DE"/>
    <w:rsid w:val="003D0D4F"/>
    <w:rsid w:val="003D62B2"/>
    <w:rsid w:val="003D676D"/>
    <w:rsid w:val="003E1A05"/>
    <w:rsid w:val="003E394E"/>
    <w:rsid w:val="003E58DD"/>
    <w:rsid w:val="003E6A15"/>
    <w:rsid w:val="003F10B4"/>
    <w:rsid w:val="003F29A1"/>
    <w:rsid w:val="003F2F3C"/>
    <w:rsid w:val="003F7035"/>
    <w:rsid w:val="0040462F"/>
    <w:rsid w:val="0040578E"/>
    <w:rsid w:val="004071C3"/>
    <w:rsid w:val="004075CF"/>
    <w:rsid w:val="00411CC0"/>
    <w:rsid w:val="00412C59"/>
    <w:rsid w:val="00415584"/>
    <w:rsid w:val="00421C80"/>
    <w:rsid w:val="00421F53"/>
    <w:rsid w:val="004249A6"/>
    <w:rsid w:val="00424AE1"/>
    <w:rsid w:val="0042565B"/>
    <w:rsid w:val="00431C60"/>
    <w:rsid w:val="0043470A"/>
    <w:rsid w:val="00436282"/>
    <w:rsid w:val="00443182"/>
    <w:rsid w:val="0044545F"/>
    <w:rsid w:val="004477F4"/>
    <w:rsid w:val="00456449"/>
    <w:rsid w:val="00462522"/>
    <w:rsid w:val="0046366B"/>
    <w:rsid w:val="004645B8"/>
    <w:rsid w:val="00465D80"/>
    <w:rsid w:val="00467FF3"/>
    <w:rsid w:val="004709FA"/>
    <w:rsid w:val="004727CF"/>
    <w:rsid w:val="004742DC"/>
    <w:rsid w:val="00474A28"/>
    <w:rsid w:val="004751D4"/>
    <w:rsid w:val="004770CE"/>
    <w:rsid w:val="0048030D"/>
    <w:rsid w:val="00480313"/>
    <w:rsid w:val="00484DDF"/>
    <w:rsid w:val="00485EF3"/>
    <w:rsid w:val="0048641E"/>
    <w:rsid w:val="004878C7"/>
    <w:rsid w:val="00493272"/>
    <w:rsid w:val="00493C91"/>
    <w:rsid w:val="00496DA0"/>
    <w:rsid w:val="004A6071"/>
    <w:rsid w:val="004A62E4"/>
    <w:rsid w:val="004B0C51"/>
    <w:rsid w:val="004B0E22"/>
    <w:rsid w:val="004B1C72"/>
    <w:rsid w:val="004B2F05"/>
    <w:rsid w:val="004B3171"/>
    <w:rsid w:val="004C1820"/>
    <w:rsid w:val="004C5576"/>
    <w:rsid w:val="004C5C71"/>
    <w:rsid w:val="004D0202"/>
    <w:rsid w:val="004D38E8"/>
    <w:rsid w:val="004D4045"/>
    <w:rsid w:val="004D4078"/>
    <w:rsid w:val="004D414B"/>
    <w:rsid w:val="004D5547"/>
    <w:rsid w:val="004D6527"/>
    <w:rsid w:val="004D6A9E"/>
    <w:rsid w:val="004E2BB4"/>
    <w:rsid w:val="004E415F"/>
    <w:rsid w:val="004E78C9"/>
    <w:rsid w:val="004F407F"/>
    <w:rsid w:val="004F6451"/>
    <w:rsid w:val="0050101C"/>
    <w:rsid w:val="00501B5F"/>
    <w:rsid w:val="00505064"/>
    <w:rsid w:val="00507E40"/>
    <w:rsid w:val="00512A7E"/>
    <w:rsid w:val="00515039"/>
    <w:rsid w:val="00515C96"/>
    <w:rsid w:val="00517985"/>
    <w:rsid w:val="00520A28"/>
    <w:rsid w:val="0052595B"/>
    <w:rsid w:val="005310AD"/>
    <w:rsid w:val="0053651B"/>
    <w:rsid w:val="00536EAE"/>
    <w:rsid w:val="00541ED4"/>
    <w:rsid w:val="00550CD0"/>
    <w:rsid w:val="00551DD5"/>
    <w:rsid w:val="005601FE"/>
    <w:rsid w:val="0056020E"/>
    <w:rsid w:val="00561D1A"/>
    <w:rsid w:val="00562DCF"/>
    <w:rsid w:val="0056305B"/>
    <w:rsid w:val="005651EF"/>
    <w:rsid w:val="00565E5F"/>
    <w:rsid w:val="00570CF3"/>
    <w:rsid w:val="00572BC9"/>
    <w:rsid w:val="0057369F"/>
    <w:rsid w:val="00574657"/>
    <w:rsid w:val="00581754"/>
    <w:rsid w:val="00581B6D"/>
    <w:rsid w:val="005858F2"/>
    <w:rsid w:val="005944E1"/>
    <w:rsid w:val="00594E1C"/>
    <w:rsid w:val="00597398"/>
    <w:rsid w:val="005A2500"/>
    <w:rsid w:val="005A6AF8"/>
    <w:rsid w:val="005A71C2"/>
    <w:rsid w:val="005B09F1"/>
    <w:rsid w:val="005B0FC0"/>
    <w:rsid w:val="005B4287"/>
    <w:rsid w:val="005B6386"/>
    <w:rsid w:val="005C051D"/>
    <w:rsid w:val="005C25C8"/>
    <w:rsid w:val="005C3A6B"/>
    <w:rsid w:val="005C5E6D"/>
    <w:rsid w:val="005D09E6"/>
    <w:rsid w:val="005D2108"/>
    <w:rsid w:val="005D2DB1"/>
    <w:rsid w:val="005D7964"/>
    <w:rsid w:val="005E4394"/>
    <w:rsid w:val="005F0FAB"/>
    <w:rsid w:val="005F4437"/>
    <w:rsid w:val="005F5191"/>
    <w:rsid w:val="005F5558"/>
    <w:rsid w:val="00603D72"/>
    <w:rsid w:val="00605D01"/>
    <w:rsid w:val="006060A1"/>
    <w:rsid w:val="00613168"/>
    <w:rsid w:val="006240BB"/>
    <w:rsid w:val="00624B68"/>
    <w:rsid w:val="00626774"/>
    <w:rsid w:val="00631362"/>
    <w:rsid w:val="0063141C"/>
    <w:rsid w:val="006338D0"/>
    <w:rsid w:val="0063413B"/>
    <w:rsid w:val="006409CE"/>
    <w:rsid w:val="00642242"/>
    <w:rsid w:val="00645761"/>
    <w:rsid w:val="00651252"/>
    <w:rsid w:val="006529D8"/>
    <w:rsid w:val="006533F1"/>
    <w:rsid w:val="00653F0C"/>
    <w:rsid w:val="00655ACE"/>
    <w:rsid w:val="00656C8D"/>
    <w:rsid w:val="00657074"/>
    <w:rsid w:val="0065796E"/>
    <w:rsid w:val="0066334C"/>
    <w:rsid w:val="006677C3"/>
    <w:rsid w:val="00672F02"/>
    <w:rsid w:val="00674D5D"/>
    <w:rsid w:val="00675331"/>
    <w:rsid w:val="0067667F"/>
    <w:rsid w:val="00676F2C"/>
    <w:rsid w:val="00680B20"/>
    <w:rsid w:val="00680E5A"/>
    <w:rsid w:val="00681AA8"/>
    <w:rsid w:val="00683A17"/>
    <w:rsid w:val="00686B22"/>
    <w:rsid w:val="0069043D"/>
    <w:rsid w:val="00693D7F"/>
    <w:rsid w:val="006A4578"/>
    <w:rsid w:val="006A699B"/>
    <w:rsid w:val="006A729F"/>
    <w:rsid w:val="006B0AC4"/>
    <w:rsid w:val="006B1642"/>
    <w:rsid w:val="006B3666"/>
    <w:rsid w:val="006B37E0"/>
    <w:rsid w:val="006C172A"/>
    <w:rsid w:val="006C21FF"/>
    <w:rsid w:val="006C586E"/>
    <w:rsid w:val="006D37F6"/>
    <w:rsid w:val="006D42DC"/>
    <w:rsid w:val="006D4AD9"/>
    <w:rsid w:val="006D5199"/>
    <w:rsid w:val="006D76F5"/>
    <w:rsid w:val="006E0CA7"/>
    <w:rsid w:val="006E34E6"/>
    <w:rsid w:val="006E3915"/>
    <w:rsid w:val="006E4A20"/>
    <w:rsid w:val="006F04E7"/>
    <w:rsid w:val="006F06E9"/>
    <w:rsid w:val="006F3A1D"/>
    <w:rsid w:val="006F4812"/>
    <w:rsid w:val="006F56D1"/>
    <w:rsid w:val="006F630C"/>
    <w:rsid w:val="006F6884"/>
    <w:rsid w:val="006F6AEE"/>
    <w:rsid w:val="00700DA4"/>
    <w:rsid w:val="0070312F"/>
    <w:rsid w:val="0070428F"/>
    <w:rsid w:val="00707BD9"/>
    <w:rsid w:val="0071112B"/>
    <w:rsid w:val="00711B91"/>
    <w:rsid w:val="00712168"/>
    <w:rsid w:val="0071304E"/>
    <w:rsid w:val="00717A3E"/>
    <w:rsid w:val="007231F3"/>
    <w:rsid w:val="00723EB9"/>
    <w:rsid w:val="007264EF"/>
    <w:rsid w:val="00726C07"/>
    <w:rsid w:val="00731A73"/>
    <w:rsid w:val="00736CEE"/>
    <w:rsid w:val="007410CE"/>
    <w:rsid w:val="0074168B"/>
    <w:rsid w:val="00744CBE"/>
    <w:rsid w:val="00753535"/>
    <w:rsid w:val="007607B5"/>
    <w:rsid w:val="007638EB"/>
    <w:rsid w:val="00767407"/>
    <w:rsid w:val="0076750E"/>
    <w:rsid w:val="00772964"/>
    <w:rsid w:val="00773767"/>
    <w:rsid w:val="00774566"/>
    <w:rsid w:val="00774B90"/>
    <w:rsid w:val="0077560C"/>
    <w:rsid w:val="00775801"/>
    <w:rsid w:val="00775B0E"/>
    <w:rsid w:val="00775F62"/>
    <w:rsid w:val="00776B4F"/>
    <w:rsid w:val="00780F76"/>
    <w:rsid w:val="0078183B"/>
    <w:rsid w:val="00790499"/>
    <w:rsid w:val="0079158C"/>
    <w:rsid w:val="00793031"/>
    <w:rsid w:val="00793F4D"/>
    <w:rsid w:val="007946F6"/>
    <w:rsid w:val="00796E36"/>
    <w:rsid w:val="00797E82"/>
    <w:rsid w:val="007A1125"/>
    <w:rsid w:val="007A2810"/>
    <w:rsid w:val="007A3B9F"/>
    <w:rsid w:val="007A6FA0"/>
    <w:rsid w:val="007B5654"/>
    <w:rsid w:val="007C2813"/>
    <w:rsid w:val="007C3E31"/>
    <w:rsid w:val="007C589D"/>
    <w:rsid w:val="007C7597"/>
    <w:rsid w:val="007D0057"/>
    <w:rsid w:val="007D4BDE"/>
    <w:rsid w:val="007D6C73"/>
    <w:rsid w:val="007E0739"/>
    <w:rsid w:val="007E5323"/>
    <w:rsid w:val="007E6FC7"/>
    <w:rsid w:val="007F5789"/>
    <w:rsid w:val="007F78F9"/>
    <w:rsid w:val="008028F6"/>
    <w:rsid w:val="00802DAF"/>
    <w:rsid w:val="00807A10"/>
    <w:rsid w:val="00812B7C"/>
    <w:rsid w:val="00813764"/>
    <w:rsid w:val="00814774"/>
    <w:rsid w:val="00814E7E"/>
    <w:rsid w:val="008208D0"/>
    <w:rsid w:val="00822F01"/>
    <w:rsid w:val="008260CC"/>
    <w:rsid w:val="00827F86"/>
    <w:rsid w:val="00830485"/>
    <w:rsid w:val="00832BC7"/>
    <w:rsid w:val="00833431"/>
    <w:rsid w:val="00852A9A"/>
    <w:rsid w:val="008530BF"/>
    <w:rsid w:val="00853218"/>
    <w:rsid w:val="008534A4"/>
    <w:rsid w:val="00854598"/>
    <w:rsid w:val="00854F6B"/>
    <w:rsid w:val="008554DC"/>
    <w:rsid w:val="008677D5"/>
    <w:rsid w:val="00872599"/>
    <w:rsid w:val="00873C58"/>
    <w:rsid w:val="008762A7"/>
    <w:rsid w:val="00881F41"/>
    <w:rsid w:val="008828B3"/>
    <w:rsid w:val="0088733F"/>
    <w:rsid w:val="0089055D"/>
    <w:rsid w:val="008A24D5"/>
    <w:rsid w:val="008A3765"/>
    <w:rsid w:val="008A3EC1"/>
    <w:rsid w:val="008A54A5"/>
    <w:rsid w:val="008A739F"/>
    <w:rsid w:val="008B21DD"/>
    <w:rsid w:val="008B4FA6"/>
    <w:rsid w:val="008B7443"/>
    <w:rsid w:val="008C2623"/>
    <w:rsid w:val="008C5D1E"/>
    <w:rsid w:val="008D05D4"/>
    <w:rsid w:val="008D5DC0"/>
    <w:rsid w:val="008D7C17"/>
    <w:rsid w:val="008E0C51"/>
    <w:rsid w:val="008E1179"/>
    <w:rsid w:val="008E28DC"/>
    <w:rsid w:val="008E3781"/>
    <w:rsid w:val="008E3ECC"/>
    <w:rsid w:val="008F20AC"/>
    <w:rsid w:val="008F239E"/>
    <w:rsid w:val="008F3942"/>
    <w:rsid w:val="008F4AFD"/>
    <w:rsid w:val="008F54FF"/>
    <w:rsid w:val="008F62B8"/>
    <w:rsid w:val="008F75E1"/>
    <w:rsid w:val="008F7F16"/>
    <w:rsid w:val="009003B8"/>
    <w:rsid w:val="00901A4A"/>
    <w:rsid w:val="009025B0"/>
    <w:rsid w:val="0090260F"/>
    <w:rsid w:val="00912E68"/>
    <w:rsid w:val="00913FC9"/>
    <w:rsid w:val="0091545F"/>
    <w:rsid w:val="00915777"/>
    <w:rsid w:val="009227DF"/>
    <w:rsid w:val="00922924"/>
    <w:rsid w:val="00930777"/>
    <w:rsid w:val="00935A98"/>
    <w:rsid w:val="009373D2"/>
    <w:rsid w:val="0094332D"/>
    <w:rsid w:val="00943898"/>
    <w:rsid w:val="00943929"/>
    <w:rsid w:val="00943FA5"/>
    <w:rsid w:val="00945687"/>
    <w:rsid w:val="00950E20"/>
    <w:rsid w:val="00951A15"/>
    <w:rsid w:val="00952E78"/>
    <w:rsid w:val="00953D50"/>
    <w:rsid w:val="009620F4"/>
    <w:rsid w:val="00962D51"/>
    <w:rsid w:val="00964AF6"/>
    <w:rsid w:val="0096505D"/>
    <w:rsid w:val="00971F23"/>
    <w:rsid w:val="00972B2C"/>
    <w:rsid w:val="009739B8"/>
    <w:rsid w:val="009753B2"/>
    <w:rsid w:val="00975D4C"/>
    <w:rsid w:val="0097723D"/>
    <w:rsid w:val="00980955"/>
    <w:rsid w:val="009816AF"/>
    <w:rsid w:val="009823E2"/>
    <w:rsid w:val="00985C71"/>
    <w:rsid w:val="00991DA9"/>
    <w:rsid w:val="0099282A"/>
    <w:rsid w:val="0099390A"/>
    <w:rsid w:val="00993FBB"/>
    <w:rsid w:val="009A00A2"/>
    <w:rsid w:val="009A20DF"/>
    <w:rsid w:val="009A64C5"/>
    <w:rsid w:val="009B1C54"/>
    <w:rsid w:val="009B1FC1"/>
    <w:rsid w:val="009B3809"/>
    <w:rsid w:val="009B4F7D"/>
    <w:rsid w:val="009B6AC3"/>
    <w:rsid w:val="009C02FE"/>
    <w:rsid w:val="009C2A21"/>
    <w:rsid w:val="009D2B15"/>
    <w:rsid w:val="009D3A54"/>
    <w:rsid w:val="009D7629"/>
    <w:rsid w:val="009D7718"/>
    <w:rsid w:val="009D78DC"/>
    <w:rsid w:val="009E3E38"/>
    <w:rsid w:val="009E55A3"/>
    <w:rsid w:val="009F0667"/>
    <w:rsid w:val="009F3D1F"/>
    <w:rsid w:val="009F4C7E"/>
    <w:rsid w:val="00A01405"/>
    <w:rsid w:val="00A02244"/>
    <w:rsid w:val="00A07DDC"/>
    <w:rsid w:val="00A07E47"/>
    <w:rsid w:val="00A113CA"/>
    <w:rsid w:val="00A11815"/>
    <w:rsid w:val="00A11CE8"/>
    <w:rsid w:val="00A154E9"/>
    <w:rsid w:val="00A2015F"/>
    <w:rsid w:val="00A21347"/>
    <w:rsid w:val="00A220DD"/>
    <w:rsid w:val="00A22819"/>
    <w:rsid w:val="00A22A9A"/>
    <w:rsid w:val="00A24444"/>
    <w:rsid w:val="00A257A9"/>
    <w:rsid w:val="00A26D42"/>
    <w:rsid w:val="00A33968"/>
    <w:rsid w:val="00A355C3"/>
    <w:rsid w:val="00A40717"/>
    <w:rsid w:val="00A4197D"/>
    <w:rsid w:val="00A424C0"/>
    <w:rsid w:val="00A42670"/>
    <w:rsid w:val="00A50C5E"/>
    <w:rsid w:val="00A60261"/>
    <w:rsid w:val="00A61186"/>
    <w:rsid w:val="00A61BAD"/>
    <w:rsid w:val="00A6353D"/>
    <w:rsid w:val="00A64639"/>
    <w:rsid w:val="00A66C23"/>
    <w:rsid w:val="00A7068A"/>
    <w:rsid w:val="00A74DE3"/>
    <w:rsid w:val="00A81F05"/>
    <w:rsid w:val="00A822EB"/>
    <w:rsid w:val="00A83040"/>
    <w:rsid w:val="00A8466D"/>
    <w:rsid w:val="00A84A94"/>
    <w:rsid w:val="00A867C0"/>
    <w:rsid w:val="00A902E6"/>
    <w:rsid w:val="00A90F64"/>
    <w:rsid w:val="00A92A68"/>
    <w:rsid w:val="00A95E55"/>
    <w:rsid w:val="00A97C2F"/>
    <w:rsid w:val="00AA4615"/>
    <w:rsid w:val="00AB20FD"/>
    <w:rsid w:val="00AB2571"/>
    <w:rsid w:val="00AB4C02"/>
    <w:rsid w:val="00AB7C10"/>
    <w:rsid w:val="00AC1306"/>
    <w:rsid w:val="00AC169F"/>
    <w:rsid w:val="00AD0A4F"/>
    <w:rsid w:val="00AD3AF0"/>
    <w:rsid w:val="00AE02A3"/>
    <w:rsid w:val="00AE3718"/>
    <w:rsid w:val="00AE3ECB"/>
    <w:rsid w:val="00AE6F5E"/>
    <w:rsid w:val="00AF1FCA"/>
    <w:rsid w:val="00AF3D00"/>
    <w:rsid w:val="00AF66A5"/>
    <w:rsid w:val="00B00ADB"/>
    <w:rsid w:val="00B01566"/>
    <w:rsid w:val="00B02802"/>
    <w:rsid w:val="00B03835"/>
    <w:rsid w:val="00B0490E"/>
    <w:rsid w:val="00B079FD"/>
    <w:rsid w:val="00B1178D"/>
    <w:rsid w:val="00B152F1"/>
    <w:rsid w:val="00B158D4"/>
    <w:rsid w:val="00B17BB1"/>
    <w:rsid w:val="00B17EB2"/>
    <w:rsid w:val="00B204FC"/>
    <w:rsid w:val="00B2309B"/>
    <w:rsid w:val="00B23705"/>
    <w:rsid w:val="00B248E4"/>
    <w:rsid w:val="00B3454E"/>
    <w:rsid w:val="00B347BC"/>
    <w:rsid w:val="00B35F91"/>
    <w:rsid w:val="00B36CEB"/>
    <w:rsid w:val="00B40343"/>
    <w:rsid w:val="00B40B98"/>
    <w:rsid w:val="00B41F6A"/>
    <w:rsid w:val="00B461DB"/>
    <w:rsid w:val="00B5244D"/>
    <w:rsid w:val="00B55F5B"/>
    <w:rsid w:val="00B60E79"/>
    <w:rsid w:val="00B61B33"/>
    <w:rsid w:val="00B63B5F"/>
    <w:rsid w:val="00B640A9"/>
    <w:rsid w:val="00B703B1"/>
    <w:rsid w:val="00B704AB"/>
    <w:rsid w:val="00B71D5E"/>
    <w:rsid w:val="00B71D8C"/>
    <w:rsid w:val="00B72884"/>
    <w:rsid w:val="00B740F4"/>
    <w:rsid w:val="00B75F5C"/>
    <w:rsid w:val="00B76ACB"/>
    <w:rsid w:val="00B8026E"/>
    <w:rsid w:val="00B82F71"/>
    <w:rsid w:val="00B83A50"/>
    <w:rsid w:val="00B841CC"/>
    <w:rsid w:val="00B84E28"/>
    <w:rsid w:val="00B85613"/>
    <w:rsid w:val="00B85F3C"/>
    <w:rsid w:val="00B860CD"/>
    <w:rsid w:val="00B868B5"/>
    <w:rsid w:val="00B87446"/>
    <w:rsid w:val="00B87ED0"/>
    <w:rsid w:val="00B936CB"/>
    <w:rsid w:val="00B94F22"/>
    <w:rsid w:val="00B972E5"/>
    <w:rsid w:val="00BA2FEA"/>
    <w:rsid w:val="00BA3C5D"/>
    <w:rsid w:val="00BA4FC6"/>
    <w:rsid w:val="00BA6631"/>
    <w:rsid w:val="00BA6D9C"/>
    <w:rsid w:val="00BA7D2A"/>
    <w:rsid w:val="00BB3559"/>
    <w:rsid w:val="00BB3B11"/>
    <w:rsid w:val="00BB7FEF"/>
    <w:rsid w:val="00BC0D6B"/>
    <w:rsid w:val="00BC15F0"/>
    <w:rsid w:val="00BC1C24"/>
    <w:rsid w:val="00BC4850"/>
    <w:rsid w:val="00BC4854"/>
    <w:rsid w:val="00BC6FF9"/>
    <w:rsid w:val="00BD19BA"/>
    <w:rsid w:val="00BD46EC"/>
    <w:rsid w:val="00BD5BD1"/>
    <w:rsid w:val="00BD6039"/>
    <w:rsid w:val="00BE2EDE"/>
    <w:rsid w:val="00BE50C4"/>
    <w:rsid w:val="00BE7D95"/>
    <w:rsid w:val="00BF0D69"/>
    <w:rsid w:val="00BF49C9"/>
    <w:rsid w:val="00C0292C"/>
    <w:rsid w:val="00C05D62"/>
    <w:rsid w:val="00C10AF4"/>
    <w:rsid w:val="00C11E8B"/>
    <w:rsid w:val="00C135BF"/>
    <w:rsid w:val="00C20792"/>
    <w:rsid w:val="00C2098C"/>
    <w:rsid w:val="00C20ABC"/>
    <w:rsid w:val="00C21F29"/>
    <w:rsid w:val="00C2418B"/>
    <w:rsid w:val="00C25B5A"/>
    <w:rsid w:val="00C32D09"/>
    <w:rsid w:val="00C35D18"/>
    <w:rsid w:val="00C41661"/>
    <w:rsid w:val="00C44D1B"/>
    <w:rsid w:val="00C46656"/>
    <w:rsid w:val="00C47F77"/>
    <w:rsid w:val="00C50C7E"/>
    <w:rsid w:val="00C526B9"/>
    <w:rsid w:val="00C52FD3"/>
    <w:rsid w:val="00C54646"/>
    <w:rsid w:val="00C5643D"/>
    <w:rsid w:val="00C65899"/>
    <w:rsid w:val="00C715FC"/>
    <w:rsid w:val="00C7455C"/>
    <w:rsid w:val="00C74B5D"/>
    <w:rsid w:val="00C75263"/>
    <w:rsid w:val="00C82747"/>
    <w:rsid w:val="00C83495"/>
    <w:rsid w:val="00C84DB4"/>
    <w:rsid w:val="00C858E3"/>
    <w:rsid w:val="00C9293F"/>
    <w:rsid w:val="00C9394F"/>
    <w:rsid w:val="00C96DBA"/>
    <w:rsid w:val="00C9751C"/>
    <w:rsid w:val="00CA14F8"/>
    <w:rsid w:val="00CA4A28"/>
    <w:rsid w:val="00CA4DED"/>
    <w:rsid w:val="00CA5BE1"/>
    <w:rsid w:val="00CB057D"/>
    <w:rsid w:val="00CB1453"/>
    <w:rsid w:val="00CB3495"/>
    <w:rsid w:val="00CB4237"/>
    <w:rsid w:val="00CB4626"/>
    <w:rsid w:val="00CB4BD1"/>
    <w:rsid w:val="00CB6F1D"/>
    <w:rsid w:val="00CB77AE"/>
    <w:rsid w:val="00CB7FAC"/>
    <w:rsid w:val="00CC26BC"/>
    <w:rsid w:val="00CC3756"/>
    <w:rsid w:val="00CC5225"/>
    <w:rsid w:val="00CC55EC"/>
    <w:rsid w:val="00CC5F06"/>
    <w:rsid w:val="00CC6D1C"/>
    <w:rsid w:val="00CC7EBF"/>
    <w:rsid w:val="00CD4E19"/>
    <w:rsid w:val="00CD5AA6"/>
    <w:rsid w:val="00CE3F49"/>
    <w:rsid w:val="00CE401B"/>
    <w:rsid w:val="00CE6072"/>
    <w:rsid w:val="00CE73F0"/>
    <w:rsid w:val="00CF099B"/>
    <w:rsid w:val="00CF2337"/>
    <w:rsid w:val="00CF32C2"/>
    <w:rsid w:val="00CF4589"/>
    <w:rsid w:val="00CF5ADF"/>
    <w:rsid w:val="00D005C1"/>
    <w:rsid w:val="00D01D6F"/>
    <w:rsid w:val="00D03D95"/>
    <w:rsid w:val="00D042D0"/>
    <w:rsid w:val="00D04E36"/>
    <w:rsid w:val="00D05725"/>
    <w:rsid w:val="00D0715D"/>
    <w:rsid w:val="00D13732"/>
    <w:rsid w:val="00D14C7A"/>
    <w:rsid w:val="00D16474"/>
    <w:rsid w:val="00D2222F"/>
    <w:rsid w:val="00D24FAF"/>
    <w:rsid w:val="00D25A3E"/>
    <w:rsid w:val="00D32670"/>
    <w:rsid w:val="00D3507C"/>
    <w:rsid w:val="00D35215"/>
    <w:rsid w:val="00D36044"/>
    <w:rsid w:val="00D3735F"/>
    <w:rsid w:val="00D378DB"/>
    <w:rsid w:val="00D459F6"/>
    <w:rsid w:val="00D509B4"/>
    <w:rsid w:val="00D528AA"/>
    <w:rsid w:val="00D54624"/>
    <w:rsid w:val="00D57613"/>
    <w:rsid w:val="00D60B64"/>
    <w:rsid w:val="00D612E3"/>
    <w:rsid w:val="00D63AFA"/>
    <w:rsid w:val="00D6499C"/>
    <w:rsid w:val="00D67A7D"/>
    <w:rsid w:val="00D730D2"/>
    <w:rsid w:val="00D7409B"/>
    <w:rsid w:val="00D744A9"/>
    <w:rsid w:val="00D75F9C"/>
    <w:rsid w:val="00D760D3"/>
    <w:rsid w:val="00D853F0"/>
    <w:rsid w:val="00D867A7"/>
    <w:rsid w:val="00D86FF5"/>
    <w:rsid w:val="00D87C45"/>
    <w:rsid w:val="00D9475E"/>
    <w:rsid w:val="00D953C4"/>
    <w:rsid w:val="00D96580"/>
    <w:rsid w:val="00DB3347"/>
    <w:rsid w:val="00DB57D4"/>
    <w:rsid w:val="00DB6E78"/>
    <w:rsid w:val="00DC1E01"/>
    <w:rsid w:val="00DC7D92"/>
    <w:rsid w:val="00DD4A2B"/>
    <w:rsid w:val="00DE4880"/>
    <w:rsid w:val="00DE5DB1"/>
    <w:rsid w:val="00DE6046"/>
    <w:rsid w:val="00DE729C"/>
    <w:rsid w:val="00DE74D3"/>
    <w:rsid w:val="00DF011F"/>
    <w:rsid w:val="00DF062B"/>
    <w:rsid w:val="00DF162F"/>
    <w:rsid w:val="00DF30B9"/>
    <w:rsid w:val="00DF330D"/>
    <w:rsid w:val="00DF425F"/>
    <w:rsid w:val="00DF7713"/>
    <w:rsid w:val="00E01428"/>
    <w:rsid w:val="00E053A6"/>
    <w:rsid w:val="00E06E4F"/>
    <w:rsid w:val="00E06F9B"/>
    <w:rsid w:val="00E14DA5"/>
    <w:rsid w:val="00E151AF"/>
    <w:rsid w:val="00E15824"/>
    <w:rsid w:val="00E1646C"/>
    <w:rsid w:val="00E20741"/>
    <w:rsid w:val="00E2125C"/>
    <w:rsid w:val="00E21597"/>
    <w:rsid w:val="00E24975"/>
    <w:rsid w:val="00E26C38"/>
    <w:rsid w:val="00E27F21"/>
    <w:rsid w:val="00E337F7"/>
    <w:rsid w:val="00E34D2F"/>
    <w:rsid w:val="00E34F56"/>
    <w:rsid w:val="00E36952"/>
    <w:rsid w:val="00E36F11"/>
    <w:rsid w:val="00E4119E"/>
    <w:rsid w:val="00E46A87"/>
    <w:rsid w:val="00E51105"/>
    <w:rsid w:val="00E52B6E"/>
    <w:rsid w:val="00E5665E"/>
    <w:rsid w:val="00E56906"/>
    <w:rsid w:val="00E5730D"/>
    <w:rsid w:val="00E63114"/>
    <w:rsid w:val="00E64DFE"/>
    <w:rsid w:val="00E66FEC"/>
    <w:rsid w:val="00E71BB2"/>
    <w:rsid w:val="00E751F7"/>
    <w:rsid w:val="00E82751"/>
    <w:rsid w:val="00E85136"/>
    <w:rsid w:val="00E9223F"/>
    <w:rsid w:val="00E92FDA"/>
    <w:rsid w:val="00E93DFC"/>
    <w:rsid w:val="00E93ED9"/>
    <w:rsid w:val="00E95F72"/>
    <w:rsid w:val="00EA4AD5"/>
    <w:rsid w:val="00EA73D5"/>
    <w:rsid w:val="00EB10E2"/>
    <w:rsid w:val="00EB201F"/>
    <w:rsid w:val="00EB58B1"/>
    <w:rsid w:val="00EC60D4"/>
    <w:rsid w:val="00EC7C43"/>
    <w:rsid w:val="00ED5E46"/>
    <w:rsid w:val="00EE0199"/>
    <w:rsid w:val="00EE0E6E"/>
    <w:rsid w:val="00EE1A80"/>
    <w:rsid w:val="00EE2E49"/>
    <w:rsid w:val="00EE418E"/>
    <w:rsid w:val="00EE6AA3"/>
    <w:rsid w:val="00EF1763"/>
    <w:rsid w:val="00EF17DD"/>
    <w:rsid w:val="00EF22FA"/>
    <w:rsid w:val="00F00DF1"/>
    <w:rsid w:val="00F052DE"/>
    <w:rsid w:val="00F07413"/>
    <w:rsid w:val="00F10338"/>
    <w:rsid w:val="00F13546"/>
    <w:rsid w:val="00F14E76"/>
    <w:rsid w:val="00F1739C"/>
    <w:rsid w:val="00F17888"/>
    <w:rsid w:val="00F17D20"/>
    <w:rsid w:val="00F238D5"/>
    <w:rsid w:val="00F24E6C"/>
    <w:rsid w:val="00F25EDD"/>
    <w:rsid w:val="00F2763C"/>
    <w:rsid w:val="00F317CE"/>
    <w:rsid w:val="00F32B1E"/>
    <w:rsid w:val="00F43D33"/>
    <w:rsid w:val="00F476A6"/>
    <w:rsid w:val="00F47E20"/>
    <w:rsid w:val="00F5103B"/>
    <w:rsid w:val="00F53357"/>
    <w:rsid w:val="00F53ADF"/>
    <w:rsid w:val="00F54162"/>
    <w:rsid w:val="00F54CAD"/>
    <w:rsid w:val="00F558C5"/>
    <w:rsid w:val="00F57B84"/>
    <w:rsid w:val="00F635E1"/>
    <w:rsid w:val="00F64F2F"/>
    <w:rsid w:val="00F65DC7"/>
    <w:rsid w:val="00F67876"/>
    <w:rsid w:val="00F67FA1"/>
    <w:rsid w:val="00F715F7"/>
    <w:rsid w:val="00F73712"/>
    <w:rsid w:val="00F74B20"/>
    <w:rsid w:val="00F813E3"/>
    <w:rsid w:val="00F825D7"/>
    <w:rsid w:val="00F83BA3"/>
    <w:rsid w:val="00F848C5"/>
    <w:rsid w:val="00F850D8"/>
    <w:rsid w:val="00F871CD"/>
    <w:rsid w:val="00F9180B"/>
    <w:rsid w:val="00F9197C"/>
    <w:rsid w:val="00F9387F"/>
    <w:rsid w:val="00F95C7C"/>
    <w:rsid w:val="00F95F11"/>
    <w:rsid w:val="00FA1202"/>
    <w:rsid w:val="00FB0DFB"/>
    <w:rsid w:val="00FB1117"/>
    <w:rsid w:val="00FB66C8"/>
    <w:rsid w:val="00FB6B3F"/>
    <w:rsid w:val="00FC1248"/>
    <w:rsid w:val="00FC1FE1"/>
    <w:rsid w:val="00FC22D8"/>
    <w:rsid w:val="00FC25E0"/>
    <w:rsid w:val="00FC30EC"/>
    <w:rsid w:val="00FD0D5C"/>
    <w:rsid w:val="00FD1137"/>
    <w:rsid w:val="00FD51CF"/>
    <w:rsid w:val="00FD61A0"/>
    <w:rsid w:val="00FD72D8"/>
    <w:rsid w:val="00FE062B"/>
    <w:rsid w:val="00FE0B77"/>
    <w:rsid w:val="00FE4DD8"/>
    <w:rsid w:val="00FE6202"/>
    <w:rsid w:val="00FF3C5F"/>
    <w:rsid w:val="00FF40F3"/>
    <w:rsid w:val="00FF4B8D"/>
    <w:rsid w:val="00FF568C"/>
    <w:rsid w:val="00FF6013"/>
    <w:rsid w:val="00FF752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jc w:val="center"/>
      <w:outlineLvl w:val="0"/>
    </w:pPr>
    <w:rPr>
      <w:b/>
      <w:bCs/>
      <w:sz w:val="28"/>
      <w:lang w:val="lv-LV"/>
    </w:rPr>
  </w:style>
  <w:style w:type="paragraph" w:styleId="Heading2">
    <w:name w:val="heading 2"/>
    <w:basedOn w:val="Normal"/>
    <w:next w:val="Normal"/>
    <w:qFormat/>
    <w:pPr>
      <w:keepNext/>
      <w:outlineLvl w:val="1"/>
    </w:pPr>
    <w:rPr>
      <w:sz w:val="28"/>
      <w:lang w:val="lv-LV"/>
    </w:rPr>
  </w:style>
  <w:style w:type="paragraph" w:styleId="Heading3">
    <w:name w:val="heading 3"/>
    <w:basedOn w:val="Normal"/>
    <w:next w:val="Normal"/>
    <w:qFormat/>
    <w:pPr>
      <w:keepNext/>
      <w:jc w:val="center"/>
      <w:outlineLvl w:val="2"/>
    </w:pPr>
    <w:rPr>
      <w:sz w:val="28"/>
      <w:lang w:val="lv-LV"/>
    </w:rPr>
  </w:style>
  <w:style w:type="paragraph" w:styleId="Heading4">
    <w:name w:val="heading 4"/>
    <w:basedOn w:val="Normal"/>
    <w:next w:val="Normal"/>
    <w:qFormat/>
    <w:pPr>
      <w:keepNext/>
      <w:tabs>
        <w:tab w:val="center" w:pos="586"/>
      </w:tabs>
      <w:ind w:left="-348" w:hanging="600"/>
      <w:outlineLvl w:val="3"/>
    </w:pPr>
    <w:rPr>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
    </w:pPr>
    <w:rPr>
      <w:sz w:val="28"/>
      <w:lang w:val="lv-LV"/>
    </w:rPr>
  </w:style>
  <w:style w:type="paragraph" w:customStyle="1" w:styleId="naisc">
    <w:name w:val="naisc"/>
    <w:basedOn w:val="Normal"/>
    <w:pPr>
      <w:spacing w:before="100" w:beforeAutospacing="1" w:after="100" w:afterAutospacing="1"/>
      <w:jc w:val="center"/>
    </w:pPr>
    <w:rPr>
      <w:rFonts w:eastAsia="Arial Unicode MS"/>
      <w:sz w:val="26"/>
      <w:szCs w:val="26"/>
    </w:rPr>
  </w:style>
  <w:style w:type="paragraph" w:customStyle="1" w:styleId="naisf">
    <w:name w:val="naisf"/>
    <w:basedOn w:val="Normal"/>
    <w:pPr>
      <w:spacing w:before="100" w:beforeAutospacing="1" w:after="100" w:afterAutospacing="1"/>
      <w:jc w:val="both"/>
    </w:pPr>
    <w:rPr>
      <w:rFonts w:eastAsia="Arial Unicode MS"/>
    </w:rPr>
  </w:style>
  <w:style w:type="paragraph" w:styleId="NormalWeb">
    <w:name w:val="Normal (Web)"/>
    <w:basedOn w:val="Normal"/>
    <w:pPr>
      <w:spacing w:before="100" w:beforeAutospacing="1" w:after="100" w:afterAutospacing="1"/>
    </w:pPr>
    <w:rPr>
      <w:rFonts w:eastAsia="Arial Unicode MS"/>
    </w:rPr>
  </w:style>
  <w:style w:type="paragraph" w:styleId="Footer">
    <w:name w:val="footer"/>
    <w:basedOn w:val="Normal"/>
    <w:link w:val="FooterChar"/>
    <w:pPr>
      <w:tabs>
        <w:tab w:val="center" w:pos="4153"/>
        <w:tab w:val="right" w:pos="8306"/>
      </w:tabs>
      <w:snapToGrid w:val="0"/>
    </w:pPr>
    <w:rPr>
      <w:rFonts w:ascii="RimTimes" w:hAnsi="RimTimes"/>
      <w:sz w:val="28"/>
      <w:szCs w:val="20"/>
    </w:rPr>
  </w:style>
  <w:style w:type="character" w:styleId="CommentReference">
    <w:name w:val="annotation reference"/>
    <w:semiHidden/>
    <w:rPr>
      <w:sz w:val="16"/>
      <w:szCs w:val="16"/>
    </w:rPr>
  </w:style>
  <w:style w:type="paragraph" w:customStyle="1" w:styleId="naislab">
    <w:name w:val="naislab"/>
    <w:basedOn w:val="Normal"/>
    <w:pPr>
      <w:spacing w:before="100" w:beforeAutospacing="1" w:after="100" w:afterAutospacing="1"/>
      <w:jc w:val="right"/>
    </w:pPr>
    <w:rPr>
      <w:rFonts w:eastAsia="Arial Unicode MS"/>
    </w:rPr>
  </w:style>
  <w:style w:type="paragraph" w:styleId="Header">
    <w:name w:val="header"/>
    <w:basedOn w:val="Normal"/>
    <w:link w:val="HeaderChar"/>
    <w:pPr>
      <w:tabs>
        <w:tab w:val="center" w:pos="4153"/>
        <w:tab w:val="right" w:pos="8306"/>
      </w:tabs>
    </w:pPr>
  </w:style>
  <w:style w:type="character" w:styleId="PageNumber">
    <w:name w:val="page number"/>
    <w:basedOn w:val="DefaultParagraphFont"/>
  </w:style>
  <w:style w:type="paragraph" w:styleId="CommentText">
    <w:name w:val="annotation text"/>
    <w:basedOn w:val="Normal"/>
    <w:semiHidden/>
    <w:rPr>
      <w:sz w:val="20"/>
      <w:szCs w:val="20"/>
    </w:rPr>
  </w:style>
  <w:style w:type="paragraph" w:customStyle="1" w:styleId="naiskr">
    <w:name w:val="naiskr"/>
    <w:basedOn w:val="Normal"/>
    <w:rsid w:val="00B40B98"/>
    <w:pPr>
      <w:spacing w:before="100" w:beforeAutospacing="1" w:after="100" w:afterAutospacing="1"/>
    </w:pPr>
    <w:rPr>
      <w:lang w:val="lv-LV" w:eastAsia="lv-LV"/>
    </w:rPr>
  </w:style>
  <w:style w:type="paragraph" w:styleId="BalloonText">
    <w:name w:val="Balloon Text"/>
    <w:basedOn w:val="Normal"/>
    <w:semiHidden/>
    <w:rsid w:val="003F2F3C"/>
    <w:rPr>
      <w:rFonts w:ascii="Tahoma" w:hAnsi="Tahoma" w:cs="Tahoma"/>
      <w:sz w:val="16"/>
      <w:szCs w:val="16"/>
    </w:rPr>
  </w:style>
  <w:style w:type="paragraph" w:customStyle="1" w:styleId="CharChar">
    <w:name w:val="Char Char"/>
    <w:basedOn w:val="Normal"/>
    <w:rsid w:val="001347E9"/>
    <w:rPr>
      <w:lang w:val="pl-PL" w:eastAsia="pl-PL"/>
    </w:rPr>
  </w:style>
  <w:style w:type="paragraph" w:customStyle="1" w:styleId="RakstzRakstzRakstzCharCharRakstzRakstzCharChar">
    <w:name w:val="Rakstz. Rakstz. Rakstz. Char Char Rakstz. Rakstz. Char Char"/>
    <w:basedOn w:val="Normal"/>
    <w:rsid w:val="004071C3"/>
    <w:pPr>
      <w:spacing w:before="40"/>
    </w:pPr>
    <w:rPr>
      <w:lang w:val="pl-PL" w:eastAsia="pl-PL"/>
    </w:rPr>
  </w:style>
  <w:style w:type="paragraph" w:styleId="BodyText2">
    <w:name w:val="Body Text 2"/>
    <w:basedOn w:val="Normal"/>
    <w:rsid w:val="00D730D2"/>
    <w:pPr>
      <w:spacing w:after="120" w:line="480" w:lineRule="auto"/>
    </w:pPr>
    <w:rPr>
      <w:sz w:val="28"/>
      <w:szCs w:val="20"/>
      <w:lang w:val="lv-LV" w:eastAsia="lv-LV"/>
    </w:rPr>
  </w:style>
  <w:style w:type="paragraph" w:styleId="CommentSubject">
    <w:name w:val="annotation subject"/>
    <w:basedOn w:val="CommentText"/>
    <w:next w:val="CommentText"/>
    <w:semiHidden/>
    <w:rsid w:val="00CC26BC"/>
    <w:rPr>
      <w:b/>
      <w:bCs/>
    </w:rPr>
  </w:style>
  <w:style w:type="character" w:styleId="Hyperlink">
    <w:name w:val="Hyperlink"/>
    <w:rsid w:val="0025425E"/>
    <w:rPr>
      <w:color w:val="0000FF"/>
      <w:u w:val="single"/>
    </w:rPr>
  </w:style>
  <w:style w:type="character" w:customStyle="1" w:styleId="HeaderChar">
    <w:name w:val="Header Char"/>
    <w:link w:val="Header"/>
    <w:rsid w:val="00651252"/>
    <w:rPr>
      <w:sz w:val="24"/>
      <w:szCs w:val="24"/>
      <w:lang w:val="en-GB" w:eastAsia="en-US"/>
    </w:rPr>
  </w:style>
  <w:style w:type="paragraph" w:customStyle="1" w:styleId="naisnod">
    <w:name w:val="naisnod"/>
    <w:basedOn w:val="Normal"/>
    <w:rsid w:val="00493272"/>
    <w:pPr>
      <w:spacing w:before="100" w:beforeAutospacing="1" w:after="100" w:afterAutospacing="1"/>
    </w:pPr>
    <w:rPr>
      <w:lang w:val="lv-LV" w:eastAsia="lv-LV"/>
    </w:rPr>
  </w:style>
  <w:style w:type="paragraph" w:styleId="FootnoteText">
    <w:name w:val="footnote text"/>
    <w:basedOn w:val="Normal"/>
    <w:link w:val="FootnoteTextChar"/>
    <w:rsid w:val="00493272"/>
    <w:rPr>
      <w:sz w:val="20"/>
      <w:szCs w:val="20"/>
      <w:lang w:val="lv-LV" w:eastAsia="lv-LV"/>
    </w:rPr>
  </w:style>
  <w:style w:type="character" w:customStyle="1" w:styleId="FootnoteTextChar">
    <w:name w:val="Footnote Text Char"/>
    <w:basedOn w:val="DefaultParagraphFont"/>
    <w:link w:val="FootnoteText"/>
    <w:rsid w:val="00493272"/>
  </w:style>
  <w:style w:type="character" w:customStyle="1" w:styleId="FooterChar">
    <w:name w:val="Footer Char"/>
    <w:link w:val="Footer"/>
    <w:rsid w:val="00493272"/>
    <w:rPr>
      <w:rFonts w:ascii="RimTimes" w:hAnsi="RimTimes"/>
      <w:sz w:val="28"/>
      <w:lang w:eastAsia="en-US"/>
    </w:rPr>
  </w:style>
  <w:style w:type="paragraph" w:styleId="NoSpacing">
    <w:name w:val="No Spacing"/>
    <w:uiPriority w:val="1"/>
    <w:qFormat/>
    <w:rsid w:val="007D0057"/>
    <w:rPr>
      <w:rFonts w:ascii="Calibri" w:eastAsia="Calibri" w:hAnsi="Calibri"/>
      <w:sz w:val="22"/>
      <w:szCs w:val="22"/>
      <w:lang w:eastAsia="en-US"/>
    </w:rPr>
  </w:style>
  <w:style w:type="character" w:styleId="Emphasis">
    <w:name w:val="Emphasis"/>
    <w:qFormat/>
    <w:rsid w:val="005C25C8"/>
    <w:rPr>
      <w:i/>
      <w:iCs/>
    </w:rPr>
  </w:style>
  <w:style w:type="paragraph" w:styleId="ListParagraph">
    <w:name w:val="List Paragraph"/>
    <w:basedOn w:val="Normal"/>
    <w:uiPriority w:val="34"/>
    <w:qFormat/>
    <w:rsid w:val="00034C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jc w:val="center"/>
      <w:outlineLvl w:val="0"/>
    </w:pPr>
    <w:rPr>
      <w:b/>
      <w:bCs/>
      <w:sz w:val="28"/>
      <w:lang w:val="lv-LV"/>
    </w:rPr>
  </w:style>
  <w:style w:type="paragraph" w:styleId="Heading2">
    <w:name w:val="heading 2"/>
    <w:basedOn w:val="Normal"/>
    <w:next w:val="Normal"/>
    <w:qFormat/>
    <w:pPr>
      <w:keepNext/>
      <w:outlineLvl w:val="1"/>
    </w:pPr>
    <w:rPr>
      <w:sz w:val="28"/>
      <w:lang w:val="lv-LV"/>
    </w:rPr>
  </w:style>
  <w:style w:type="paragraph" w:styleId="Heading3">
    <w:name w:val="heading 3"/>
    <w:basedOn w:val="Normal"/>
    <w:next w:val="Normal"/>
    <w:qFormat/>
    <w:pPr>
      <w:keepNext/>
      <w:jc w:val="center"/>
      <w:outlineLvl w:val="2"/>
    </w:pPr>
    <w:rPr>
      <w:sz w:val="28"/>
      <w:lang w:val="lv-LV"/>
    </w:rPr>
  </w:style>
  <w:style w:type="paragraph" w:styleId="Heading4">
    <w:name w:val="heading 4"/>
    <w:basedOn w:val="Normal"/>
    <w:next w:val="Normal"/>
    <w:qFormat/>
    <w:pPr>
      <w:keepNext/>
      <w:tabs>
        <w:tab w:val="center" w:pos="586"/>
      </w:tabs>
      <w:ind w:left="-348" w:hanging="600"/>
      <w:outlineLvl w:val="3"/>
    </w:pPr>
    <w:rPr>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
    </w:pPr>
    <w:rPr>
      <w:sz w:val="28"/>
      <w:lang w:val="lv-LV"/>
    </w:rPr>
  </w:style>
  <w:style w:type="paragraph" w:customStyle="1" w:styleId="naisc">
    <w:name w:val="naisc"/>
    <w:basedOn w:val="Normal"/>
    <w:pPr>
      <w:spacing w:before="100" w:beforeAutospacing="1" w:after="100" w:afterAutospacing="1"/>
      <w:jc w:val="center"/>
    </w:pPr>
    <w:rPr>
      <w:rFonts w:eastAsia="Arial Unicode MS"/>
      <w:sz w:val="26"/>
      <w:szCs w:val="26"/>
    </w:rPr>
  </w:style>
  <w:style w:type="paragraph" w:customStyle="1" w:styleId="naisf">
    <w:name w:val="naisf"/>
    <w:basedOn w:val="Normal"/>
    <w:pPr>
      <w:spacing w:before="100" w:beforeAutospacing="1" w:after="100" w:afterAutospacing="1"/>
      <w:jc w:val="both"/>
    </w:pPr>
    <w:rPr>
      <w:rFonts w:eastAsia="Arial Unicode MS"/>
    </w:rPr>
  </w:style>
  <w:style w:type="paragraph" w:styleId="NormalWeb">
    <w:name w:val="Normal (Web)"/>
    <w:basedOn w:val="Normal"/>
    <w:pPr>
      <w:spacing w:before="100" w:beforeAutospacing="1" w:after="100" w:afterAutospacing="1"/>
    </w:pPr>
    <w:rPr>
      <w:rFonts w:eastAsia="Arial Unicode MS"/>
    </w:rPr>
  </w:style>
  <w:style w:type="paragraph" w:styleId="Footer">
    <w:name w:val="footer"/>
    <w:basedOn w:val="Normal"/>
    <w:link w:val="FooterChar"/>
    <w:pPr>
      <w:tabs>
        <w:tab w:val="center" w:pos="4153"/>
        <w:tab w:val="right" w:pos="8306"/>
      </w:tabs>
      <w:snapToGrid w:val="0"/>
    </w:pPr>
    <w:rPr>
      <w:rFonts w:ascii="RimTimes" w:hAnsi="RimTimes"/>
      <w:sz w:val="28"/>
      <w:szCs w:val="20"/>
    </w:rPr>
  </w:style>
  <w:style w:type="character" w:styleId="CommentReference">
    <w:name w:val="annotation reference"/>
    <w:semiHidden/>
    <w:rPr>
      <w:sz w:val="16"/>
      <w:szCs w:val="16"/>
    </w:rPr>
  </w:style>
  <w:style w:type="paragraph" w:customStyle="1" w:styleId="naislab">
    <w:name w:val="naislab"/>
    <w:basedOn w:val="Normal"/>
    <w:pPr>
      <w:spacing w:before="100" w:beforeAutospacing="1" w:after="100" w:afterAutospacing="1"/>
      <w:jc w:val="right"/>
    </w:pPr>
    <w:rPr>
      <w:rFonts w:eastAsia="Arial Unicode MS"/>
    </w:rPr>
  </w:style>
  <w:style w:type="paragraph" w:styleId="Header">
    <w:name w:val="header"/>
    <w:basedOn w:val="Normal"/>
    <w:link w:val="HeaderChar"/>
    <w:pPr>
      <w:tabs>
        <w:tab w:val="center" w:pos="4153"/>
        <w:tab w:val="right" w:pos="8306"/>
      </w:tabs>
    </w:pPr>
  </w:style>
  <w:style w:type="character" w:styleId="PageNumber">
    <w:name w:val="page number"/>
    <w:basedOn w:val="DefaultParagraphFont"/>
  </w:style>
  <w:style w:type="paragraph" w:styleId="CommentText">
    <w:name w:val="annotation text"/>
    <w:basedOn w:val="Normal"/>
    <w:semiHidden/>
    <w:rPr>
      <w:sz w:val="20"/>
      <w:szCs w:val="20"/>
    </w:rPr>
  </w:style>
  <w:style w:type="paragraph" w:customStyle="1" w:styleId="naiskr">
    <w:name w:val="naiskr"/>
    <w:basedOn w:val="Normal"/>
    <w:rsid w:val="00B40B98"/>
    <w:pPr>
      <w:spacing w:before="100" w:beforeAutospacing="1" w:after="100" w:afterAutospacing="1"/>
    </w:pPr>
    <w:rPr>
      <w:lang w:val="lv-LV" w:eastAsia="lv-LV"/>
    </w:rPr>
  </w:style>
  <w:style w:type="paragraph" w:styleId="BalloonText">
    <w:name w:val="Balloon Text"/>
    <w:basedOn w:val="Normal"/>
    <w:semiHidden/>
    <w:rsid w:val="003F2F3C"/>
    <w:rPr>
      <w:rFonts w:ascii="Tahoma" w:hAnsi="Tahoma" w:cs="Tahoma"/>
      <w:sz w:val="16"/>
      <w:szCs w:val="16"/>
    </w:rPr>
  </w:style>
  <w:style w:type="paragraph" w:customStyle="1" w:styleId="CharChar">
    <w:name w:val="Char Char"/>
    <w:basedOn w:val="Normal"/>
    <w:rsid w:val="001347E9"/>
    <w:rPr>
      <w:lang w:val="pl-PL" w:eastAsia="pl-PL"/>
    </w:rPr>
  </w:style>
  <w:style w:type="paragraph" w:customStyle="1" w:styleId="RakstzRakstzRakstzCharCharRakstzRakstzCharChar">
    <w:name w:val="Rakstz. Rakstz. Rakstz. Char Char Rakstz. Rakstz. Char Char"/>
    <w:basedOn w:val="Normal"/>
    <w:rsid w:val="004071C3"/>
    <w:pPr>
      <w:spacing w:before="40"/>
    </w:pPr>
    <w:rPr>
      <w:lang w:val="pl-PL" w:eastAsia="pl-PL"/>
    </w:rPr>
  </w:style>
  <w:style w:type="paragraph" w:styleId="BodyText2">
    <w:name w:val="Body Text 2"/>
    <w:basedOn w:val="Normal"/>
    <w:rsid w:val="00D730D2"/>
    <w:pPr>
      <w:spacing w:after="120" w:line="480" w:lineRule="auto"/>
    </w:pPr>
    <w:rPr>
      <w:sz w:val="28"/>
      <w:szCs w:val="20"/>
      <w:lang w:val="lv-LV" w:eastAsia="lv-LV"/>
    </w:rPr>
  </w:style>
  <w:style w:type="paragraph" w:styleId="CommentSubject">
    <w:name w:val="annotation subject"/>
    <w:basedOn w:val="CommentText"/>
    <w:next w:val="CommentText"/>
    <w:semiHidden/>
    <w:rsid w:val="00CC26BC"/>
    <w:rPr>
      <w:b/>
      <w:bCs/>
    </w:rPr>
  </w:style>
  <w:style w:type="character" w:styleId="Hyperlink">
    <w:name w:val="Hyperlink"/>
    <w:rsid w:val="0025425E"/>
    <w:rPr>
      <w:color w:val="0000FF"/>
      <w:u w:val="single"/>
    </w:rPr>
  </w:style>
  <w:style w:type="character" w:customStyle="1" w:styleId="HeaderChar">
    <w:name w:val="Header Char"/>
    <w:link w:val="Header"/>
    <w:rsid w:val="00651252"/>
    <w:rPr>
      <w:sz w:val="24"/>
      <w:szCs w:val="24"/>
      <w:lang w:val="en-GB" w:eastAsia="en-US"/>
    </w:rPr>
  </w:style>
  <w:style w:type="paragraph" w:customStyle="1" w:styleId="naisnod">
    <w:name w:val="naisnod"/>
    <w:basedOn w:val="Normal"/>
    <w:rsid w:val="00493272"/>
    <w:pPr>
      <w:spacing w:before="100" w:beforeAutospacing="1" w:after="100" w:afterAutospacing="1"/>
    </w:pPr>
    <w:rPr>
      <w:lang w:val="lv-LV" w:eastAsia="lv-LV"/>
    </w:rPr>
  </w:style>
  <w:style w:type="paragraph" w:styleId="FootnoteText">
    <w:name w:val="footnote text"/>
    <w:basedOn w:val="Normal"/>
    <w:link w:val="FootnoteTextChar"/>
    <w:rsid w:val="00493272"/>
    <w:rPr>
      <w:sz w:val="20"/>
      <w:szCs w:val="20"/>
      <w:lang w:val="lv-LV" w:eastAsia="lv-LV"/>
    </w:rPr>
  </w:style>
  <w:style w:type="character" w:customStyle="1" w:styleId="FootnoteTextChar">
    <w:name w:val="Footnote Text Char"/>
    <w:basedOn w:val="DefaultParagraphFont"/>
    <w:link w:val="FootnoteText"/>
    <w:rsid w:val="00493272"/>
  </w:style>
  <w:style w:type="character" w:customStyle="1" w:styleId="FooterChar">
    <w:name w:val="Footer Char"/>
    <w:link w:val="Footer"/>
    <w:rsid w:val="00493272"/>
    <w:rPr>
      <w:rFonts w:ascii="RimTimes" w:hAnsi="RimTimes"/>
      <w:sz w:val="28"/>
      <w:lang w:eastAsia="en-US"/>
    </w:rPr>
  </w:style>
  <w:style w:type="paragraph" w:styleId="NoSpacing">
    <w:name w:val="No Spacing"/>
    <w:uiPriority w:val="1"/>
    <w:qFormat/>
    <w:rsid w:val="007D0057"/>
    <w:rPr>
      <w:rFonts w:ascii="Calibri" w:eastAsia="Calibri" w:hAnsi="Calibri"/>
      <w:sz w:val="22"/>
      <w:szCs w:val="22"/>
      <w:lang w:eastAsia="en-US"/>
    </w:rPr>
  </w:style>
  <w:style w:type="character" w:styleId="Emphasis">
    <w:name w:val="Emphasis"/>
    <w:qFormat/>
    <w:rsid w:val="005C25C8"/>
    <w:rPr>
      <w:i/>
      <w:iCs/>
    </w:rPr>
  </w:style>
  <w:style w:type="paragraph" w:styleId="ListParagraph">
    <w:name w:val="List Paragraph"/>
    <w:basedOn w:val="Normal"/>
    <w:uiPriority w:val="34"/>
    <w:qFormat/>
    <w:rsid w:val="00034C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718762">
      <w:bodyDiv w:val="1"/>
      <w:marLeft w:val="0"/>
      <w:marRight w:val="0"/>
      <w:marTop w:val="0"/>
      <w:marBottom w:val="0"/>
      <w:divBdr>
        <w:top w:val="none" w:sz="0" w:space="0" w:color="auto"/>
        <w:left w:val="none" w:sz="0" w:space="0" w:color="auto"/>
        <w:bottom w:val="none" w:sz="0" w:space="0" w:color="auto"/>
        <w:right w:val="none" w:sz="0" w:space="0" w:color="auto"/>
      </w:divBdr>
    </w:div>
    <w:div w:id="767391288">
      <w:bodyDiv w:val="1"/>
      <w:marLeft w:val="0"/>
      <w:marRight w:val="0"/>
      <w:marTop w:val="0"/>
      <w:marBottom w:val="0"/>
      <w:divBdr>
        <w:top w:val="none" w:sz="0" w:space="0" w:color="auto"/>
        <w:left w:val="none" w:sz="0" w:space="0" w:color="auto"/>
        <w:bottom w:val="none" w:sz="0" w:space="0" w:color="auto"/>
        <w:right w:val="none" w:sz="0" w:space="0" w:color="auto"/>
      </w:divBdr>
    </w:div>
    <w:div w:id="1098791317">
      <w:bodyDiv w:val="1"/>
      <w:marLeft w:val="0"/>
      <w:marRight w:val="0"/>
      <w:marTop w:val="0"/>
      <w:marBottom w:val="0"/>
      <w:divBdr>
        <w:top w:val="none" w:sz="0" w:space="0" w:color="auto"/>
        <w:left w:val="none" w:sz="0" w:space="0" w:color="auto"/>
        <w:bottom w:val="none" w:sz="0" w:space="0" w:color="auto"/>
        <w:right w:val="none" w:sz="0" w:space="0" w:color="auto"/>
      </w:divBdr>
    </w:div>
    <w:div w:id="1126847974">
      <w:bodyDiv w:val="1"/>
      <w:marLeft w:val="0"/>
      <w:marRight w:val="0"/>
      <w:marTop w:val="0"/>
      <w:marBottom w:val="0"/>
      <w:divBdr>
        <w:top w:val="none" w:sz="0" w:space="0" w:color="auto"/>
        <w:left w:val="none" w:sz="0" w:space="0" w:color="auto"/>
        <w:bottom w:val="none" w:sz="0" w:space="0" w:color="auto"/>
        <w:right w:val="none" w:sz="0" w:space="0" w:color="auto"/>
      </w:divBdr>
    </w:div>
    <w:div w:id="1414544387">
      <w:bodyDiv w:val="1"/>
      <w:marLeft w:val="0"/>
      <w:marRight w:val="0"/>
      <w:marTop w:val="0"/>
      <w:marBottom w:val="0"/>
      <w:divBdr>
        <w:top w:val="none" w:sz="0" w:space="0" w:color="auto"/>
        <w:left w:val="none" w:sz="0" w:space="0" w:color="auto"/>
        <w:bottom w:val="none" w:sz="0" w:space="0" w:color="auto"/>
        <w:right w:val="none" w:sz="0" w:space="0" w:color="auto"/>
      </w:divBdr>
    </w:div>
    <w:div w:id="1497527209">
      <w:bodyDiv w:val="1"/>
      <w:marLeft w:val="0"/>
      <w:marRight w:val="0"/>
      <w:marTop w:val="0"/>
      <w:marBottom w:val="0"/>
      <w:divBdr>
        <w:top w:val="none" w:sz="0" w:space="0" w:color="auto"/>
        <w:left w:val="none" w:sz="0" w:space="0" w:color="auto"/>
        <w:bottom w:val="none" w:sz="0" w:space="0" w:color="auto"/>
        <w:right w:val="none" w:sz="0" w:space="0" w:color="auto"/>
      </w:divBdr>
    </w:div>
    <w:div w:id="1756894766">
      <w:bodyDiv w:val="1"/>
      <w:marLeft w:val="0"/>
      <w:marRight w:val="0"/>
      <w:marTop w:val="0"/>
      <w:marBottom w:val="0"/>
      <w:divBdr>
        <w:top w:val="none" w:sz="0" w:space="0" w:color="auto"/>
        <w:left w:val="none" w:sz="0" w:space="0" w:color="auto"/>
        <w:bottom w:val="none" w:sz="0" w:space="0" w:color="auto"/>
        <w:right w:val="none" w:sz="0" w:space="0" w:color="auto"/>
      </w:divBdr>
    </w:div>
    <w:div w:id="1961524422">
      <w:bodyDiv w:val="1"/>
      <w:marLeft w:val="0"/>
      <w:marRight w:val="0"/>
      <w:marTop w:val="0"/>
      <w:marBottom w:val="0"/>
      <w:divBdr>
        <w:top w:val="none" w:sz="0" w:space="0" w:color="auto"/>
        <w:left w:val="none" w:sz="0" w:space="0" w:color="auto"/>
        <w:bottom w:val="none" w:sz="0" w:space="0" w:color="auto"/>
        <w:right w:val="none" w:sz="0" w:space="0" w:color="auto"/>
      </w:divBdr>
    </w:div>
    <w:div w:id="197239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Zane.Logina@f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BD123-B41A-47E2-B169-920E647B1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1383</Words>
  <Characters>10071</Characters>
  <Application>Microsoft Office Word</Application>
  <DocSecurity>0</DocSecurity>
  <Lines>83</Lines>
  <Paragraphs>22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„Grozījums Ministru kabineta 2010.gada 9.novembra noteikumos Nr.1041 „Kārtība, kādā paredzami valsts budžeta līdzekļi Eiropas Savienības struktūrfondu un Kohēzijas fonda līdzfinansēto projektu īstenošanai, kā arī maksā</vt:lpstr>
      <vt:lpstr>Anotācija Ministru kabineta noteikumu projektam „Grozījumi Ministru kabineta 2010.gada 9.novembra noteikumos Nr.1041 „Kārtība, kādā paredzami valsts budžeta līdzekļi Eiropas Savienības struktūrfondu un Kohēzijas fonda līdzfinansēto projektu īstenošanai, k</vt:lpstr>
    </vt:vector>
  </TitlesOfParts>
  <Company>LR Finanšu ministrija</Company>
  <LinksUpToDate>false</LinksUpToDate>
  <CharactersWithSpaces>11432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„Grozījums Ministru kabineta 2010.gada 9.novembra noteikumos Nr.1041 „Kārtība, kādā paredzami valsts budžeta līdzekļi Eiropas Savienības struktūrfondu un Kohēzijas fonda līdzfinansēto projektu īstenošanai, kā arī maksājumu veikšanas un izdevumu deklarācijas sagatavošanas kārtība”” sākotnējās ietekmes novērtējuma ziņojums (anotācija)</dc:title>
  <dc:subject>Anotācija</dc:subject>
  <dc:creator>Zane.Logina@fm.gov.lv</dc:creator>
  <dc:description>Zane.Logina@fm.gov.lv
Tālr. 67083936
Faksa Nr. 67095697</dc:description>
  <cp:lastModifiedBy>Windows User</cp:lastModifiedBy>
  <cp:revision>11</cp:revision>
  <cp:lastPrinted>2012-03-26T12:04:00Z</cp:lastPrinted>
  <dcterms:created xsi:type="dcterms:W3CDTF">2012-03-28T07:25:00Z</dcterms:created>
  <dcterms:modified xsi:type="dcterms:W3CDTF">2012-03-30T12:19:00Z</dcterms:modified>
</cp:coreProperties>
</file>