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7" w:rsidRPr="00AE360B" w:rsidRDefault="00160037" w:rsidP="00317E36">
      <w:pPr>
        <w:pStyle w:val="BodyText3"/>
        <w:jc w:val="center"/>
        <w:rPr>
          <w:sz w:val="28"/>
          <w:szCs w:val="28"/>
        </w:rPr>
      </w:pPr>
      <w:r w:rsidRPr="00AE360B">
        <w:rPr>
          <w:sz w:val="28"/>
          <w:szCs w:val="28"/>
        </w:rPr>
        <w:t xml:space="preserve">Ministru kabineta noteikumu </w:t>
      </w:r>
      <w:r w:rsidR="00317E36" w:rsidRPr="00AE360B">
        <w:rPr>
          <w:sz w:val="28"/>
          <w:szCs w:val="28"/>
        </w:rPr>
        <w:t>„</w:t>
      </w:r>
      <w:r w:rsidR="007276E9" w:rsidRPr="00AE360B">
        <w:rPr>
          <w:sz w:val="28"/>
          <w:szCs w:val="28"/>
          <w:lang w:eastAsia="lv-LV"/>
        </w:rPr>
        <w:t>Grozījumi Ministru kabineta</w:t>
      </w:r>
      <w:r w:rsidR="007276E9" w:rsidRPr="00AE360B">
        <w:rPr>
          <w:i/>
          <w:sz w:val="28"/>
          <w:szCs w:val="28"/>
          <w:lang w:eastAsia="lv-LV"/>
        </w:rPr>
        <w:t xml:space="preserve"> </w:t>
      </w:r>
      <w:r w:rsidR="007276E9" w:rsidRPr="00AE360B">
        <w:rPr>
          <w:sz w:val="28"/>
          <w:szCs w:val="28"/>
          <w:lang w:eastAsia="lv-LV"/>
        </w:rPr>
        <w:t>2010.gada 21.jūnija noteikumos</w:t>
      </w:r>
      <w:r w:rsidR="007276E9" w:rsidRPr="00AE360B">
        <w:rPr>
          <w:i/>
          <w:sz w:val="28"/>
          <w:szCs w:val="28"/>
          <w:lang w:eastAsia="lv-LV"/>
        </w:rPr>
        <w:t xml:space="preserve"> </w:t>
      </w:r>
      <w:r w:rsidR="007276E9" w:rsidRPr="00AE360B">
        <w:rPr>
          <w:sz w:val="28"/>
          <w:szCs w:val="28"/>
          <w:lang w:eastAsia="lv-LV"/>
        </w:rPr>
        <w:t>Nr.565</w:t>
      </w:r>
      <w:r w:rsidR="007276E9" w:rsidRPr="00AE360B">
        <w:rPr>
          <w:i/>
          <w:sz w:val="28"/>
          <w:szCs w:val="28"/>
          <w:lang w:eastAsia="lv-LV"/>
        </w:rPr>
        <w:t xml:space="preserve"> „</w:t>
      </w:r>
      <w:r w:rsidR="007276E9" w:rsidRPr="00AE360B">
        <w:rPr>
          <w:sz w:val="28"/>
          <w:szCs w:val="28"/>
          <w:lang w:eastAsia="lv-LV"/>
        </w:rPr>
        <w:t>Noteikumi par valsts un pašvaldību institūciju amatpersonu un darbinieku sociālajām garantijām””</w:t>
      </w:r>
      <w:r w:rsidR="00317E36" w:rsidRPr="00AE360B">
        <w:rPr>
          <w:sz w:val="28"/>
          <w:szCs w:val="28"/>
        </w:rPr>
        <w:t xml:space="preserve"> </w:t>
      </w:r>
    </w:p>
    <w:p w:rsidR="00160037" w:rsidRPr="00AE360B" w:rsidRDefault="00160037" w:rsidP="00317E36">
      <w:pPr>
        <w:pStyle w:val="BodyText3"/>
        <w:jc w:val="center"/>
        <w:rPr>
          <w:sz w:val="28"/>
          <w:szCs w:val="28"/>
        </w:rPr>
      </w:pPr>
      <w:r w:rsidRPr="00AE360B">
        <w:rPr>
          <w:sz w:val="28"/>
          <w:szCs w:val="28"/>
        </w:rPr>
        <w:t>projekta</w:t>
      </w:r>
      <w:r w:rsidR="00317E36" w:rsidRPr="00AE360B">
        <w:rPr>
          <w:sz w:val="28"/>
          <w:szCs w:val="28"/>
        </w:rPr>
        <w:t xml:space="preserve"> </w:t>
      </w:r>
      <w:r w:rsidR="00C2479E" w:rsidRPr="00AE360B">
        <w:rPr>
          <w:sz w:val="28"/>
          <w:szCs w:val="28"/>
        </w:rPr>
        <w:t>sākotnējās ietekmes novērtējuma ziņojums (</w:t>
      </w:r>
      <w:r w:rsidR="00317E36" w:rsidRPr="00AE360B">
        <w:rPr>
          <w:sz w:val="28"/>
          <w:szCs w:val="28"/>
        </w:rPr>
        <w:t>anotācija</w:t>
      </w:r>
      <w:r w:rsidR="00C2479E" w:rsidRPr="00AE360B">
        <w:rPr>
          <w:sz w:val="28"/>
          <w:szCs w:val="28"/>
        </w:rPr>
        <w:t>)</w:t>
      </w:r>
    </w:p>
    <w:p w:rsidR="00317E36" w:rsidRPr="00AE360B" w:rsidRDefault="00317E36" w:rsidP="00317E36">
      <w:pPr>
        <w:pStyle w:val="BodyText3"/>
        <w:jc w:val="center"/>
        <w:rPr>
          <w:sz w:val="28"/>
          <w:szCs w:val="28"/>
        </w:rPr>
      </w:pPr>
    </w:p>
    <w:tbl>
      <w:tblPr>
        <w:tblW w:w="907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
        <w:gridCol w:w="54"/>
        <w:gridCol w:w="2475"/>
        <w:gridCol w:w="567"/>
        <w:gridCol w:w="5528"/>
      </w:tblGrid>
      <w:tr w:rsidR="00317E36" w:rsidRPr="00AE360B" w:rsidTr="006036D1">
        <w:trPr>
          <w:tblCellSpacing w:w="0" w:type="dxa"/>
        </w:trPr>
        <w:tc>
          <w:tcPr>
            <w:tcW w:w="9072" w:type="dxa"/>
            <w:gridSpan w:val="5"/>
            <w:tcBorders>
              <w:top w:val="outset" w:sz="6" w:space="0" w:color="auto"/>
              <w:left w:val="outset" w:sz="6" w:space="0" w:color="auto"/>
              <w:bottom w:val="outset" w:sz="6" w:space="0" w:color="auto"/>
              <w:right w:val="outset" w:sz="6" w:space="0" w:color="auto"/>
            </w:tcBorders>
            <w:vAlign w:val="center"/>
          </w:tcPr>
          <w:p w:rsidR="00317E36" w:rsidRPr="00AE360B" w:rsidRDefault="002E0B4B" w:rsidP="002E0B4B">
            <w:pPr>
              <w:jc w:val="center"/>
              <w:rPr>
                <w:b/>
                <w:bCs/>
                <w:sz w:val="28"/>
                <w:szCs w:val="28"/>
                <w:lang w:eastAsia="lv-LV"/>
              </w:rPr>
            </w:pPr>
            <w:r w:rsidRPr="00AE360B">
              <w:rPr>
                <w:b/>
                <w:bCs/>
                <w:sz w:val="28"/>
                <w:szCs w:val="28"/>
                <w:lang w:eastAsia="lv-LV"/>
              </w:rPr>
              <w:t xml:space="preserve">I. </w:t>
            </w:r>
            <w:r w:rsidR="00317E36" w:rsidRPr="00AE360B">
              <w:rPr>
                <w:b/>
                <w:bCs/>
                <w:sz w:val="28"/>
                <w:szCs w:val="28"/>
                <w:lang w:eastAsia="lv-LV"/>
              </w:rPr>
              <w:t>Tiesību akta projekta izstrādes nepieciešamība</w:t>
            </w:r>
          </w:p>
          <w:p w:rsidR="004437FB" w:rsidRPr="00AE360B" w:rsidRDefault="004437FB" w:rsidP="002E0B4B">
            <w:pPr>
              <w:jc w:val="center"/>
              <w:rPr>
                <w:b/>
                <w:bCs/>
                <w:sz w:val="28"/>
                <w:szCs w:val="28"/>
                <w:lang w:eastAsia="lv-LV"/>
              </w:rPr>
            </w:pPr>
          </w:p>
        </w:tc>
      </w:tr>
      <w:tr w:rsidR="00317E36" w:rsidRPr="00AE360B" w:rsidTr="006036D1">
        <w:trPr>
          <w:trHeight w:val="630"/>
          <w:tblCellSpacing w:w="0" w:type="dxa"/>
        </w:trPr>
        <w:tc>
          <w:tcPr>
            <w:tcW w:w="502" w:type="dxa"/>
            <w:gridSpan w:val="2"/>
            <w:tcBorders>
              <w:top w:val="outset" w:sz="6" w:space="0" w:color="auto"/>
              <w:left w:val="outset" w:sz="6" w:space="0" w:color="auto"/>
              <w:bottom w:val="outset" w:sz="6" w:space="0" w:color="auto"/>
              <w:right w:val="outset" w:sz="6" w:space="0" w:color="auto"/>
            </w:tcBorders>
          </w:tcPr>
          <w:p w:rsidR="00317E36" w:rsidRPr="00AE360B" w:rsidRDefault="00317E36" w:rsidP="00D11551">
            <w:pPr>
              <w:rPr>
                <w:sz w:val="28"/>
                <w:szCs w:val="28"/>
                <w:lang w:eastAsia="lv-LV"/>
              </w:rPr>
            </w:pPr>
            <w:r w:rsidRPr="00AE360B">
              <w:rPr>
                <w:sz w:val="28"/>
                <w:szCs w:val="28"/>
                <w:lang w:eastAsia="lv-LV"/>
              </w:rPr>
              <w:t> 1.</w:t>
            </w:r>
          </w:p>
        </w:tc>
        <w:tc>
          <w:tcPr>
            <w:tcW w:w="2475" w:type="dxa"/>
            <w:tcBorders>
              <w:top w:val="outset" w:sz="6" w:space="0" w:color="auto"/>
              <w:left w:val="outset" w:sz="6" w:space="0" w:color="auto"/>
              <w:bottom w:val="outset" w:sz="6" w:space="0" w:color="auto"/>
              <w:right w:val="outset" w:sz="6" w:space="0" w:color="auto"/>
            </w:tcBorders>
          </w:tcPr>
          <w:p w:rsidR="00317E36" w:rsidRPr="00AE360B" w:rsidRDefault="00317E36" w:rsidP="00D11551">
            <w:pPr>
              <w:rPr>
                <w:sz w:val="28"/>
                <w:szCs w:val="28"/>
                <w:lang w:eastAsia="lv-LV"/>
              </w:rPr>
            </w:pPr>
            <w:r w:rsidRPr="00AE360B">
              <w:rPr>
                <w:sz w:val="28"/>
                <w:szCs w:val="28"/>
                <w:lang w:eastAsia="lv-LV"/>
              </w:rPr>
              <w:t> Pamatojums</w:t>
            </w:r>
          </w:p>
        </w:tc>
        <w:tc>
          <w:tcPr>
            <w:tcW w:w="6095" w:type="dxa"/>
            <w:gridSpan w:val="2"/>
            <w:tcBorders>
              <w:top w:val="outset" w:sz="6" w:space="0" w:color="auto"/>
              <w:left w:val="outset" w:sz="6" w:space="0" w:color="auto"/>
              <w:bottom w:val="outset" w:sz="6" w:space="0" w:color="auto"/>
              <w:right w:val="outset" w:sz="6" w:space="0" w:color="auto"/>
            </w:tcBorders>
          </w:tcPr>
          <w:p w:rsidR="00317E36" w:rsidRPr="00AE360B" w:rsidRDefault="00317E36" w:rsidP="007B278E">
            <w:pPr>
              <w:pStyle w:val="naisf"/>
              <w:spacing w:before="0" w:beforeAutospacing="0" w:after="0" w:afterAutospacing="0"/>
              <w:rPr>
                <w:sz w:val="28"/>
                <w:szCs w:val="28"/>
                <w:lang w:eastAsia="lv-LV"/>
              </w:rPr>
            </w:pPr>
            <w:r w:rsidRPr="00AE360B">
              <w:rPr>
                <w:sz w:val="28"/>
                <w:szCs w:val="28"/>
                <w:lang w:eastAsia="lv-LV"/>
              </w:rPr>
              <w:t> </w:t>
            </w:r>
            <w:r w:rsidR="007B278E" w:rsidRPr="00AE360B">
              <w:rPr>
                <w:sz w:val="28"/>
                <w:szCs w:val="28"/>
                <w:lang w:eastAsia="lv-LV"/>
              </w:rPr>
              <w:t>Finanšu ministrijas iniciatīva, l</w:t>
            </w:r>
            <w:r w:rsidR="00720E87" w:rsidRPr="00AE360B">
              <w:rPr>
                <w:sz w:val="28"/>
                <w:szCs w:val="28"/>
              </w:rPr>
              <w:t>ai novērstu atsevišķu normu</w:t>
            </w:r>
            <w:r w:rsidR="00967739">
              <w:rPr>
                <w:sz w:val="28"/>
                <w:szCs w:val="28"/>
              </w:rPr>
              <w:t xml:space="preserve"> dažādu</w:t>
            </w:r>
            <w:r w:rsidR="00720E87" w:rsidRPr="00AE360B">
              <w:rPr>
                <w:sz w:val="28"/>
                <w:szCs w:val="28"/>
              </w:rPr>
              <w:t xml:space="preserve"> interpretāciju un nodrošinātu to viennozīmīgu piemērošanu.</w:t>
            </w:r>
          </w:p>
        </w:tc>
      </w:tr>
      <w:tr w:rsidR="00317E36" w:rsidRPr="00AE360B" w:rsidTr="006036D1">
        <w:trPr>
          <w:trHeight w:val="472"/>
          <w:tblCellSpacing w:w="0" w:type="dxa"/>
        </w:trPr>
        <w:tc>
          <w:tcPr>
            <w:tcW w:w="502" w:type="dxa"/>
            <w:gridSpan w:val="2"/>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2.</w:t>
            </w:r>
          </w:p>
        </w:tc>
        <w:tc>
          <w:tcPr>
            <w:tcW w:w="2475" w:type="dxa"/>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Pašreizējā situācija un problēmas</w:t>
            </w:r>
          </w:p>
        </w:tc>
        <w:tc>
          <w:tcPr>
            <w:tcW w:w="6095" w:type="dxa"/>
            <w:gridSpan w:val="2"/>
            <w:tcBorders>
              <w:top w:val="outset" w:sz="6" w:space="0" w:color="auto"/>
              <w:left w:val="outset" w:sz="6" w:space="0" w:color="auto"/>
              <w:bottom w:val="outset" w:sz="6" w:space="0" w:color="auto"/>
              <w:right w:val="outset" w:sz="6" w:space="0" w:color="auto"/>
            </w:tcBorders>
          </w:tcPr>
          <w:p w:rsidR="009164BE" w:rsidRPr="00AE360B" w:rsidRDefault="000E059D" w:rsidP="00842704">
            <w:pPr>
              <w:jc w:val="both"/>
              <w:rPr>
                <w:iCs/>
                <w:sz w:val="28"/>
                <w:szCs w:val="28"/>
              </w:rPr>
            </w:pPr>
            <w:r w:rsidRPr="00AE360B">
              <w:rPr>
                <w:sz w:val="28"/>
                <w:szCs w:val="28"/>
              </w:rPr>
              <w:t xml:space="preserve">   </w:t>
            </w:r>
            <w:r w:rsidR="0073214F" w:rsidRPr="00AE360B">
              <w:rPr>
                <w:sz w:val="28"/>
                <w:szCs w:val="28"/>
              </w:rPr>
              <w:t xml:space="preserve">Noteikumi </w:t>
            </w:r>
            <w:r w:rsidR="00106251" w:rsidRPr="00AE360B">
              <w:rPr>
                <w:sz w:val="28"/>
                <w:szCs w:val="28"/>
              </w:rPr>
              <w:t xml:space="preserve"> </w:t>
            </w:r>
            <w:r w:rsidR="0073214F" w:rsidRPr="00AE360B">
              <w:rPr>
                <w:sz w:val="28"/>
                <w:szCs w:val="28"/>
              </w:rPr>
              <w:t xml:space="preserve">šobrīd paredz </w:t>
            </w:r>
            <w:r w:rsidR="00106251" w:rsidRPr="00AE360B">
              <w:rPr>
                <w:sz w:val="28"/>
                <w:szCs w:val="28"/>
              </w:rPr>
              <w:t>zaudējumu un kaitējuma kompensāciju izmaksu</w:t>
            </w:r>
            <w:r w:rsidR="0073214F" w:rsidRPr="00AE360B">
              <w:rPr>
                <w:sz w:val="28"/>
                <w:szCs w:val="28"/>
              </w:rPr>
              <w:t>.</w:t>
            </w:r>
            <w:r w:rsidR="00106251" w:rsidRPr="00AE360B">
              <w:rPr>
                <w:sz w:val="28"/>
                <w:szCs w:val="28"/>
              </w:rPr>
              <w:t xml:space="preserve"> </w:t>
            </w:r>
            <w:r w:rsidR="008A7D9A" w:rsidRPr="00AE360B">
              <w:rPr>
                <w:iCs/>
                <w:sz w:val="28"/>
                <w:szCs w:val="28"/>
              </w:rPr>
              <w:t xml:space="preserve">Minētās zaudējumu un kaitējuma kompensācijas mērķis ir atlīdzināt amatpersonai (darbiniekam) vai tās ģimenes locekļiem nodarīto zaudējumu vai kaitējumu, ja šis zaudējums vai kaitējums tiek radīts </w:t>
            </w:r>
            <w:r w:rsidR="003F5CA7" w:rsidRPr="00AE360B">
              <w:rPr>
                <w:iCs/>
                <w:sz w:val="28"/>
                <w:szCs w:val="28"/>
              </w:rPr>
              <w:t>citas personas rīcības rezultātā</w:t>
            </w:r>
            <w:r w:rsidR="008A7D9A" w:rsidRPr="00AE360B">
              <w:rPr>
                <w:iCs/>
                <w:sz w:val="28"/>
                <w:szCs w:val="28"/>
              </w:rPr>
              <w:t xml:space="preserve">, kam iemesls ir amatpersonas (darbinieka) profesionālā darbība. Tomēr pašreizējā zaudējumu un kaitējumu kompensācijas piešķiršanas kārtība pieļauj pretēji minētajam mērķim vērstas interpretācijas iespējas, proti, dod iespēju personai pieprasīt šo sociālo garantiju mērķim, kam tā nav domāta. Piemēram, arodslimību gadījumā – šī slimība būs cēloniskā sakarā starp veselībai nodarīto kaitējumu un amatpersonas (darbinieka) amata (dienesta, darba) pienākumu izpildi, tomēr tā nebūs radusies </w:t>
            </w:r>
            <w:r w:rsidR="003F5CA7" w:rsidRPr="00AE360B">
              <w:rPr>
                <w:iCs/>
                <w:sz w:val="28"/>
                <w:szCs w:val="28"/>
              </w:rPr>
              <w:t>citas personas rīcības rezultātā</w:t>
            </w:r>
            <w:r w:rsidR="008A7D9A" w:rsidRPr="00AE360B">
              <w:rPr>
                <w:iCs/>
                <w:sz w:val="28"/>
                <w:szCs w:val="28"/>
              </w:rPr>
              <w:t xml:space="preserve">. Ņemot vērā minēto, nepieciešams precizēt zaudējumu un kaitējuma kompensācijas piešķiršanas kārtību, sasaistot to ar </w:t>
            </w:r>
            <w:r w:rsidR="003F5CA7" w:rsidRPr="00AE360B">
              <w:rPr>
                <w:iCs/>
                <w:sz w:val="28"/>
                <w:szCs w:val="28"/>
              </w:rPr>
              <w:t>citas personas rīcības rezultātu</w:t>
            </w:r>
            <w:r w:rsidR="008A7D9A" w:rsidRPr="00AE360B">
              <w:rPr>
                <w:iCs/>
                <w:sz w:val="28"/>
                <w:szCs w:val="28"/>
              </w:rPr>
              <w:t xml:space="preserve">. </w:t>
            </w:r>
            <w:r w:rsidR="000B040C" w:rsidRPr="00AE360B">
              <w:rPr>
                <w:iCs/>
                <w:sz w:val="28"/>
                <w:szCs w:val="28"/>
              </w:rPr>
              <w:t xml:space="preserve">Atbilstoši grozījumi </w:t>
            </w:r>
            <w:r w:rsidR="00BD76FF" w:rsidRPr="00AE360B">
              <w:rPr>
                <w:iCs/>
                <w:sz w:val="28"/>
                <w:szCs w:val="28"/>
              </w:rPr>
              <w:t xml:space="preserve">Valsts un pašvaldību institūciju amatpersonu un darbinieku atlīdzības likumā </w:t>
            </w:r>
            <w:r w:rsidR="000B040C" w:rsidRPr="00AE360B">
              <w:rPr>
                <w:iCs/>
                <w:sz w:val="28"/>
                <w:szCs w:val="28"/>
              </w:rPr>
              <w:t xml:space="preserve">ir </w:t>
            </w:r>
            <w:r w:rsidR="00BD76FF" w:rsidRPr="00AE360B">
              <w:rPr>
                <w:iCs/>
                <w:sz w:val="28"/>
                <w:szCs w:val="28"/>
              </w:rPr>
              <w:t>pieņemti</w:t>
            </w:r>
            <w:r w:rsidR="000B040C" w:rsidRPr="00AE360B">
              <w:rPr>
                <w:iCs/>
                <w:sz w:val="28"/>
                <w:szCs w:val="28"/>
              </w:rPr>
              <w:t xml:space="preserve"> Saeimā 2011.gada </w:t>
            </w:r>
            <w:r w:rsidR="00BD76FF" w:rsidRPr="00AE360B">
              <w:rPr>
                <w:iCs/>
                <w:sz w:val="28"/>
                <w:szCs w:val="28"/>
              </w:rPr>
              <w:t>16.jūnijā</w:t>
            </w:r>
            <w:r w:rsidR="000B040C" w:rsidRPr="00AE360B">
              <w:rPr>
                <w:iCs/>
                <w:sz w:val="28"/>
                <w:szCs w:val="28"/>
              </w:rPr>
              <w:t>.</w:t>
            </w:r>
          </w:p>
          <w:p w:rsidR="0096537A" w:rsidRPr="00AE360B" w:rsidRDefault="0096537A" w:rsidP="0096537A">
            <w:pPr>
              <w:jc w:val="both"/>
              <w:rPr>
                <w:iCs/>
                <w:sz w:val="28"/>
                <w:szCs w:val="28"/>
              </w:rPr>
            </w:pPr>
            <w:r w:rsidRPr="00AE360B">
              <w:rPr>
                <w:iCs/>
                <w:sz w:val="28"/>
                <w:szCs w:val="28"/>
              </w:rPr>
              <w:t xml:space="preserve">Šobrīd noteikumi paredz, ka gadījumā, ja amatpersonu  (darbinieku) pārceļ amatā (dienestā) citā no valsts budžeta finansētā institūcijā, tad amatpersonas (darbinieka) saistības par mācību maksas atmaksu saglabājas un tās pārņem institūcija uz kuru amatpersona (darbinieks) tiek pārcelta. Pastāv gadījumi, kad amatpersona (darbinieks) amata (darba, dienesta) tiesisko attiecības pārtrauc vienā no valsts budžeta finansētā institūcijā un nodibina amata </w:t>
            </w:r>
            <w:r w:rsidRPr="00AE360B">
              <w:rPr>
                <w:iCs/>
                <w:sz w:val="28"/>
                <w:szCs w:val="28"/>
              </w:rPr>
              <w:lastRenderedPageBreak/>
              <w:t>(darba, dienesta) tiesiskās attiecības citā no valsts budžeta finansētā institūcijā. Līdz ar to ari šajā gadījumā nepieciešams noregulēt jautājumu par saistību par mācību maksas atmaksu saglabāšanu un saistību izpildes nodrošināšanu pie jaunā darba devēja.</w:t>
            </w:r>
          </w:p>
        </w:tc>
      </w:tr>
      <w:tr w:rsidR="00317E36" w:rsidRPr="00AE360B" w:rsidTr="006036D1">
        <w:trPr>
          <w:trHeight w:val="725"/>
          <w:tblCellSpacing w:w="0" w:type="dxa"/>
        </w:trPr>
        <w:tc>
          <w:tcPr>
            <w:tcW w:w="502" w:type="dxa"/>
            <w:gridSpan w:val="2"/>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lastRenderedPageBreak/>
              <w:t> 3.</w:t>
            </w:r>
          </w:p>
        </w:tc>
        <w:tc>
          <w:tcPr>
            <w:tcW w:w="2475" w:type="dxa"/>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Saistītie politikas ietekmes novērtējumi un pētījumi</w:t>
            </w:r>
          </w:p>
        </w:tc>
        <w:tc>
          <w:tcPr>
            <w:tcW w:w="6095" w:type="dxa"/>
            <w:gridSpan w:val="2"/>
            <w:tcBorders>
              <w:top w:val="outset" w:sz="6" w:space="0" w:color="auto"/>
              <w:left w:val="outset" w:sz="6" w:space="0" w:color="auto"/>
              <w:bottom w:val="outset" w:sz="6" w:space="0" w:color="auto"/>
              <w:right w:val="outset" w:sz="6" w:space="0" w:color="auto"/>
            </w:tcBorders>
          </w:tcPr>
          <w:p w:rsidR="00317E36" w:rsidRPr="00AE360B" w:rsidRDefault="00720E87" w:rsidP="00D11551">
            <w:pPr>
              <w:spacing w:before="100" w:beforeAutospacing="1" w:after="100" w:afterAutospacing="1"/>
              <w:rPr>
                <w:sz w:val="28"/>
                <w:szCs w:val="28"/>
                <w:lang w:eastAsia="lv-LV"/>
              </w:rPr>
            </w:pPr>
            <w:r w:rsidRPr="00AE360B">
              <w:rPr>
                <w:sz w:val="28"/>
                <w:szCs w:val="28"/>
                <w:lang w:eastAsia="lv-LV"/>
              </w:rPr>
              <w:t xml:space="preserve"> </w:t>
            </w:r>
            <w:r w:rsidR="00317E36" w:rsidRPr="00AE360B">
              <w:rPr>
                <w:sz w:val="28"/>
                <w:szCs w:val="28"/>
                <w:lang w:eastAsia="lv-LV"/>
              </w:rPr>
              <w:t>Nav attiecināms</w:t>
            </w:r>
          </w:p>
        </w:tc>
      </w:tr>
      <w:tr w:rsidR="00317E36" w:rsidRPr="00AE360B" w:rsidTr="006036D1">
        <w:trPr>
          <w:trHeight w:val="384"/>
          <w:tblCellSpacing w:w="0" w:type="dxa"/>
        </w:trPr>
        <w:tc>
          <w:tcPr>
            <w:tcW w:w="502" w:type="dxa"/>
            <w:gridSpan w:val="2"/>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4.</w:t>
            </w:r>
          </w:p>
        </w:tc>
        <w:tc>
          <w:tcPr>
            <w:tcW w:w="2475" w:type="dxa"/>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Tiesiskā regulējuma mērķis un būtība</w:t>
            </w:r>
          </w:p>
        </w:tc>
        <w:tc>
          <w:tcPr>
            <w:tcW w:w="6095" w:type="dxa"/>
            <w:gridSpan w:val="2"/>
            <w:tcBorders>
              <w:top w:val="outset" w:sz="6" w:space="0" w:color="auto"/>
              <w:left w:val="outset" w:sz="6" w:space="0" w:color="auto"/>
              <w:bottom w:val="outset" w:sz="6" w:space="0" w:color="auto"/>
              <w:right w:val="outset" w:sz="6" w:space="0" w:color="auto"/>
            </w:tcBorders>
          </w:tcPr>
          <w:p w:rsidR="00595FE5" w:rsidRPr="00AE360B" w:rsidRDefault="00720E87" w:rsidP="00EE4099">
            <w:pPr>
              <w:pStyle w:val="naiskr"/>
              <w:spacing w:before="0" w:beforeAutospacing="0" w:after="0" w:afterAutospacing="0"/>
              <w:jc w:val="both"/>
              <w:rPr>
                <w:sz w:val="28"/>
                <w:szCs w:val="28"/>
              </w:rPr>
            </w:pPr>
            <w:r w:rsidRPr="00AE360B">
              <w:rPr>
                <w:sz w:val="28"/>
                <w:szCs w:val="28"/>
              </w:rPr>
              <w:t xml:space="preserve"> </w:t>
            </w:r>
            <w:r w:rsidR="00EE4099" w:rsidRPr="00AE360B">
              <w:rPr>
                <w:sz w:val="28"/>
                <w:szCs w:val="28"/>
              </w:rPr>
              <w:t>Noteikum</w:t>
            </w:r>
            <w:r w:rsidR="00595FE5" w:rsidRPr="00AE360B">
              <w:rPr>
                <w:sz w:val="28"/>
                <w:szCs w:val="28"/>
              </w:rPr>
              <w:t>u projekts</w:t>
            </w:r>
            <w:r w:rsidR="00EE4099" w:rsidRPr="00AE360B">
              <w:rPr>
                <w:sz w:val="28"/>
                <w:szCs w:val="28"/>
              </w:rPr>
              <w:t xml:space="preserve"> precizē </w:t>
            </w:r>
            <w:r w:rsidR="00595FE5" w:rsidRPr="00AE360B">
              <w:rPr>
                <w:sz w:val="28"/>
                <w:szCs w:val="28"/>
              </w:rPr>
              <w:t>normas:</w:t>
            </w:r>
          </w:p>
          <w:p w:rsidR="00842704" w:rsidRPr="00AE360B" w:rsidRDefault="00595FE5" w:rsidP="00595FE5">
            <w:pPr>
              <w:pStyle w:val="naiskr"/>
              <w:spacing w:before="0" w:beforeAutospacing="0" w:after="0" w:afterAutospacing="0"/>
              <w:ind w:firstLine="269"/>
              <w:jc w:val="both"/>
              <w:rPr>
                <w:sz w:val="28"/>
                <w:szCs w:val="28"/>
              </w:rPr>
            </w:pPr>
            <w:r w:rsidRPr="00AE360B">
              <w:rPr>
                <w:sz w:val="28"/>
                <w:szCs w:val="28"/>
              </w:rPr>
              <w:t>1.</w:t>
            </w:r>
            <w:r w:rsidR="00EE4099" w:rsidRPr="00AE360B">
              <w:rPr>
                <w:sz w:val="28"/>
                <w:szCs w:val="28"/>
              </w:rPr>
              <w:t xml:space="preserve"> par amatpersonas (darbinieka) vecāku, vecvecāku, bērna, mazbērna, adoptētā vai adoptētāja, brāļa, māsas vai laulātā veselībai nodarītā kaitējuma kompensācijas apmēra noteikšanas un izmaksas kārtību, samērojot to ar amatpersonai (darbiniekam) nodarītā veselības bojājuma smaguma pakāpi un šim bojājumam  atbilstošo pabalsta apmēru, kā arī noteikt, ka zaudējumu un kaitējuma kompensāciju izmaksā, ja zaudējumi vai kaitējums radīts citas personas rīcības rezultātā</w:t>
            </w:r>
            <w:r w:rsidRPr="00AE360B">
              <w:rPr>
                <w:sz w:val="28"/>
                <w:szCs w:val="28"/>
              </w:rPr>
              <w:t>;</w:t>
            </w:r>
            <w:r w:rsidR="00EE4099" w:rsidRPr="00AE360B">
              <w:rPr>
                <w:sz w:val="28"/>
                <w:szCs w:val="28"/>
              </w:rPr>
              <w:t xml:space="preserve"> </w:t>
            </w:r>
          </w:p>
          <w:p w:rsidR="00595FE5" w:rsidRPr="00AE360B" w:rsidRDefault="00595FE5" w:rsidP="00595FE5">
            <w:pPr>
              <w:pStyle w:val="naiskr"/>
              <w:spacing w:before="0" w:beforeAutospacing="0" w:after="0" w:afterAutospacing="0"/>
              <w:ind w:firstLine="269"/>
              <w:jc w:val="both"/>
              <w:rPr>
                <w:sz w:val="28"/>
                <w:szCs w:val="28"/>
              </w:rPr>
            </w:pPr>
            <w:r w:rsidRPr="00AE360B">
              <w:rPr>
                <w:sz w:val="28"/>
                <w:szCs w:val="28"/>
              </w:rPr>
              <w:t xml:space="preserve">2.par gadījumiem, kad amatpersona (darbinieks) pēc amata (darba, dienesta) tiesisko attiecību pārtraukšanas nodibina amata (darba, dienesta) tiesiskās attiecības citā no valsts budžeta finansētā institūcijā. Šajos gadījumos noteikumi paredz, ka amatpersonas (darbinieka) saistības par mācību maksas atmaksu saglabājas un amatpersonas (darbinieka) pienākums ne vēlāk kā piecas darba dienas pirms amata (dienesta, darba) attiecību pārtraukšanas ir informēt pašreizējo darba devēju par amata (dienesta, darba) pienākumu izpildes uzsākšanu citā no valsts budžeta finansētā institūcijā,  iesniedzot attiecīgu apliecinājumu no jaunā darba devēja; </w:t>
            </w:r>
          </w:p>
          <w:p w:rsidR="00842704" w:rsidRPr="00AE360B" w:rsidRDefault="00595FE5" w:rsidP="00595FE5">
            <w:pPr>
              <w:pStyle w:val="naiskr"/>
              <w:spacing w:before="0" w:beforeAutospacing="0" w:after="0" w:afterAutospacing="0"/>
              <w:ind w:firstLine="269"/>
              <w:jc w:val="both"/>
              <w:rPr>
                <w:sz w:val="28"/>
                <w:szCs w:val="28"/>
              </w:rPr>
            </w:pPr>
            <w:r w:rsidRPr="00AE360B">
              <w:rPr>
                <w:sz w:val="28"/>
                <w:szCs w:val="28"/>
              </w:rPr>
              <w:t>3. p</w:t>
            </w:r>
            <w:r w:rsidR="00EE4099" w:rsidRPr="00AE360B">
              <w:rPr>
                <w:sz w:val="28"/>
                <w:szCs w:val="28"/>
              </w:rPr>
              <w:t xml:space="preserve">ar dienesta pienākumu izpildei nepieciešamā apģērba iegādes kompensāciju izmaksu, nosakot, ka amatpersonai ar speciālo dienesta pakāpi kalendārajā gadā ir pienākumus ne mazāk kā sešus mēnešus pildīt amata, pienākumus, lai varētu pretendēt uz tiesībām saņemt šo kompensāciju. </w:t>
            </w:r>
          </w:p>
          <w:p w:rsidR="00E92A75" w:rsidRPr="00AE360B" w:rsidRDefault="00595FE5" w:rsidP="00595FE5">
            <w:pPr>
              <w:pStyle w:val="naiskr"/>
              <w:spacing w:before="0" w:beforeAutospacing="0" w:after="0" w:afterAutospacing="0"/>
              <w:ind w:firstLine="269"/>
              <w:jc w:val="both"/>
              <w:rPr>
                <w:sz w:val="28"/>
                <w:szCs w:val="28"/>
              </w:rPr>
            </w:pPr>
            <w:r w:rsidRPr="00AE360B">
              <w:rPr>
                <w:sz w:val="28"/>
                <w:szCs w:val="28"/>
              </w:rPr>
              <w:t xml:space="preserve">4. </w:t>
            </w:r>
            <w:r w:rsidR="00EE4099" w:rsidRPr="00AE360B">
              <w:rPr>
                <w:sz w:val="28"/>
                <w:szCs w:val="28"/>
              </w:rPr>
              <w:t xml:space="preserve">Grozījumi paredz vēl arī </w:t>
            </w:r>
            <w:r w:rsidR="0048241E" w:rsidRPr="00AE360B">
              <w:rPr>
                <w:sz w:val="28"/>
                <w:szCs w:val="28"/>
              </w:rPr>
              <w:t>atsevišķus</w:t>
            </w:r>
            <w:r w:rsidR="00EE4099" w:rsidRPr="00AE360B">
              <w:rPr>
                <w:sz w:val="28"/>
                <w:szCs w:val="28"/>
              </w:rPr>
              <w:t xml:space="preserve"> redakcionāla rakstura precizējumus.</w:t>
            </w:r>
          </w:p>
        </w:tc>
      </w:tr>
      <w:tr w:rsidR="00317E36" w:rsidRPr="00AE360B" w:rsidTr="006036D1">
        <w:trPr>
          <w:trHeight w:val="476"/>
          <w:tblCellSpacing w:w="0" w:type="dxa"/>
        </w:trPr>
        <w:tc>
          <w:tcPr>
            <w:tcW w:w="502" w:type="dxa"/>
            <w:gridSpan w:val="2"/>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lastRenderedPageBreak/>
              <w:t> 5.</w:t>
            </w:r>
          </w:p>
        </w:tc>
        <w:tc>
          <w:tcPr>
            <w:tcW w:w="2475" w:type="dxa"/>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Projekta izstrādē iesaistītās institūcijas</w:t>
            </w:r>
          </w:p>
        </w:tc>
        <w:tc>
          <w:tcPr>
            <w:tcW w:w="6095" w:type="dxa"/>
            <w:gridSpan w:val="2"/>
            <w:tcBorders>
              <w:top w:val="outset" w:sz="6" w:space="0" w:color="auto"/>
              <w:left w:val="outset" w:sz="6" w:space="0" w:color="auto"/>
              <w:bottom w:val="outset" w:sz="6" w:space="0" w:color="auto"/>
              <w:right w:val="outset" w:sz="6" w:space="0" w:color="auto"/>
            </w:tcBorders>
          </w:tcPr>
          <w:p w:rsidR="00317E36" w:rsidRPr="00AE360B" w:rsidRDefault="00720E87" w:rsidP="001F31C7">
            <w:pPr>
              <w:spacing w:before="100" w:beforeAutospacing="1" w:after="100" w:afterAutospacing="1"/>
              <w:rPr>
                <w:sz w:val="28"/>
                <w:szCs w:val="28"/>
                <w:lang w:eastAsia="lv-LV"/>
              </w:rPr>
            </w:pPr>
            <w:r w:rsidRPr="00AE360B">
              <w:rPr>
                <w:sz w:val="28"/>
                <w:szCs w:val="28"/>
                <w:lang w:eastAsia="lv-LV"/>
              </w:rPr>
              <w:t xml:space="preserve"> </w:t>
            </w:r>
            <w:r w:rsidR="001F31C7" w:rsidRPr="00AE360B">
              <w:rPr>
                <w:sz w:val="28"/>
                <w:szCs w:val="28"/>
                <w:lang w:eastAsia="lv-LV"/>
              </w:rPr>
              <w:t>Iekšlietu ministrija</w:t>
            </w:r>
          </w:p>
        </w:tc>
      </w:tr>
      <w:tr w:rsidR="00317E36" w:rsidRPr="00AE360B" w:rsidTr="006036D1">
        <w:trPr>
          <w:trHeight w:val="915"/>
          <w:tblCellSpacing w:w="0" w:type="dxa"/>
        </w:trPr>
        <w:tc>
          <w:tcPr>
            <w:tcW w:w="502" w:type="dxa"/>
            <w:gridSpan w:val="2"/>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6.</w:t>
            </w:r>
          </w:p>
        </w:tc>
        <w:tc>
          <w:tcPr>
            <w:tcW w:w="2475" w:type="dxa"/>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Iemesli, kādēļ netika nodrošināta sabiedrības līdzdalība</w:t>
            </w:r>
          </w:p>
        </w:tc>
        <w:tc>
          <w:tcPr>
            <w:tcW w:w="6095" w:type="dxa"/>
            <w:gridSpan w:val="2"/>
            <w:tcBorders>
              <w:top w:val="outset" w:sz="6" w:space="0" w:color="auto"/>
              <w:left w:val="outset" w:sz="6" w:space="0" w:color="auto"/>
              <w:bottom w:val="outset" w:sz="6" w:space="0" w:color="auto"/>
              <w:right w:val="outset" w:sz="6" w:space="0" w:color="auto"/>
            </w:tcBorders>
          </w:tcPr>
          <w:p w:rsidR="00317E36" w:rsidRPr="00AE360B" w:rsidRDefault="00317E36" w:rsidP="00720E87">
            <w:pPr>
              <w:spacing w:before="100" w:beforeAutospacing="1" w:after="100" w:afterAutospacing="1"/>
              <w:jc w:val="both"/>
              <w:rPr>
                <w:sz w:val="28"/>
                <w:szCs w:val="28"/>
              </w:rPr>
            </w:pPr>
            <w:r w:rsidRPr="00AE360B">
              <w:rPr>
                <w:rFonts w:eastAsia="Calibri"/>
                <w:sz w:val="28"/>
                <w:szCs w:val="28"/>
              </w:rPr>
              <w:t xml:space="preserve">Ņemot vērā, ka </w:t>
            </w:r>
            <w:r w:rsidRPr="00AE360B">
              <w:rPr>
                <w:sz w:val="28"/>
                <w:szCs w:val="28"/>
              </w:rPr>
              <w:t>noteikumu projekts attiecas tikai uz v</w:t>
            </w:r>
            <w:r w:rsidRPr="00AE360B">
              <w:rPr>
                <w:bCs/>
                <w:sz w:val="28"/>
                <w:szCs w:val="28"/>
              </w:rPr>
              <w:t xml:space="preserve">alsts </w:t>
            </w:r>
            <w:r w:rsidR="00720E87" w:rsidRPr="00AE360B">
              <w:rPr>
                <w:bCs/>
                <w:sz w:val="28"/>
                <w:szCs w:val="28"/>
              </w:rPr>
              <w:t>un pašvaldību institūcijām</w:t>
            </w:r>
            <w:r w:rsidR="00A568E0" w:rsidRPr="00AE360B">
              <w:rPr>
                <w:bCs/>
                <w:sz w:val="28"/>
                <w:szCs w:val="28"/>
              </w:rPr>
              <w:t>,</w:t>
            </w:r>
            <w:r w:rsidRPr="00AE360B">
              <w:rPr>
                <w:bCs/>
                <w:sz w:val="28"/>
                <w:szCs w:val="28"/>
              </w:rPr>
              <w:t xml:space="preserve"> </w:t>
            </w:r>
            <w:r w:rsidRPr="00AE360B">
              <w:rPr>
                <w:rFonts w:eastAsia="Calibri"/>
                <w:sz w:val="28"/>
                <w:szCs w:val="28"/>
              </w:rPr>
              <w:t>sabiedrības līdzdalība nav nepieciešama.</w:t>
            </w:r>
            <w:r w:rsidR="00B26386" w:rsidRPr="00AE360B">
              <w:rPr>
                <w:sz w:val="28"/>
                <w:szCs w:val="28"/>
              </w:rPr>
              <w:t xml:space="preserve"> </w:t>
            </w:r>
          </w:p>
        </w:tc>
      </w:tr>
      <w:tr w:rsidR="00317E36" w:rsidRPr="00AE360B" w:rsidTr="006036D1">
        <w:trPr>
          <w:tblCellSpacing w:w="0" w:type="dxa"/>
        </w:trPr>
        <w:tc>
          <w:tcPr>
            <w:tcW w:w="502" w:type="dxa"/>
            <w:gridSpan w:val="2"/>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7.</w:t>
            </w:r>
          </w:p>
        </w:tc>
        <w:tc>
          <w:tcPr>
            <w:tcW w:w="2475" w:type="dxa"/>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Cita informācija</w:t>
            </w:r>
          </w:p>
        </w:tc>
        <w:tc>
          <w:tcPr>
            <w:tcW w:w="6095" w:type="dxa"/>
            <w:gridSpan w:val="2"/>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w:t>
            </w:r>
            <w:r w:rsidRPr="00AE360B">
              <w:rPr>
                <w:color w:val="000000"/>
                <w:sz w:val="28"/>
                <w:szCs w:val="28"/>
              </w:rPr>
              <w:t xml:space="preserve">  </w:t>
            </w:r>
          </w:p>
        </w:tc>
      </w:tr>
      <w:tr w:rsidR="00317E36" w:rsidRPr="00AE360B" w:rsidTr="006036D1">
        <w:trPr>
          <w:tblCellSpacing w:w="0" w:type="dxa"/>
        </w:trPr>
        <w:tc>
          <w:tcPr>
            <w:tcW w:w="9072" w:type="dxa"/>
            <w:gridSpan w:val="5"/>
            <w:tcBorders>
              <w:top w:val="outset" w:sz="6" w:space="0" w:color="auto"/>
              <w:left w:val="outset" w:sz="6" w:space="0" w:color="auto"/>
              <w:bottom w:val="outset" w:sz="6" w:space="0" w:color="auto"/>
              <w:right w:val="outset" w:sz="6" w:space="0" w:color="auto"/>
            </w:tcBorders>
            <w:vAlign w:val="center"/>
          </w:tcPr>
          <w:p w:rsidR="00317E36" w:rsidRPr="00AE360B" w:rsidRDefault="00317E36" w:rsidP="006036D1">
            <w:pPr>
              <w:jc w:val="center"/>
              <w:rPr>
                <w:b/>
                <w:sz w:val="28"/>
                <w:szCs w:val="28"/>
                <w:lang w:eastAsia="lv-LV"/>
              </w:rPr>
            </w:pPr>
            <w:r w:rsidRPr="00AE360B">
              <w:rPr>
                <w:b/>
                <w:sz w:val="28"/>
                <w:szCs w:val="28"/>
                <w:lang w:eastAsia="lv-LV"/>
              </w:rPr>
              <w:t>II. Tiesību akta projekta ietekme uz sabiedrību</w:t>
            </w:r>
          </w:p>
          <w:p w:rsidR="004437FB" w:rsidRPr="00AE360B" w:rsidRDefault="004437FB" w:rsidP="00D11551">
            <w:pPr>
              <w:rPr>
                <w:b/>
                <w:sz w:val="28"/>
                <w:szCs w:val="28"/>
                <w:lang w:eastAsia="lv-LV"/>
              </w:rPr>
            </w:pPr>
          </w:p>
        </w:tc>
      </w:tr>
      <w:tr w:rsidR="00317E36" w:rsidRPr="00AE360B" w:rsidTr="006036D1">
        <w:trPr>
          <w:trHeight w:val="467"/>
          <w:tblCellSpacing w:w="0" w:type="dxa"/>
        </w:trPr>
        <w:tc>
          <w:tcPr>
            <w:tcW w:w="448" w:type="dxa"/>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1.</w:t>
            </w:r>
          </w:p>
        </w:tc>
        <w:tc>
          <w:tcPr>
            <w:tcW w:w="3096" w:type="dxa"/>
            <w:gridSpan w:val="3"/>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Sabiedrības mērķgrupa</w:t>
            </w:r>
          </w:p>
        </w:tc>
        <w:tc>
          <w:tcPr>
            <w:tcW w:w="5528" w:type="dxa"/>
            <w:tcBorders>
              <w:top w:val="outset" w:sz="6" w:space="0" w:color="auto"/>
              <w:left w:val="outset" w:sz="6" w:space="0" w:color="auto"/>
              <w:bottom w:val="outset" w:sz="6" w:space="0" w:color="auto"/>
              <w:right w:val="outset" w:sz="6" w:space="0" w:color="auto"/>
            </w:tcBorders>
          </w:tcPr>
          <w:p w:rsidR="00317E36" w:rsidRPr="00AE360B" w:rsidRDefault="00317E36" w:rsidP="00720E87">
            <w:pPr>
              <w:spacing w:before="100" w:beforeAutospacing="1" w:after="100" w:afterAutospacing="1"/>
              <w:rPr>
                <w:sz w:val="28"/>
                <w:szCs w:val="28"/>
                <w:lang w:eastAsia="lv-LV"/>
              </w:rPr>
            </w:pPr>
            <w:r w:rsidRPr="00AE360B">
              <w:rPr>
                <w:sz w:val="28"/>
                <w:szCs w:val="28"/>
                <w:lang w:eastAsia="lv-LV"/>
              </w:rPr>
              <w:t> </w:t>
            </w:r>
            <w:r w:rsidR="00720E87" w:rsidRPr="00AE360B">
              <w:rPr>
                <w:sz w:val="28"/>
                <w:szCs w:val="28"/>
              </w:rPr>
              <w:t>V</w:t>
            </w:r>
            <w:r w:rsidR="00720E87" w:rsidRPr="00AE360B">
              <w:rPr>
                <w:bCs/>
                <w:sz w:val="28"/>
                <w:szCs w:val="28"/>
              </w:rPr>
              <w:t>alsts un pašvaldību institūciju amatpersonas un darbinieki.</w:t>
            </w:r>
          </w:p>
        </w:tc>
      </w:tr>
      <w:tr w:rsidR="00317E36" w:rsidRPr="00AE360B" w:rsidTr="006036D1">
        <w:trPr>
          <w:trHeight w:val="523"/>
          <w:tblCellSpacing w:w="0" w:type="dxa"/>
        </w:trPr>
        <w:tc>
          <w:tcPr>
            <w:tcW w:w="448" w:type="dxa"/>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2.</w:t>
            </w:r>
          </w:p>
        </w:tc>
        <w:tc>
          <w:tcPr>
            <w:tcW w:w="3096" w:type="dxa"/>
            <w:gridSpan w:val="3"/>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Citas sabiedrības grupas (bez mērķgrupas), kuras tiesiskais regulējums arī ietekmē vai varētu ietekmēt</w:t>
            </w:r>
          </w:p>
        </w:tc>
        <w:tc>
          <w:tcPr>
            <w:tcW w:w="5528" w:type="dxa"/>
            <w:tcBorders>
              <w:top w:val="outset" w:sz="6" w:space="0" w:color="auto"/>
              <w:left w:val="outset" w:sz="6" w:space="0" w:color="auto"/>
              <w:bottom w:val="outset" w:sz="6" w:space="0" w:color="auto"/>
              <w:right w:val="outset" w:sz="6" w:space="0" w:color="auto"/>
            </w:tcBorders>
          </w:tcPr>
          <w:p w:rsidR="00317E36" w:rsidRPr="00AE360B" w:rsidRDefault="00317E36" w:rsidP="00B26386">
            <w:pPr>
              <w:spacing w:before="100" w:beforeAutospacing="1" w:after="100" w:afterAutospacing="1"/>
              <w:rPr>
                <w:sz w:val="28"/>
                <w:szCs w:val="28"/>
                <w:lang w:eastAsia="lv-LV"/>
              </w:rPr>
            </w:pPr>
            <w:r w:rsidRPr="00AE360B">
              <w:rPr>
                <w:sz w:val="28"/>
                <w:szCs w:val="28"/>
                <w:lang w:eastAsia="lv-LV"/>
              </w:rPr>
              <w:t> </w:t>
            </w:r>
            <w:r w:rsidR="00B26386" w:rsidRPr="00AE360B">
              <w:rPr>
                <w:sz w:val="28"/>
                <w:szCs w:val="28"/>
                <w:lang w:eastAsia="lv-LV"/>
              </w:rPr>
              <w:t> Nav attiecināms</w:t>
            </w:r>
          </w:p>
        </w:tc>
      </w:tr>
      <w:tr w:rsidR="00317E36" w:rsidRPr="00AE360B" w:rsidTr="006036D1">
        <w:trPr>
          <w:trHeight w:val="517"/>
          <w:tblCellSpacing w:w="0" w:type="dxa"/>
        </w:trPr>
        <w:tc>
          <w:tcPr>
            <w:tcW w:w="448" w:type="dxa"/>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3.</w:t>
            </w:r>
          </w:p>
        </w:tc>
        <w:tc>
          <w:tcPr>
            <w:tcW w:w="3096" w:type="dxa"/>
            <w:gridSpan w:val="3"/>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Tiesiskā regulējuma finansiālā ietekme</w:t>
            </w:r>
          </w:p>
        </w:tc>
        <w:tc>
          <w:tcPr>
            <w:tcW w:w="5528" w:type="dxa"/>
            <w:tcBorders>
              <w:top w:val="outset" w:sz="6" w:space="0" w:color="auto"/>
              <w:left w:val="outset" w:sz="6" w:space="0" w:color="auto"/>
              <w:bottom w:val="outset" w:sz="6" w:space="0" w:color="auto"/>
              <w:right w:val="outset" w:sz="6" w:space="0" w:color="auto"/>
            </w:tcBorders>
          </w:tcPr>
          <w:p w:rsidR="00317E36" w:rsidRPr="00AE360B" w:rsidRDefault="00317E36" w:rsidP="00720E87">
            <w:pPr>
              <w:spacing w:before="100" w:beforeAutospacing="1" w:after="100" w:afterAutospacing="1"/>
              <w:rPr>
                <w:sz w:val="28"/>
                <w:szCs w:val="28"/>
                <w:lang w:eastAsia="lv-LV"/>
              </w:rPr>
            </w:pPr>
            <w:r w:rsidRPr="00AE360B">
              <w:rPr>
                <w:sz w:val="28"/>
                <w:szCs w:val="28"/>
                <w:lang w:eastAsia="lv-LV"/>
              </w:rPr>
              <w:t> </w:t>
            </w:r>
            <w:r w:rsidR="00720E87" w:rsidRPr="00AE360B">
              <w:rPr>
                <w:sz w:val="28"/>
                <w:szCs w:val="28"/>
                <w:lang w:eastAsia="lv-LV"/>
              </w:rPr>
              <w:t>Nav attiecināms</w:t>
            </w:r>
          </w:p>
        </w:tc>
      </w:tr>
      <w:tr w:rsidR="00317E36" w:rsidRPr="00AE360B" w:rsidTr="006036D1">
        <w:trPr>
          <w:trHeight w:val="517"/>
          <w:tblCellSpacing w:w="0" w:type="dxa"/>
        </w:trPr>
        <w:tc>
          <w:tcPr>
            <w:tcW w:w="448" w:type="dxa"/>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4.</w:t>
            </w:r>
          </w:p>
        </w:tc>
        <w:tc>
          <w:tcPr>
            <w:tcW w:w="3096" w:type="dxa"/>
            <w:gridSpan w:val="3"/>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Tiesiskā regulējuma nefinansiālā ietekme</w:t>
            </w:r>
          </w:p>
        </w:tc>
        <w:tc>
          <w:tcPr>
            <w:tcW w:w="5528" w:type="dxa"/>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Nav attiecināms</w:t>
            </w:r>
          </w:p>
        </w:tc>
      </w:tr>
      <w:tr w:rsidR="00317E36" w:rsidRPr="00AE360B" w:rsidTr="006036D1">
        <w:trPr>
          <w:trHeight w:val="531"/>
          <w:tblCellSpacing w:w="0" w:type="dxa"/>
        </w:trPr>
        <w:tc>
          <w:tcPr>
            <w:tcW w:w="448" w:type="dxa"/>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5.</w:t>
            </w:r>
          </w:p>
        </w:tc>
        <w:tc>
          <w:tcPr>
            <w:tcW w:w="3096" w:type="dxa"/>
            <w:gridSpan w:val="3"/>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Administratīvās procedūras raksturojums</w:t>
            </w:r>
          </w:p>
        </w:tc>
        <w:tc>
          <w:tcPr>
            <w:tcW w:w="5528" w:type="dxa"/>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Nav attiecināms</w:t>
            </w:r>
          </w:p>
        </w:tc>
      </w:tr>
      <w:tr w:rsidR="00317E36" w:rsidRPr="00AE360B" w:rsidTr="006036D1">
        <w:trPr>
          <w:trHeight w:val="357"/>
          <w:tblCellSpacing w:w="0" w:type="dxa"/>
        </w:trPr>
        <w:tc>
          <w:tcPr>
            <w:tcW w:w="448" w:type="dxa"/>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6.</w:t>
            </w:r>
          </w:p>
        </w:tc>
        <w:tc>
          <w:tcPr>
            <w:tcW w:w="3096" w:type="dxa"/>
            <w:gridSpan w:val="3"/>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Administratīvo izmaksu monetārs novērtējums</w:t>
            </w:r>
          </w:p>
        </w:tc>
        <w:tc>
          <w:tcPr>
            <w:tcW w:w="5528" w:type="dxa"/>
            <w:tcBorders>
              <w:top w:val="outset" w:sz="6" w:space="0" w:color="auto"/>
              <w:left w:val="outset" w:sz="6" w:space="0" w:color="auto"/>
              <w:bottom w:val="outset" w:sz="6" w:space="0" w:color="auto"/>
              <w:right w:val="outset" w:sz="6" w:space="0" w:color="auto"/>
            </w:tcBorders>
          </w:tcPr>
          <w:p w:rsidR="00317E36" w:rsidRPr="00AE360B" w:rsidRDefault="00317E36" w:rsidP="00D11551">
            <w:pPr>
              <w:spacing w:before="100" w:beforeAutospacing="1" w:after="100" w:afterAutospacing="1"/>
              <w:rPr>
                <w:sz w:val="28"/>
                <w:szCs w:val="28"/>
                <w:lang w:eastAsia="lv-LV"/>
              </w:rPr>
            </w:pPr>
            <w:r w:rsidRPr="00AE360B">
              <w:rPr>
                <w:sz w:val="28"/>
                <w:szCs w:val="28"/>
                <w:lang w:eastAsia="lv-LV"/>
              </w:rPr>
              <w:t> Nav attiecināms</w:t>
            </w:r>
          </w:p>
        </w:tc>
      </w:tr>
      <w:tr w:rsidR="00317E36" w:rsidRPr="00AE360B" w:rsidTr="006036D1">
        <w:trPr>
          <w:tblCellSpacing w:w="0" w:type="dxa"/>
        </w:trPr>
        <w:tc>
          <w:tcPr>
            <w:tcW w:w="448" w:type="dxa"/>
            <w:tcBorders>
              <w:top w:val="outset" w:sz="6" w:space="0" w:color="auto"/>
              <w:left w:val="outset" w:sz="6" w:space="0" w:color="auto"/>
              <w:bottom w:val="outset" w:sz="6" w:space="0" w:color="auto"/>
              <w:right w:val="outset" w:sz="6" w:space="0" w:color="auto"/>
            </w:tcBorders>
          </w:tcPr>
          <w:p w:rsidR="00317E36" w:rsidRPr="00AE360B" w:rsidRDefault="00317E36" w:rsidP="00D11551">
            <w:pPr>
              <w:rPr>
                <w:sz w:val="28"/>
                <w:szCs w:val="28"/>
                <w:lang w:eastAsia="lv-LV"/>
              </w:rPr>
            </w:pPr>
            <w:r w:rsidRPr="00AE360B">
              <w:rPr>
                <w:sz w:val="28"/>
                <w:szCs w:val="28"/>
                <w:lang w:eastAsia="lv-LV"/>
              </w:rPr>
              <w:t> 7.</w:t>
            </w:r>
          </w:p>
        </w:tc>
        <w:tc>
          <w:tcPr>
            <w:tcW w:w="3096" w:type="dxa"/>
            <w:gridSpan w:val="3"/>
            <w:tcBorders>
              <w:top w:val="outset" w:sz="6" w:space="0" w:color="auto"/>
              <w:left w:val="outset" w:sz="6" w:space="0" w:color="auto"/>
              <w:bottom w:val="outset" w:sz="6" w:space="0" w:color="auto"/>
              <w:right w:val="outset" w:sz="6" w:space="0" w:color="auto"/>
            </w:tcBorders>
          </w:tcPr>
          <w:p w:rsidR="00317E36" w:rsidRPr="00AE360B" w:rsidRDefault="00317E36" w:rsidP="00D11551">
            <w:pPr>
              <w:rPr>
                <w:sz w:val="28"/>
                <w:szCs w:val="28"/>
                <w:lang w:eastAsia="lv-LV"/>
              </w:rPr>
            </w:pPr>
            <w:r w:rsidRPr="00AE360B">
              <w:rPr>
                <w:sz w:val="28"/>
                <w:szCs w:val="28"/>
                <w:lang w:eastAsia="lv-LV"/>
              </w:rPr>
              <w:t> Cita informācija</w:t>
            </w:r>
          </w:p>
        </w:tc>
        <w:tc>
          <w:tcPr>
            <w:tcW w:w="5528" w:type="dxa"/>
            <w:tcBorders>
              <w:top w:val="outset" w:sz="6" w:space="0" w:color="auto"/>
              <w:left w:val="outset" w:sz="6" w:space="0" w:color="auto"/>
              <w:bottom w:val="outset" w:sz="6" w:space="0" w:color="auto"/>
              <w:right w:val="outset" w:sz="6" w:space="0" w:color="auto"/>
            </w:tcBorders>
          </w:tcPr>
          <w:p w:rsidR="00317E36" w:rsidRPr="00AE360B" w:rsidRDefault="00317E36" w:rsidP="00D11551">
            <w:pPr>
              <w:rPr>
                <w:sz w:val="28"/>
                <w:szCs w:val="28"/>
                <w:lang w:eastAsia="lv-LV"/>
              </w:rPr>
            </w:pPr>
            <w:r w:rsidRPr="00AE360B">
              <w:rPr>
                <w:sz w:val="28"/>
                <w:szCs w:val="28"/>
                <w:lang w:eastAsia="lv-LV"/>
              </w:rPr>
              <w:t> Nav</w:t>
            </w:r>
          </w:p>
        </w:tc>
      </w:tr>
    </w:tbl>
    <w:p w:rsidR="00AE360B" w:rsidRDefault="00AE360B" w:rsidP="00B26386">
      <w:pPr>
        <w:rPr>
          <w:iCs/>
          <w:sz w:val="28"/>
          <w:szCs w:val="28"/>
          <w:lang w:eastAsia="lv-LV"/>
        </w:rPr>
      </w:pPr>
    </w:p>
    <w:p w:rsidR="00B26386" w:rsidRPr="00AE360B" w:rsidRDefault="00B26386" w:rsidP="00B26386">
      <w:pPr>
        <w:rPr>
          <w:sz w:val="28"/>
          <w:szCs w:val="28"/>
          <w:lang w:eastAsia="lv-LV"/>
        </w:rPr>
      </w:pPr>
      <w:r w:rsidRPr="00AE360B">
        <w:rPr>
          <w:iCs/>
          <w:sz w:val="28"/>
          <w:szCs w:val="28"/>
          <w:lang w:eastAsia="lv-LV"/>
        </w:rPr>
        <w:t xml:space="preserve">Anotācijas </w:t>
      </w:r>
      <w:r w:rsidR="00FD01C3" w:rsidRPr="00AE360B">
        <w:rPr>
          <w:iCs/>
          <w:sz w:val="28"/>
          <w:szCs w:val="28"/>
          <w:lang w:eastAsia="lv-LV"/>
        </w:rPr>
        <w:t xml:space="preserve">III, </w:t>
      </w:r>
      <w:r w:rsidR="00842704" w:rsidRPr="00AE360B">
        <w:rPr>
          <w:iCs/>
          <w:sz w:val="28"/>
          <w:szCs w:val="28"/>
          <w:lang w:eastAsia="lv-LV"/>
        </w:rPr>
        <w:t xml:space="preserve">IV, </w:t>
      </w:r>
      <w:r w:rsidR="00720E87" w:rsidRPr="00AE360B">
        <w:rPr>
          <w:iCs/>
          <w:sz w:val="28"/>
          <w:szCs w:val="28"/>
          <w:lang w:eastAsia="lv-LV"/>
        </w:rPr>
        <w:t xml:space="preserve">V, </w:t>
      </w:r>
      <w:r w:rsidR="00BD1B98" w:rsidRPr="00AE360B">
        <w:rPr>
          <w:iCs/>
          <w:sz w:val="28"/>
          <w:szCs w:val="28"/>
          <w:lang w:eastAsia="lv-LV"/>
        </w:rPr>
        <w:t>VI</w:t>
      </w:r>
      <w:r w:rsidRPr="00AE360B">
        <w:rPr>
          <w:iCs/>
          <w:sz w:val="28"/>
          <w:szCs w:val="28"/>
          <w:lang w:eastAsia="lv-LV"/>
        </w:rPr>
        <w:t xml:space="preserve"> </w:t>
      </w:r>
      <w:r w:rsidR="00BD1B98" w:rsidRPr="00AE360B">
        <w:rPr>
          <w:iCs/>
          <w:sz w:val="28"/>
          <w:szCs w:val="28"/>
          <w:lang w:eastAsia="lv-LV"/>
        </w:rPr>
        <w:t xml:space="preserve">un </w:t>
      </w:r>
      <w:r w:rsidR="00BD1B98" w:rsidRPr="00AE360B">
        <w:rPr>
          <w:sz w:val="28"/>
          <w:szCs w:val="28"/>
          <w:lang w:eastAsia="lv-LV"/>
        </w:rPr>
        <w:t>VII</w:t>
      </w:r>
      <w:r w:rsidR="00BD1B98" w:rsidRPr="00AE360B">
        <w:rPr>
          <w:iCs/>
          <w:sz w:val="28"/>
          <w:szCs w:val="28"/>
          <w:lang w:eastAsia="lv-LV"/>
        </w:rPr>
        <w:t xml:space="preserve"> </w:t>
      </w:r>
      <w:r w:rsidRPr="00AE360B">
        <w:rPr>
          <w:iCs/>
          <w:sz w:val="28"/>
          <w:szCs w:val="28"/>
          <w:lang w:eastAsia="lv-LV"/>
        </w:rPr>
        <w:t>sadaļa nav attiecināms.</w:t>
      </w:r>
    </w:p>
    <w:p w:rsidR="004B6C98" w:rsidRDefault="00B26386" w:rsidP="00C62DC4">
      <w:pPr>
        <w:rPr>
          <w:b/>
          <w:bCs/>
          <w:sz w:val="28"/>
          <w:szCs w:val="28"/>
          <w:lang w:eastAsia="lv-LV"/>
        </w:rPr>
      </w:pPr>
      <w:r w:rsidRPr="00AE360B">
        <w:rPr>
          <w:sz w:val="28"/>
          <w:szCs w:val="28"/>
          <w:lang w:eastAsia="lv-LV"/>
        </w:rPr>
        <w:t>  </w:t>
      </w:r>
      <w:r w:rsidRPr="00AE360B">
        <w:rPr>
          <w:b/>
          <w:bCs/>
          <w:sz w:val="28"/>
          <w:szCs w:val="28"/>
          <w:lang w:eastAsia="lv-LV"/>
        </w:rPr>
        <w:t> </w:t>
      </w:r>
    </w:p>
    <w:p w:rsidR="003E4311" w:rsidRDefault="003E4311" w:rsidP="00C62DC4">
      <w:pPr>
        <w:rPr>
          <w:b/>
          <w:bCs/>
          <w:sz w:val="28"/>
          <w:szCs w:val="28"/>
          <w:lang w:eastAsia="lv-LV"/>
        </w:rPr>
      </w:pPr>
    </w:p>
    <w:p w:rsidR="003E4311" w:rsidRPr="00AE360B" w:rsidRDefault="003E4311" w:rsidP="00C62DC4">
      <w:pPr>
        <w:rPr>
          <w:b/>
          <w:bCs/>
          <w:sz w:val="28"/>
          <w:szCs w:val="28"/>
          <w:lang w:eastAsia="lv-LV"/>
        </w:rPr>
      </w:pPr>
    </w:p>
    <w:p w:rsidR="003E4311" w:rsidRDefault="003E4311" w:rsidP="003E4311">
      <w:pPr>
        <w:pStyle w:val="naisf"/>
        <w:spacing w:before="0" w:beforeAutospacing="0" w:after="0" w:afterAutospacing="0"/>
        <w:rPr>
          <w:sz w:val="28"/>
          <w:szCs w:val="28"/>
        </w:rPr>
      </w:pPr>
      <w:r w:rsidRPr="00A06B31">
        <w:rPr>
          <w:sz w:val="28"/>
          <w:szCs w:val="28"/>
        </w:rPr>
        <w:t>Finanšu ministr</w:t>
      </w:r>
      <w:r>
        <w:rPr>
          <w:sz w:val="28"/>
          <w:szCs w:val="28"/>
        </w:rPr>
        <w:t>a vietā –</w:t>
      </w:r>
    </w:p>
    <w:p w:rsidR="003E4311" w:rsidRPr="00A06B31" w:rsidRDefault="003E4311" w:rsidP="003E4311">
      <w:pPr>
        <w:pStyle w:val="naisf"/>
        <w:spacing w:before="0" w:beforeAutospacing="0" w:after="0" w:afterAutospacing="0"/>
        <w:rPr>
          <w:sz w:val="28"/>
          <w:szCs w:val="28"/>
        </w:rPr>
      </w:pPr>
      <w:r>
        <w:rPr>
          <w:sz w:val="28"/>
          <w:szCs w:val="28"/>
        </w:rPr>
        <w:t>Labklājības ministre</w:t>
      </w:r>
      <w:r w:rsidRPr="00A06B31">
        <w:rPr>
          <w:sz w:val="28"/>
          <w:szCs w:val="28"/>
        </w:rPr>
        <w:t>                       </w:t>
      </w:r>
      <w:r>
        <w:rPr>
          <w:sz w:val="28"/>
          <w:szCs w:val="28"/>
        </w:rPr>
        <w:t>               </w:t>
      </w:r>
      <w:r>
        <w:rPr>
          <w:sz w:val="28"/>
          <w:szCs w:val="28"/>
        </w:rPr>
        <w:tab/>
      </w:r>
      <w:r>
        <w:rPr>
          <w:sz w:val="28"/>
          <w:szCs w:val="28"/>
        </w:rPr>
        <w:t xml:space="preserve">               </w:t>
      </w:r>
      <w:r w:rsidRPr="00A06B31">
        <w:rPr>
          <w:sz w:val="28"/>
          <w:szCs w:val="28"/>
        </w:rPr>
        <w:t xml:space="preserve"> </w:t>
      </w:r>
      <w:proofErr w:type="spellStart"/>
      <w:r>
        <w:rPr>
          <w:sz w:val="28"/>
          <w:szCs w:val="28"/>
        </w:rPr>
        <w:t>I.Viņķele</w:t>
      </w:r>
      <w:proofErr w:type="spellEnd"/>
    </w:p>
    <w:p w:rsidR="003E4311" w:rsidRDefault="003E4311" w:rsidP="003E4311">
      <w:pPr>
        <w:tabs>
          <w:tab w:val="left" w:pos="3840"/>
        </w:tabs>
      </w:pPr>
      <w:bookmarkStart w:id="0" w:name="_GoBack"/>
      <w:bookmarkEnd w:id="0"/>
    </w:p>
    <w:p w:rsidR="00667016" w:rsidRPr="00AE360B" w:rsidRDefault="00667016" w:rsidP="001632AF">
      <w:pPr>
        <w:rPr>
          <w:sz w:val="28"/>
          <w:szCs w:val="28"/>
        </w:rPr>
      </w:pPr>
    </w:p>
    <w:p w:rsidR="00842704" w:rsidRDefault="00842704" w:rsidP="001632AF">
      <w:pPr>
        <w:rPr>
          <w:sz w:val="28"/>
          <w:szCs w:val="28"/>
        </w:rPr>
      </w:pPr>
    </w:p>
    <w:p w:rsidR="00A12F74" w:rsidRDefault="00A12F74" w:rsidP="001632AF">
      <w:pPr>
        <w:rPr>
          <w:sz w:val="28"/>
          <w:szCs w:val="28"/>
        </w:rPr>
      </w:pPr>
    </w:p>
    <w:p w:rsidR="00A12F74" w:rsidRDefault="00A12F74" w:rsidP="001632AF">
      <w:pPr>
        <w:rPr>
          <w:sz w:val="28"/>
          <w:szCs w:val="28"/>
        </w:rPr>
      </w:pPr>
    </w:p>
    <w:p w:rsidR="00A12F74" w:rsidRDefault="00A12F74" w:rsidP="001632AF">
      <w:pPr>
        <w:rPr>
          <w:sz w:val="28"/>
          <w:szCs w:val="28"/>
        </w:rPr>
      </w:pPr>
    </w:p>
    <w:p w:rsidR="004A2470" w:rsidRPr="00A12F74" w:rsidRDefault="00653A85" w:rsidP="004A2470">
      <w:pPr>
        <w:pStyle w:val="naisc"/>
        <w:spacing w:before="0" w:after="0"/>
        <w:jc w:val="left"/>
        <w:rPr>
          <w:sz w:val="20"/>
        </w:rPr>
      </w:pPr>
      <w:proofErr w:type="spellStart"/>
      <w:r>
        <w:rPr>
          <w:sz w:val="20"/>
        </w:rPr>
        <w:t>Ošiņa</w:t>
      </w:r>
      <w:proofErr w:type="spellEnd"/>
    </w:p>
    <w:p w:rsidR="00653A85" w:rsidRDefault="00653A85" w:rsidP="001632AF">
      <w:pPr>
        <w:pStyle w:val="naisc"/>
        <w:spacing w:before="0" w:after="0"/>
        <w:jc w:val="left"/>
        <w:rPr>
          <w:sz w:val="20"/>
        </w:rPr>
      </w:pPr>
      <w:r>
        <w:rPr>
          <w:sz w:val="20"/>
        </w:rPr>
        <w:t>28.06.2012 15:42</w:t>
      </w:r>
    </w:p>
    <w:p w:rsidR="001632AF" w:rsidRPr="00A12F74" w:rsidRDefault="00260EE5" w:rsidP="001632AF">
      <w:pPr>
        <w:pStyle w:val="naisc"/>
        <w:spacing w:before="0" w:after="0"/>
        <w:jc w:val="left"/>
        <w:rPr>
          <w:sz w:val="20"/>
        </w:rPr>
      </w:pPr>
      <w:r w:rsidRPr="00A12F74">
        <w:rPr>
          <w:sz w:val="20"/>
        </w:rPr>
        <w:fldChar w:fldCharType="begin"/>
      </w:r>
      <w:r w:rsidRPr="00A12F74">
        <w:rPr>
          <w:sz w:val="20"/>
        </w:rPr>
        <w:instrText xml:space="preserve"> NUMWORDS   \* MERGEFORMAT </w:instrText>
      </w:r>
      <w:r w:rsidRPr="00A12F74">
        <w:rPr>
          <w:sz w:val="20"/>
        </w:rPr>
        <w:fldChar w:fldCharType="separate"/>
      </w:r>
      <w:r w:rsidR="003E4311">
        <w:rPr>
          <w:noProof/>
          <w:sz w:val="20"/>
        </w:rPr>
        <w:t>600</w:t>
      </w:r>
      <w:r w:rsidRPr="00A12F74">
        <w:rPr>
          <w:noProof/>
          <w:sz w:val="20"/>
        </w:rPr>
        <w:fldChar w:fldCharType="end"/>
      </w:r>
    </w:p>
    <w:p w:rsidR="004A2470" w:rsidRPr="00A12F74" w:rsidRDefault="004A2470" w:rsidP="004A2470">
      <w:pPr>
        <w:rPr>
          <w:sz w:val="20"/>
          <w:szCs w:val="20"/>
          <w:lang w:eastAsia="lv-LV"/>
        </w:rPr>
      </w:pPr>
      <w:r w:rsidRPr="00A12F74">
        <w:rPr>
          <w:sz w:val="20"/>
          <w:szCs w:val="20"/>
          <w:lang w:eastAsia="lv-LV"/>
        </w:rPr>
        <w:t>67095</w:t>
      </w:r>
      <w:r w:rsidR="00653A85">
        <w:rPr>
          <w:sz w:val="20"/>
          <w:szCs w:val="20"/>
          <w:lang w:eastAsia="lv-LV"/>
        </w:rPr>
        <w:t>662</w:t>
      </w:r>
      <w:r w:rsidRPr="00A12F74">
        <w:rPr>
          <w:sz w:val="20"/>
          <w:szCs w:val="20"/>
          <w:lang w:eastAsia="lv-LV"/>
        </w:rPr>
        <w:t>; fakss 6709554;</w:t>
      </w:r>
    </w:p>
    <w:p w:rsidR="002E49A9" w:rsidRPr="00A12F74" w:rsidRDefault="003E4311" w:rsidP="003500D8">
      <w:pPr>
        <w:pStyle w:val="naislab"/>
        <w:spacing w:before="0" w:after="0"/>
        <w:jc w:val="left"/>
        <w:rPr>
          <w:sz w:val="20"/>
          <w:lang w:val="en-GB"/>
        </w:rPr>
      </w:pPr>
      <w:hyperlink r:id="rId9" w:history="1">
        <w:r w:rsidR="00653A85" w:rsidRPr="006345A9">
          <w:rPr>
            <w:rStyle w:val="Hyperlink"/>
            <w:sz w:val="20"/>
          </w:rPr>
          <w:t>Inga.Osina@fm.gov.lv</w:t>
        </w:r>
      </w:hyperlink>
    </w:p>
    <w:sectPr w:rsidR="002E49A9" w:rsidRPr="00A12F74" w:rsidSect="00D12200">
      <w:headerReference w:type="even" r:id="rId10"/>
      <w:headerReference w:type="default" r:id="rId11"/>
      <w:footerReference w:type="even" r:id="rId12"/>
      <w:footerReference w:type="default" r:id="rId13"/>
      <w:footerReference w:type="first" r:id="rId14"/>
      <w:pgSz w:w="11906" w:h="16838"/>
      <w:pgMar w:top="1440" w:right="1134"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39" w:rsidRDefault="00967739">
      <w:r>
        <w:separator/>
      </w:r>
    </w:p>
  </w:endnote>
  <w:endnote w:type="continuationSeparator" w:id="0">
    <w:p w:rsidR="00967739" w:rsidRDefault="0096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39" w:rsidRDefault="009677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7739" w:rsidRDefault="00967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39" w:rsidRDefault="00967739">
    <w:pPr>
      <w:pStyle w:val="Footer"/>
      <w:framePr w:wrap="around" w:vAnchor="text" w:hAnchor="margin" w:xAlign="center" w:y="1"/>
      <w:rPr>
        <w:rStyle w:val="PageNumber"/>
      </w:rPr>
    </w:pPr>
  </w:p>
  <w:p w:rsidR="00967739" w:rsidRPr="00533A74" w:rsidRDefault="00967739" w:rsidP="00533A74">
    <w:pPr>
      <w:pStyle w:val="BodyText3"/>
      <w:rPr>
        <w:b w:val="0"/>
        <w:sz w:val="18"/>
        <w:szCs w:val="18"/>
      </w:rPr>
    </w:pPr>
    <w:r w:rsidRPr="00533A74">
      <w:rPr>
        <w:b w:val="0"/>
        <w:sz w:val="18"/>
        <w:szCs w:val="18"/>
      </w:rPr>
      <w:t>FMAnot_</w:t>
    </w:r>
    <w:r w:rsidR="00653A85">
      <w:rPr>
        <w:b w:val="0"/>
        <w:sz w:val="18"/>
        <w:szCs w:val="18"/>
      </w:rPr>
      <w:t>28</w:t>
    </w:r>
    <w:r>
      <w:rPr>
        <w:b w:val="0"/>
        <w:sz w:val="18"/>
        <w:szCs w:val="18"/>
      </w:rPr>
      <w:t>0612_565</w:t>
    </w:r>
    <w:r w:rsidRPr="00533A74">
      <w:rPr>
        <w:b w:val="0"/>
        <w:sz w:val="18"/>
        <w:szCs w:val="18"/>
      </w:rPr>
      <w:t>; Ministru kabineta noteikumu projekta „</w:t>
    </w:r>
    <w:r w:rsidRPr="00533A74">
      <w:rPr>
        <w:b w:val="0"/>
        <w:bCs w:val="0"/>
        <w:sz w:val="18"/>
        <w:szCs w:val="18"/>
      </w:rPr>
      <w:t>Grozījumi Ministru kabineta 2010.gada 21.jūnija</w:t>
    </w:r>
    <w:r w:rsidRPr="00533A74">
      <w:rPr>
        <w:b w:val="0"/>
        <w:sz w:val="18"/>
        <w:szCs w:val="18"/>
      </w:rPr>
      <w:t xml:space="preserve"> </w:t>
    </w:r>
    <w:r w:rsidRPr="00533A74">
      <w:rPr>
        <w:b w:val="0"/>
        <w:bCs w:val="0"/>
        <w:sz w:val="18"/>
        <w:szCs w:val="18"/>
      </w:rPr>
      <w:t>noteikumos Nr.565 „</w:t>
    </w:r>
    <w:r w:rsidRPr="00533A74">
      <w:rPr>
        <w:b w:val="0"/>
        <w:sz w:val="18"/>
        <w:szCs w:val="18"/>
      </w:rPr>
      <w:t>Noteikumi par valsts un pašvaldību institūciju amatpersonu un darbinieku sociālajām garantijām”” anotācija</w:t>
    </w:r>
  </w:p>
  <w:p w:rsidR="00967739" w:rsidRPr="004867A9" w:rsidRDefault="00967739" w:rsidP="00BD1B98">
    <w:pPr>
      <w:pStyle w:val="naisnod"/>
      <w:spacing w:before="0" w:after="0"/>
      <w:rPr>
        <w:b w:val="0"/>
        <w:sz w:val="18"/>
        <w:szCs w:val="18"/>
      </w:rPr>
    </w:pPr>
  </w:p>
  <w:p w:rsidR="00967739" w:rsidRPr="005B2E32" w:rsidRDefault="00967739" w:rsidP="00BD1B98">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39" w:rsidRPr="00533A74" w:rsidRDefault="00967739" w:rsidP="004867A9">
    <w:pPr>
      <w:pStyle w:val="BodyText3"/>
      <w:rPr>
        <w:b w:val="0"/>
        <w:sz w:val="18"/>
        <w:szCs w:val="18"/>
      </w:rPr>
    </w:pPr>
    <w:r w:rsidRPr="00533A74">
      <w:rPr>
        <w:b w:val="0"/>
        <w:sz w:val="18"/>
        <w:szCs w:val="18"/>
      </w:rPr>
      <w:t>FMAnot_</w:t>
    </w:r>
    <w:r w:rsidR="00653A85">
      <w:rPr>
        <w:b w:val="0"/>
        <w:sz w:val="18"/>
        <w:szCs w:val="18"/>
      </w:rPr>
      <w:t>28</w:t>
    </w:r>
    <w:r>
      <w:rPr>
        <w:b w:val="0"/>
        <w:sz w:val="18"/>
        <w:szCs w:val="18"/>
      </w:rPr>
      <w:t>0612_565</w:t>
    </w:r>
    <w:r w:rsidRPr="00533A74">
      <w:rPr>
        <w:b w:val="0"/>
        <w:sz w:val="18"/>
        <w:szCs w:val="18"/>
      </w:rPr>
      <w:t>; Ministru kabineta noteikumu projekta „</w:t>
    </w:r>
    <w:r w:rsidRPr="00533A74">
      <w:rPr>
        <w:b w:val="0"/>
        <w:bCs w:val="0"/>
        <w:sz w:val="18"/>
        <w:szCs w:val="18"/>
      </w:rPr>
      <w:t>Grozījumi Ministru kabineta 2010.gada 21.jūnija</w:t>
    </w:r>
    <w:r w:rsidRPr="00533A74">
      <w:rPr>
        <w:b w:val="0"/>
        <w:sz w:val="18"/>
        <w:szCs w:val="18"/>
      </w:rPr>
      <w:t xml:space="preserve"> </w:t>
    </w:r>
    <w:r w:rsidRPr="00533A74">
      <w:rPr>
        <w:b w:val="0"/>
        <w:bCs w:val="0"/>
        <w:sz w:val="18"/>
        <w:szCs w:val="18"/>
      </w:rPr>
      <w:t>noteikumos Nr.565 „</w:t>
    </w:r>
    <w:r w:rsidRPr="00533A74">
      <w:rPr>
        <w:b w:val="0"/>
        <w:sz w:val="18"/>
        <w:szCs w:val="18"/>
      </w:rPr>
      <w:t>Noteikumi par valsts un pašvaldību institūciju amatpersonu un darbinieku sociālajām garantijām”” anotācija</w:t>
    </w:r>
  </w:p>
  <w:p w:rsidR="00967739" w:rsidRPr="004867A9" w:rsidRDefault="00967739" w:rsidP="004867A9">
    <w:pPr>
      <w:pStyle w:val="naisnod"/>
      <w:spacing w:before="0" w:after="0"/>
      <w:rPr>
        <w:b w:val="0"/>
        <w:sz w:val="18"/>
        <w:szCs w:val="18"/>
      </w:rPr>
    </w:pPr>
  </w:p>
  <w:p w:rsidR="00967739" w:rsidRPr="006649E1" w:rsidRDefault="00967739" w:rsidP="00E03815">
    <w:pPr>
      <w:pStyle w:val="naisnod"/>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39" w:rsidRDefault="00967739">
      <w:r>
        <w:separator/>
      </w:r>
    </w:p>
  </w:footnote>
  <w:footnote w:type="continuationSeparator" w:id="0">
    <w:p w:rsidR="00967739" w:rsidRDefault="00967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39" w:rsidRDefault="009677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7739" w:rsidRDefault="00967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39" w:rsidRDefault="009677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4311">
      <w:rPr>
        <w:rStyle w:val="PageNumber"/>
        <w:noProof/>
      </w:rPr>
      <w:t>3</w:t>
    </w:r>
    <w:r>
      <w:rPr>
        <w:rStyle w:val="PageNumber"/>
      </w:rPr>
      <w:fldChar w:fldCharType="end"/>
    </w:r>
  </w:p>
  <w:p w:rsidR="00967739" w:rsidRDefault="00967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140F7A"/>
    <w:lvl w:ilvl="0">
      <w:start w:val="1"/>
      <w:numFmt w:val="decimal"/>
      <w:lvlText w:val="%1."/>
      <w:lvlJc w:val="left"/>
      <w:pPr>
        <w:tabs>
          <w:tab w:val="num" w:pos="1492"/>
        </w:tabs>
        <w:ind w:left="1492" w:hanging="360"/>
      </w:pPr>
    </w:lvl>
  </w:abstractNum>
  <w:abstractNum w:abstractNumId="1">
    <w:nsid w:val="FFFFFF7D"/>
    <w:multiLevelType w:val="singleLevel"/>
    <w:tmpl w:val="F874039C"/>
    <w:lvl w:ilvl="0">
      <w:start w:val="1"/>
      <w:numFmt w:val="decimal"/>
      <w:lvlText w:val="%1."/>
      <w:lvlJc w:val="left"/>
      <w:pPr>
        <w:tabs>
          <w:tab w:val="num" w:pos="1209"/>
        </w:tabs>
        <w:ind w:left="1209" w:hanging="360"/>
      </w:pPr>
    </w:lvl>
  </w:abstractNum>
  <w:abstractNum w:abstractNumId="2">
    <w:nsid w:val="FFFFFF7E"/>
    <w:multiLevelType w:val="singleLevel"/>
    <w:tmpl w:val="B4CEB136"/>
    <w:lvl w:ilvl="0">
      <w:start w:val="1"/>
      <w:numFmt w:val="decimal"/>
      <w:lvlText w:val="%1."/>
      <w:lvlJc w:val="left"/>
      <w:pPr>
        <w:tabs>
          <w:tab w:val="num" w:pos="926"/>
        </w:tabs>
        <w:ind w:left="926" w:hanging="360"/>
      </w:pPr>
    </w:lvl>
  </w:abstractNum>
  <w:abstractNum w:abstractNumId="3">
    <w:nsid w:val="FFFFFF7F"/>
    <w:multiLevelType w:val="singleLevel"/>
    <w:tmpl w:val="552496BE"/>
    <w:lvl w:ilvl="0">
      <w:start w:val="1"/>
      <w:numFmt w:val="decimal"/>
      <w:lvlText w:val="%1."/>
      <w:lvlJc w:val="left"/>
      <w:pPr>
        <w:tabs>
          <w:tab w:val="num" w:pos="643"/>
        </w:tabs>
        <w:ind w:left="643" w:hanging="360"/>
      </w:pPr>
    </w:lvl>
  </w:abstractNum>
  <w:abstractNum w:abstractNumId="4">
    <w:nsid w:val="FFFFFF80"/>
    <w:multiLevelType w:val="singleLevel"/>
    <w:tmpl w:val="0EA2CF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6437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8625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F8B3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78861A"/>
    <w:lvl w:ilvl="0">
      <w:start w:val="1"/>
      <w:numFmt w:val="decimal"/>
      <w:lvlText w:val="%1."/>
      <w:lvlJc w:val="left"/>
      <w:pPr>
        <w:tabs>
          <w:tab w:val="num" w:pos="360"/>
        </w:tabs>
        <w:ind w:left="360" w:hanging="360"/>
      </w:pPr>
    </w:lvl>
  </w:abstractNum>
  <w:abstractNum w:abstractNumId="9">
    <w:nsid w:val="FFFFFF89"/>
    <w:multiLevelType w:val="singleLevel"/>
    <w:tmpl w:val="F62A4EA2"/>
    <w:lvl w:ilvl="0">
      <w:start w:val="1"/>
      <w:numFmt w:val="bullet"/>
      <w:lvlText w:val=""/>
      <w:lvlJc w:val="left"/>
      <w:pPr>
        <w:tabs>
          <w:tab w:val="num" w:pos="360"/>
        </w:tabs>
        <w:ind w:left="360" w:hanging="360"/>
      </w:pPr>
      <w:rPr>
        <w:rFonts w:ascii="Symbol" w:hAnsi="Symbol" w:hint="default"/>
      </w:rPr>
    </w:lvl>
  </w:abstractNum>
  <w:abstractNum w:abstractNumId="10">
    <w:nsid w:val="03771DB2"/>
    <w:multiLevelType w:val="hybridMultilevel"/>
    <w:tmpl w:val="19228E76"/>
    <w:lvl w:ilvl="0" w:tplc="5A2A82C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8B6053"/>
    <w:multiLevelType w:val="hybridMultilevel"/>
    <w:tmpl w:val="7166DD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A7155A"/>
    <w:multiLevelType w:val="hybridMultilevel"/>
    <w:tmpl w:val="2A4E5052"/>
    <w:lvl w:ilvl="0" w:tplc="D98C8D2A">
      <w:start w:val="1"/>
      <w:numFmt w:val="decimal"/>
      <w:lvlText w:val="%1)"/>
      <w:lvlJc w:val="left"/>
      <w:pPr>
        <w:ind w:left="553" w:hanging="360"/>
      </w:pPr>
      <w:rPr>
        <w:rFonts w:hint="default"/>
      </w:rPr>
    </w:lvl>
    <w:lvl w:ilvl="1" w:tplc="04260019" w:tentative="1">
      <w:start w:val="1"/>
      <w:numFmt w:val="lowerLetter"/>
      <w:lvlText w:val="%2."/>
      <w:lvlJc w:val="left"/>
      <w:pPr>
        <w:ind w:left="1273" w:hanging="360"/>
      </w:pPr>
    </w:lvl>
    <w:lvl w:ilvl="2" w:tplc="0426001B" w:tentative="1">
      <w:start w:val="1"/>
      <w:numFmt w:val="lowerRoman"/>
      <w:lvlText w:val="%3."/>
      <w:lvlJc w:val="right"/>
      <w:pPr>
        <w:ind w:left="1993" w:hanging="180"/>
      </w:pPr>
    </w:lvl>
    <w:lvl w:ilvl="3" w:tplc="0426000F" w:tentative="1">
      <w:start w:val="1"/>
      <w:numFmt w:val="decimal"/>
      <w:lvlText w:val="%4."/>
      <w:lvlJc w:val="left"/>
      <w:pPr>
        <w:ind w:left="2713" w:hanging="360"/>
      </w:pPr>
    </w:lvl>
    <w:lvl w:ilvl="4" w:tplc="04260019" w:tentative="1">
      <w:start w:val="1"/>
      <w:numFmt w:val="lowerLetter"/>
      <w:lvlText w:val="%5."/>
      <w:lvlJc w:val="left"/>
      <w:pPr>
        <w:ind w:left="3433" w:hanging="360"/>
      </w:pPr>
    </w:lvl>
    <w:lvl w:ilvl="5" w:tplc="0426001B" w:tentative="1">
      <w:start w:val="1"/>
      <w:numFmt w:val="lowerRoman"/>
      <w:lvlText w:val="%6."/>
      <w:lvlJc w:val="right"/>
      <w:pPr>
        <w:ind w:left="4153" w:hanging="180"/>
      </w:pPr>
    </w:lvl>
    <w:lvl w:ilvl="6" w:tplc="0426000F" w:tentative="1">
      <w:start w:val="1"/>
      <w:numFmt w:val="decimal"/>
      <w:lvlText w:val="%7."/>
      <w:lvlJc w:val="left"/>
      <w:pPr>
        <w:ind w:left="4873" w:hanging="360"/>
      </w:pPr>
    </w:lvl>
    <w:lvl w:ilvl="7" w:tplc="04260019" w:tentative="1">
      <w:start w:val="1"/>
      <w:numFmt w:val="lowerLetter"/>
      <w:lvlText w:val="%8."/>
      <w:lvlJc w:val="left"/>
      <w:pPr>
        <w:ind w:left="5593" w:hanging="360"/>
      </w:pPr>
    </w:lvl>
    <w:lvl w:ilvl="8" w:tplc="0426001B" w:tentative="1">
      <w:start w:val="1"/>
      <w:numFmt w:val="lowerRoman"/>
      <w:lvlText w:val="%9."/>
      <w:lvlJc w:val="right"/>
      <w:pPr>
        <w:ind w:left="6313" w:hanging="180"/>
      </w:pPr>
    </w:lvl>
  </w:abstractNum>
  <w:abstractNum w:abstractNumId="13">
    <w:nsid w:val="5CD36523"/>
    <w:multiLevelType w:val="singleLevel"/>
    <w:tmpl w:val="6DD6459A"/>
    <w:lvl w:ilvl="0">
      <w:start w:val="1"/>
      <w:numFmt w:val="decimal"/>
      <w:lvlText w:val="%1)"/>
      <w:lvlJc w:val="left"/>
      <w:pPr>
        <w:tabs>
          <w:tab w:val="num" w:pos="1211"/>
        </w:tabs>
        <w:ind w:left="1211" w:hanging="360"/>
      </w:pPr>
      <w:rPr>
        <w:rFonts w:hint="default"/>
      </w:rPr>
    </w:lvl>
  </w:abstractNum>
  <w:abstractNum w:abstractNumId="14">
    <w:nsid w:val="63B67E81"/>
    <w:multiLevelType w:val="hybridMultilevel"/>
    <w:tmpl w:val="D36EC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BD7C98"/>
    <w:multiLevelType w:val="hybridMultilevel"/>
    <w:tmpl w:val="190058F2"/>
    <w:lvl w:ilvl="0" w:tplc="574A1C6E">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6">
    <w:nsid w:val="740F3D26"/>
    <w:multiLevelType w:val="hybridMultilevel"/>
    <w:tmpl w:val="29061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11"/>
  </w:num>
  <w:num w:numId="4">
    <w:abstractNumId w:val="10"/>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2C"/>
    <w:rsid w:val="00001AB8"/>
    <w:rsid w:val="0000519C"/>
    <w:rsid w:val="00013281"/>
    <w:rsid w:val="00017665"/>
    <w:rsid w:val="00020847"/>
    <w:rsid w:val="00020C7D"/>
    <w:rsid w:val="000225C4"/>
    <w:rsid w:val="000228B1"/>
    <w:rsid w:val="00023002"/>
    <w:rsid w:val="0003204F"/>
    <w:rsid w:val="00033A8E"/>
    <w:rsid w:val="00034C22"/>
    <w:rsid w:val="00035EDD"/>
    <w:rsid w:val="00041EF6"/>
    <w:rsid w:val="00043DD6"/>
    <w:rsid w:val="000479A0"/>
    <w:rsid w:val="00065BDB"/>
    <w:rsid w:val="00065BE1"/>
    <w:rsid w:val="000661D4"/>
    <w:rsid w:val="0007105A"/>
    <w:rsid w:val="00073FF6"/>
    <w:rsid w:val="00075F48"/>
    <w:rsid w:val="00076BE6"/>
    <w:rsid w:val="00080D14"/>
    <w:rsid w:val="00082750"/>
    <w:rsid w:val="000871D3"/>
    <w:rsid w:val="00092837"/>
    <w:rsid w:val="00096918"/>
    <w:rsid w:val="00096C06"/>
    <w:rsid w:val="00097B68"/>
    <w:rsid w:val="000A0729"/>
    <w:rsid w:val="000A2EA5"/>
    <w:rsid w:val="000A3326"/>
    <w:rsid w:val="000A5D11"/>
    <w:rsid w:val="000A79C1"/>
    <w:rsid w:val="000B0066"/>
    <w:rsid w:val="000B040C"/>
    <w:rsid w:val="000B2390"/>
    <w:rsid w:val="000C22CE"/>
    <w:rsid w:val="000C78A2"/>
    <w:rsid w:val="000C7ACE"/>
    <w:rsid w:val="000D00DE"/>
    <w:rsid w:val="000D1B66"/>
    <w:rsid w:val="000D2626"/>
    <w:rsid w:val="000D5973"/>
    <w:rsid w:val="000D73A8"/>
    <w:rsid w:val="000E059D"/>
    <w:rsid w:val="000E5FB3"/>
    <w:rsid w:val="000E7062"/>
    <w:rsid w:val="000F072F"/>
    <w:rsid w:val="000F2BF9"/>
    <w:rsid w:val="000F37A7"/>
    <w:rsid w:val="000F5D7A"/>
    <w:rsid w:val="00101A96"/>
    <w:rsid w:val="00102EDE"/>
    <w:rsid w:val="001052C5"/>
    <w:rsid w:val="0010609B"/>
    <w:rsid w:val="00106251"/>
    <w:rsid w:val="001066F8"/>
    <w:rsid w:val="00106D4E"/>
    <w:rsid w:val="001074E8"/>
    <w:rsid w:val="00116397"/>
    <w:rsid w:val="00125B61"/>
    <w:rsid w:val="00134B84"/>
    <w:rsid w:val="00135CB1"/>
    <w:rsid w:val="00136AB7"/>
    <w:rsid w:val="0013767F"/>
    <w:rsid w:val="00141F1B"/>
    <w:rsid w:val="0014732B"/>
    <w:rsid w:val="001508A3"/>
    <w:rsid w:val="00150E82"/>
    <w:rsid w:val="00160037"/>
    <w:rsid w:val="001632AF"/>
    <w:rsid w:val="0016535F"/>
    <w:rsid w:val="0016583E"/>
    <w:rsid w:val="00166131"/>
    <w:rsid w:val="00171E98"/>
    <w:rsid w:val="0017261F"/>
    <w:rsid w:val="00172857"/>
    <w:rsid w:val="0017424A"/>
    <w:rsid w:val="00174B85"/>
    <w:rsid w:val="00183477"/>
    <w:rsid w:val="0018461B"/>
    <w:rsid w:val="001859FB"/>
    <w:rsid w:val="00193A17"/>
    <w:rsid w:val="00197B85"/>
    <w:rsid w:val="001A1BCD"/>
    <w:rsid w:val="001A2476"/>
    <w:rsid w:val="001A3EF5"/>
    <w:rsid w:val="001B11EB"/>
    <w:rsid w:val="001C3D85"/>
    <w:rsid w:val="001C3F95"/>
    <w:rsid w:val="001C53D3"/>
    <w:rsid w:val="001C6BB9"/>
    <w:rsid w:val="001C7788"/>
    <w:rsid w:val="001D3318"/>
    <w:rsid w:val="001D76AC"/>
    <w:rsid w:val="001E0A77"/>
    <w:rsid w:val="001E126B"/>
    <w:rsid w:val="001E3A43"/>
    <w:rsid w:val="001E595B"/>
    <w:rsid w:val="001E6F86"/>
    <w:rsid w:val="001F2CB4"/>
    <w:rsid w:val="001F31C7"/>
    <w:rsid w:val="001F3ABB"/>
    <w:rsid w:val="00205356"/>
    <w:rsid w:val="00205908"/>
    <w:rsid w:val="00207C25"/>
    <w:rsid w:val="002108EC"/>
    <w:rsid w:val="0022172C"/>
    <w:rsid w:val="00224202"/>
    <w:rsid w:val="00235A6B"/>
    <w:rsid w:val="0024052D"/>
    <w:rsid w:val="00242AB1"/>
    <w:rsid w:val="0024446F"/>
    <w:rsid w:val="002476F9"/>
    <w:rsid w:val="002523ED"/>
    <w:rsid w:val="00252D0B"/>
    <w:rsid w:val="0025475A"/>
    <w:rsid w:val="00257009"/>
    <w:rsid w:val="00260EE5"/>
    <w:rsid w:val="00263A12"/>
    <w:rsid w:val="00264739"/>
    <w:rsid w:val="002658DF"/>
    <w:rsid w:val="00272C97"/>
    <w:rsid w:val="002741F1"/>
    <w:rsid w:val="0027519C"/>
    <w:rsid w:val="00280189"/>
    <w:rsid w:val="00293579"/>
    <w:rsid w:val="002A104D"/>
    <w:rsid w:val="002A3E73"/>
    <w:rsid w:val="002A6CE4"/>
    <w:rsid w:val="002B3E81"/>
    <w:rsid w:val="002B54BA"/>
    <w:rsid w:val="002B7E06"/>
    <w:rsid w:val="002C0E14"/>
    <w:rsid w:val="002C3A5F"/>
    <w:rsid w:val="002C6C96"/>
    <w:rsid w:val="002D1601"/>
    <w:rsid w:val="002D1E47"/>
    <w:rsid w:val="002D20AB"/>
    <w:rsid w:val="002E0B4B"/>
    <w:rsid w:val="002E49A9"/>
    <w:rsid w:val="002E7961"/>
    <w:rsid w:val="002F1524"/>
    <w:rsid w:val="002F50E2"/>
    <w:rsid w:val="002F5F03"/>
    <w:rsid w:val="002F7ECF"/>
    <w:rsid w:val="003002B0"/>
    <w:rsid w:val="00300BBB"/>
    <w:rsid w:val="0030114D"/>
    <w:rsid w:val="003029F8"/>
    <w:rsid w:val="00303134"/>
    <w:rsid w:val="00305939"/>
    <w:rsid w:val="003061AB"/>
    <w:rsid w:val="00306D97"/>
    <w:rsid w:val="0031124B"/>
    <w:rsid w:val="00311884"/>
    <w:rsid w:val="00313A38"/>
    <w:rsid w:val="00315E44"/>
    <w:rsid w:val="00317E36"/>
    <w:rsid w:val="00324B01"/>
    <w:rsid w:val="00336D65"/>
    <w:rsid w:val="00336F2F"/>
    <w:rsid w:val="003379F4"/>
    <w:rsid w:val="003417EE"/>
    <w:rsid w:val="003424AE"/>
    <w:rsid w:val="0034298A"/>
    <w:rsid w:val="003460D2"/>
    <w:rsid w:val="003479AA"/>
    <w:rsid w:val="003500D8"/>
    <w:rsid w:val="00350625"/>
    <w:rsid w:val="003520CD"/>
    <w:rsid w:val="0035276D"/>
    <w:rsid w:val="00352FA5"/>
    <w:rsid w:val="00355F5A"/>
    <w:rsid w:val="0036244E"/>
    <w:rsid w:val="003637AE"/>
    <w:rsid w:val="00371309"/>
    <w:rsid w:val="00372998"/>
    <w:rsid w:val="00373EEC"/>
    <w:rsid w:val="0038052B"/>
    <w:rsid w:val="00386096"/>
    <w:rsid w:val="0039209A"/>
    <w:rsid w:val="0039426E"/>
    <w:rsid w:val="0039535D"/>
    <w:rsid w:val="00397F1C"/>
    <w:rsid w:val="003A2108"/>
    <w:rsid w:val="003B1922"/>
    <w:rsid w:val="003B2558"/>
    <w:rsid w:val="003B7D75"/>
    <w:rsid w:val="003C2CC2"/>
    <w:rsid w:val="003C6D19"/>
    <w:rsid w:val="003D1CDF"/>
    <w:rsid w:val="003D553B"/>
    <w:rsid w:val="003D6033"/>
    <w:rsid w:val="003D74F9"/>
    <w:rsid w:val="003E12F1"/>
    <w:rsid w:val="003E187B"/>
    <w:rsid w:val="003E4311"/>
    <w:rsid w:val="003F09E4"/>
    <w:rsid w:val="003F2DE5"/>
    <w:rsid w:val="003F483B"/>
    <w:rsid w:val="003F5CA7"/>
    <w:rsid w:val="003F70D2"/>
    <w:rsid w:val="003F7D63"/>
    <w:rsid w:val="00404057"/>
    <w:rsid w:val="00405D67"/>
    <w:rsid w:val="00406D61"/>
    <w:rsid w:val="00410F0D"/>
    <w:rsid w:val="00411081"/>
    <w:rsid w:val="00413C89"/>
    <w:rsid w:val="00415BA3"/>
    <w:rsid w:val="00420AD5"/>
    <w:rsid w:val="00425A0A"/>
    <w:rsid w:val="0042776D"/>
    <w:rsid w:val="00432285"/>
    <w:rsid w:val="0043396B"/>
    <w:rsid w:val="00434563"/>
    <w:rsid w:val="0043702F"/>
    <w:rsid w:val="00440FBF"/>
    <w:rsid w:val="004437FB"/>
    <w:rsid w:val="0044771C"/>
    <w:rsid w:val="00453B22"/>
    <w:rsid w:val="0045583C"/>
    <w:rsid w:val="00457557"/>
    <w:rsid w:val="0047623F"/>
    <w:rsid w:val="00481D75"/>
    <w:rsid w:val="0048241E"/>
    <w:rsid w:val="004867A9"/>
    <w:rsid w:val="0049236B"/>
    <w:rsid w:val="00492AD5"/>
    <w:rsid w:val="004A2470"/>
    <w:rsid w:val="004A6FFF"/>
    <w:rsid w:val="004B00B4"/>
    <w:rsid w:val="004B1265"/>
    <w:rsid w:val="004B4E0B"/>
    <w:rsid w:val="004B5923"/>
    <w:rsid w:val="004B6C98"/>
    <w:rsid w:val="004C5A8A"/>
    <w:rsid w:val="004C64D6"/>
    <w:rsid w:val="004C69EA"/>
    <w:rsid w:val="004C7039"/>
    <w:rsid w:val="004D0FF2"/>
    <w:rsid w:val="004D241F"/>
    <w:rsid w:val="004D2CEC"/>
    <w:rsid w:val="004D34B0"/>
    <w:rsid w:val="004E1BA7"/>
    <w:rsid w:val="004E426A"/>
    <w:rsid w:val="004E4417"/>
    <w:rsid w:val="004E4FC6"/>
    <w:rsid w:val="004E5145"/>
    <w:rsid w:val="004F07D3"/>
    <w:rsid w:val="004F1547"/>
    <w:rsid w:val="004F413A"/>
    <w:rsid w:val="00502539"/>
    <w:rsid w:val="00505513"/>
    <w:rsid w:val="00505DAB"/>
    <w:rsid w:val="00507598"/>
    <w:rsid w:val="00513E0C"/>
    <w:rsid w:val="0051549B"/>
    <w:rsid w:val="00515B51"/>
    <w:rsid w:val="00517CCB"/>
    <w:rsid w:val="00520AF9"/>
    <w:rsid w:val="00530302"/>
    <w:rsid w:val="00532BFD"/>
    <w:rsid w:val="0053319C"/>
    <w:rsid w:val="00533A74"/>
    <w:rsid w:val="00536B9D"/>
    <w:rsid w:val="0054196B"/>
    <w:rsid w:val="0054494F"/>
    <w:rsid w:val="00544998"/>
    <w:rsid w:val="00544A03"/>
    <w:rsid w:val="005453A3"/>
    <w:rsid w:val="00545764"/>
    <w:rsid w:val="0054678C"/>
    <w:rsid w:val="0055162A"/>
    <w:rsid w:val="00553C58"/>
    <w:rsid w:val="00556E5A"/>
    <w:rsid w:val="0056145E"/>
    <w:rsid w:val="0056278F"/>
    <w:rsid w:val="00565892"/>
    <w:rsid w:val="005724F0"/>
    <w:rsid w:val="005767FC"/>
    <w:rsid w:val="00581BA7"/>
    <w:rsid w:val="005834B8"/>
    <w:rsid w:val="00583587"/>
    <w:rsid w:val="00583631"/>
    <w:rsid w:val="00587256"/>
    <w:rsid w:val="005916C1"/>
    <w:rsid w:val="005924C4"/>
    <w:rsid w:val="00595FE5"/>
    <w:rsid w:val="00596D04"/>
    <w:rsid w:val="005A0DCC"/>
    <w:rsid w:val="005A1C61"/>
    <w:rsid w:val="005A452E"/>
    <w:rsid w:val="005B151B"/>
    <w:rsid w:val="005B2E32"/>
    <w:rsid w:val="005C1E46"/>
    <w:rsid w:val="005C4AF0"/>
    <w:rsid w:val="005D0091"/>
    <w:rsid w:val="005D3F9E"/>
    <w:rsid w:val="005D681A"/>
    <w:rsid w:val="005D6E2D"/>
    <w:rsid w:val="005E10C9"/>
    <w:rsid w:val="005E122D"/>
    <w:rsid w:val="005E1665"/>
    <w:rsid w:val="005E1D56"/>
    <w:rsid w:val="005E25B2"/>
    <w:rsid w:val="005E4982"/>
    <w:rsid w:val="005F0A53"/>
    <w:rsid w:val="005F10FB"/>
    <w:rsid w:val="005F1A81"/>
    <w:rsid w:val="005F2702"/>
    <w:rsid w:val="005F2B21"/>
    <w:rsid w:val="005F2BC0"/>
    <w:rsid w:val="005F6138"/>
    <w:rsid w:val="005F71BA"/>
    <w:rsid w:val="00601518"/>
    <w:rsid w:val="00602E82"/>
    <w:rsid w:val="006036D1"/>
    <w:rsid w:val="00606DB2"/>
    <w:rsid w:val="00607960"/>
    <w:rsid w:val="006128C7"/>
    <w:rsid w:val="006133C4"/>
    <w:rsid w:val="00617911"/>
    <w:rsid w:val="00621838"/>
    <w:rsid w:val="0062204D"/>
    <w:rsid w:val="00623EF6"/>
    <w:rsid w:val="00625170"/>
    <w:rsid w:val="006254B1"/>
    <w:rsid w:val="00630E51"/>
    <w:rsid w:val="00631FF3"/>
    <w:rsid w:val="00635962"/>
    <w:rsid w:val="00635FC3"/>
    <w:rsid w:val="006500EA"/>
    <w:rsid w:val="00650E90"/>
    <w:rsid w:val="00653679"/>
    <w:rsid w:val="00653A85"/>
    <w:rsid w:val="006540EA"/>
    <w:rsid w:val="00654ACC"/>
    <w:rsid w:val="00656D5E"/>
    <w:rsid w:val="0065705F"/>
    <w:rsid w:val="006602CB"/>
    <w:rsid w:val="006641E7"/>
    <w:rsid w:val="006649E1"/>
    <w:rsid w:val="006651C7"/>
    <w:rsid w:val="00665BB3"/>
    <w:rsid w:val="00666041"/>
    <w:rsid w:val="00666CD1"/>
    <w:rsid w:val="00667016"/>
    <w:rsid w:val="00671701"/>
    <w:rsid w:val="00673F32"/>
    <w:rsid w:val="006761E4"/>
    <w:rsid w:val="00680009"/>
    <w:rsid w:val="006816CB"/>
    <w:rsid w:val="0068327A"/>
    <w:rsid w:val="00684195"/>
    <w:rsid w:val="0068771D"/>
    <w:rsid w:val="006878AA"/>
    <w:rsid w:val="0069102B"/>
    <w:rsid w:val="00697873"/>
    <w:rsid w:val="006A084F"/>
    <w:rsid w:val="006A1E58"/>
    <w:rsid w:val="006A2005"/>
    <w:rsid w:val="006A6957"/>
    <w:rsid w:val="006A7648"/>
    <w:rsid w:val="006B36CD"/>
    <w:rsid w:val="006C3566"/>
    <w:rsid w:val="006C439F"/>
    <w:rsid w:val="006C5B50"/>
    <w:rsid w:val="006C76DE"/>
    <w:rsid w:val="006D4049"/>
    <w:rsid w:val="006D62B7"/>
    <w:rsid w:val="006D6F7B"/>
    <w:rsid w:val="006D7F8C"/>
    <w:rsid w:val="006E0BB2"/>
    <w:rsid w:val="006E4A14"/>
    <w:rsid w:val="006F5FDB"/>
    <w:rsid w:val="006F6A55"/>
    <w:rsid w:val="00701C3A"/>
    <w:rsid w:val="007025F0"/>
    <w:rsid w:val="007042E1"/>
    <w:rsid w:val="0070594E"/>
    <w:rsid w:val="00705F17"/>
    <w:rsid w:val="00713B50"/>
    <w:rsid w:val="00714035"/>
    <w:rsid w:val="00714AA4"/>
    <w:rsid w:val="00716929"/>
    <w:rsid w:val="007205C9"/>
    <w:rsid w:val="00720E87"/>
    <w:rsid w:val="007228B6"/>
    <w:rsid w:val="007232F0"/>
    <w:rsid w:val="007242A5"/>
    <w:rsid w:val="00724357"/>
    <w:rsid w:val="007276E9"/>
    <w:rsid w:val="007301D8"/>
    <w:rsid w:val="00731E60"/>
    <w:rsid w:val="0073214F"/>
    <w:rsid w:val="007356EB"/>
    <w:rsid w:val="00735B24"/>
    <w:rsid w:val="0073639C"/>
    <w:rsid w:val="00737530"/>
    <w:rsid w:val="00742999"/>
    <w:rsid w:val="00742F73"/>
    <w:rsid w:val="007434AA"/>
    <w:rsid w:val="00744057"/>
    <w:rsid w:val="00747C34"/>
    <w:rsid w:val="007513B7"/>
    <w:rsid w:val="00751D89"/>
    <w:rsid w:val="007524F6"/>
    <w:rsid w:val="007545C0"/>
    <w:rsid w:val="007548A8"/>
    <w:rsid w:val="00755A7D"/>
    <w:rsid w:val="0075688F"/>
    <w:rsid w:val="0076120E"/>
    <w:rsid w:val="0076143E"/>
    <w:rsid w:val="0076408E"/>
    <w:rsid w:val="00766D34"/>
    <w:rsid w:val="007679D3"/>
    <w:rsid w:val="00771049"/>
    <w:rsid w:val="00771B75"/>
    <w:rsid w:val="0077355B"/>
    <w:rsid w:val="0077600F"/>
    <w:rsid w:val="00784204"/>
    <w:rsid w:val="00784B66"/>
    <w:rsid w:val="0078676E"/>
    <w:rsid w:val="00796B02"/>
    <w:rsid w:val="007A04F6"/>
    <w:rsid w:val="007A556D"/>
    <w:rsid w:val="007A597F"/>
    <w:rsid w:val="007B2170"/>
    <w:rsid w:val="007B278E"/>
    <w:rsid w:val="007B2C10"/>
    <w:rsid w:val="007B48A2"/>
    <w:rsid w:val="007B542B"/>
    <w:rsid w:val="007B616A"/>
    <w:rsid w:val="007C2403"/>
    <w:rsid w:val="007C3153"/>
    <w:rsid w:val="007D290A"/>
    <w:rsid w:val="007E3924"/>
    <w:rsid w:val="007E542D"/>
    <w:rsid w:val="007E5A88"/>
    <w:rsid w:val="007E5B0B"/>
    <w:rsid w:val="007E6543"/>
    <w:rsid w:val="007E6C39"/>
    <w:rsid w:val="007E7A15"/>
    <w:rsid w:val="007F0211"/>
    <w:rsid w:val="007F0F11"/>
    <w:rsid w:val="007F2773"/>
    <w:rsid w:val="007F2DCC"/>
    <w:rsid w:val="007F7737"/>
    <w:rsid w:val="00801980"/>
    <w:rsid w:val="008024FE"/>
    <w:rsid w:val="00802C6E"/>
    <w:rsid w:val="008062C4"/>
    <w:rsid w:val="008113B6"/>
    <w:rsid w:val="008131A5"/>
    <w:rsid w:val="008145BF"/>
    <w:rsid w:val="008145C3"/>
    <w:rsid w:val="008150B0"/>
    <w:rsid w:val="00817EE2"/>
    <w:rsid w:val="00820B1D"/>
    <w:rsid w:val="00821E33"/>
    <w:rsid w:val="00823C5C"/>
    <w:rsid w:val="00824651"/>
    <w:rsid w:val="008258F8"/>
    <w:rsid w:val="00834D53"/>
    <w:rsid w:val="00837914"/>
    <w:rsid w:val="00842704"/>
    <w:rsid w:val="008573B2"/>
    <w:rsid w:val="00857FB9"/>
    <w:rsid w:val="00860913"/>
    <w:rsid w:val="0086189A"/>
    <w:rsid w:val="00865D2D"/>
    <w:rsid w:val="00871D4D"/>
    <w:rsid w:val="008733E6"/>
    <w:rsid w:val="00873E91"/>
    <w:rsid w:val="008740F9"/>
    <w:rsid w:val="0087773A"/>
    <w:rsid w:val="00882570"/>
    <w:rsid w:val="00883282"/>
    <w:rsid w:val="00883A5E"/>
    <w:rsid w:val="00893883"/>
    <w:rsid w:val="00895294"/>
    <w:rsid w:val="008A0876"/>
    <w:rsid w:val="008A1DDA"/>
    <w:rsid w:val="008A3C2A"/>
    <w:rsid w:val="008A5E96"/>
    <w:rsid w:val="008A7D9A"/>
    <w:rsid w:val="008B3958"/>
    <w:rsid w:val="008B7389"/>
    <w:rsid w:val="008C2535"/>
    <w:rsid w:val="008C5C7D"/>
    <w:rsid w:val="008C70C8"/>
    <w:rsid w:val="008D22FB"/>
    <w:rsid w:val="008E156A"/>
    <w:rsid w:val="008E2246"/>
    <w:rsid w:val="008E2AED"/>
    <w:rsid w:val="008E2C73"/>
    <w:rsid w:val="008E40A3"/>
    <w:rsid w:val="008E545F"/>
    <w:rsid w:val="008F2114"/>
    <w:rsid w:val="008F5383"/>
    <w:rsid w:val="009050E9"/>
    <w:rsid w:val="0091527D"/>
    <w:rsid w:val="009164BE"/>
    <w:rsid w:val="00923487"/>
    <w:rsid w:val="00931640"/>
    <w:rsid w:val="00931682"/>
    <w:rsid w:val="009345B4"/>
    <w:rsid w:val="00935730"/>
    <w:rsid w:val="00946BF4"/>
    <w:rsid w:val="00946C08"/>
    <w:rsid w:val="00950C2E"/>
    <w:rsid w:val="00950E94"/>
    <w:rsid w:val="00953942"/>
    <w:rsid w:val="00953B30"/>
    <w:rsid w:val="0095488B"/>
    <w:rsid w:val="009553E1"/>
    <w:rsid w:val="009559F0"/>
    <w:rsid w:val="00960888"/>
    <w:rsid w:val="00960E05"/>
    <w:rsid w:val="00961EDA"/>
    <w:rsid w:val="00962B7E"/>
    <w:rsid w:val="00962F69"/>
    <w:rsid w:val="00964115"/>
    <w:rsid w:val="0096537A"/>
    <w:rsid w:val="00965C49"/>
    <w:rsid w:val="00966B8B"/>
    <w:rsid w:val="00967739"/>
    <w:rsid w:val="00971CC5"/>
    <w:rsid w:val="00972A9C"/>
    <w:rsid w:val="00972DC3"/>
    <w:rsid w:val="00973833"/>
    <w:rsid w:val="009768A1"/>
    <w:rsid w:val="00981034"/>
    <w:rsid w:val="00984B0C"/>
    <w:rsid w:val="00985281"/>
    <w:rsid w:val="0098651E"/>
    <w:rsid w:val="0098706E"/>
    <w:rsid w:val="0099064D"/>
    <w:rsid w:val="009918D7"/>
    <w:rsid w:val="00996285"/>
    <w:rsid w:val="0099748D"/>
    <w:rsid w:val="00997D0D"/>
    <w:rsid w:val="009A43DB"/>
    <w:rsid w:val="009A4708"/>
    <w:rsid w:val="009A4EDB"/>
    <w:rsid w:val="009A6C60"/>
    <w:rsid w:val="009B29EA"/>
    <w:rsid w:val="009B36CD"/>
    <w:rsid w:val="009B5346"/>
    <w:rsid w:val="009B6DCC"/>
    <w:rsid w:val="009C035E"/>
    <w:rsid w:val="009C1AB6"/>
    <w:rsid w:val="009C5CEC"/>
    <w:rsid w:val="009D6F36"/>
    <w:rsid w:val="009E339B"/>
    <w:rsid w:val="009E5205"/>
    <w:rsid w:val="009E5472"/>
    <w:rsid w:val="009F0481"/>
    <w:rsid w:val="009F1198"/>
    <w:rsid w:val="009F2093"/>
    <w:rsid w:val="009F3128"/>
    <w:rsid w:val="009F78B3"/>
    <w:rsid w:val="00A0063B"/>
    <w:rsid w:val="00A05C4D"/>
    <w:rsid w:val="00A11368"/>
    <w:rsid w:val="00A119E4"/>
    <w:rsid w:val="00A12F74"/>
    <w:rsid w:val="00A14371"/>
    <w:rsid w:val="00A21AC2"/>
    <w:rsid w:val="00A24486"/>
    <w:rsid w:val="00A2604B"/>
    <w:rsid w:val="00A26213"/>
    <w:rsid w:val="00A314B4"/>
    <w:rsid w:val="00A31A06"/>
    <w:rsid w:val="00A3218D"/>
    <w:rsid w:val="00A33B02"/>
    <w:rsid w:val="00A47FF2"/>
    <w:rsid w:val="00A5448E"/>
    <w:rsid w:val="00A55AFF"/>
    <w:rsid w:val="00A564E4"/>
    <w:rsid w:val="00A56606"/>
    <w:rsid w:val="00A568E0"/>
    <w:rsid w:val="00A6570A"/>
    <w:rsid w:val="00A6575B"/>
    <w:rsid w:val="00A665E2"/>
    <w:rsid w:val="00A6687E"/>
    <w:rsid w:val="00A6776A"/>
    <w:rsid w:val="00A67924"/>
    <w:rsid w:val="00A717C4"/>
    <w:rsid w:val="00A73001"/>
    <w:rsid w:val="00A7419B"/>
    <w:rsid w:val="00A74E9F"/>
    <w:rsid w:val="00A764E8"/>
    <w:rsid w:val="00A81CEC"/>
    <w:rsid w:val="00A86037"/>
    <w:rsid w:val="00A86307"/>
    <w:rsid w:val="00A86E3B"/>
    <w:rsid w:val="00A9163A"/>
    <w:rsid w:val="00A91FEB"/>
    <w:rsid w:val="00A92BB5"/>
    <w:rsid w:val="00A93C92"/>
    <w:rsid w:val="00A94347"/>
    <w:rsid w:val="00A97526"/>
    <w:rsid w:val="00AA1342"/>
    <w:rsid w:val="00AA2645"/>
    <w:rsid w:val="00AA532A"/>
    <w:rsid w:val="00AA5360"/>
    <w:rsid w:val="00AA5836"/>
    <w:rsid w:val="00AA62F1"/>
    <w:rsid w:val="00AB1DFB"/>
    <w:rsid w:val="00AB5A9E"/>
    <w:rsid w:val="00AC087B"/>
    <w:rsid w:val="00AC50BF"/>
    <w:rsid w:val="00AC7143"/>
    <w:rsid w:val="00AC767F"/>
    <w:rsid w:val="00AD1ACC"/>
    <w:rsid w:val="00AD2941"/>
    <w:rsid w:val="00AD346D"/>
    <w:rsid w:val="00AD65D5"/>
    <w:rsid w:val="00AD7D2F"/>
    <w:rsid w:val="00AE00D5"/>
    <w:rsid w:val="00AE15EE"/>
    <w:rsid w:val="00AE2236"/>
    <w:rsid w:val="00AE22F2"/>
    <w:rsid w:val="00AE360B"/>
    <w:rsid w:val="00AE7BB0"/>
    <w:rsid w:val="00AF0FFE"/>
    <w:rsid w:val="00AF7970"/>
    <w:rsid w:val="00B01FBE"/>
    <w:rsid w:val="00B059D8"/>
    <w:rsid w:val="00B0672F"/>
    <w:rsid w:val="00B07243"/>
    <w:rsid w:val="00B133D5"/>
    <w:rsid w:val="00B157D1"/>
    <w:rsid w:val="00B162C8"/>
    <w:rsid w:val="00B21777"/>
    <w:rsid w:val="00B22F70"/>
    <w:rsid w:val="00B26386"/>
    <w:rsid w:val="00B3561C"/>
    <w:rsid w:val="00B40995"/>
    <w:rsid w:val="00B463C4"/>
    <w:rsid w:val="00B46EF1"/>
    <w:rsid w:val="00B4766E"/>
    <w:rsid w:val="00B500BE"/>
    <w:rsid w:val="00B50E25"/>
    <w:rsid w:val="00B532AE"/>
    <w:rsid w:val="00B5646D"/>
    <w:rsid w:val="00B60423"/>
    <w:rsid w:val="00B765ED"/>
    <w:rsid w:val="00B77BB8"/>
    <w:rsid w:val="00B83977"/>
    <w:rsid w:val="00B85F75"/>
    <w:rsid w:val="00B90CE5"/>
    <w:rsid w:val="00B91B39"/>
    <w:rsid w:val="00B92904"/>
    <w:rsid w:val="00B93508"/>
    <w:rsid w:val="00B93CAE"/>
    <w:rsid w:val="00B96AA5"/>
    <w:rsid w:val="00B97696"/>
    <w:rsid w:val="00BA060B"/>
    <w:rsid w:val="00BA48AE"/>
    <w:rsid w:val="00BB057C"/>
    <w:rsid w:val="00BB25CE"/>
    <w:rsid w:val="00BB2756"/>
    <w:rsid w:val="00BB344E"/>
    <w:rsid w:val="00BB5975"/>
    <w:rsid w:val="00BC11AB"/>
    <w:rsid w:val="00BC40E2"/>
    <w:rsid w:val="00BC6265"/>
    <w:rsid w:val="00BD00A8"/>
    <w:rsid w:val="00BD1B98"/>
    <w:rsid w:val="00BD72BB"/>
    <w:rsid w:val="00BD76FF"/>
    <w:rsid w:val="00BE09B0"/>
    <w:rsid w:val="00BE1C21"/>
    <w:rsid w:val="00BE1EFE"/>
    <w:rsid w:val="00BE2D20"/>
    <w:rsid w:val="00BE3B0D"/>
    <w:rsid w:val="00BE6587"/>
    <w:rsid w:val="00BE7629"/>
    <w:rsid w:val="00BF0002"/>
    <w:rsid w:val="00BF4C3E"/>
    <w:rsid w:val="00BF4E2C"/>
    <w:rsid w:val="00BF528B"/>
    <w:rsid w:val="00BF741D"/>
    <w:rsid w:val="00BF7F61"/>
    <w:rsid w:val="00C02A92"/>
    <w:rsid w:val="00C04502"/>
    <w:rsid w:val="00C04E16"/>
    <w:rsid w:val="00C06EF1"/>
    <w:rsid w:val="00C077CB"/>
    <w:rsid w:val="00C10D71"/>
    <w:rsid w:val="00C125E4"/>
    <w:rsid w:val="00C20618"/>
    <w:rsid w:val="00C20A6E"/>
    <w:rsid w:val="00C23BCF"/>
    <w:rsid w:val="00C2479E"/>
    <w:rsid w:val="00C31070"/>
    <w:rsid w:val="00C32A4E"/>
    <w:rsid w:val="00C45688"/>
    <w:rsid w:val="00C47E34"/>
    <w:rsid w:val="00C5330A"/>
    <w:rsid w:val="00C557DD"/>
    <w:rsid w:val="00C55B5A"/>
    <w:rsid w:val="00C60A9F"/>
    <w:rsid w:val="00C60AB8"/>
    <w:rsid w:val="00C62DC4"/>
    <w:rsid w:val="00C6647E"/>
    <w:rsid w:val="00C7551A"/>
    <w:rsid w:val="00C8269E"/>
    <w:rsid w:val="00C84CA2"/>
    <w:rsid w:val="00C85665"/>
    <w:rsid w:val="00C9006F"/>
    <w:rsid w:val="00C944C7"/>
    <w:rsid w:val="00C945D9"/>
    <w:rsid w:val="00CA16C7"/>
    <w:rsid w:val="00CA4CA0"/>
    <w:rsid w:val="00CA7316"/>
    <w:rsid w:val="00CB21CE"/>
    <w:rsid w:val="00CB6892"/>
    <w:rsid w:val="00CC0A8E"/>
    <w:rsid w:val="00CC0F8A"/>
    <w:rsid w:val="00CC209D"/>
    <w:rsid w:val="00CD0167"/>
    <w:rsid w:val="00CD4D41"/>
    <w:rsid w:val="00CD658C"/>
    <w:rsid w:val="00CD7DB0"/>
    <w:rsid w:val="00CE0383"/>
    <w:rsid w:val="00CE0BB9"/>
    <w:rsid w:val="00CE313A"/>
    <w:rsid w:val="00CF3883"/>
    <w:rsid w:val="00CF5F7C"/>
    <w:rsid w:val="00D01C5F"/>
    <w:rsid w:val="00D01E46"/>
    <w:rsid w:val="00D026CC"/>
    <w:rsid w:val="00D03C7A"/>
    <w:rsid w:val="00D10E9D"/>
    <w:rsid w:val="00D11551"/>
    <w:rsid w:val="00D12200"/>
    <w:rsid w:val="00D22030"/>
    <w:rsid w:val="00D22D38"/>
    <w:rsid w:val="00D23095"/>
    <w:rsid w:val="00D23EB6"/>
    <w:rsid w:val="00D33362"/>
    <w:rsid w:val="00D42605"/>
    <w:rsid w:val="00D446A4"/>
    <w:rsid w:val="00D44A77"/>
    <w:rsid w:val="00D44EDE"/>
    <w:rsid w:val="00D47338"/>
    <w:rsid w:val="00D4762D"/>
    <w:rsid w:val="00D52CB3"/>
    <w:rsid w:val="00D54434"/>
    <w:rsid w:val="00D55DDD"/>
    <w:rsid w:val="00D56C84"/>
    <w:rsid w:val="00D65643"/>
    <w:rsid w:val="00D70B1B"/>
    <w:rsid w:val="00D7269D"/>
    <w:rsid w:val="00D82B2E"/>
    <w:rsid w:val="00D86608"/>
    <w:rsid w:val="00D86EC0"/>
    <w:rsid w:val="00DA1F8C"/>
    <w:rsid w:val="00DA5719"/>
    <w:rsid w:val="00DA6925"/>
    <w:rsid w:val="00DB39DF"/>
    <w:rsid w:val="00DB5432"/>
    <w:rsid w:val="00DB66B6"/>
    <w:rsid w:val="00DB768D"/>
    <w:rsid w:val="00DC152C"/>
    <w:rsid w:val="00DC36A8"/>
    <w:rsid w:val="00DC3AE0"/>
    <w:rsid w:val="00DC400F"/>
    <w:rsid w:val="00DC573D"/>
    <w:rsid w:val="00DC63CB"/>
    <w:rsid w:val="00DC6C0A"/>
    <w:rsid w:val="00DD0516"/>
    <w:rsid w:val="00DD4485"/>
    <w:rsid w:val="00DD4BF6"/>
    <w:rsid w:val="00DE4214"/>
    <w:rsid w:val="00DE699A"/>
    <w:rsid w:val="00DE7451"/>
    <w:rsid w:val="00DE768F"/>
    <w:rsid w:val="00DF242D"/>
    <w:rsid w:val="00DF47E8"/>
    <w:rsid w:val="00DF5AB2"/>
    <w:rsid w:val="00DF7A4C"/>
    <w:rsid w:val="00E001B4"/>
    <w:rsid w:val="00E03815"/>
    <w:rsid w:val="00E03C8F"/>
    <w:rsid w:val="00E05DE0"/>
    <w:rsid w:val="00E075C0"/>
    <w:rsid w:val="00E10D3C"/>
    <w:rsid w:val="00E111B4"/>
    <w:rsid w:val="00E16FE6"/>
    <w:rsid w:val="00E1749A"/>
    <w:rsid w:val="00E23ECB"/>
    <w:rsid w:val="00E32C53"/>
    <w:rsid w:val="00E33DDB"/>
    <w:rsid w:val="00E352FF"/>
    <w:rsid w:val="00E4007C"/>
    <w:rsid w:val="00E404A3"/>
    <w:rsid w:val="00E406E9"/>
    <w:rsid w:val="00E415BA"/>
    <w:rsid w:val="00E41D55"/>
    <w:rsid w:val="00E438CF"/>
    <w:rsid w:val="00E50EE4"/>
    <w:rsid w:val="00E52F4E"/>
    <w:rsid w:val="00E5725D"/>
    <w:rsid w:val="00E632AD"/>
    <w:rsid w:val="00E64FE1"/>
    <w:rsid w:val="00E6530C"/>
    <w:rsid w:val="00E670D7"/>
    <w:rsid w:val="00E673E7"/>
    <w:rsid w:val="00E70293"/>
    <w:rsid w:val="00E70C46"/>
    <w:rsid w:val="00E812FC"/>
    <w:rsid w:val="00E81E09"/>
    <w:rsid w:val="00E82232"/>
    <w:rsid w:val="00E85303"/>
    <w:rsid w:val="00E86CE6"/>
    <w:rsid w:val="00E922B3"/>
    <w:rsid w:val="00E92A75"/>
    <w:rsid w:val="00EA306D"/>
    <w:rsid w:val="00EA6583"/>
    <w:rsid w:val="00EB318C"/>
    <w:rsid w:val="00EB6B21"/>
    <w:rsid w:val="00EB77E6"/>
    <w:rsid w:val="00EC13CB"/>
    <w:rsid w:val="00EC24DC"/>
    <w:rsid w:val="00EC385D"/>
    <w:rsid w:val="00EC484E"/>
    <w:rsid w:val="00ED0B5F"/>
    <w:rsid w:val="00ED25E7"/>
    <w:rsid w:val="00EE00D9"/>
    <w:rsid w:val="00EE1D72"/>
    <w:rsid w:val="00EE4099"/>
    <w:rsid w:val="00EF1719"/>
    <w:rsid w:val="00EF2E68"/>
    <w:rsid w:val="00EF52E1"/>
    <w:rsid w:val="00F009D6"/>
    <w:rsid w:val="00F020ED"/>
    <w:rsid w:val="00F03204"/>
    <w:rsid w:val="00F0490A"/>
    <w:rsid w:val="00F06ACD"/>
    <w:rsid w:val="00F06DD9"/>
    <w:rsid w:val="00F10090"/>
    <w:rsid w:val="00F11E48"/>
    <w:rsid w:val="00F20507"/>
    <w:rsid w:val="00F22A5D"/>
    <w:rsid w:val="00F22EC2"/>
    <w:rsid w:val="00F23D28"/>
    <w:rsid w:val="00F2730E"/>
    <w:rsid w:val="00F3171D"/>
    <w:rsid w:val="00F34C16"/>
    <w:rsid w:val="00F40D20"/>
    <w:rsid w:val="00F41513"/>
    <w:rsid w:val="00F468C7"/>
    <w:rsid w:val="00F54A43"/>
    <w:rsid w:val="00F54CDB"/>
    <w:rsid w:val="00F5690C"/>
    <w:rsid w:val="00F5750F"/>
    <w:rsid w:val="00F61A2B"/>
    <w:rsid w:val="00F6352E"/>
    <w:rsid w:val="00F64508"/>
    <w:rsid w:val="00F70F34"/>
    <w:rsid w:val="00F84637"/>
    <w:rsid w:val="00F90716"/>
    <w:rsid w:val="00F968B6"/>
    <w:rsid w:val="00F97A7B"/>
    <w:rsid w:val="00FA2863"/>
    <w:rsid w:val="00FA31DA"/>
    <w:rsid w:val="00FB0FF9"/>
    <w:rsid w:val="00FB6146"/>
    <w:rsid w:val="00FC2C4C"/>
    <w:rsid w:val="00FC3B59"/>
    <w:rsid w:val="00FC63F9"/>
    <w:rsid w:val="00FD01C3"/>
    <w:rsid w:val="00FD127A"/>
    <w:rsid w:val="00FD27BB"/>
    <w:rsid w:val="00FD40C5"/>
    <w:rsid w:val="00FD5BF9"/>
    <w:rsid w:val="00FE1032"/>
    <w:rsid w:val="00FE277D"/>
    <w:rsid w:val="00FE4CCC"/>
    <w:rsid w:val="00FE4E62"/>
    <w:rsid w:val="00FF48E5"/>
    <w:rsid w:val="00FF4F76"/>
    <w:rsid w:val="00FF5A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right" w:pos="9072"/>
      </w:tabs>
      <w:spacing w:before="120"/>
      <w:jc w:val="center"/>
      <w:outlineLvl w:val="0"/>
    </w:pPr>
    <w:rPr>
      <w:szCs w:val="20"/>
      <w:lang w:val="en-AU"/>
    </w:rPr>
  </w:style>
  <w:style w:type="paragraph" w:styleId="Heading2">
    <w:name w:val="heading 2"/>
    <w:basedOn w:val="Normal"/>
    <w:next w:val="Normal"/>
    <w:qFormat/>
    <w:pPr>
      <w:keepNext/>
      <w:tabs>
        <w:tab w:val="right" w:pos="9072"/>
      </w:tabs>
      <w:spacing w:before="120"/>
      <w:jc w:val="center"/>
      <w:outlineLvl w:val="1"/>
    </w:pPr>
    <w:rPr>
      <w:sz w:val="28"/>
      <w:szCs w:val="26"/>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26"/>
    </w:rPr>
  </w:style>
  <w:style w:type="paragraph" w:styleId="BodyText2">
    <w:name w:val="Body Text 2"/>
    <w:basedOn w:val="Normal"/>
    <w:semiHidden/>
    <w:pPr>
      <w:jc w:val="both"/>
    </w:pPr>
    <w:rPr>
      <w:sz w:val="26"/>
    </w:rPr>
  </w:style>
  <w:style w:type="paragraph" w:customStyle="1" w:styleId="naisf">
    <w:name w:val="naisf"/>
    <w:basedOn w:val="Normal"/>
    <w:pPr>
      <w:spacing w:before="100" w:beforeAutospacing="1" w:after="100" w:afterAutospacing="1"/>
      <w:jc w:val="both"/>
    </w:pPr>
  </w:style>
  <w:style w:type="paragraph" w:customStyle="1" w:styleId="nais1">
    <w:name w:val="nais1"/>
    <w:basedOn w:val="Normal"/>
    <w:pPr>
      <w:spacing w:before="100" w:beforeAutospacing="1" w:after="100" w:afterAutospacing="1"/>
      <w:jc w:val="both"/>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naisc">
    <w:name w:val="naisc"/>
    <w:basedOn w:val="Normal"/>
    <w:pPr>
      <w:spacing w:before="100" w:after="100"/>
      <w:jc w:val="center"/>
    </w:pPr>
    <w:rPr>
      <w:sz w:val="26"/>
      <w:szCs w:val="20"/>
    </w:rPr>
  </w:style>
  <w:style w:type="paragraph" w:styleId="NormalWeb">
    <w:name w:val="Normal (Web)"/>
    <w:basedOn w:val="Normal"/>
    <w:semiHidden/>
    <w:pPr>
      <w:spacing w:before="100" w:after="100"/>
    </w:pPr>
    <w:rPr>
      <w:szCs w:val="20"/>
    </w:rPr>
  </w:style>
  <w:style w:type="paragraph" w:customStyle="1" w:styleId="naislab">
    <w:name w:val="naislab"/>
    <w:basedOn w:val="Normal"/>
    <w:pPr>
      <w:spacing w:before="100" w:after="100"/>
      <w:jc w:val="right"/>
    </w:pPr>
    <w:rPr>
      <w:szCs w:val="20"/>
    </w:rPr>
  </w:style>
  <w:style w:type="paragraph" w:styleId="Header">
    <w:name w:val="header"/>
    <w:basedOn w:val="Normal"/>
    <w:semiHidden/>
    <w:pPr>
      <w:tabs>
        <w:tab w:val="center" w:pos="4153"/>
        <w:tab w:val="right" w:pos="8306"/>
      </w:tabs>
    </w:pPr>
  </w:style>
  <w:style w:type="paragraph" w:styleId="BodyTextIndent2">
    <w:name w:val="Body Text Indent 2"/>
    <w:basedOn w:val="Normal"/>
    <w:semiHidden/>
    <w:pPr>
      <w:ind w:firstLine="720"/>
      <w:jc w:val="both"/>
    </w:pPr>
    <w:rPr>
      <w:sz w:val="28"/>
      <w:szCs w:val="20"/>
      <w:lang w:val="en-AU"/>
    </w:rPr>
  </w:style>
  <w:style w:type="paragraph" w:styleId="BodyText3">
    <w:name w:val="Body Text 3"/>
    <w:basedOn w:val="Normal"/>
    <w:semiHidden/>
    <w:pPr>
      <w:jc w:val="both"/>
    </w:pPr>
    <w:rPr>
      <w:b/>
      <w:bCs/>
    </w:rPr>
  </w:style>
  <w:style w:type="paragraph" w:styleId="BodyTextIndent">
    <w:name w:val="Body Text Indent"/>
    <w:basedOn w:val="Normal"/>
    <w:link w:val="BodyTextIndentChar"/>
    <w:rsid w:val="00923487"/>
    <w:pPr>
      <w:spacing w:after="120"/>
      <w:ind w:left="283"/>
    </w:pPr>
    <w:rPr>
      <w:lang w:val="en-GB"/>
    </w:rPr>
  </w:style>
  <w:style w:type="character" w:customStyle="1" w:styleId="BodyTextIndentChar">
    <w:name w:val="Body Text Indent Char"/>
    <w:link w:val="BodyTextIndent"/>
    <w:rsid w:val="00923487"/>
    <w:rPr>
      <w:sz w:val="24"/>
      <w:szCs w:val="24"/>
      <w:lang w:val="en-GB" w:eastAsia="en-US"/>
    </w:rPr>
  </w:style>
  <w:style w:type="paragraph" w:styleId="Caption">
    <w:name w:val="caption"/>
    <w:basedOn w:val="Normal"/>
    <w:next w:val="Normal"/>
    <w:qFormat/>
    <w:rsid w:val="00D70B1B"/>
    <w:pPr>
      <w:ind w:firstLine="851"/>
    </w:pPr>
    <w:rPr>
      <w:rFonts w:ascii="Times New Roman BaltRim" w:hAnsi="Times New Roman BaltRim"/>
      <w:szCs w:val="20"/>
      <w:lang w:eastAsia="lv-LV"/>
    </w:rPr>
  </w:style>
  <w:style w:type="paragraph" w:styleId="BalloonText">
    <w:name w:val="Balloon Text"/>
    <w:basedOn w:val="Normal"/>
    <w:semiHidden/>
    <w:rsid w:val="005D3F9E"/>
    <w:rPr>
      <w:rFonts w:ascii="Tahoma" w:hAnsi="Tahoma" w:cs="Tahoma"/>
      <w:sz w:val="16"/>
      <w:szCs w:val="16"/>
    </w:rPr>
  </w:style>
  <w:style w:type="table" w:styleId="TableGrid">
    <w:name w:val="Table Grid"/>
    <w:basedOn w:val="TableNormal"/>
    <w:rsid w:val="005D3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RakstzCharChar">
    <w:name w:val="Char Char Char Rakstz. Char Char"/>
    <w:basedOn w:val="Normal"/>
    <w:rsid w:val="005D3F9E"/>
    <w:pPr>
      <w:spacing w:before="40"/>
    </w:pPr>
    <w:rPr>
      <w:lang w:val="pl-PL" w:eastAsia="pl-PL"/>
    </w:rPr>
  </w:style>
  <w:style w:type="paragraph" w:customStyle="1" w:styleId="Char">
    <w:name w:val="Char"/>
    <w:basedOn w:val="Normal"/>
    <w:rsid w:val="005D3F9E"/>
    <w:pPr>
      <w:spacing w:after="160" w:line="240" w:lineRule="exact"/>
    </w:pPr>
    <w:rPr>
      <w:rFonts w:ascii="Tahoma" w:hAnsi="Tahoma"/>
      <w:sz w:val="20"/>
      <w:szCs w:val="20"/>
      <w:lang w:val="en-US"/>
    </w:rPr>
  </w:style>
  <w:style w:type="paragraph" w:customStyle="1" w:styleId="naisvisr">
    <w:name w:val="naisvisr"/>
    <w:basedOn w:val="Normal"/>
    <w:rsid w:val="00B90CE5"/>
    <w:pPr>
      <w:spacing w:before="100" w:after="100"/>
      <w:jc w:val="center"/>
    </w:pPr>
    <w:rPr>
      <w:b/>
      <w:sz w:val="28"/>
      <w:szCs w:val="20"/>
    </w:rPr>
  </w:style>
  <w:style w:type="character" w:styleId="Hyperlink">
    <w:name w:val="Hyperlink"/>
    <w:rsid w:val="00E33DDB"/>
    <w:rPr>
      <w:color w:val="0000FF"/>
      <w:u w:val="single"/>
    </w:rPr>
  </w:style>
  <w:style w:type="character" w:customStyle="1" w:styleId="FontStyle45">
    <w:name w:val="Font Style45"/>
    <w:rsid w:val="001E126B"/>
    <w:rPr>
      <w:rFonts w:ascii="Times New Roman" w:hAnsi="Times New Roman" w:cs="Times New Roman"/>
      <w:b/>
      <w:bCs/>
      <w:i/>
      <w:iCs/>
      <w:sz w:val="22"/>
      <w:szCs w:val="22"/>
    </w:rPr>
  </w:style>
  <w:style w:type="character" w:styleId="CommentReference">
    <w:name w:val="annotation reference"/>
    <w:semiHidden/>
    <w:rsid w:val="00A717C4"/>
    <w:rPr>
      <w:sz w:val="16"/>
      <w:szCs w:val="16"/>
    </w:rPr>
  </w:style>
  <w:style w:type="paragraph" w:styleId="CommentText">
    <w:name w:val="annotation text"/>
    <w:basedOn w:val="Normal"/>
    <w:semiHidden/>
    <w:rsid w:val="00A717C4"/>
    <w:rPr>
      <w:sz w:val="20"/>
      <w:szCs w:val="20"/>
    </w:rPr>
  </w:style>
  <w:style w:type="paragraph" w:styleId="CommentSubject">
    <w:name w:val="annotation subject"/>
    <w:basedOn w:val="CommentText"/>
    <w:next w:val="CommentText"/>
    <w:semiHidden/>
    <w:rsid w:val="00A717C4"/>
    <w:rPr>
      <w:b/>
      <w:bCs/>
    </w:rPr>
  </w:style>
  <w:style w:type="paragraph" w:customStyle="1" w:styleId="naiskr">
    <w:name w:val="naiskr"/>
    <w:basedOn w:val="Normal"/>
    <w:rsid w:val="00AE00D5"/>
    <w:pPr>
      <w:spacing w:before="100" w:beforeAutospacing="1" w:after="100" w:afterAutospacing="1"/>
    </w:pPr>
    <w:rPr>
      <w:lang w:eastAsia="lv-LV"/>
    </w:rPr>
  </w:style>
  <w:style w:type="paragraph" w:customStyle="1" w:styleId="RakstzCharCharRakstzCharCharRakstzCharCharRakstz">
    <w:name w:val="Rakstz. Char Char Rakstz. Char Char Rakstz. Char Char Rakstz."/>
    <w:basedOn w:val="Normal"/>
    <w:rsid w:val="005E25B2"/>
    <w:pPr>
      <w:spacing w:after="160" w:line="240" w:lineRule="exact"/>
    </w:pPr>
    <w:rPr>
      <w:rFonts w:ascii="Tahoma" w:hAnsi="Tahoma"/>
      <w:sz w:val="20"/>
      <w:szCs w:val="20"/>
      <w:lang w:val="en-US"/>
    </w:rPr>
  </w:style>
  <w:style w:type="paragraph" w:customStyle="1" w:styleId="naisnod">
    <w:name w:val="naisnod"/>
    <w:basedOn w:val="Normal"/>
    <w:rsid w:val="00F5690C"/>
    <w:pPr>
      <w:spacing w:before="115" w:after="115"/>
      <w:jc w:val="center"/>
    </w:pPr>
    <w:rPr>
      <w:b/>
      <w:bCs/>
      <w:lang w:eastAsia="lv-LV"/>
    </w:rPr>
  </w:style>
  <w:style w:type="paragraph" w:styleId="BodyTextIndent3">
    <w:name w:val="Body Text Indent 3"/>
    <w:basedOn w:val="Normal"/>
    <w:rsid w:val="00F5690C"/>
    <w:pPr>
      <w:spacing w:after="120"/>
      <w:ind w:left="283"/>
    </w:pPr>
    <w:rPr>
      <w:sz w:val="16"/>
      <w:szCs w:val="16"/>
      <w:lang w:val="en-US" w:eastAsia="lv-LV"/>
    </w:rPr>
  </w:style>
  <w:style w:type="character" w:customStyle="1" w:styleId="apple-style-span">
    <w:name w:val="apple-style-span"/>
    <w:basedOn w:val="DefaultParagraphFont"/>
    <w:rsid w:val="00654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right" w:pos="9072"/>
      </w:tabs>
      <w:spacing w:before="120"/>
      <w:jc w:val="center"/>
      <w:outlineLvl w:val="0"/>
    </w:pPr>
    <w:rPr>
      <w:szCs w:val="20"/>
      <w:lang w:val="en-AU"/>
    </w:rPr>
  </w:style>
  <w:style w:type="paragraph" w:styleId="Heading2">
    <w:name w:val="heading 2"/>
    <w:basedOn w:val="Normal"/>
    <w:next w:val="Normal"/>
    <w:qFormat/>
    <w:pPr>
      <w:keepNext/>
      <w:tabs>
        <w:tab w:val="right" w:pos="9072"/>
      </w:tabs>
      <w:spacing w:before="120"/>
      <w:jc w:val="center"/>
      <w:outlineLvl w:val="1"/>
    </w:pPr>
    <w:rPr>
      <w:sz w:val="28"/>
      <w:szCs w:val="26"/>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26"/>
    </w:rPr>
  </w:style>
  <w:style w:type="paragraph" w:styleId="BodyText2">
    <w:name w:val="Body Text 2"/>
    <w:basedOn w:val="Normal"/>
    <w:semiHidden/>
    <w:pPr>
      <w:jc w:val="both"/>
    </w:pPr>
    <w:rPr>
      <w:sz w:val="26"/>
    </w:rPr>
  </w:style>
  <w:style w:type="paragraph" w:customStyle="1" w:styleId="naisf">
    <w:name w:val="naisf"/>
    <w:basedOn w:val="Normal"/>
    <w:pPr>
      <w:spacing w:before="100" w:beforeAutospacing="1" w:after="100" w:afterAutospacing="1"/>
      <w:jc w:val="both"/>
    </w:pPr>
  </w:style>
  <w:style w:type="paragraph" w:customStyle="1" w:styleId="nais1">
    <w:name w:val="nais1"/>
    <w:basedOn w:val="Normal"/>
    <w:pPr>
      <w:spacing w:before="100" w:beforeAutospacing="1" w:after="100" w:afterAutospacing="1"/>
      <w:jc w:val="both"/>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naisc">
    <w:name w:val="naisc"/>
    <w:basedOn w:val="Normal"/>
    <w:pPr>
      <w:spacing w:before="100" w:after="100"/>
      <w:jc w:val="center"/>
    </w:pPr>
    <w:rPr>
      <w:sz w:val="26"/>
      <w:szCs w:val="20"/>
    </w:rPr>
  </w:style>
  <w:style w:type="paragraph" w:styleId="NormalWeb">
    <w:name w:val="Normal (Web)"/>
    <w:basedOn w:val="Normal"/>
    <w:semiHidden/>
    <w:pPr>
      <w:spacing w:before="100" w:after="100"/>
    </w:pPr>
    <w:rPr>
      <w:szCs w:val="20"/>
    </w:rPr>
  </w:style>
  <w:style w:type="paragraph" w:customStyle="1" w:styleId="naislab">
    <w:name w:val="naislab"/>
    <w:basedOn w:val="Normal"/>
    <w:pPr>
      <w:spacing w:before="100" w:after="100"/>
      <w:jc w:val="right"/>
    </w:pPr>
    <w:rPr>
      <w:szCs w:val="20"/>
    </w:rPr>
  </w:style>
  <w:style w:type="paragraph" w:styleId="Header">
    <w:name w:val="header"/>
    <w:basedOn w:val="Normal"/>
    <w:semiHidden/>
    <w:pPr>
      <w:tabs>
        <w:tab w:val="center" w:pos="4153"/>
        <w:tab w:val="right" w:pos="8306"/>
      </w:tabs>
    </w:pPr>
  </w:style>
  <w:style w:type="paragraph" w:styleId="BodyTextIndent2">
    <w:name w:val="Body Text Indent 2"/>
    <w:basedOn w:val="Normal"/>
    <w:semiHidden/>
    <w:pPr>
      <w:ind w:firstLine="720"/>
      <w:jc w:val="both"/>
    </w:pPr>
    <w:rPr>
      <w:sz w:val="28"/>
      <w:szCs w:val="20"/>
      <w:lang w:val="en-AU"/>
    </w:rPr>
  </w:style>
  <w:style w:type="paragraph" w:styleId="BodyText3">
    <w:name w:val="Body Text 3"/>
    <w:basedOn w:val="Normal"/>
    <w:semiHidden/>
    <w:pPr>
      <w:jc w:val="both"/>
    </w:pPr>
    <w:rPr>
      <w:b/>
      <w:bCs/>
    </w:rPr>
  </w:style>
  <w:style w:type="paragraph" w:styleId="BodyTextIndent">
    <w:name w:val="Body Text Indent"/>
    <w:basedOn w:val="Normal"/>
    <w:link w:val="BodyTextIndentChar"/>
    <w:rsid w:val="00923487"/>
    <w:pPr>
      <w:spacing w:after="120"/>
      <w:ind w:left="283"/>
    </w:pPr>
    <w:rPr>
      <w:lang w:val="en-GB"/>
    </w:rPr>
  </w:style>
  <w:style w:type="character" w:customStyle="1" w:styleId="BodyTextIndentChar">
    <w:name w:val="Body Text Indent Char"/>
    <w:link w:val="BodyTextIndent"/>
    <w:rsid w:val="00923487"/>
    <w:rPr>
      <w:sz w:val="24"/>
      <w:szCs w:val="24"/>
      <w:lang w:val="en-GB" w:eastAsia="en-US"/>
    </w:rPr>
  </w:style>
  <w:style w:type="paragraph" w:styleId="Caption">
    <w:name w:val="caption"/>
    <w:basedOn w:val="Normal"/>
    <w:next w:val="Normal"/>
    <w:qFormat/>
    <w:rsid w:val="00D70B1B"/>
    <w:pPr>
      <w:ind w:firstLine="851"/>
    </w:pPr>
    <w:rPr>
      <w:rFonts w:ascii="Times New Roman BaltRim" w:hAnsi="Times New Roman BaltRim"/>
      <w:szCs w:val="20"/>
      <w:lang w:eastAsia="lv-LV"/>
    </w:rPr>
  </w:style>
  <w:style w:type="paragraph" w:styleId="BalloonText">
    <w:name w:val="Balloon Text"/>
    <w:basedOn w:val="Normal"/>
    <w:semiHidden/>
    <w:rsid w:val="005D3F9E"/>
    <w:rPr>
      <w:rFonts w:ascii="Tahoma" w:hAnsi="Tahoma" w:cs="Tahoma"/>
      <w:sz w:val="16"/>
      <w:szCs w:val="16"/>
    </w:rPr>
  </w:style>
  <w:style w:type="table" w:styleId="TableGrid">
    <w:name w:val="Table Grid"/>
    <w:basedOn w:val="TableNormal"/>
    <w:rsid w:val="005D3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RakstzCharChar">
    <w:name w:val="Char Char Char Rakstz. Char Char"/>
    <w:basedOn w:val="Normal"/>
    <w:rsid w:val="005D3F9E"/>
    <w:pPr>
      <w:spacing w:before="40"/>
    </w:pPr>
    <w:rPr>
      <w:lang w:val="pl-PL" w:eastAsia="pl-PL"/>
    </w:rPr>
  </w:style>
  <w:style w:type="paragraph" w:customStyle="1" w:styleId="Char">
    <w:name w:val="Char"/>
    <w:basedOn w:val="Normal"/>
    <w:rsid w:val="005D3F9E"/>
    <w:pPr>
      <w:spacing w:after="160" w:line="240" w:lineRule="exact"/>
    </w:pPr>
    <w:rPr>
      <w:rFonts w:ascii="Tahoma" w:hAnsi="Tahoma"/>
      <w:sz w:val="20"/>
      <w:szCs w:val="20"/>
      <w:lang w:val="en-US"/>
    </w:rPr>
  </w:style>
  <w:style w:type="paragraph" w:customStyle="1" w:styleId="naisvisr">
    <w:name w:val="naisvisr"/>
    <w:basedOn w:val="Normal"/>
    <w:rsid w:val="00B90CE5"/>
    <w:pPr>
      <w:spacing w:before="100" w:after="100"/>
      <w:jc w:val="center"/>
    </w:pPr>
    <w:rPr>
      <w:b/>
      <w:sz w:val="28"/>
      <w:szCs w:val="20"/>
    </w:rPr>
  </w:style>
  <w:style w:type="character" w:styleId="Hyperlink">
    <w:name w:val="Hyperlink"/>
    <w:rsid w:val="00E33DDB"/>
    <w:rPr>
      <w:color w:val="0000FF"/>
      <w:u w:val="single"/>
    </w:rPr>
  </w:style>
  <w:style w:type="character" w:customStyle="1" w:styleId="FontStyle45">
    <w:name w:val="Font Style45"/>
    <w:rsid w:val="001E126B"/>
    <w:rPr>
      <w:rFonts w:ascii="Times New Roman" w:hAnsi="Times New Roman" w:cs="Times New Roman"/>
      <w:b/>
      <w:bCs/>
      <w:i/>
      <w:iCs/>
      <w:sz w:val="22"/>
      <w:szCs w:val="22"/>
    </w:rPr>
  </w:style>
  <w:style w:type="character" w:styleId="CommentReference">
    <w:name w:val="annotation reference"/>
    <w:semiHidden/>
    <w:rsid w:val="00A717C4"/>
    <w:rPr>
      <w:sz w:val="16"/>
      <w:szCs w:val="16"/>
    </w:rPr>
  </w:style>
  <w:style w:type="paragraph" w:styleId="CommentText">
    <w:name w:val="annotation text"/>
    <w:basedOn w:val="Normal"/>
    <w:semiHidden/>
    <w:rsid w:val="00A717C4"/>
    <w:rPr>
      <w:sz w:val="20"/>
      <w:szCs w:val="20"/>
    </w:rPr>
  </w:style>
  <w:style w:type="paragraph" w:styleId="CommentSubject">
    <w:name w:val="annotation subject"/>
    <w:basedOn w:val="CommentText"/>
    <w:next w:val="CommentText"/>
    <w:semiHidden/>
    <w:rsid w:val="00A717C4"/>
    <w:rPr>
      <w:b/>
      <w:bCs/>
    </w:rPr>
  </w:style>
  <w:style w:type="paragraph" w:customStyle="1" w:styleId="naiskr">
    <w:name w:val="naiskr"/>
    <w:basedOn w:val="Normal"/>
    <w:rsid w:val="00AE00D5"/>
    <w:pPr>
      <w:spacing w:before="100" w:beforeAutospacing="1" w:after="100" w:afterAutospacing="1"/>
    </w:pPr>
    <w:rPr>
      <w:lang w:eastAsia="lv-LV"/>
    </w:rPr>
  </w:style>
  <w:style w:type="paragraph" w:customStyle="1" w:styleId="RakstzCharCharRakstzCharCharRakstzCharCharRakstz">
    <w:name w:val="Rakstz. Char Char Rakstz. Char Char Rakstz. Char Char Rakstz."/>
    <w:basedOn w:val="Normal"/>
    <w:rsid w:val="005E25B2"/>
    <w:pPr>
      <w:spacing w:after="160" w:line="240" w:lineRule="exact"/>
    </w:pPr>
    <w:rPr>
      <w:rFonts w:ascii="Tahoma" w:hAnsi="Tahoma"/>
      <w:sz w:val="20"/>
      <w:szCs w:val="20"/>
      <w:lang w:val="en-US"/>
    </w:rPr>
  </w:style>
  <w:style w:type="paragraph" w:customStyle="1" w:styleId="naisnod">
    <w:name w:val="naisnod"/>
    <w:basedOn w:val="Normal"/>
    <w:rsid w:val="00F5690C"/>
    <w:pPr>
      <w:spacing w:before="115" w:after="115"/>
      <w:jc w:val="center"/>
    </w:pPr>
    <w:rPr>
      <w:b/>
      <w:bCs/>
      <w:lang w:eastAsia="lv-LV"/>
    </w:rPr>
  </w:style>
  <w:style w:type="paragraph" w:styleId="BodyTextIndent3">
    <w:name w:val="Body Text Indent 3"/>
    <w:basedOn w:val="Normal"/>
    <w:rsid w:val="00F5690C"/>
    <w:pPr>
      <w:spacing w:after="120"/>
      <w:ind w:left="283"/>
    </w:pPr>
    <w:rPr>
      <w:sz w:val="16"/>
      <w:szCs w:val="16"/>
      <w:lang w:val="en-US" w:eastAsia="lv-LV"/>
    </w:rPr>
  </w:style>
  <w:style w:type="character" w:customStyle="1" w:styleId="apple-style-span">
    <w:name w:val="apple-style-span"/>
    <w:basedOn w:val="DefaultParagraphFont"/>
    <w:rsid w:val="00654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2809">
      <w:bodyDiv w:val="1"/>
      <w:marLeft w:val="0"/>
      <w:marRight w:val="0"/>
      <w:marTop w:val="0"/>
      <w:marBottom w:val="0"/>
      <w:divBdr>
        <w:top w:val="none" w:sz="0" w:space="0" w:color="auto"/>
        <w:left w:val="none" w:sz="0" w:space="0" w:color="auto"/>
        <w:bottom w:val="none" w:sz="0" w:space="0" w:color="auto"/>
        <w:right w:val="none" w:sz="0" w:space="0" w:color="auto"/>
      </w:divBdr>
    </w:div>
    <w:div w:id="294994315">
      <w:bodyDiv w:val="1"/>
      <w:marLeft w:val="0"/>
      <w:marRight w:val="0"/>
      <w:marTop w:val="0"/>
      <w:marBottom w:val="0"/>
      <w:divBdr>
        <w:top w:val="none" w:sz="0" w:space="0" w:color="auto"/>
        <w:left w:val="none" w:sz="0" w:space="0" w:color="auto"/>
        <w:bottom w:val="none" w:sz="0" w:space="0" w:color="auto"/>
        <w:right w:val="none" w:sz="0" w:space="0" w:color="auto"/>
      </w:divBdr>
    </w:div>
    <w:div w:id="717751092">
      <w:bodyDiv w:val="1"/>
      <w:marLeft w:val="0"/>
      <w:marRight w:val="0"/>
      <w:marTop w:val="0"/>
      <w:marBottom w:val="0"/>
      <w:divBdr>
        <w:top w:val="none" w:sz="0" w:space="0" w:color="auto"/>
        <w:left w:val="none" w:sz="0" w:space="0" w:color="auto"/>
        <w:bottom w:val="none" w:sz="0" w:space="0" w:color="auto"/>
        <w:right w:val="none" w:sz="0" w:space="0" w:color="auto"/>
      </w:divBdr>
    </w:div>
    <w:div w:id="1006859578">
      <w:bodyDiv w:val="1"/>
      <w:marLeft w:val="0"/>
      <w:marRight w:val="0"/>
      <w:marTop w:val="0"/>
      <w:marBottom w:val="0"/>
      <w:divBdr>
        <w:top w:val="none" w:sz="0" w:space="0" w:color="auto"/>
        <w:left w:val="none" w:sz="0" w:space="0" w:color="auto"/>
        <w:bottom w:val="none" w:sz="0" w:space="0" w:color="auto"/>
        <w:right w:val="none" w:sz="0" w:space="0" w:color="auto"/>
      </w:divBdr>
    </w:div>
    <w:div w:id="1093892843">
      <w:bodyDiv w:val="1"/>
      <w:marLeft w:val="0"/>
      <w:marRight w:val="0"/>
      <w:marTop w:val="0"/>
      <w:marBottom w:val="0"/>
      <w:divBdr>
        <w:top w:val="none" w:sz="0" w:space="0" w:color="auto"/>
        <w:left w:val="none" w:sz="0" w:space="0" w:color="auto"/>
        <w:bottom w:val="none" w:sz="0" w:space="0" w:color="auto"/>
        <w:right w:val="none" w:sz="0" w:space="0" w:color="auto"/>
      </w:divBdr>
    </w:div>
    <w:div w:id="1114709124">
      <w:bodyDiv w:val="1"/>
      <w:marLeft w:val="0"/>
      <w:marRight w:val="0"/>
      <w:marTop w:val="0"/>
      <w:marBottom w:val="0"/>
      <w:divBdr>
        <w:top w:val="none" w:sz="0" w:space="0" w:color="auto"/>
        <w:left w:val="none" w:sz="0" w:space="0" w:color="auto"/>
        <w:bottom w:val="none" w:sz="0" w:space="0" w:color="auto"/>
        <w:right w:val="none" w:sz="0" w:space="0" w:color="auto"/>
      </w:divBdr>
    </w:div>
    <w:div w:id="1317225466">
      <w:bodyDiv w:val="1"/>
      <w:marLeft w:val="0"/>
      <w:marRight w:val="0"/>
      <w:marTop w:val="0"/>
      <w:marBottom w:val="0"/>
      <w:divBdr>
        <w:top w:val="none" w:sz="0" w:space="0" w:color="auto"/>
        <w:left w:val="none" w:sz="0" w:space="0" w:color="auto"/>
        <w:bottom w:val="none" w:sz="0" w:space="0" w:color="auto"/>
        <w:right w:val="none" w:sz="0" w:space="0" w:color="auto"/>
      </w:divBdr>
    </w:div>
    <w:div w:id="1616063986">
      <w:bodyDiv w:val="1"/>
      <w:marLeft w:val="0"/>
      <w:marRight w:val="0"/>
      <w:marTop w:val="0"/>
      <w:marBottom w:val="0"/>
      <w:divBdr>
        <w:top w:val="none" w:sz="0" w:space="0" w:color="auto"/>
        <w:left w:val="none" w:sz="0" w:space="0" w:color="auto"/>
        <w:bottom w:val="none" w:sz="0" w:space="0" w:color="auto"/>
        <w:right w:val="none" w:sz="0" w:space="0" w:color="auto"/>
      </w:divBdr>
    </w:div>
    <w:div w:id="1673683144">
      <w:bodyDiv w:val="1"/>
      <w:marLeft w:val="0"/>
      <w:marRight w:val="0"/>
      <w:marTop w:val="0"/>
      <w:marBottom w:val="0"/>
      <w:divBdr>
        <w:top w:val="none" w:sz="0" w:space="0" w:color="auto"/>
        <w:left w:val="none" w:sz="0" w:space="0" w:color="auto"/>
        <w:bottom w:val="none" w:sz="0" w:space="0" w:color="auto"/>
        <w:right w:val="none" w:sz="0" w:space="0" w:color="auto"/>
      </w:divBdr>
    </w:div>
    <w:div w:id="1919553608">
      <w:bodyDiv w:val="1"/>
      <w:marLeft w:val="0"/>
      <w:marRight w:val="0"/>
      <w:marTop w:val="0"/>
      <w:marBottom w:val="0"/>
      <w:divBdr>
        <w:top w:val="none" w:sz="0" w:space="0" w:color="auto"/>
        <w:left w:val="none" w:sz="0" w:space="0" w:color="auto"/>
        <w:bottom w:val="none" w:sz="0" w:space="0" w:color="auto"/>
        <w:right w:val="none" w:sz="0" w:space="0" w:color="auto"/>
      </w:divBdr>
    </w:div>
    <w:div w:id="1955360863">
      <w:bodyDiv w:val="1"/>
      <w:marLeft w:val="0"/>
      <w:marRight w:val="0"/>
      <w:marTop w:val="0"/>
      <w:marBottom w:val="0"/>
      <w:divBdr>
        <w:top w:val="none" w:sz="0" w:space="0" w:color="auto"/>
        <w:left w:val="none" w:sz="0" w:space="0" w:color="auto"/>
        <w:bottom w:val="none" w:sz="0" w:space="0" w:color="auto"/>
        <w:right w:val="none" w:sz="0" w:space="0" w:color="auto"/>
      </w:divBdr>
    </w:div>
    <w:div w:id="2010742516">
      <w:bodyDiv w:val="1"/>
      <w:marLeft w:val="0"/>
      <w:marRight w:val="0"/>
      <w:marTop w:val="0"/>
      <w:marBottom w:val="0"/>
      <w:divBdr>
        <w:top w:val="none" w:sz="0" w:space="0" w:color="auto"/>
        <w:left w:val="none" w:sz="0" w:space="0" w:color="auto"/>
        <w:bottom w:val="none" w:sz="0" w:space="0" w:color="auto"/>
        <w:right w:val="none" w:sz="0" w:space="0" w:color="auto"/>
      </w:divBdr>
    </w:div>
    <w:div w:id="212437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ga.Osina@fm.gov.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EF1AA-58C6-403D-BD72-7E59FEE8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600</Words>
  <Characters>4501</Characters>
  <Application>Microsoft Office Word</Application>
  <DocSecurity>0</DocSecurity>
  <Lines>166</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Ministru kabineta 2010.gada 21.jūnija noteikumos Nr.565 „Noteikumi par valsts un pašvaldību institūciju amatpersonu un darbinieku sociālajām garantijām”” projekts</vt:lpstr>
      <vt:lpstr>Ministru kabineta noteikumu "Grozījumi Ministru kabineta 2010.gada 21.jūnija noteikumos Nr.565 „Noteikumi par valsts un pašvaldību institūciju amatpersonu un darbinieku sociālajām garantijām”” projekts</vt:lpstr>
    </vt:vector>
  </TitlesOfParts>
  <Company>Finanšu ministrija</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2010.gada 21.jūnija noteikumos Nr.565 „Noteikumi par valsts un pašvaldību institūciju amatpersonu un darbinieku sociālajām garantijām”” projekts</dc:title>
  <dc:subject>Anotācija</dc:subject>
  <dc:creator>I.Ošiņa</dc:creator>
  <dc:description>67095662;
Inga.Osina@fm.gov.lv</dc:description>
  <cp:lastModifiedBy>Finanšu Ministrija</cp:lastModifiedBy>
  <cp:revision>6</cp:revision>
  <cp:lastPrinted>2012-06-05T08:22:00Z</cp:lastPrinted>
  <dcterms:created xsi:type="dcterms:W3CDTF">2012-06-28T12:41:00Z</dcterms:created>
  <dcterms:modified xsi:type="dcterms:W3CDTF">2012-06-29T06:11:00Z</dcterms:modified>
</cp:coreProperties>
</file>