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F1" w:rsidRDefault="006C4EB7" w:rsidP="000F41F1">
      <w:pPr>
        <w:pStyle w:val="Heading4"/>
        <w:jc w:val="center"/>
      </w:pPr>
      <w:r>
        <w:t>Ministru kabineta noteikumu projekta „</w:t>
      </w:r>
      <w:r w:rsidR="003E12AA">
        <w:t>G</w:t>
      </w:r>
      <w:r w:rsidR="00891890" w:rsidRPr="00891890">
        <w:t>ada pārskata sagatavošanas kārtīb</w:t>
      </w:r>
      <w:r w:rsidR="003E12AA">
        <w:t>a</w:t>
      </w:r>
      <w:r w:rsidR="003F1668">
        <w:t>”</w:t>
      </w:r>
      <w:r w:rsidR="000F41F1">
        <w:t xml:space="preserve"> sākotnējās ietekmes novērtējuma ziņojums (anotācija)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2592"/>
        <w:gridCol w:w="6300"/>
      </w:tblGrid>
      <w:tr w:rsidR="006C4EB7" w:rsidTr="00A83BDB">
        <w:tc>
          <w:tcPr>
            <w:tcW w:w="9288" w:type="dxa"/>
            <w:gridSpan w:val="3"/>
            <w:shd w:val="clear" w:color="auto" w:fill="auto"/>
          </w:tcPr>
          <w:p w:rsidR="006C4EB7" w:rsidRDefault="006C4EB7" w:rsidP="001F20CA">
            <w:pPr>
              <w:pStyle w:val="NormalWeb"/>
            </w:pPr>
            <w:r w:rsidRPr="00A83BDB">
              <w:rPr>
                <w:b/>
                <w:bCs/>
              </w:rPr>
              <w:t>I. Tiesību akta projekta izstrādes nepieciešamība</w:t>
            </w:r>
          </w:p>
        </w:tc>
      </w:tr>
      <w:tr w:rsidR="0049512E" w:rsidTr="00A83BDB">
        <w:tc>
          <w:tcPr>
            <w:tcW w:w="396" w:type="dxa"/>
            <w:shd w:val="clear" w:color="auto" w:fill="auto"/>
          </w:tcPr>
          <w:p w:rsidR="0049512E" w:rsidRDefault="0049512E" w:rsidP="001F20CA">
            <w:pPr>
              <w:pStyle w:val="NormalWeb"/>
            </w:pPr>
            <w:r>
              <w:t>1.</w:t>
            </w:r>
          </w:p>
        </w:tc>
        <w:tc>
          <w:tcPr>
            <w:tcW w:w="2592" w:type="dxa"/>
            <w:shd w:val="clear" w:color="auto" w:fill="auto"/>
          </w:tcPr>
          <w:p w:rsidR="0049512E" w:rsidRDefault="0049512E" w:rsidP="001F20CA">
            <w:pPr>
              <w:pStyle w:val="NormalWeb"/>
            </w:pPr>
            <w:r>
              <w:t>Pamatojums</w:t>
            </w:r>
          </w:p>
        </w:tc>
        <w:tc>
          <w:tcPr>
            <w:tcW w:w="6300" w:type="dxa"/>
            <w:shd w:val="clear" w:color="auto" w:fill="auto"/>
          </w:tcPr>
          <w:p w:rsidR="00906FD1" w:rsidRPr="009E024C" w:rsidRDefault="00906FD1" w:rsidP="006759C4">
            <w:pPr>
              <w:pStyle w:val="ListParagraph"/>
              <w:numPr>
                <w:ilvl w:val="0"/>
                <w:numId w:val="13"/>
              </w:numPr>
              <w:spacing w:after="60"/>
              <w:ind w:left="-36" w:firstLine="396"/>
              <w:jc w:val="both"/>
              <w:rPr>
                <w:i/>
                <w:sz w:val="22"/>
                <w:szCs w:val="24"/>
                <w:lang w:val="lv-LV"/>
              </w:rPr>
            </w:pPr>
            <w:r w:rsidRPr="009E024C">
              <w:rPr>
                <w:sz w:val="24"/>
                <w:lang w:val="lv-LV"/>
              </w:rPr>
              <w:t xml:space="preserve">Eiro ieviešanas kārtības likuma 30. </w:t>
            </w:r>
            <w:r>
              <w:rPr>
                <w:sz w:val="24"/>
                <w:lang w:val="lv-LV"/>
              </w:rPr>
              <w:t>p</w:t>
            </w:r>
            <w:r w:rsidRPr="009E024C">
              <w:rPr>
                <w:sz w:val="24"/>
                <w:lang w:val="lv-LV"/>
              </w:rPr>
              <w:t>ants</w:t>
            </w:r>
            <w:r>
              <w:rPr>
                <w:sz w:val="24"/>
                <w:lang w:val="lv-LV"/>
              </w:rPr>
              <w:t>.</w:t>
            </w:r>
          </w:p>
          <w:p w:rsidR="006759C4" w:rsidRPr="005F47AF" w:rsidRDefault="005F47AF" w:rsidP="00906FD1">
            <w:pPr>
              <w:spacing w:after="60"/>
              <w:ind w:left="-36" w:firstLine="450"/>
              <w:jc w:val="both"/>
            </w:pPr>
            <w:r w:rsidRPr="005F47AF">
              <w:t xml:space="preserve">Ministru kabineta 2013.gada 4.aprīļa rīkojuma Nr.136 „Par Latvijas Nacionālo </w:t>
            </w:r>
            <w:proofErr w:type="spellStart"/>
            <w:r w:rsidRPr="005F47AF">
              <w:t>euro</w:t>
            </w:r>
            <w:proofErr w:type="spellEnd"/>
            <w:r w:rsidRPr="005F47AF">
              <w:t xml:space="preserve"> ieviešanas plānu” 1.pielikuma „Pasākumu plāns Eiropas vienotās valūtas ieviešanai Latvijā” Juridisko jautājumu sadaļā uzdotie uzdevumi, kas saistīti ar Ministru kabineta normatīvo aktu pielāgošanu </w:t>
            </w:r>
            <w:proofErr w:type="spellStart"/>
            <w:r w:rsidRPr="005F47AF">
              <w:t>euro</w:t>
            </w:r>
            <w:proofErr w:type="spellEnd"/>
            <w:r w:rsidR="006759C4" w:rsidRPr="005F47AF">
              <w:t>.</w:t>
            </w:r>
          </w:p>
          <w:p w:rsidR="006759C4" w:rsidRPr="006759C4" w:rsidRDefault="006759C4" w:rsidP="00F53EA5">
            <w:pPr>
              <w:pStyle w:val="BodyText"/>
              <w:tabs>
                <w:tab w:val="left" w:pos="1026"/>
              </w:tabs>
              <w:ind w:left="-11" w:firstLine="425"/>
              <w:rPr>
                <w:lang w:eastAsia="en-US"/>
              </w:rPr>
            </w:pPr>
            <w:r w:rsidRPr="00185ADB">
              <w:t>Ministru kabineta 2012.gada 27.jūnija rīkojuma Nr.282 „Par „Koncepciju par normatīvo aktu sakārtošanu saistībā ar eiro ieviešanu Latvijā”” 7.punkts.</w:t>
            </w:r>
          </w:p>
          <w:p w:rsidR="0049512E" w:rsidRPr="001B5664" w:rsidRDefault="00EB54D1" w:rsidP="00EB54D1">
            <w:pPr>
              <w:pStyle w:val="BodyText"/>
              <w:numPr>
                <w:ilvl w:val="0"/>
                <w:numId w:val="13"/>
              </w:numPr>
              <w:tabs>
                <w:tab w:val="left" w:pos="1026"/>
              </w:tabs>
              <w:ind w:left="0" w:firstLine="360"/>
              <w:rPr>
                <w:lang w:eastAsia="en-US"/>
              </w:rPr>
            </w:pPr>
            <w:r w:rsidRPr="006E1E07">
              <w:rPr>
                <w:lang w:val="lv-LV"/>
              </w:rPr>
              <w:t>01.01.201</w:t>
            </w:r>
            <w:r>
              <w:rPr>
                <w:lang w:val="lv-LV"/>
              </w:rPr>
              <w:t>3</w:t>
            </w:r>
            <w:r w:rsidRPr="006E1E07">
              <w:rPr>
                <w:lang w:val="lv-LV"/>
              </w:rPr>
              <w:t xml:space="preserve">. stājās spēkā grozījumi Ministru kabineta 2009.gada 15.decembra noteikumos </w:t>
            </w:r>
            <w:proofErr w:type="spellStart"/>
            <w:r w:rsidRPr="006E1E07">
              <w:rPr>
                <w:lang w:val="lv-LV"/>
              </w:rPr>
              <w:t>Nr</w:t>
            </w:r>
            <w:proofErr w:type="spellEnd"/>
            <w:r w:rsidRPr="006E1E07">
              <w:rPr>
                <w:lang w:val="lv-LV"/>
              </w:rPr>
              <w:t>. 1486</w:t>
            </w:r>
            <w:r>
              <w:rPr>
                <w:lang w:val="lv-LV"/>
              </w:rPr>
              <w:t xml:space="preserve"> „Kārtība, kādā budžeta iestādes kārto grāmatvedības uzskaiti” (turpmāk – MK noteikumi </w:t>
            </w:r>
            <w:proofErr w:type="spellStart"/>
            <w:r>
              <w:rPr>
                <w:lang w:val="lv-LV"/>
              </w:rPr>
              <w:t>Nr</w:t>
            </w:r>
            <w:proofErr w:type="spellEnd"/>
            <w:r>
              <w:rPr>
                <w:lang w:val="lv-LV"/>
              </w:rPr>
              <w:t>. 1486)</w:t>
            </w:r>
            <w:r w:rsidRPr="006E1E07">
              <w:rPr>
                <w:lang w:val="lv-LV"/>
              </w:rPr>
              <w:t>, kas ietekmē pārskatu struktūru</w:t>
            </w:r>
            <w:r>
              <w:rPr>
                <w:lang w:val="lv-LV"/>
              </w:rPr>
              <w:t xml:space="preserve"> un sniedzamo informācijas apjomu</w:t>
            </w:r>
            <w:r w:rsidRPr="006E1E07">
              <w:rPr>
                <w:lang w:val="lv-LV"/>
              </w:rPr>
              <w:t>.</w:t>
            </w:r>
          </w:p>
          <w:p w:rsidR="00C9406F" w:rsidRPr="00E477D5" w:rsidRDefault="001B5664" w:rsidP="006759C4">
            <w:pPr>
              <w:pStyle w:val="BodyText"/>
              <w:numPr>
                <w:ilvl w:val="0"/>
                <w:numId w:val="13"/>
              </w:numPr>
              <w:tabs>
                <w:tab w:val="left" w:pos="1026"/>
              </w:tabs>
              <w:ind w:left="0" w:firstLine="360"/>
            </w:pPr>
            <w:r w:rsidRPr="003216A5">
              <w:rPr>
                <w:lang w:val="lv-LV"/>
              </w:rPr>
              <w:t>Valsts kontroles veiktā Latvijas</w:t>
            </w:r>
            <w:r w:rsidRPr="00C8737E">
              <w:t xml:space="preserve"> Republikas 2010.gada pārskata par valsts budžeta izpildi un par pašvaldību budžetiem revīzija</w:t>
            </w:r>
            <w:r w:rsidR="00EB1A3D">
              <w:rPr>
                <w:lang w:val="lv-LV"/>
              </w:rPr>
              <w:t>.</w:t>
            </w:r>
          </w:p>
        </w:tc>
      </w:tr>
      <w:tr w:rsidR="0049512E" w:rsidTr="006E4E4B">
        <w:tc>
          <w:tcPr>
            <w:tcW w:w="396" w:type="dxa"/>
            <w:shd w:val="clear" w:color="auto" w:fill="auto"/>
          </w:tcPr>
          <w:p w:rsidR="0049512E" w:rsidRDefault="0049512E" w:rsidP="001F20CA">
            <w:pPr>
              <w:pStyle w:val="NormalWeb"/>
            </w:pPr>
            <w:r>
              <w:t>2.</w:t>
            </w:r>
          </w:p>
        </w:tc>
        <w:tc>
          <w:tcPr>
            <w:tcW w:w="2592" w:type="dxa"/>
            <w:shd w:val="clear" w:color="auto" w:fill="auto"/>
          </w:tcPr>
          <w:p w:rsidR="0049512E" w:rsidRDefault="0049512E" w:rsidP="001F20CA">
            <w:pPr>
              <w:pStyle w:val="NormalWeb"/>
            </w:pPr>
            <w:r>
              <w:t>Pašreizējā situācija un problēmas</w:t>
            </w:r>
          </w:p>
        </w:tc>
        <w:tc>
          <w:tcPr>
            <w:tcW w:w="6300" w:type="dxa"/>
            <w:shd w:val="clear" w:color="auto" w:fill="auto"/>
          </w:tcPr>
          <w:p w:rsidR="00CD4B15" w:rsidRPr="00CD4B15" w:rsidRDefault="00CD4B15" w:rsidP="00CD4B15">
            <w:pPr>
              <w:pStyle w:val="BodyText"/>
              <w:numPr>
                <w:ilvl w:val="0"/>
                <w:numId w:val="16"/>
              </w:numPr>
              <w:tabs>
                <w:tab w:val="left" w:pos="540"/>
              </w:tabs>
              <w:ind w:left="0" w:firstLine="300"/>
              <w:rPr>
                <w:lang w:val="lv-LV" w:eastAsia="en-US"/>
              </w:rPr>
            </w:pPr>
            <w:r>
              <w:rPr>
                <w:lang w:val="lv-LV" w:eastAsia="en-US"/>
              </w:rPr>
              <w:t xml:space="preserve">Ministru kabineta 2010.gada 17.augusta noteikumos </w:t>
            </w:r>
            <w:proofErr w:type="spellStart"/>
            <w:r>
              <w:rPr>
                <w:lang w:val="lv-LV" w:eastAsia="en-US"/>
              </w:rPr>
              <w:t>Nr</w:t>
            </w:r>
            <w:proofErr w:type="spellEnd"/>
            <w:r>
              <w:rPr>
                <w:lang w:val="lv-LV" w:eastAsia="en-US"/>
              </w:rPr>
              <w:t xml:space="preserve">. 777 „Gada pārskata sagatavošanas kārtība” (turpmāk – MK noteikumi </w:t>
            </w:r>
            <w:proofErr w:type="spellStart"/>
            <w:r>
              <w:rPr>
                <w:lang w:val="lv-LV" w:eastAsia="en-US"/>
              </w:rPr>
              <w:t>Nr</w:t>
            </w:r>
            <w:proofErr w:type="spellEnd"/>
            <w:r>
              <w:rPr>
                <w:lang w:val="lv-LV" w:eastAsia="en-US"/>
              </w:rPr>
              <w:t xml:space="preserve">. 777) ir veikti grozījumi, kas pārsniedz vairāk kā pusi no noteikumu sākotnējā teksta. </w:t>
            </w:r>
            <w:r w:rsidR="004C58E5">
              <w:rPr>
                <w:lang w:val="lv-LV" w:eastAsia="en-US"/>
              </w:rPr>
              <w:t>Sagatavojot</w:t>
            </w:r>
            <w:r>
              <w:rPr>
                <w:lang w:val="lv-LV" w:eastAsia="en-US"/>
              </w:rPr>
              <w:t xml:space="preserve"> noteikumu projekt</w:t>
            </w:r>
            <w:r w:rsidR="004C58E5">
              <w:rPr>
                <w:lang w:val="lv-LV" w:eastAsia="en-US"/>
              </w:rPr>
              <w:t>u</w:t>
            </w:r>
            <w:r>
              <w:rPr>
                <w:lang w:val="lv-LV" w:eastAsia="en-US"/>
              </w:rPr>
              <w:t>,</w:t>
            </w:r>
            <w:r w:rsidR="004C58E5">
              <w:rPr>
                <w:lang w:val="lv-LV" w:eastAsia="en-US"/>
              </w:rPr>
              <w:t xml:space="preserve"> tajā</w:t>
            </w:r>
            <w:r>
              <w:rPr>
                <w:lang w:val="lv-LV" w:eastAsia="en-US"/>
              </w:rPr>
              <w:t xml:space="preserve"> ietvertas lielākā daļa no MK noteikumu </w:t>
            </w:r>
            <w:proofErr w:type="spellStart"/>
            <w:r>
              <w:rPr>
                <w:lang w:val="lv-LV" w:eastAsia="en-US"/>
              </w:rPr>
              <w:t>Nr</w:t>
            </w:r>
            <w:proofErr w:type="spellEnd"/>
            <w:r>
              <w:rPr>
                <w:lang w:val="lv-LV" w:eastAsia="en-US"/>
              </w:rPr>
              <w:t>. 777 normām.</w:t>
            </w:r>
          </w:p>
          <w:p w:rsidR="00BF3AF7" w:rsidRPr="00F43492" w:rsidRDefault="00BF3AF7" w:rsidP="004C58E5">
            <w:pPr>
              <w:pStyle w:val="NormalWeb"/>
              <w:numPr>
                <w:ilvl w:val="0"/>
                <w:numId w:val="16"/>
              </w:numPr>
              <w:tabs>
                <w:tab w:val="left" w:pos="422"/>
              </w:tabs>
              <w:spacing w:before="0" w:beforeAutospacing="0" w:after="0" w:afterAutospacing="0"/>
              <w:ind w:left="0" w:firstLine="300"/>
              <w:jc w:val="both"/>
              <w:rPr>
                <w:lang w:eastAsia="en-US"/>
              </w:rPr>
            </w:pPr>
            <w:r w:rsidRPr="00C8737E">
              <w:rPr>
                <w:lang w:eastAsia="en-US"/>
              </w:rPr>
              <w:t xml:space="preserve">Pašreizējās normas nosaka, ka gada pārskatu sagatavo latos. </w:t>
            </w:r>
            <w:r w:rsidR="0040372C">
              <w:rPr>
                <w:lang w:eastAsia="en-US"/>
              </w:rPr>
              <w:t xml:space="preserve">Noteikumu projekts attiecas gan uz 2013.gada pārskata sagatavošanu, gan uz 2014.gada pārskata un turpmāko gada pārskatu sagatavošanu. </w:t>
            </w:r>
            <w:r w:rsidRPr="00C8737E">
              <w:rPr>
                <w:lang w:eastAsia="en-US"/>
              </w:rPr>
              <w:t xml:space="preserve">Nepieciešams noteikt valūtu, kādā sagatavo gada </w:t>
            </w:r>
            <w:r w:rsidRPr="00F43492">
              <w:rPr>
                <w:lang w:eastAsia="en-US"/>
              </w:rPr>
              <w:t xml:space="preserve">pārskatu pēc </w:t>
            </w:r>
            <w:proofErr w:type="spellStart"/>
            <w:r w:rsidRPr="00F43492">
              <w:rPr>
                <w:i/>
                <w:lang w:eastAsia="en-US"/>
              </w:rPr>
              <w:t>euro</w:t>
            </w:r>
            <w:proofErr w:type="spellEnd"/>
            <w:r w:rsidRPr="00F43492">
              <w:rPr>
                <w:lang w:eastAsia="en-US"/>
              </w:rPr>
              <w:t xml:space="preserve"> ieviešanas</w:t>
            </w:r>
            <w:r w:rsidR="00906FD1">
              <w:rPr>
                <w:lang w:eastAsia="en-US"/>
              </w:rPr>
              <w:t>,</w:t>
            </w:r>
            <w:r w:rsidR="00890134">
              <w:rPr>
                <w:lang w:eastAsia="en-US"/>
              </w:rPr>
              <w:t xml:space="preserve"> un 2014.gada pārskatā ietveramās informācijas apjomu</w:t>
            </w:r>
            <w:r w:rsidRPr="00F43492">
              <w:rPr>
                <w:lang w:eastAsia="en-US"/>
              </w:rPr>
              <w:t>.</w:t>
            </w:r>
          </w:p>
          <w:p w:rsidR="003E2868" w:rsidRPr="00F43492" w:rsidRDefault="003E2868" w:rsidP="004C58E5">
            <w:pPr>
              <w:pStyle w:val="ListParagraph"/>
              <w:numPr>
                <w:ilvl w:val="0"/>
                <w:numId w:val="16"/>
              </w:numPr>
              <w:ind w:left="0" w:firstLine="300"/>
              <w:jc w:val="both"/>
              <w:rPr>
                <w:sz w:val="24"/>
                <w:szCs w:val="24"/>
                <w:lang w:val="lv-LV"/>
              </w:rPr>
            </w:pPr>
            <w:r w:rsidRPr="00F43492">
              <w:rPr>
                <w:sz w:val="24"/>
                <w:szCs w:val="24"/>
                <w:lang w:val="lv-LV"/>
              </w:rPr>
              <w:t>Valsts kontroles veiktā Latvijas Republikas 2010.gada pārskata par valsts budžeta izpildi un par pašvaldību budžetiem revīzija, kuras rezultātā sniegts ieteikums Nr.8:</w:t>
            </w:r>
          </w:p>
          <w:p w:rsidR="003E2868" w:rsidRDefault="003E2868" w:rsidP="003E2868">
            <w:pPr>
              <w:tabs>
                <w:tab w:val="left" w:pos="0"/>
              </w:tabs>
              <w:ind w:firstLine="300"/>
              <w:jc w:val="both"/>
            </w:pPr>
            <w:r w:rsidRPr="00C8737E">
              <w:t>“Lai nodrošinātu, ka valsts un pašvaldību kapitālsabiedrību pārvaldība ir caurskatāma un veikta pēc iespējas efektīvākā veidā [..] Finanšu ministrijai nodrošināt, ka valsts un pašvaldību aktīvu pārvaldības ietekme uz valsts budžetu tiek atklāta Saimnieciskā gada pārskatā”.</w:t>
            </w:r>
            <w:r>
              <w:t xml:space="preserve"> </w:t>
            </w:r>
            <w:r w:rsidRPr="007937BB">
              <w:t>Ņemot vērā Valsts kontroles ieteikumu</w:t>
            </w:r>
            <w:r>
              <w:t>, Finanšu ministrija secināja, ka normatīv</w:t>
            </w:r>
            <w:r w:rsidR="00BE394D">
              <w:t>ie</w:t>
            </w:r>
            <w:r>
              <w:t xml:space="preserve"> akt</w:t>
            </w:r>
            <w:r w:rsidR="00BE394D">
              <w:t>i</w:t>
            </w:r>
            <w:r>
              <w:t xml:space="preserve"> </w:t>
            </w:r>
            <w:r w:rsidRPr="007937BB">
              <w:t>nenodrošina nepieciešamās informācijas saņemšanu, lai izvērtētu kapitālsabiedrību darbības ietekmi uz valsts vai pašvaldības budžetu un to iekļautu saimnieciskā gada pārskatā (informācija lielākoties tiek saņemta pēc saimnieciskā gada pārskata sagatavošanas un iesniegšanas Valsts kontrolei)</w:t>
            </w:r>
            <w:r>
              <w:t xml:space="preserve"> un </w:t>
            </w:r>
            <w:r w:rsidRPr="007C1BC8">
              <w:t xml:space="preserve">neuzliek pienākumu ministrijām un centrālajām valsts </w:t>
            </w:r>
            <w:r w:rsidRPr="007C1BC8">
              <w:lastRenderedPageBreak/>
              <w:t xml:space="preserve">iestādēm </w:t>
            </w:r>
            <w:r w:rsidR="00BE394D">
              <w:t xml:space="preserve">(turpmāk – MCVI) </w:t>
            </w:r>
            <w:r w:rsidRPr="007C1BC8">
              <w:t xml:space="preserve">izvērtēt to </w:t>
            </w:r>
            <w:proofErr w:type="spellStart"/>
            <w:r w:rsidRPr="007C1BC8">
              <w:t>pārziņā</w:t>
            </w:r>
            <w:proofErr w:type="spellEnd"/>
            <w:r w:rsidRPr="007C1BC8">
              <w:t xml:space="preserve"> esošo kapitālsabiedrību darbības ietekmi uz valsts budžetu un sniegt atbilstošu informāciju savā gada pārskatā</w:t>
            </w:r>
            <w:r>
              <w:t xml:space="preserve">. </w:t>
            </w:r>
            <w:r w:rsidRPr="00C8737E">
              <w:t>Ministru kabinet</w:t>
            </w:r>
            <w:r>
              <w:t>s</w:t>
            </w:r>
            <w:r w:rsidRPr="00C8737E">
              <w:t xml:space="preserve"> 2012.gada 25.septembr</w:t>
            </w:r>
            <w:r>
              <w:t>ī izdeva</w:t>
            </w:r>
            <w:r w:rsidRPr="00C8737E">
              <w:t xml:space="preserve"> noteikum</w:t>
            </w:r>
            <w:r>
              <w:t>us</w:t>
            </w:r>
            <w:r w:rsidRPr="00C8737E">
              <w:t xml:space="preserve"> Nr.643 "Kārtība, kādā ministrijas un centrālās valsts iestādes, kā arī pašvaldības apkopo kapitālsabiedrību finanšu pārskatus un finanšu informāciju", nosak</w:t>
            </w:r>
            <w:r>
              <w:t>ot</w:t>
            </w:r>
            <w:r w:rsidRPr="00C8737E">
              <w:t>, ka MCVI un pašvaldība sagatavo kopsavilkuma ziņojumu par kapitālsabiedrību finansiālās darbības ietekmi uz valsts vai pašvaldības budžetu izdevumiem, kur jānorāda gada pārskata veidlapas numurs un skaidrojuma kods, kurā iekļauta informācija par atbalstīto finansējumu subsīdiju, dotāciju vai ieguldījuma veidā no attiecīgā dalībnieka budžeta. Nepieciešams noteikt</w:t>
            </w:r>
            <w:r w:rsidR="00906FD1">
              <w:t>,</w:t>
            </w:r>
            <w:r w:rsidRPr="00C8737E">
              <w:t xml:space="preserve"> kur šād</w:t>
            </w:r>
            <w:r w:rsidR="00CB64BC">
              <w:t>u informāciju</w:t>
            </w:r>
            <w:r w:rsidRPr="00C8737E">
              <w:t xml:space="preserve"> </w:t>
            </w:r>
            <w:r w:rsidR="00CB64BC">
              <w:t>norādīt</w:t>
            </w:r>
            <w:r w:rsidRPr="00C8737E">
              <w:t xml:space="preserve"> gada pārskatā. </w:t>
            </w:r>
          </w:p>
          <w:p w:rsidR="00DF523D" w:rsidRPr="00C8737E" w:rsidRDefault="00DF523D" w:rsidP="00CD4B15">
            <w:pPr>
              <w:pStyle w:val="NormalWeb"/>
              <w:numPr>
                <w:ilvl w:val="0"/>
                <w:numId w:val="16"/>
              </w:numPr>
              <w:tabs>
                <w:tab w:val="left" w:pos="422"/>
                <w:tab w:val="left" w:pos="698"/>
              </w:tabs>
              <w:spacing w:before="0" w:beforeAutospacing="0" w:after="0" w:afterAutospacing="0"/>
              <w:ind w:left="0" w:firstLine="300"/>
              <w:jc w:val="both"/>
            </w:pPr>
            <w:r w:rsidRPr="00C8737E">
              <w:t xml:space="preserve">Saskaņā ar grozījumiem MK noteikumos </w:t>
            </w:r>
            <w:proofErr w:type="spellStart"/>
            <w:r w:rsidRPr="00C8737E">
              <w:t>Nr</w:t>
            </w:r>
            <w:proofErr w:type="spellEnd"/>
            <w:r w:rsidRPr="00C8737E">
              <w:t>. 1486 nepieciešams precizēt veidlapu posteņu kodus un nosaukumus, kā arī atklājamās informācijas klasificēšanu atbilstoši tās ekonomiskajai būtībai.</w:t>
            </w:r>
          </w:p>
          <w:p w:rsidR="005272F5" w:rsidRPr="00C8737E" w:rsidRDefault="005272F5" w:rsidP="00CC1DDB">
            <w:pPr>
              <w:pStyle w:val="NormalWeb"/>
              <w:numPr>
                <w:ilvl w:val="0"/>
                <w:numId w:val="16"/>
              </w:numPr>
              <w:tabs>
                <w:tab w:val="left" w:pos="422"/>
                <w:tab w:val="left" w:pos="698"/>
              </w:tabs>
              <w:spacing w:before="0" w:beforeAutospacing="0" w:after="0" w:afterAutospacing="0"/>
              <w:ind w:left="-11" w:firstLine="311"/>
              <w:jc w:val="both"/>
            </w:pPr>
            <w:r w:rsidRPr="00C8737E">
              <w:t>Budžeta iestādes gada inventarizācijas ietvaros elektroniski  veic savstarpēji veikto darījumu un finanšu kontu atlikumu salīdzināšanos</w:t>
            </w:r>
            <w:r w:rsidR="00906FD1">
              <w:t>,</w:t>
            </w:r>
            <w:r w:rsidRPr="00C8737E">
              <w:t xml:space="preserve"> izmantojot </w:t>
            </w:r>
            <w:r w:rsidR="00F36922">
              <w:t>informācijas sistēmu “</w:t>
            </w:r>
            <w:r w:rsidR="00CC1DDB">
              <w:t>M</w:t>
            </w:r>
            <w:r w:rsidR="00CC1DDB" w:rsidRPr="00CC1DDB">
              <w:t>inistriju, centrālo valsts iestāžu un pašvaldību budžeta pārskatu informācijas sistēm</w:t>
            </w:r>
            <w:r w:rsidR="00906FD1">
              <w:t>a</w:t>
            </w:r>
            <w:r w:rsidR="00CC1DDB">
              <w:t xml:space="preserve">” </w:t>
            </w:r>
            <w:r w:rsidR="00F36922">
              <w:t xml:space="preserve">(turpmāk – </w:t>
            </w:r>
            <w:proofErr w:type="spellStart"/>
            <w:r w:rsidRPr="00C8737E">
              <w:t>ePārskat</w:t>
            </w:r>
            <w:r w:rsidR="00F36922">
              <w:t>i</w:t>
            </w:r>
            <w:proofErr w:type="spellEnd"/>
            <w:r w:rsidR="00F36922">
              <w:t>)</w:t>
            </w:r>
            <w:r w:rsidRPr="00C8737E">
              <w:t>. Informācija, kas nepieciešama iestādēm konsolidētā gada pārskata sagatavošanai pašlaik iegūstama salīdzināšanās ietvaros. Līdz ar to nepieciešams atcelt normas, kas noteica, ka finanšu pārskatu pielikumos sniedz papildus informāciju par bez atlīdzības saņemtajiem/ nodotajiem aktīviem.</w:t>
            </w:r>
          </w:p>
          <w:p w:rsidR="00BF644F" w:rsidRPr="00C8737E" w:rsidRDefault="00E1789B" w:rsidP="00CD4B15">
            <w:pPr>
              <w:pStyle w:val="ListParagraph"/>
              <w:numPr>
                <w:ilvl w:val="0"/>
                <w:numId w:val="16"/>
              </w:numPr>
              <w:tabs>
                <w:tab w:val="left" w:pos="368"/>
              </w:tabs>
              <w:ind w:left="0" w:firstLine="300"/>
              <w:jc w:val="both"/>
              <w:rPr>
                <w:sz w:val="24"/>
                <w:szCs w:val="24"/>
                <w:lang w:val="lv-LV"/>
              </w:rPr>
            </w:pPr>
            <w:r w:rsidRPr="00E1789B">
              <w:rPr>
                <w:b/>
                <w:sz w:val="24"/>
                <w:szCs w:val="24"/>
                <w:lang w:val="lv-LV"/>
              </w:rPr>
              <w:t>Saskaņā ar Likuma par budžeta un finanšu vadību 31.panta 2.daļu</w:t>
            </w:r>
            <w:r>
              <w:rPr>
                <w:sz w:val="24"/>
                <w:szCs w:val="24"/>
                <w:lang w:val="lv-LV"/>
              </w:rPr>
              <w:t xml:space="preserve"> s</w:t>
            </w:r>
            <w:r w:rsidRPr="00E1789B">
              <w:rPr>
                <w:b/>
                <w:sz w:val="24"/>
                <w:szCs w:val="24"/>
                <w:lang w:val="lv-LV"/>
              </w:rPr>
              <w:t xml:space="preserve">aimnieciskā gada pārskatu par valsts budžeta izpildi un par pašvaldību budžetiem sagatavo Finanšu ministrija. </w:t>
            </w:r>
            <w:r>
              <w:rPr>
                <w:b/>
                <w:sz w:val="24"/>
                <w:szCs w:val="24"/>
                <w:lang w:val="lv-LV"/>
              </w:rPr>
              <w:t xml:space="preserve">Saimnieciskā gada pārskats aptver valsts sektoru un pašvaldību sektoru. </w:t>
            </w:r>
            <w:r w:rsidRPr="00E1789B">
              <w:rPr>
                <w:b/>
                <w:sz w:val="24"/>
                <w:szCs w:val="24"/>
                <w:lang w:val="lv-LV"/>
              </w:rPr>
              <w:t>Lai Finanšu ministrs varētu sniegt apliecinājumu Valsts kontrolei</w:t>
            </w:r>
            <w:r>
              <w:rPr>
                <w:b/>
                <w:sz w:val="24"/>
                <w:szCs w:val="24"/>
                <w:lang w:val="lv-LV"/>
              </w:rPr>
              <w:t xml:space="preserve"> par saimnieciskā gada pārskatā sniegtās informācijas patiesumu, ir nepieciešams saņemt apliecinājumu no visām vienībām, kas iesniedz gada pārskatu saskaņā ar Likuma par budžeta un finanšu vadību 30.panta 3.daļā noteikto. L</w:t>
            </w:r>
            <w:r w:rsidRPr="00C8737E">
              <w:rPr>
                <w:sz w:val="24"/>
                <w:szCs w:val="24"/>
                <w:lang w:val="lv-LV"/>
              </w:rPr>
              <w:t xml:space="preserve">īdz šim </w:t>
            </w:r>
            <w:r>
              <w:rPr>
                <w:sz w:val="24"/>
                <w:szCs w:val="24"/>
                <w:lang w:val="lv-LV"/>
              </w:rPr>
              <w:t>a</w:t>
            </w:r>
            <w:r w:rsidRPr="00C8737E">
              <w:rPr>
                <w:sz w:val="24"/>
                <w:szCs w:val="24"/>
                <w:lang w:val="lv-LV"/>
              </w:rPr>
              <w:t>pliecinājumu</w:t>
            </w:r>
            <w:r w:rsidRPr="009E024C">
              <w:rPr>
                <w:sz w:val="24"/>
                <w:szCs w:val="24"/>
                <w:lang w:val="lv-LV"/>
              </w:rPr>
              <w:t xml:space="preserve"> </w:t>
            </w:r>
            <w:r w:rsidRPr="00C8737E">
              <w:rPr>
                <w:sz w:val="24"/>
                <w:szCs w:val="24"/>
                <w:lang w:val="lv-LV"/>
              </w:rPr>
              <w:t>revidentiem</w:t>
            </w:r>
            <w:r w:rsidRPr="009E024C">
              <w:rPr>
                <w:sz w:val="24"/>
                <w:szCs w:val="24"/>
                <w:lang w:val="lv-LV"/>
              </w:rPr>
              <w:t xml:space="preserve"> par </w:t>
            </w:r>
            <w:r w:rsidRPr="00C8737E">
              <w:rPr>
                <w:sz w:val="24"/>
                <w:szCs w:val="24"/>
                <w:lang w:val="lv-LV"/>
              </w:rPr>
              <w:t>gada</w:t>
            </w:r>
            <w:r w:rsidRPr="009E024C">
              <w:rPr>
                <w:sz w:val="24"/>
                <w:szCs w:val="24"/>
                <w:lang w:val="lv-LV"/>
              </w:rPr>
              <w:t xml:space="preserve"> </w:t>
            </w:r>
            <w:r w:rsidRPr="00C8737E">
              <w:rPr>
                <w:sz w:val="24"/>
                <w:szCs w:val="24"/>
                <w:lang w:val="lv-LV"/>
              </w:rPr>
              <w:t xml:space="preserve">pārskatā sniegtās informācijas patiesumu iesniedza </w:t>
            </w:r>
            <w:r>
              <w:rPr>
                <w:sz w:val="24"/>
                <w:szCs w:val="24"/>
                <w:lang w:val="lv-LV"/>
              </w:rPr>
              <w:t>MCVI</w:t>
            </w:r>
            <w:r w:rsidRPr="00C8737E">
              <w:rPr>
                <w:sz w:val="24"/>
                <w:szCs w:val="24"/>
                <w:lang w:val="lv-LV"/>
              </w:rPr>
              <w:t xml:space="preserve"> Valsts kontrolei. </w:t>
            </w:r>
            <w:r w:rsidR="00BF644F" w:rsidRPr="00C8737E">
              <w:rPr>
                <w:sz w:val="24"/>
                <w:szCs w:val="24"/>
                <w:lang w:val="lv-LV"/>
              </w:rPr>
              <w:t xml:space="preserve">Pašvaldības šādu apliecinājumu sniedz </w:t>
            </w:r>
            <w:r w:rsidR="00801999">
              <w:rPr>
                <w:sz w:val="24"/>
                <w:szCs w:val="24"/>
                <w:lang w:val="lv-LV"/>
              </w:rPr>
              <w:t xml:space="preserve">zvērinātiem </w:t>
            </w:r>
            <w:r w:rsidR="00BF644F" w:rsidRPr="00C8737E">
              <w:rPr>
                <w:sz w:val="24"/>
                <w:szCs w:val="24"/>
                <w:lang w:val="lv-LV"/>
              </w:rPr>
              <w:t xml:space="preserve">revidentiem. </w:t>
            </w:r>
            <w:r w:rsidRPr="00E1789B">
              <w:rPr>
                <w:b/>
                <w:sz w:val="24"/>
                <w:szCs w:val="24"/>
                <w:lang w:val="lv-LV"/>
              </w:rPr>
              <w:t>Apliecinājums ko sniedz zvērinātiem revidentiem ir revīzijas darba materiāls</w:t>
            </w:r>
            <w:r w:rsidR="003C467E">
              <w:rPr>
                <w:b/>
                <w:sz w:val="24"/>
                <w:szCs w:val="24"/>
                <w:lang w:val="lv-LV"/>
              </w:rPr>
              <w:t>. N</w:t>
            </w:r>
            <w:r w:rsidRPr="00E1789B">
              <w:rPr>
                <w:b/>
                <w:sz w:val="24"/>
                <w:szCs w:val="24"/>
                <w:lang w:val="lv-LV"/>
              </w:rPr>
              <w:t>epieciešams noteikt</w:t>
            </w:r>
            <w:r>
              <w:rPr>
                <w:sz w:val="24"/>
                <w:szCs w:val="24"/>
                <w:lang w:val="lv-LV"/>
              </w:rPr>
              <w:t xml:space="preserve">, </w:t>
            </w:r>
            <w:r w:rsidRPr="00E1789B">
              <w:rPr>
                <w:b/>
                <w:sz w:val="24"/>
                <w:szCs w:val="24"/>
                <w:lang w:val="lv-LV"/>
              </w:rPr>
              <w:t>ka pašvaldīb</w:t>
            </w:r>
            <w:r w:rsidR="003C467E">
              <w:rPr>
                <w:b/>
                <w:sz w:val="24"/>
                <w:szCs w:val="24"/>
                <w:lang w:val="lv-LV"/>
              </w:rPr>
              <w:t>as</w:t>
            </w:r>
            <w:r w:rsidRPr="00E1789B">
              <w:rPr>
                <w:b/>
                <w:sz w:val="24"/>
                <w:szCs w:val="24"/>
                <w:lang w:val="lv-LV"/>
              </w:rPr>
              <w:t xml:space="preserve"> sniedz apliecinājums par vadības atbildību </w:t>
            </w:r>
            <w:r>
              <w:rPr>
                <w:b/>
                <w:sz w:val="24"/>
                <w:szCs w:val="24"/>
                <w:lang w:val="lv-LV"/>
              </w:rPr>
              <w:t xml:space="preserve">pie gada pārskata </w:t>
            </w:r>
            <w:r w:rsidRPr="00E1789B">
              <w:rPr>
                <w:b/>
                <w:sz w:val="24"/>
                <w:szCs w:val="24"/>
                <w:lang w:val="lv-LV"/>
              </w:rPr>
              <w:t>Finanšu ministram.</w:t>
            </w:r>
          </w:p>
          <w:p w:rsidR="006E4E4B" w:rsidRPr="00C8737E" w:rsidRDefault="00000CB4" w:rsidP="00CD4B15">
            <w:pPr>
              <w:pStyle w:val="NormalWeb"/>
              <w:numPr>
                <w:ilvl w:val="0"/>
                <w:numId w:val="16"/>
              </w:numPr>
              <w:tabs>
                <w:tab w:val="left" w:pos="408"/>
              </w:tabs>
              <w:spacing w:before="0" w:beforeAutospacing="0" w:after="0" w:afterAutospacing="0"/>
              <w:ind w:left="0" w:firstLine="300"/>
              <w:jc w:val="both"/>
              <w:rPr>
                <w:lang w:eastAsia="en-US"/>
              </w:rPr>
            </w:pPr>
            <w:r w:rsidRPr="00C8737E">
              <w:rPr>
                <w:lang w:eastAsia="en-US"/>
              </w:rPr>
              <w:t>Lai uzlabotu datu kvalitāti un sniedzamās informācijas saprotamību, nepieciešam</w:t>
            </w:r>
            <w:r w:rsidR="006E4E4B" w:rsidRPr="00C8737E">
              <w:rPr>
                <w:lang w:eastAsia="en-US"/>
              </w:rPr>
              <w:t>s:</w:t>
            </w:r>
          </w:p>
          <w:p w:rsidR="006E4E4B" w:rsidRPr="00C8737E" w:rsidRDefault="00000CB4" w:rsidP="00CD4B15">
            <w:pPr>
              <w:pStyle w:val="NormalWeb"/>
              <w:numPr>
                <w:ilvl w:val="1"/>
                <w:numId w:val="16"/>
              </w:numPr>
              <w:tabs>
                <w:tab w:val="left" w:pos="395"/>
              </w:tabs>
              <w:spacing w:before="0" w:beforeAutospacing="0" w:after="0" w:afterAutospacing="0"/>
              <w:ind w:left="0" w:firstLine="300"/>
              <w:jc w:val="both"/>
              <w:rPr>
                <w:lang w:eastAsia="en-US"/>
              </w:rPr>
            </w:pPr>
            <w:r w:rsidRPr="00C8737E">
              <w:rPr>
                <w:lang w:eastAsia="en-US"/>
              </w:rPr>
              <w:t xml:space="preserve">precizēt normas par konsolidētā pārskata sagatavošanu, </w:t>
            </w:r>
          </w:p>
          <w:p w:rsidR="006E4E4B" w:rsidRPr="00C8737E" w:rsidRDefault="00000CB4" w:rsidP="00CD4B15">
            <w:pPr>
              <w:pStyle w:val="NormalWeb"/>
              <w:numPr>
                <w:ilvl w:val="1"/>
                <w:numId w:val="16"/>
              </w:numPr>
              <w:spacing w:before="0" w:beforeAutospacing="0" w:after="0" w:afterAutospacing="0"/>
              <w:ind w:left="0" w:firstLine="300"/>
              <w:jc w:val="both"/>
              <w:rPr>
                <w:lang w:eastAsia="en-US"/>
              </w:rPr>
            </w:pPr>
            <w:r w:rsidRPr="00C8737E">
              <w:rPr>
                <w:lang w:eastAsia="en-US"/>
              </w:rPr>
              <w:lastRenderedPageBreak/>
              <w:t xml:space="preserve">par </w:t>
            </w:r>
            <w:r w:rsidR="00801999">
              <w:rPr>
                <w:lang w:eastAsia="en-US"/>
              </w:rPr>
              <w:t>korekciju</w:t>
            </w:r>
            <w:r w:rsidR="006E4E4B" w:rsidRPr="00C8737E">
              <w:rPr>
                <w:lang w:eastAsia="en-US"/>
              </w:rPr>
              <w:t>, kas attiecas uz</w:t>
            </w:r>
            <w:r w:rsidRPr="00C8737E">
              <w:rPr>
                <w:lang w:eastAsia="en-US"/>
              </w:rPr>
              <w:t xml:space="preserve"> </w:t>
            </w:r>
            <w:r w:rsidR="006E4E4B" w:rsidRPr="00C8737E">
              <w:rPr>
                <w:lang w:eastAsia="en-US"/>
              </w:rPr>
              <w:t xml:space="preserve">iepriekšējiem pārskata periodiem, </w:t>
            </w:r>
            <w:r w:rsidRPr="00C8737E">
              <w:rPr>
                <w:lang w:eastAsia="en-US"/>
              </w:rPr>
              <w:t>uzrādīšanu saimnieciskā gada pārskatā</w:t>
            </w:r>
            <w:r w:rsidR="006E4E4B" w:rsidRPr="00C8737E">
              <w:rPr>
                <w:lang w:eastAsia="en-US"/>
              </w:rPr>
              <w:t>,</w:t>
            </w:r>
          </w:p>
          <w:p w:rsidR="00F4429D" w:rsidRPr="00C8737E" w:rsidRDefault="00000CB4" w:rsidP="00CD4B15">
            <w:pPr>
              <w:pStyle w:val="NormalWeb"/>
              <w:numPr>
                <w:ilvl w:val="1"/>
                <w:numId w:val="16"/>
              </w:numPr>
              <w:spacing w:before="0" w:beforeAutospacing="0" w:after="0" w:afterAutospacing="0"/>
              <w:ind w:left="0" w:firstLine="300"/>
              <w:jc w:val="both"/>
              <w:rPr>
                <w:lang w:eastAsia="en-US"/>
              </w:rPr>
            </w:pPr>
            <w:r w:rsidRPr="00C8737E">
              <w:rPr>
                <w:lang w:eastAsia="en-US"/>
              </w:rPr>
              <w:t xml:space="preserve"> </w:t>
            </w:r>
            <w:r w:rsidR="00906FD1" w:rsidRPr="00C8737E">
              <w:rPr>
                <w:lang w:eastAsia="en-US"/>
              </w:rPr>
              <w:t>vienkāršo</w:t>
            </w:r>
            <w:r w:rsidR="00906FD1">
              <w:rPr>
                <w:lang w:eastAsia="en-US"/>
              </w:rPr>
              <w:t>t</w:t>
            </w:r>
            <w:r w:rsidR="00906FD1" w:rsidRPr="00C8737E">
              <w:rPr>
                <w:lang w:eastAsia="en-US"/>
              </w:rPr>
              <w:t xml:space="preserve"> informācijas </w:t>
            </w:r>
            <w:r w:rsidR="00906FD1">
              <w:rPr>
                <w:lang w:eastAsia="en-US"/>
              </w:rPr>
              <w:t xml:space="preserve">par nomātajiem un iznomātajiem aktīviem </w:t>
            </w:r>
            <w:r w:rsidR="00906FD1" w:rsidRPr="00C8737E">
              <w:rPr>
                <w:lang w:eastAsia="en-US"/>
              </w:rPr>
              <w:t>uzrādīšanu pārskata pielikumos</w:t>
            </w:r>
            <w:r w:rsidR="00906FD1">
              <w:rPr>
                <w:lang w:eastAsia="en-US"/>
              </w:rPr>
              <w:t xml:space="preserve">. Šobrīd </w:t>
            </w:r>
            <w:r w:rsidR="00906FD1" w:rsidRPr="00C8737E">
              <w:rPr>
                <w:lang w:eastAsia="en-US"/>
              </w:rPr>
              <w:t xml:space="preserve"> </w:t>
            </w:r>
            <w:r w:rsidR="006E4E4B" w:rsidRPr="00C8737E">
              <w:rPr>
                <w:lang w:eastAsia="en-US"/>
              </w:rPr>
              <w:t>atklājamā informācija par nomātajiem un iznomātajiem aktīviem norādāma vienā pārskatā</w:t>
            </w:r>
            <w:r w:rsidR="00906FD1">
              <w:rPr>
                <w:lang w:eastAsia="en-US"/>
              </w:rPr>
              <w:t xml:space="preserve">, bet </w:t>
            </w:r>
            <w:r w:rsidR="006E4E4B" w:rsidRPr="00C8737E">
              <w:rPr>
                <w:lang w:eastAsia="en-US"/>
              </w:rPr>
              <w:t xml:space="preserve">informācija par finanšu līzinga maksājumiem </w:t>
            </w:r>
            <w:r w:rsidR="00906FD1">
              <w:rPr>
                <w:lang w:eastAsia="en-US"/>
              </w:rPr>
              <w:t>-</w:t>
            </w:r>
            <w:r w:rsidR="00906FD1" w:rsidRPr="00C8737E">
              <w:rPr>
                <w:lang w:eastAsia="en-US"/>
              </w:rPr>
              <w:t xml:space="preserve"> </w:t>
            </w:r>
            <w:r w:rsidR="006E4E4B" w:rsidRPr="00C8737E">
              <w:rPr>
                <w:lang w:eastAsia="en-US"/>
              </w:rPr>
              <w:t xml:space="preserve">pie pārskata par saistībām, kas apgrūtina </w:t>
            </w:r>
            <w:r w:rsidR="00906FD1">
              <w:rPr>
                <w:lang w:eastAsia="en-US"/>
              </w:rPr>
              <w:t>šo pārskatu</w:t>
            </w:r>
            <w:r w:rsidR="00906FD1" w:rsidRPr="00C8737E">
              <w:rPr>
                <w:lang w:eastAsia="en-US"/>
              </w:rPr>
              <w:t xml:space="preserve"> </w:t>
            </w:r>
            <w:r w:rsidR="006E4E4B" w:rsidRPr="00C8737E">
              <w:rPr>
                <w:lang w:eastAsia="en-US"/>
              </w:rPr>
              <w:t>sagatavošanu</w:t>
            </w:r>
            <w:r w:rsidR="00906FD1">
              <w:rPr>
                <w:lang w:eastAsia="en-US"/>
              </w:rPr>
              <w:t>.</w:t>
            </w:r>
            <w:r w:rsidR="006E4E4B" w:rsidRPr="00C8737E">
              <w:rPr>
                <w:lang w:eastAsia="en-US"/>
              </w:rPr>
              <w:t xml:space="preserve"> </w:t>
            </w:r>
          </w:p>
          <w:p w:rsidR="006E4E4B" w:rsidRPr="00C8737E" w:rsidRDefault="00EE0677" w:rsidP="00CD4B15">
            <w:pPr>
              <w:pStyle w:val="NormalWeb"/>
              <w:numPr>
                <w:ilvl w:val="1"/>
                <w:numId w:val="16"/>
              </w:numPr>
              <w:spacing w:before="0" w:beforeAutospacing="0" w:after="0" w:afterAutospacing="0"/>
              <w:ind w:left="0" w:firstLine="300"/>
              <w:jc w:val="both"/>
              <w:rPr>
                <w:lang w:eastAsia="en-US"/>
              </w:rPr>
            </w:pPr>
            <w:r w:rsidRPr="00C8737E">
              <w:rPr>
                <w:lang w:eastAsia="en-US"/>
              </w:rPr>
              <w:t>precizēt</w:t>
            </w:r>
            <w:r>
              <w:rPr>
                <w:lang w:eastAsia="en-US"/>
              </w:rPr>
              <w:t>,</w:t>
            </w:r>
            <w:r w:rsidRPr="00C8737E">
              <w:rPr>
                <w:lang w:eastAsia="en-US"/>
              </w:rPr>
              <w:t xml:space="preserve"> kā gada pārskatā uzrādīt naudu ceļā</w:t>
            </w:r>
            <w:r>
              <w:rPr>
                <w:lang w:eastAsia="en-US"/>
              </w:rPr>
              <w:t xml:space="preserve">, jo </w:t>
            </w:r>
            <w:r w:rsidR="00976627">
              <w:rPr>
                <w:lang w:eastAsia="en-US"/>
              </w:rPr>
              <w:t>i</w:t>
            </w:r>
            <w:r w:rsidR="006E4E4B" w:rsidRPr="00C8737E">
              <w:rPr>
                <w:lang w:eastAsia="en-US"/>
              </w:rPr>
              <w:t xml:space="preserve">zvērtējot 2012.gada pārskata informāciju, secināts, ka </w:t>
            </w:r>
            <w:r w:rsidR="00801999">
              <w:rPr>
                <w:lang w:eastAsia="en-US"/>
              </w:rPr>
              <w:t xml:space="preserve">budžeta iestādes </w:t>
            </w:r>
            <w:r w:rsidR="006E4E4B" w:rsidRPr="00C8737E">
              <w:rPr>
                <w:lang w:eastAsia="en-US"/>
              </w:rPr>
              <w:t>dažādi uzrāda naudas līdzekļus norēķinu kontos, kasē un naud</w:t>
            </w:r>
            <w:r w:rsidR="00801999">
              <w:rPr>
                <w:lang w:eastAsia="en-US"/>
              </w:rPr>
              <w:t>u</w:t>
            </w:r>
            <w:r w:rsidR="006E4E4B" w:rsidRPr="00C8737E">
              <w:rPr>
                <w:lang w:eastAsia="en-US"/>
              </w:rPr>
              <w:t xml:space="preserve"> ceļā..</w:t>
            </w:r>
          </w:p>
          <w:p w:rsidR="006E4E4B" w:rsidRDefault="00EE0677" w:rsidP="009E024C">
            <w:pPr>
              <w:pStyle w:val="NormalWeb"/>
              <w:numPr>
                <w:ilvl w:val="1"/>
                <w:numId w:val="16"/>
              </w:numPr>
              <w:spacing w:before="0" w:beforeAutospacing="0" w:after="0" w:afterAutospacing="0"/>
              <w:ind w:left="0" w:firstLine="300"/>
              <w:jc w:val="both"/>
              <w:rPr>
                <w:lang w:eastAsia="en-US"/>
              </w:rPr>
            </w:pPr>
            <w:r w:rsidRPr="00C8737E">
              <w:rPr>
                <w:lang w:eastAsia="en-US"/>
              </w:rPr>
              <w:t xml:space="preserve">noteikt, ka transfertu </w:t>
            </w:r>
            <w:r>
              <w:rPr>
                <w:lang w:eastAsia="en-US"/>
              </w:rPr>
              <w:t xml:space="preserve">klasifikācijas </w:t>
            </w:r>
            <w:r w:rsidRPr="00C8737E">
              <w:rPr>
                <w:lang w:eastAsia="en-US"/>
              </w:rPr>
              <w:t>kodu pāri atbilst viens otram</w:t>
            </w:r>
            <w:r>
              <w:rPr>
                <w:lang w:eastAsia="en-US"/>
              </w:rPr>
              <w:t>,</w:t>
            </w:r>
            <w:r w:rsidRPr="00C8737E">
              <w:rPr>
                <w:lang w:eastAsia="en-US"/>
              </w:rPr>
              <w:t xml:space="preserve"> un atbildību iestādei, kas veic maksājumu, par korektu kodu norādīšanu maksājuma uzdevumā, kā arī salīdzināšanās aktā un gada pārskatā</w:t>
            </w:r>
            <w:r>
              <w:rPr>
                <w:lang w:eastAsia="en-US"/>
              </w:rPr>
              <w:t xml:space="preserve">, lai </w:t>
            </w:r>
            <w:r w:rsidRPr="00C8737E">
              <w:rPr>
                <w:lang w:eastAsia="en-US"/>
              </w:rPr>
              <w:t xml:space="preserve">nodrošinātu izdevumu un ieņēmumu transfertu atbilstību un </w:t>
            </w:r>
            <w:r>
              <w:rPr>
                <w:lang w:eastAsia="en-US"/>
              </w:rPr>
              <w:t xml:space="preserve">vienādu </w:t>
            </w:r>
            <w:r w:rsidRPr="00C8737E">
              <w:rPr>
                <w:lang w:eastAsia="en-US"/>
              </w:rPr>
              <w:t>pielietošanu vispārējās valdības sektora iestādēs.</w:t>
            </w:r>
            <w:r>
              <w:rPr>
                <w:lang w:eastAsia="en-US"/>
              </w:rPr>
              <w:t xml:space="preserve"> V</w:t>
            </w:r>
            <w:r w:rsidR="006E4E4B" w:rsidRPr="00C8737E">
              <w:rPr>
                <w:lang w:eastAsia="en-US"/>
              </w:rPr>
              <w:t xml:space="preserve">eidojot saimnieciskā gada pārskatu par valsts konsolidētā kopbudžeta izpildi, par valsts konsolidētā budžeta izpildi un par pašvaldību konsolidētā budžeta izpildi, kā arī MCVI un pašvaldībām sagatavojot konsolidēto budžeta izpildes pārskatu, </w:t>
            </w:r>
            <w:r w:rsidR="00D61B93" w:rsidRPr="00C8737E">
              <w:rPr>
                <w:lang w:eastAsia="en-US"/>
              </w:rPr>
              <w:t>jāizslēdz savstarpējie maksājumi un transfert</w:t>
            </w:r>
            <w:r w:rsidR="00801999">
              <w:rPr>
                <w:lang w:eastAsia="en-US"/>
              </w:rPr>
              <w:t>i</w:t>
            </w:r>
            <w:r w:rsidR="001D2503">
              <w:rPr>
                <w:lang w:eastAsia="en-US"/>
              </w:rPr>
              <w:t>;</w:t>
            </w:r>
          </w:p>
          <w:p w:rsidR="001D2503" w:rsidRPr="00C8737E" w:rsidRDefault="001D2503" w:rsidP="003C467E">
            <w:pPr>
              <w:pStyle w:val="NormalWeb"/>
              <w:numPr>
                <w:ilvl w:val="1"/>
                <w:numId w:val="16"/>
              </w:numPr>
              <w:spacing w:before="0" w:beforeAutospacing="0" w:after="0" w:afterAutospacing="0"/>
              <w:ind w:left="0" w:firstLine="300"/>
              <w:jc w:val="both"/>
              <w:rPr>
                <w:lang w:eastAsia="en-US"/>
              </w:rPr>
            </w:pPr>
            <w:r>
              <w:rPr>
                <w:lang w:eastAsia="en-US"/>
              </w:rPr>
              <w:t>ietvert Ministru kabineta</w:t>
            </w:r>
            <w:r w:rsidR="00087E32">
              <w:rPr>
                <w:lang w:eastAsia="en-US"/>
              </w:rPr>
              <w:t xml:space="preserve"> </w:t>
            </w:r>
            <w:r>
              <w:rPr>
                <w:lang w:eastAsia="en-US"/>
              </w:rPr>
              <w:t xml:space="preserve">2010.gada 26.oktobra instrukcijas </w:t>
            </w:r>
            <w:proofErr w:type="spellStart"/>
            <w:r>
              <w:rPr>
                <w:lang w:eastAsia="en-US"/>
              </w:rPr>
              <w:t>Nr</w:t>
            </w:r>
            <w:proofErr w:type="spellEnd"/>
            <w:r>
              <w:rPr>
                <w:lang w:eastAsia="en-US"/>
              </w:rPr>
              <w:t>. 17 „</w:t>
            </w:r>
            <w:r w:rsidRPr="001D2503">
              <w:rPr>
                <w:lang w:eastAsia="en-US"/>
              </w:rPr>
              <w:t>Kārtība, kādā valsts budžeta iestādes, no valsts budžeta daļēji finansētas atvasinātas publiskas personas un budžeta nefinansētas iestādes sagatavo budžeta izpildes pārskatu, naudas plūsmas pārskatu un pārskatu par darbības finansiālajiem rezultātiem</w:t>
            </w:r>
            <w:r>
              <w:rPr>
                <w:lang w:eastAsia="en-US"/>
              </w:rPr>
              <w:t>” normas par valsts budžeta iestāžu datu  uzrādīšanu budžeta izpildes pārskatos.</w:t>
            </w:r>
            <w:r w:rsidR="00742CAE">
              <w:rPr>
                <w:lang w:eastAsia="en-US"/>
              </w:rPr>
              <w:t xml:space="preserve"> </w:t>
            </w:r>
            <w:r w:rsidR="00742CAE" w:rsidRPr="00742CAE">
              <w:rPr>
                <w:b/>
                <w:lang w:eastAsia="en-US"/>
              </w:rPr>
              <w:t xml:space="preserve">Lai nodrošinātu konsolidētā kopbudžeta plāna datu uzrādīšanu un </w:t>
            </w:r>
            <w:r w:rsidR="003C467E">
              <w:rPr>
                <w:b/>
                <w:lang w:eastAsia="en-US"/>
              </w:rPr>
              <w:t xml:space="preserve">datu </w:t>
            </w:r>
            <w:r w:rsidR="00742CAE" w:rsidRPr="00742CAE">
              <w:rPr>
                <w:b/>
                <w:lang w:eastAsia="en-US"/>
              </w:rPr>
              <w:t>konsolidāciju</w:t>
            </w:r>
            <w:r w:rsidR="003C467E">
              <w:rPr>
                <w:b/>
                <w:lang w:eastAsia="en-US"/>
              </w:rPr>
              <w:t xml:space="preserve"> līmeņos</w:t>
            </w:r>
            <w:r w:rsidR="00742CAE" w:rsidRPr="00742CAE">
              <w:rPr>
                <w:b/>
                <w:lang w:eastAsia="en-US"/>
              </w:rPr>
              <w:t xml:space="preserve"> </w:t>
            </w:r>
            <w:r w:rsidR="003C467E">
              <w:rPr>
                <w:b/>
                <w:lang w:eastAsia="en-US"/>
              </w:rPr>
              <w:t>„S</w:t>
            </w:r>
            <w:r w:rsidR="00742CAE" w:rsidRPr="00742CAE">
              <w:rPr>
                <w:b/>
                <w:lang w:eastAsia="en-US"/>
              </w:rPr>
              <w:t>ākotnējais plāns</w:t>
            </w:r>
            <w:r w:rsidR="003C467E">
              <w:rPr>
                <w:b/>
                <w:lang w:eastAsia="en-US"/>
              </w:rPr>
              <w:t>” un</w:t>
            </w:r>
            <w:r w:rsidR="00742CAE" w:rsidRPr="00742CAE">
              <w:rPr>
                <w:b/>
                <w:lang w:eastAsia="en-US"/>
              </w:rPr>
              <w:t xml:space="preserve"> </w:t>
            </w:r>
            <w:r w:rsidR="003C467E">
              <w:rPr>
                <w:b/>
                <w:lang w:eastAsia="en-US"/>
              </w:rPr>
              <w:t>„P</w:t>
            </w:r>
            <w:r w:rsidR="00742CAE" w:rsidRPr="00742CAE">
              <w:rPr>
                <w:b/>
                <w:lang w:eastAsia="en-US"/>
              </w:rPr>
              <w:t>lāns ar grozījumiem</w:t>
            </w:r>
            <w:r w:rsidR="003C467E">
              <w:rPr>
                <w:b/>
                <w:lang w:eastAsia="en-US"/>
              </w:rPr>
              <w:t>”</w:t>
            </w:r>
            <w:r w:rsidR="00742CAE" w:rsidRPr="00742CAE">
              <w:rPr>
                <w:b/>
                <w:lang w:eastAsia="en-US"/>
              </w:rPr>
              <w:t xml:space="preserve">, nepieciešams noteikt, ka no valsts budžeta daļēji finansētas atvasinātas publiskas personas, budžeta nefinansētas iestādes </w:t>
            </w:r>
            <w:r w:rsidR="003C467E" w:rsidRPr="00742CAE">
              <w:rPr>
                <w:b/>
                <w:lang w:eastAsia="en-US"/>
              </w:rPr>
              <w:t xml:space="preserve">pārskatā par budžeta izpildi </w:t>
            </w:r>
            <w:r w:rsidR="003C467E">
              <w:rPr>
                <w:b/>
                <w:lang w:eastAsia="en-US"/>
              </w:rPr>
              <w:t xml:space="preserve">(pamatdarbība un ziedojumi/ dāvinājumi) </w:t>
            </w:r>
            <w:r w:rsidR="00742CAE" w:rsidRPr="00742CAE">
              <w:rPr>
                <w:b/>
                <w:lang w:eastAsia="en-US"/>
              </w:rPr>
              <w:t xml:space="preserve">un valsts budžeta iestādes pārskatā par budžeta izpildi (ziedojumi/ dāvinājumi) sniedz </w:t>
            </w:r>
            <w:r w:rsidR="003C467E">
              <w:rPr>
                <w:b/>
                <w:lang w:eastAsia="en-US"/>
              </w:rPr>
              <w:t xml:space="preserve">plāna </w:t>
            </w:r>
            <w:r w:rsidR="00742CAE" w:rsidRPr="00742CAE">
              <w:rPr>
                <w:b/>
                <w:lang w:eastAsia="en-US"/>
              </w:rPr>
              <w:t xml:space="preserve">datus, jo līdz šim dati tika uzrādīti ailē </w:t>
            </w:r>
            <w:r w:rsidR="00FE5796">
              <w:rPr>
                <w:b/>
                <w:lang w:eastAsia="en-US"/>
              </w:rPr>
              <w:t>„</w:t>
            </w:r>
            <w:r w:rsidR="00742CAE" w:rsidRPr="00742CAE">
              <w:rPr>
                <w:b/>
                <w:lang w:eastAsia="en-US"/>
              </w:rPr>
              <w:t>Tāme gadam</w:t>
            </w:r>
            <w:r w:rsidR="00FE5796">
              <w:rPr>
                <w:b/>
                <w:lang w:eastAsia="en-US"/>
              </w:rPr>
              <w:t>”</w:t>
            </w:r>
            <w:r w:rsidR="00742CAE" w:rsidRPr="00742CAE">
              <w:rPr>
                <w:b/>
                <w:lang w:eastAsia="en-US"/>
              </w:rPr>
              <w:t>, kas sniedza informāciju tikai par precizēto gada tāmi pārskata perioda beigās.</w:t>
            </w:r>
          </w:p>
        </w:tc>
      </w:tr>
      <w:tr w:rsidR="0049512E" w:rsidTr="00A83BDB">
        <w:tc>
          <w:tcPr>
            <w:tcW w:w="396" w:type="dxa"/>
            <w:shd w:val="clear" w:color="auto" w:fill="auto"/>
          </w:tcPr>
          <w:p w:rsidR="0049512E" w:rsidRDefault="0049512E" w:rsidP="001F20CA">
            <w:pPr>
              <w:pStyle w:val="NormalWeb"/>
            </w:pPr>
            <w:r>
              <w:lastRenderedPageBreak/>
              <w:t>3.</w:t>
            </w:r>
          </w:p>
        </w:tc>
        <w:tc>
          <w:tcPr>
            <w:tcW w:w="2592" w:type="dxa"/>
            <w:shd w:val="clear" w:color="auto" w:fill="auto"/>
          </w:tcPr>
          <w:p w:rsidR="0049512E" w:rsidRDefault="0049512E" w:rsidP="001F20CA">
            <w:pPr>
              <w:pStyle w:val="NormalWeb"/>
            </w:pPr>
            <w:r>
              <w:t>Saistītie politikas ietekmes novērtējumi un pētījumi</w:t>
            </w:r>
          </w:p>
        </w:tc>
        <w:tc>
          <w:tcPr>
            <w:tcW w:w="6300" w:type="dxa"/>
            <w:shd w:val="clear" w:color="auto" w:fill="auto"/>
          </w:tcPr>
          <w:p w:rsidR="0049512E" w:rsidRDefault="0049512E" w:rsidP="001F20CA">
            <w:pPr>
              <w:pStyle w:val="NormalWeb"/>
            </w:pPr>
            <w:r>
              <w:t>Projekts šo jomu neskar</w:t>
            </w:r>
            <w:r w:rsidR="000849E6">
              <w:t>.</w:t>
            </w:r>
          </w:p>
        </w:tc>
      </w:tr>
      <w:tr w:rsidR="00C85C47" w:rsidTr="00A83BDB">
        <w:tc>
          <w:tcPr>
            <w:tcW w:w="396" w:type="dxa"/>
            <w:shd w:val="clear" w:color="auto" w:fill="auto"/>
          </w:tcPr>
          <w:p w:rsidR="00C85C47" w:rsidRDefault="00C85C47" w:rsidP="001F20CA">
            <w:pPr>
              <w:pStyle w:val="NormalWeb"/>
            </w:pPr>
            <w:r>
              <w:t>4.</w:t>
            </w:r>
          </w:p>
        </w:tc>
        <w:tc>
          <w:tcPr>
            <w:tcW w:w="2592" w:type="dxa"/>
            <w:shd w:val="clear" w:color="auto" w:fill="auto"/>
          </w:tcPr>
          <w:p w:rsidR="00C85C47" w:rsidRDefault="00C85C47" w:rsidP="001F20CA">
            <w:pPr>
              <w:pStyle w:val="NormalWeb"/>
            </w:pPr>
            <w:r>
              <w:t>Tiesiskā regulējuma mērķis un būtība</w:t>
            </w:r>
          </w:p>
        </w:tc>
        <w:tc>
          <w:tcPr>
            <w:tcW w:w="6300" w:type="dxa"/>
            <w:shd w:val="clear" w:color="auto" w:fill="auto"/>
          </w:tcPr>
          <w:p w:rsidR="004C58E5" w:rsidRPr="00CC119A" w:rsidRDefault="00204E3B" w:rsidP="00B31430">
            <w:pPr>
              <w:pStyle w:val="ListParagraph"/>
              <w:numPr>
                <w:ilvl w:val="0"/>
                <w:numId w:val="14"/>
              </w:numPr>
              <w:tabs>
                <w:tab w:val="left" w:pos="414"/>
              </w:tabs>
              <w:spacing w:after="60"/>
              <w:ind w:left="0" w:firstLine="0"/>
              <w:jc w:val="both"/>
              <w:rPr>
                <w:sz w:val="24"/>
                <w:szCs w:val="24"/>
                <w:lang w:val="lv-LV"/>
              </w:rPr>
            </w:pPr>
            <w:r w:rsidRPr="00CC119A">
              <w:rPr>
                <w:sz w:val="24"/>
                <w:szCs w:val="24"/>
                <w:lang w:val="lv-LV"/>
              </w:rPr>
              <w:t>Noteikumu projekts paredz</w:t>
            </w:r>
            <w:r w:rsidR="004C58E5" w:rsidRPr="00CC119A">
              <w:rPr>
                <w:sz w:val="24"/>
                <w:szCs w:val="24"/>
                <w:lang w:val="lv-LV"/>
              </w:rPr>
              <w:t xml:space="preserve"> noteikt pielietojam</w:t>
            </w:r>
            <w:r w:rsidRPr="00CC119A">
              <w:rPr>
                <w:sz w:val="24"/>
                <w:szCs w:val="24"/>
                <w:lang w:val="lv-LV"/>
              </w:rPr>
              <w:t>o</w:t>
            </w:r>
            <w:r w:rsidR="004C58E5" w:rsidRPr="00CC119A">
              <w:rPr>
                <w:sz w:val="24"/>
                <w:szCs w:val="24"/>
                <w:lang w:val="lv-LV"/>
              </w:rPr>
              <w:t xml:space="preserve"> valūt</w:t>
            </w:r>
            <w:r w:rsidRPr="00CC119A">
              <w:rPr>
                <w:sz w:val="24"/>
                <w:szCs w:val="24"/>
                <w:lang w:val="lv-LV"/>
              </w:rPr>
              <w:t>u</w:t>
            </w:r>
            <w:r w:rsidR="004C58E5" w:rsidRPr="00CC119A">
              <w:rPr>
                <w:sz w:val="24"/>
                <w:szCs w:val="24"/>
                <w:lang w:val="lv-LV"/>
              </w:rPr>
              <w:t xml:space="preserve">, kādā sagatavo gada pārskatu pēc </w:t>
            </w:r>
            <w:proofErr w:type="spellStart"/>
            <w:r w:rsidR="004C58E5" w:rsidRPr="00CC119A">
              <w:rPr>
                <w:i/>
                <w:sz w:val="24"/>
                <w:szCs w:val="24"/>
                <w:lang w:val="lv-LV"/>
              </w:rPr>
              <w:t>euro</w:t>
            </w:r>
            <w:proofErr w:type="spellEnd"/>
            <w:r w:rsidR="004C58E5" w:rsidRPr="00CC119A">
              <w:rPr>
                <w:sz w:val="24"/>
                <w:szCs w:val="24"/>
                <w:lang w:val="lv-LV"/>
              </w:rPr>
              <w:t xml:space="preserve"> ieviešanas. </w:t>
            </w:r>
            <w:r w:rsidR="00B54F0D" w:rsidRPr="00CC119A">
              <w:rPr>
                <w:sz w:val="24"/>
                <w:szCs w:val="24"/>
                <w:lang w:val="lv-LV"/>
              </w:rPr>
              <w:t xml:space="preserve"> Pirmais gada pārskats atbilstoši noteikumu projektam jāsniedz par 2013.gadu, kur uzskaites valūta ir lati. </w:t>
            </w:r>
            <w:r w:rsidR="004C58E5" w:rsidRPr="00CC119A">
              <w:rPr>
                <w:sz w:val="24"/>
                <w:szCs w:val="24"/>
                <w:lang w:val="lv-LV"/>
              </w:rPr>
              <w:t xml:space="preserve">Pārejas noteikumi  nosaka valūtas vienības maiņu no latiem uz </w:t>
            </w:r>
            <w:proofErr w:type="spellStart"/>
            <w:r w:rsidR="004C58E5" w:rsidRPr="00CC119A">
              <w:rPr>
                <w:i/>
                <w:sz w:val="24"/>
                <w:szCs w:val="24"/>
                <w:lang w:val="lv-LV"/>
              </w:rPr>
              <w:t>euro</w:t>
            </w:r>
            <w:proofErr w:type="spellEnd"/>
            <w:r w:rsidR="004C58E5" w:rsidRPr="00CC119A">
              <w:rPr>
                <w:sz w:val="24"/>
                <w:szCs w:val="24"/>
                <w:lang w:val="lv-LV"/>
              </w:rPr>
              <w:t xml:space="preserve"> gada </w:t>
            </w:r>
            <w:r w:rsidR="004C58E5" w:rsidRPr="00CC119A">
              <w:rPr>
                <w:sz w:val="24"/>
                <w:szCs w:val="24"/>
                <w:lang w:val="lv-LV"/>
              </w:rPr>
              <w:lastRenderedPageBreak/>
              <w:t>pārskatiem, kurus sagatavo un Valsts kasei iesniedz</w:t>
            </w:r>
            <w:r w:rsidR="00801999" w:rsidRPr="00CC119A">
              <w:rPr>
                <w:sz w:val="24"/>
                <w:szCs w:val="24"/>
                <w:lang w:val="lv-LV"/>
              </w:rPr>
              <w:t xml:space="preserve"> MCVI,</w:t>
            </w:r>
            <w:r w:rsidR="004C58E5" w:rsidRPr="00CC119A">
              <w:rPr>
                <w:sz w:val="24"/>
                <w:szCs w:val="24"/>
                <w:lang w:val="lv-LV"/>
              </w:rPr>
              <w:t xml:space="preserve">  pašvaldības, no valsts vai pašvaldību budžeta daļēji finansētas atvasinātas publiskas personas un budžeta nefinansētas iestādes. Pirmais pārskats </w:t>
            </w:r>
            <w:proofErr w:type="spellStart"/>
            <w:r w:rsidR="004C58E5" w:rsidRPr="00CC119A">
              <w:rPr>
                <w:i/>
                <w:sz w:val="24"/>
                <w:szCs w:val="24"/>
                <w:lang w:val="lv-LV"/>
              </w:rPr>
              <w:t>euro</w:t>
            </w:r>
            <w:proofErr w:type="spellEnd"/>
            <w:r w:rsidR="004C58E5" w:rsidRPr="00CC119A">
              <w:rPr>
                <w:sz w:val="24"/>
                <w:szCs w:val="24"/>
                <w:lang w:val="lv-LV"/>
              </w:rPr>
              <w:t xml:space="preserve"> jāsniedz 2015.gadā par 2014.gadu. Sagatavojot pirmo pārskatu </w:t>
            </w:r>
            <w:proofErr w:type="spellStart"/>
            <w:r w:rsidR="004C58E5" w:rsidRPr="00CC119A">
              <w:rPr>
                <w:i/>
                <w:sz w:val="24"/>
                <w:szCs w:val="24"/>
                <w:lang w:val="lv-LV"/>
              </w:rPr>
              <w:t>euro</w:t>
            </w:r>
            <w:proofErr w:type="spellEnd"/>
            <w:r w:rsidR="004C58E5" w:rsidRPr="00CC119A">
              <w:rPr>
                <w:sz w:val="24"/>
                <w:szCs w:val="24"/>
                <w:lang w:val="lv-LV"/>
              </w:rPr>
              <w:t xml:space="preserve"> par 2014.gadu</w:t>
            </w:r>
            <w:r w:rsidR="00801999" w:rsidRPr="00CC119A">
              <w:rPr>
                <w:sz w:val="24"/>
                <w:szCs w:val="24"/>
                <w:lang w:val="lv-LV"/>
              </w:rPr>
              <w:t>,</w:t>
            </w:r>
            <w:r w:rsidR="004C58E5" w:rsidRPr="00CC119A">
              <w:rPr>
                <w:sz w:val="24"/>
                <w:szCs w:val="24"/>
                <w:lang w:val="lv-LV"/>
              </w:rPr>
              <w:t xml:space="preserve"> samazināts sniedzamās informācijas apjoms par aktīvu/ pasīvu </w:t>
            </w:r>
            <w:r w:rsidR="00801999" w:rsidRPr="00CC119A">
              <w:rPr>
                <w:sz w:val="24"/>
                <w:szCs w:val="24"/>
                <w:lang w:val="lv-LV"/>
              </w:rPr>
              <w:t>atlikumu</w:t>
            </w:r>
            <w:r w:rsidR="004C58E5" w:rsidRPr="00CC119A">
              <w:rPr>
                <w:sz w:val="24"/>
                <w:szCs w:val="24"/>
                <w:lang w:val="lv-LV"/>
              </w:rPr>
              <w:t xml:space="preserve"> izmaiņām, izņemot pārskatus</w:t>
            </w:r>
            <w:r w:rsidR="00EE0677" w:rsidRPr="00CC119A">
              <w:rPr>
                <w:sz w:val="24"/>
                <w:szCs w:val="24"/>
                <w:lang w:val="lv-LV"/>
              </w:rPr>
              <w:t>,</w:t>
            </w:r>
            <w:r w:rsidR="004C58E5" w:rsidRPr="00CC119A">
              <w:rPr>
                <w:sz w:val="24"/>
                <w:szCs w:val="24"/>
                <w:lang w:val="lv-LV"/>
              </w:rPr>
              <w:t xml:space="preserve"> kuros norāda katru uzskaites vienību</w:t>
            </w:r>
            <w:r w:rsidR="00F04297" w:rsidRPr="00CC119A">
              <w:rPr>
                <w:sz w:val="24"/>
                <w:szCs w:val="24"/>
                <w:lang w:val="lv-LV"/>
              </w:rPr>
              <w:t>. Noteikumu projektā paredzētas diva</w:t>
            </w:r>
            <w:r w:rsidR="00CC7273" w:rsidRPr="00CC119A">
              <w:rPr>
                <w:sz w:val="24"/>
                <w:szCs w:val="24"/>
                <w:lang w:val="lv-LV"/>
              </w:rPr>
              <w:t xml:space="preserve">s valūtas – lati un </w:t>
            </w:r>
            <w:proofErr w:type="spellStart"/>
            <w:r w:rsidR="00CC7273" w:rsidRPr="00CC119A">
              <w:rPr>
                <w:i/>
                <w:sz w:val="24"/>
                <w:szCs w:val="24"/>
                <w:lang w:val="lv-LV"/>
              </w:rPr>
              <w:t>euro</w:t>
            </w:r>
            <w:proofErr w:type="spellEnd"/>
            <w:r w:rsidR="00CC7273" w:rsidRPr="00CC119A">
              <w:rPr>
                <w:sz w:val="24"/>
                <w:szCs w:val="24"/>
                <w:lang w:val="lv-LV"/>
              </w:rPr>
              <w:t>, jo tas</w:t>
            </w:r>
            <w:r w:rsidR="00F04297" w:rsidRPr="00CC119A">
              <w:rPr>
                <w:sz w:val="24"/>
                <w:szCs w:val="24"/>
                <w:lang w:val="lv-LV"/>
              </w:rPr>
              <w:t xml:space="preserve"> attiecas uz diviem periodiem – 2013.gadu, kad pārskats jāsniedz latos, un 2014.gadu un turpmāk, kad pārskats jāsniedz </w:t>
            </w:r>
            <w:proofErr w:type="spellStart"/>
            <w:r w:rsidR="00F04297" w:rsidRPr="00CC119A">
              <w:rPr>
                <w:i/>
                <w:sz w:val="24"/>
                <w:szCs w:val="24"/>
                <w:lang w:val="lv-LV"/>
              </w:rPr>
              <w:t>euro</w:t>
            </w:r>
            <w:proofErr w:type="spellEnd"/>
            <w:r w:rsidR="00241B7D" w:rsidRPr="00CC119A">
              <w:rPr>
                <w:i/>
                <w:sz w:val="24"/>
                <w:szCs w:val="24"/>
                <w:lang w:val="lv-LV"/>
              </w:rPr>
              <w:t xml:space="preserve">. </w:t>
            </w:r>
            <w:r w:rsidR="00241B7D" w:rsidRPr="00CC119A">
              <w:rPr>
                <w:sz w:val="24"/>
                <w:szCs w:val="24"/>
                <w:lang w:val="lv-LV"/>
              </w:rPr>
              <w:t>Pārejas noteikumos noteikts kuras normas attiecas uz 2013.gada pārskata sagatavošanu</w:t>
            </w:r>
            <w:r w:rsidR="00CC7273" w:rsidRPr="00CC119A">
              <w:rPr>
                <w:sz w:val="24"/>
                <w:szCs w:val="24"/>
                <w:lang w:val="lv-LV"/>
              </w:rPr>
              <w:t xml:space="preserve"> un</w:t>
            </w:r>
            <w:r w:rsidR="00241B7D" w:rsidRPr="00CC119A">
              <w:rPr>
                <w:sz w:val="24"/>
                <w:szCs w:val="24"/>
                <w:lang w:val="lv-LV"/>
              </w:rPr>
              <w:t xml:space="preserve"> kuras normas uz 2014.gada pārskata sagatavošanu</w:t>
            </w:r>
            <w:r w:rsidR="00A60BC4" w:rsidRPr="00CC119A">
              <w:rPr>
                <w:sz w:val="24"/>
                <w:szCs w:val="24"/>
                <w:lang w:val="lv-LV"/>
              </w:rPr>
              <w:t xml:space="preserve">. Atklājamā informācija par avansa maksājumiem un nākamo periodu izdevumiem noteikta 1000 latu vai 1400 </w:t>
            </w:r>
            <w:proofErr w:type="spellStart"/>
            <w:r w:rsidR="00A60BC4" w:rsidRPr="00CC119A">
              <w:rPr>
                <w:i/>
                <w:sz w:val="24"/>
                <w:szCs w:val="24"/>
                <w:lang w:val="lv-LV"/>
              </w:rPr>
              <w:t>euro</w:t>
            </w:r>
            <w:proofErr w:type="spellEnd"/>
            <w:r w:rsidR="00A60BC4" w:rsidRPr="00CC119A">
              <w:rPr>
                <w:sz w:val="24"/>
                <w:szCs w:val="24"/>
                <w:lang w:val="lv-LV"/>
              </w:rPr>
              <w:t xml:space="preserve"> apmērā, lai varētu </w:t>
            </w:r>
            <w:r w:rsidR="00A60BC4" w:rsidRPr="00CC119A">
              <w:rPr>
                <w:sz w:val="24"/>
                <w:szCs w:val="24"/>
                <w:u w:val="single"/>
                <w:lang w:val="lv-LV"/>
              </w:rPr>
              <w:t>apkopot informāciju</w:t>
            </w:r>
            <w:r w:rsidR="00A60BC4" w:rsidRPr="00CC119A">
              <w:rPr>
                <w:sz w:val="24"/>
                <w:szCs w:val="24"/>
                <w:lang w:val="lv-LV"/>
              </w:rPr>
              <w:t xml:space="preserve"> par lielākajiem avansa maksājumu un nākamo periodu izdevumu objektiem (mērķiem)</w:t>
            </w:r>
            <w:r w:rsidR="00BD54E6" w:rsidRPr="00CC119A">
              <w:rPr>
                <w:sz w:val="24"/>
                <w:szCs w:val="24"/>
                <w:lang w:val="lv-LV"/>
              </w:rPr>
              <w:t>, kas nerada papildus izdevumus valsts vai pašvaldību budžet</w:t>
            </w:r>
            <w:r w:rsidR="00CC7273" w:rsidRPr="00CC119A">
              <w:rPr>
                <w:sz w:val="24"/>
                <w:szCs w:val="24"/>
                <w:lang w:val="lv-LV"/>
              </w:rPr>
              <w:t>iem</w:t>
            </w:r>
            <w:r w:rsidR="004C58E5" w:rsidRPr="00CC119A">
              <w:rPr>
                <w:sz w:val="24"/>
                <w:szCs w:val="24"/>
                <w:lang w:val="lv-LV"/>
              </w:rPr>
              <w:t>;</w:t>
            </w:r>
          </w:p>
          <w:p w:rsidR="00FD1B17" w:rsidRPr="00CC119A" w:rsidRDefault="00FD1B17" w:rsidP="00FD1B17">
            <w:pPr>
              <w:pStyle w:val="BodyText"/>
              <w:numPr>
                <w:ilvl w:val="0"/>
                <w:numId w:val="14"/>
              </w:numPr>
              <w:tabs>
                <w:tab w:val="left" w:pos="414"/>
              </w:tabs>
              <w:ind w:left="0" w:firstLine="0"/>
              <w:rPr>
                <w:lang w:val="lv-LV" w:eastAsia="en-US"/>
              </w:rPr>
            </w:pPr>
            <w:r w:rsidRPr="00CC119A">
              <w:rPr>
                <w:lang w:val="lv-LV" w:eastAsia="en-US"/>
              </w:rPr>
              <w:t>Noteikumu projekts paredz</w:t>
            </w:r>
            <w:r w:rsidR="00801999" w:rsidRPr="00CC119A">
              <w:rPr>
                <w:lang w:val="lv-LV" w:eastAsia="en-US"/>
              </w:rPr>
              <w:t>,</w:t>
            </w:r>
            <w:r w:rsidRPr="00CC119A">
              <w:rPr>
                <w:lang w:val="lv-LV" w:eastAsia="en-US"/>
              </w:rPr>
              <w:t xml:space="preserve"> kā atklājama informācija gada pārskatā par kapitālsabiedrības finansiālās darbības ietekmes uz valsts vai pašvaldības budžetu izdevumiem izvērtējumu; </w:t>
            </w:r>
          </w:p>
          <w:p w:rsidR="00C85C47" w:rsidRPr="00CC119A" w:rsidRDefault="00204E3B" w:rsidP="00D61B93">
            <w:pPr>
              <w:pStyle w:val="BodyText"/>
              <w:numPr>
                <w:ilvl w:val="0"/>
                <w:numId w:val="14"/>
              </w:numPr>
              <w:tabs>
                <w:tab w:val="left" w:pos="414"/>
              </w:tabs>
              <w:ind w:left="0" w:firstLine="0"/>
              <w:rPr>
                <w:lang w:val="lv-LV" w:eastAsia="en-US"/>
              </w:rPr>
            </w:pPr>
            <w:r w:rsidRPr="00CC119A">
              <w:rPr>
                <w:lang w:val="lv-LV" w:eastAsia="en-US"/>
              </w:rPr>
              <w:t>Noteikumu projekts novērš</w:t>
            </w:r>
            <w:r w:rsidR="005272F5" w:rsidRPr="00CC119A">
              <w:rPr>
                <w:lang w:val="lv-LV" w:eastAsia="en-US"/>
              </w:rPr>
              <w:t xml:space="preserve"> neatbilstības, kas radušās</w:t>
            </w:r>
            <w:r w:rsidR="00EE0677" w:rsidRPr="00CC119A">
              <w:rPr>
                <w:lang w:val="lv-LV" w:eastAsia="en-US"/>
              </w:rPr>
              <w:t>,</w:t>
            </w:r>
            <w:r w:rsidR="005272F5" w:rsidRPr="00CC119A">
              <w:rPr>
                <w:lang w:val="lv-LV" w:eastAsia="en-US"/>
              </w:rPr>
              <w:t xml:space="preserve"> stājoties spēkā  MK noteikumiem </w:t>
            </w:r>
            <w:proofErr w:type="spellStart"/>
            <w:r w:rsidR="005272F5" w:rsidRPr="00CC119A">
              <w:rPr>
                <w:lang w:val="lv-LV" w:eastAsia="en-US"/>
              </w:rPr>
              <w:t>Nr</w:t>
            </w:r>
            <w:proofErr w:type="spellEnd"/>
            <w:r w:rsidR="005272F5" w:rsidRPr="00CC119A">
              <w:rPr>
                <w:lang w:val="lv-LV" w:eastAsia="en-US"/>
              </w:rPr>
              <w:t>. 1486</w:t>
            </w:r>
            <w:r w:rsidR="00BF644F" w:rsidRPr="00CC119A">
              <w:rPr>
                <w:lang w:val="lv-LV" w:eastAsia="en-US"/>
              </w:rPr>
              <w:t xml:space="preserve"> - f</w:t>
            </w:r>
            <w:r w:rsidR="00C85C47" w:rsidRPr="00CC119A">
              <w:rPr>
                <w:lang w:val="lv-LV" w:eastAsia="en-US"/>
              </w:rPr>
              <w:t>inanšu pārskat</w:t>
            </w:r>
            <w:r w:rsidR="00BF644F" w:rsidRPr="00CC119A">
              <w:rPr>
                <w:lang w:val="lv-LV" w:eastAsia="en-US"/>
              </w:rPr>
              <w:t>ā un tā</w:t>
            </w:r>
            <w:r w:rsidR="00C85C47" w:rsidRPr="00CC119A">
              <w:rPr>
                <w:lang w:val="lv-LV" w:eastAsia="en-US"/>
              </w:rPr>
              <w:t xml:space="preserve"> pielikumos precizēti posteņu kodi un nosaukumi</w:t>
            </w:r>
            <w:r w:rsidRPr="00CC119A">
              <w:rPr>
                <w:lang w:val="lv-LV" w:eastAsia="en-US"/>
              </w:rPr>
              <w:t>, darījumu apraksti</w:t>
            </w:r>
            <w:r w:rsidR="00C85C47" w:rsidRPr="00CC119A">
              <w:rPr>
                <w:lang w:val="lv-LV" w:eastAsia="en-US"/>
              </w:rPr>
              <w:t xml:space="preserve"> atbilstoši i</w:t>
            </w:r>
            <w:r w:rsidR="00FD1B17" w:rsidRPr="00CC119A">
              <w:rPr>
                <w:lang w:val="lv-LV" w:eastAsia="en-US"/>
              </w:rPr>
              <w:t xml:space="preserve">zmaiņām MK noteikumos </w:t>
            </w:r>
            <w:proofErr w:type="spellStart"/>
            <w:r w:rsidR="00FD1B17" w:rsidRPr="00CC119A">
              <w:rPr>
                <w:lang w:val="lv-LV" w:eastAsia="en-US"/>
              </w:rPr>
              <w:t>Nr</w:t>
            </w:r>
            <w:proofErr w:type="spellEnd"/>
            <w:r w:rsidR="00FD1B17" w:rsidRPr="00CC119A">
              <w:rPr>
                <w:lang w:val="lv-LV" w:eastAsia="en-US"/>
              </w:rPr>
              <w:t>. 1486;</w:t>
            </w:r>
          </w:p>
          <w:p w:rsidR="00C85C47" w:rsidRPr="00CC119A" w:rsidRDefault="00D61B93" w:rsidP="00D61B93">
            <w:pPr>
              <w:pStyle w:val="BodyText"/>
              <w:numPr>
                <w:ilvl w:val="0"/>
                <w:numId w:val="14"/>
              </w:numPr>
              <w:tabs>
                <w:tab w:val="left" w:pos="414"/>
              </w:tabs>
              <w:ind w:left="0" w:firstLine="0"/>
              <w:rPr>
                <w:lang w:val="lv-LV" w:eastAsia="en-US"/>
              </w:rPr>
            </w:pPr>
            <w:r w:rsidRPr="00CC119A">
              <w:rPr>
                <w:lang w:val="lv-LV" w:eastAsia="en-US"/>
              </w:rPr>
              <w:t>F</w:t>
            </w:r>
            <w:r w:rsidR="00C85C47" w:rsidRPr="00CC119A">
              <w:rPr>
                <w:lang w:val="lv-LV" w:eastAsia="en-US"/>
              </w:rPr>
              <w:t>inanšu pārskata pielikumos izslēgta izziņas sadaļa par bez atlīdzībā saņemtajiem/ nodotajiem aktīviem pa institucionālajiem sektoriem, samazinot sniedzamās informācijas apjomu, jo informāciju nodrošina datu salīdzināšana starp vispārējās  val</w:t>
            </w:r>
            <w:r w:rsidR="00EE0677" w:rsidRPr="00CC119A">
              <w:rPr>
                <w:lang w:val="lv-LV" w:eastAsia="en-US"/>
              </w:rPr>
              <w:t>d</w:t>
            </w:r>
            <w:r w:rsidR="00C85C47" w:rsidRPr="00CC119A">
              <w:rPr>
                <w:lang w:val="lv-LV" w:eastAsia="en-US"/>
              </w:rPr>
              <w:t xml:space="preserve">ības sektora struktūrām, ko budžeta iestādes </w:t>
            </w:r>
            <w:r w:rsidR="00801999" w:rsidRPr="00CC119A">
              <w:rPr>
                <w:lang w:val="lv-LV" w:eastAsia="en-US"/>
              </w:rPr>
              <w:t xml:space="preserve">veic </w:t>
            </w:r>
            <w:proofErr w:type="spellStart"/>
            <w:r w:rsidR="003216A5" w:rsidRPr="00CC119A">
              <w:rPr>
                <w:lang w:val="lv-LV" w:eastAsia="en-US"/>
              </w:rPr>
              <w:t>ePārskatos</w:t>
            </w:r>
            <w:proofErr w:type="spellEnd"/>
            <w:r w:rsidR="00260E09" w:rsidRPr="00CC119A">
              <w:rPr>
                <w:lang w:val="lv-LV" w:eastAsia="en-US"/>
              </w:rPr>
              <w:t>.</w:t>
            </w:r>
          </w:p>
          <w:p w:rsidR="00C85C47" w:rsidRPr="00CC119A" w:rsidRDefault="003C467E" w:rsidP="00D61B93">
            <w:pPr>
              <w:pStyle w:val="BodyText"/>
              <w:numPr>
                <w:ilvl w:val="0"/>
                <w:numId w:val="14"/>
              </w:numPr>
              <w:tabs>
                <w:tab w:val="left" w:pos="414"/>
              </w:tabs>
              <w:ind w:left="0" w:firstLine="0"/>
              <w:rPr>
                <w:lang w:val="lv-LV" w:eastAsia="en-US"/>
              </w:rPr>
            </w:pPr>
            <w:r>
              <w:rPr>
                <w:b/>
                <w:lang w:val="lv-LV" w:eastAsia="en-US"/>
              </w:rPr>
              <w:t>MK noteikumu projekts paredz</w:t>
            </w:r>
            <w:r w:rsidR="00E1789B">
              <w:rPr>
                <w:lang w:val="lv-LV" w:eastAsia="en-US"/>
              </w:rPr>
              <w:t xml:space="preserve">, </w:t>
            </w:r>
            <w:r w:rsidR="00E1789B">
              <w:rPr>
                <w:b/>
                <w:lang w:val="lv-LV" w:eastAsia="en-US"/>
              </w:rPr>
              <w:t>ka pašvaldības sagatavo apliecinājumu par vadī</w:t>
            </w:r>
            <w:r>
              <w:rPr>
                <w:b/>
                <w:lang w:val="lv-LV" w:eastAsia="en-US"/>
              </w:rPr>
              <w:t>bas atbildību finanšu ministram, norādot</w:t>
            </w:r>
            <w:r w:rsidR="00E1789B">
              <w:rPr>
                <w:b/>
                <w:lang w:val="lv-LV" w:eastAsia="en-US"/>
              </w:rPr>
              <w:t xml:space="preserve">, kas jāiekļauj apliecinājumā par vadības atbildību finanšu ministram. </w:t>
            </w:r>
          </w:p>
          <w:p w:rsidR="006E4E4B" w:rsidRPr="00CC119A" w:rsidRDefault="00D1250A" w:rsidP="00260E09">
            <w:pPr>
              <w:pStyle w:val="BodyText"/>
              <w:numPr>
                <w:ilvl w:val="0"/>
                <w:numId w:val="14"/>
              </w:numPr>
              <w:tabs>
                <w:tab w:val="left" w:pos="414"/>
              </w:tabs>
              <w:ind w:left="0" w:firstLine="0"/>
              <w:rPr>
                <w:lang w:val="lv-LV" w:eastAsia="en-US"/>
              </w:rPr>
            </w:pPr>
            <w:r w:rsidRPr="00CC119A">
              <w:rPr>
                <w:lang w:val="lv-LV" w:eastAsia="en-US"/>
              </w:rPr>
              <w:t>Lai</w:t>
            </w:r>
            <w:r w:rsidR="006E4E4B" w:rsidRPr="00CC119A">
              <w:rPr>
                <w:lang w:val="lv-LV" w:eastAsia="en-US"/>
              </w:rPr>
              <w:t xml:space="preserve"> uzlabot</w:t>
            </w:r>
            <w:r w:rsidRPr="00CC119A">
              <w:rPr>
                <w:lang w:val="lv-LV" w:eastAsia="en-US"/>
              </w:rPr>
              <w:t>u</w:t>
            </w:r>
            <w:r w:rsidR="006E4E4B" w:rsidRPr="00CC119A">
              <w:rPr>
                <w:lang w:val="lv-LV" w:eastAsia="en-US"/>
              </w:rPr>
              <w:t xml:space="preserve"> pārskatos sniegtās informācijas saprotamīb</w:t>
            </w:r>
            <w:r w:rsidRPr="00CC119A">
              <w:rPr>
                <w:lang w:val="lv-LV" w:eastAsia="en-US"/>
              </w:rPr>
              <w:t>u</w:t>
            </w:r>
            <w:r w:rsidR="006E4E4B" w:rsidRPr="00CC119A">
              <w:rPr>
                <w:lang w:val="lv-LV" w:eastAsia="en-US"/>
              </w:rPr>
              <w:t>, vieglāk</w:t>
            </w:r>
            <w:r w:rsidR="00EE0677" w:rsidRPr="00CC119A">
              <w:rPr>
                <w:lang w:val="lv-LV" w:eastAsia="en-US"/>
              </w:rPr>
              <w:t>u</w:t>
            </w:r>
            <w:r w:rsidR="006E4E4B" w:rsidRPr="00CC119A">
              <w:rPr>
                <w:lang w:val="lv-LV" w:eastAsia="en-US"/>
              </w:rPr>
              <w:t xml:space="preserve"> uzrādīšan</w:t>
            </w:r>
            <w:r w:rsidRPr="00CC119A">
              <w:rPr>
                <w:lang w:val="lv-LV" w:eastAsia="en-US"/>
              </w:rPr>
              <w:t>u</w:t>
            </w:r>
            <w:r w:rsidR="006E4E4B" w:rsidRPr="00CC119A">
              <w:rPr>
                <w:lang w:val="lv-LV" w:eastAsia="en-US"/>
              </w:rPr>
              <w:t xml:space="preserve"> un sniegt</w:t>
            </w:r>
            <w:r w:rsidRPr="00CC119A">
              <w:rPr>
                <w:lang w:val="lv-LV" w:eastAsia="en-US"/>
              </w:rPr>
              <w:t>u</w:t>
            </w:r>
            <w:r w:rsidR="006E4E4B" w:rsidRPr="00CC119A">
              <w:rPr>
                <w:lang w:val="lv-LV" w:eastAsia="en-US"/>
              </w:rPr>
              <w:t xml:space="preserve"> detalizētāk</w:t>
            </w:r>
            <w:r w:rsidRPr="00CC119A">
              <w:rPr>
                <w:lang w:val="lv-LV" w:eastAsia="en-US"/>
              </w:rPr>
              <w:t>us</w:t>
            </w:r>
            <w:r w:rsidR="006E4E4B" w:rsidRPr="00CC119A">
              <w:rPr>
                <w:lang w:val="lv-LV" w:eastAsia="en-US"/>
              </w:rPr>
              <w:t xml:space="preserve"> skaidrojum</w:t>
            </w:r>
            <w:r w:rsidRPr="00CC119A">
              <w:rPr>
                <w:lang w:val="lv-LV" w:eastAsia="en-US"/>
              </w:rPr>
              <w:t>us</w:t>
            </w:r>
            <w:r w:rsidR="006E4E4B" w:rsidRPr="00CC119A">
              <w:rPr>
                <w:lang w:val="lv-LV" w:eastAsia="en-US"/>
              </w:rPr>
              <w:t>:</w:t>
            </w:r>
          </w:p>
          <w:p w:rsidR="006E4E4B" w:rsidRPr="00CC119A" w:rsidRDefault="006E4E4B" w:rsidP="00D61B93">
            <w:pPr>
              <w:pStyle w:val="BodyText"/>
              <w:numPr>
                <w:ilvl w:val="1"/>
                <w:numId w:val="14"/>
              </w:numPr>
              <w:tabs>
                <w:tab w:val="left" w:pos="556"/>
              </w:tabs>
              <w:ind w:left="0" w:firstLine="0"/>
              <w:rPr>
                <w:lang w:val="lv-LV" w:eastAsia="en-US"/>
              </w:rPr>
            </w:pPr>
            <w:r w:rsidRPr="00CC119A">
              <w:rPr>
                <w:lang w:val="lv-LV" w:eastAsia="en-US"/>
              </w:rPr>
              <w:t xml:space="preserve">precizētas normas par konsolidētā gada pārskata sagatavošanu; </w:t>
            </w:r>
          </w:p>
          <w:p w:rsidR="00C82F86" w:rsidRPr="00CC119A" w:rsidRDefault="00C82F86" w:rsidP="00D61B93">
            <w:pPr>
              <w:pStyle w:val="BodyText"/>
              <w:numPr>
                <w:ilvl w:val="1"/>
                <w:numId w:val="14"/>
              </w:numPr>
              <w:tabs>
                <w:tab w:val="left" w:pos="556"/>
              </w:tabs>
              <w:ind w:left="0" w:firstLine="0"/>
              <w:rPr>
                <w:lang w:val="lv-LV" w:eastAsia="en-US"/>
              </w:rPr>
            </w:pPr>
            <w:r w:rsidRPr="00CC119A">
              <w:rPr>
                <w:lang w:val="lv-LV" w:eastAsia="en-US"/>
              </w:rPr>
              <w:t>precizētas normas par grāmatvedības pamatprincipu apraksta pievienošanu nozares</w:t>
            </w:r>
            <w:r w:rsidR="00E703A1" w:rsidRPr="00CC119A">
              <w:rPr>
                <w:lang w:val="lv-LV" w:eastAsia="en-US"/>
              </w:rPr>
              <w:t xml:space="preserve"> vai</w:t>
            </w:r>
            <w:r w:rsidRPr="00CC119A">
              <w:rPr>
                <w:lang w:val="lv-LV" w:eastAsia="en-US"/>
              </w:rPr>
              <w:t xml:space="preserve"> pašvaldības un</w:t>
            </w:r>
            <w:r w:rsidR="00E703A1" w:rsidRPr="00CC119A">
              <w:rPr>
                <w:lang w:val="lv-LV" w:eastAsia="en-US"/>
              </w:rPr>
              <w:t xml:space="preserve"> budžeta</w:t>
            </w:r>
            <w:r w:rsidRPr="00CC119A">
              <w:rPr>
                <w:lang w:val="lv-LV" w:eastAsia="en-US"/>
              </w:rPr>
              <w:t xml:space="preserve"> iestāžu gada pārskatos;</w:t>
            </w:r>
          </w:p>
          <w:p w:rsidR="006E4E4B" w:rsidRPr="00CC119A" w:rsidRDefault="006E4E4B" w:rsidP="00D61B93">
            <w:pPr>
              <w:pStyle w:val="BodyText"/>
              <w:numPr>
                <w:ilvl w:val="1"/>
                <w:numId w:val="14"/>
              </w:numPr>
              <w:tabs>
                <w:tab w:val="left" w:pos="556"/>
              </w:tabs>
              <w:ind w:left="0" w:firstLine="0"/>
              <w:rPr>
                <w:lang w:val="lv-LV" w:eastAsia="en-US"/>
              </w:rPr>
            </w:pPr>
            <w:r w:rsidRPr="00CC119A">
              <w:rPr>
                <w:lang w:val="lv-LV" w:eastAsia="en-US"/>
              </w:rPr>
              <w:t xml:space="preserve">precizētas normas par </w:t>
            </w:r>
            <w:r w:rsidR="00D1250A" w:rsidRPr="00CC119A">
              <w:rPr>
                <w:lang w:val="lv-LV" w:eastAsia="en-US"/>
              </w:rPr>
              <w:t xml:space="preserve">korekciju, kuras attiecas uz </w:t>
            </w:r>
            <w:r w:rsidRPr="00CC119A">
              <w:rPr>
                <w:lang w:val="lv-LV" w:eastAsia="en-US"/>
              </w:rPr>
              <w:t>iepriekšēj</w:t>
            </w:r>
            <w:r w:rsidR="00D1250A" w:rsidRPr="00CC119A">
              <w:rPr>
                <w:lang w:val="lv-LV" w:eastAsia="en-US"/>
              </w:rPr>
              <w:t>iem</w:t>
            </w:r>
            <w:r w:rsidRPr="00CC119A">
              <w:rPr>
                <w:lang w:val="lv-LV" w:eastAsia="en-US"/>
              </w:rPr>
              <w:t xml:space="preserve"> period</w:t>
            </w:r>
            <w:r w:rsidR="00D1250A" w:rsidRPr="00CC119A">
              <w:rPr>
                <w:lang w:val="lv-LV" w:eastAsia="en-US"/>
              </w:rPr>
              <w:t>iem</w:t>
            </w:r>
            <w:r w:rsidR="00EE0677" w:rsidRPr="00CC119A">
              <w:rPr>
                <w:lang w:val="lv-LV" w:eastAsia="en-US"/>
              </w:rPr>
              <w:t>,</w:t>
            </w:r>
            <w:r w:rsidRPr="00CC119A">
              <w:rPr>
                <w:lang w:val="lv-LV" w:eastAsia="en-US"/>
              </w:rPr>
              <w:t xml:space="preserve"> uzrādīšanu pārskatos pārskata gadā</w:t>
            </w:r>
            <w:r w:rsidR="00EE0677" w:rsidRPr="00CC119A">
              <w:rPr>
                <w:lang w:val="lv-LV" w:eastAsia="en-US"/>
              </w:rPr>
              <w:t>;</w:t>
            </w:r>
          </w:p>
          <w:p w:rsidR="00C85C47" w:rsidRPr="00CC119A" w:rsidRDefault="00C85C47" w:rsidP="00D61B93">
            <w:pPr>
              <w:pStyle w:val="BodyText"/>
              <w:numPr>
                <w:ilvl w:val="1"/>
                <w:numId w:val="14"/>
              </w:numPr>
              <w:tabs>
                <w:tab w:val="left" w:pos="556"/>
              </w:tabs>
              <w:ind w:left="0" w:firstLine="0"/>
              <w:rPr>
                <w:lang w:val="lv-LV" w:eastAsia="en-US"/>
              </w:rPr>
            </w:pPr>
            <w:r w:rsidRPr="00CC119A">
              <w:rPr>
                <w:lang w:val="lv-LV" w:eastAsia="en-US"/>
              </w:rPr>
              <w:t>finanšu pārskata pielikums</w:t>
            </w:r>
            <w:r w:rsidR="00D1250A" w:rsidRPr="00CC119A">
              <w:rPr>
                <w:lang w:val="lv-LV" w:eastAsia="en-US"/>
              </w:rPr>
              <w:t xml:space="preserve"> „P</w:t>
            </w:r>
            <w:r w:rsidRPr="00CC119A">
              <w:rPr>
                <w:lang w:val="lv-LV" w:eastAsia="en-US"/>
              </w:rPr>
              <w:t>ārskats par nomas līgumiem</w:t>
            </w:r>
            <w:r w:rsidR="00D1250A" w:rsidRPr="00CC119A">
              <w:rPr>
                <w:lang w:val="lv-LV" w:eastAsia="en-US"/>
              </w:rPr>
              <w:t>”</w:t>
            </w:r>
            <w:r w:rsidRPr="00CC119A">
              <w:rPr>
                <w:lang w:val="lv-LV" w:eastAsia="en-US"/>
              </w:rPr>
              <w:t xml:space="preserve"> sadalīts trīs atsevišķos pārskatos: „Informācija par </w:t>
            </w:r>
            <w:r w:rsidRPr="00CC119A">
              <w:rPr>
                <w:lang w:val="lv-LV" w:eastAsia="en-US"/>
              </w:rPr>
              <w:lastRenderedPageBreak/>
              <w:t>nomātajiem (izņemot finanšu nomu) aktīviem”, „Informācija par iznomātajiem aktīviem” un „Informācija par finanšu līzingu”, tā atvieglojot informācijas sniegšanu un uzlabojot tās kvalitāti</w:t>
            </w:r>
            <w:r w:rsidR="00EE0677" w:rsidRPr="00CC119A">
              <w:rPr>
                <w:lang w:val="lv-LV" w:eastAsia="en-US"/>
              </w:rPr>
              <w:t>;</w:t>
            </w:r>
          </w:p>
          <w:p w:rsidR="00C85C47" w:rsidRPr="00CC119A" w:rsidRDefault="00C85C47" w:rsidP="00D61B93">
            <w:pPr>
              <w:pStyle w:val="BodyText"/>
              <w:numPr>
                <w:ilvl w:val="1"/>
                <w:numId w:val="14"/>
              </w:numPr>
              <w:tabs>
                <w:tab w:val="left" w:pos="556"/>
              </w:tabs>
              <w:ind w:left="0" w:firstLine="0"/>
              <w:rPr>
                <w:lang w:val="lv-LV" w:eastAsia="en-US"/>
              </w:rPr>
            </w:pPr>
            <w:r w:rsidRPr="00CC119A">
              <w:rPr>
                <w:lang w:val="lv-LV" w:eastAsia="en-US"/>
              </w:rPr>
              <w:t>papildināts skaidrojums par kontā „Nauda ceļā” uzrādāmajiem darījumiem</w:t>
            </w:r>
            <w:r w:rsidR="00EE0677" w:rsidRPr="00CC119A">
              <w:rPr>
                <w:lang w:val="lv-LV" w:eastAsia="en-US"/>
              </w:rPr>
              <w:t>;</w:t>
            </w:r>
          </w:p>
          <w:p w:rsidR="00C85C47" w:rsidRDefault="00C85C47" w:rsidP="00D61B93">
            <w:pPr>
              <w:pStyle w:val="BodyText"/>
              <w:numPr>
                <w:ilvl w:val="1"/>
                <w:numId w:val="14"/>
              </w:numPr>
              <w:tabs>
                <w:tab w:val="left" w:pos="556"/>
              </w:tabs>
              <w:ind w:left="0" w:firstLine="0"/>
              <w:rPr>
                <w:lang w:val="lv-LV"/>
              </w:rPr>
            </w:pPr>
            <w:r w:rsidRPr="00CC119A">
              <w:rPr>
                <w:lang w:val="lv-LV" w:eastAsia="en-US"/>
              </w:rPr>
              <w:t>precizētas normas par salīdzināšanos starp budžeta iestādēm un atbildība savstarpējo darījumu uzrādīšanā pārskatos (konti, kodi)</w:t>
            </w:r>
            <w:r w:rsidR="001D2503">
              <w:rPr>
                <w:lang w:val="lv-LV" w:eastAsia="en-US"/>
              </w:rPr>
              <w:t>;</w:t>
            </w:r>
          </w:p>
          <w:p w:rsidR="001D2503" w:rsidRDefault="001D2503" w:rsidP="002C3DBD">
            <w:pPr>
              <w:pStyle w:val="BodyText"/>
              <w:numPr>
                <w:ilvl w:val="1"/>
                <w:numId w:val="14"/>
              </w:numPr>
              <w:tabs>
                <w:tab w:val="left" w:pos="556"/>
              </w:tabs>
              <w:ind w:left="0" w:firstLine="0"/>
              <w:rPr>
                <w:lang w:val="lv-LV"/>
              </w:rPr>
            </w:pPr>
            <w:r>
              <w:rPr>
                <w:lang w:val="lv-LV" w:eastAsia="en-US"/>
              </w:rPr>
              <w:t>precizētas normas par Valsts kas</w:t>
            </w:r>
            <w:r w:rsidR="002C3DBD">
              <w:rPr>
                <w:lang w:val="lv-LV" w:eastAsia="en-US"/>
              </w:rPr>
              <w:t>es kopsavilkumu datu uzrādīšanu iestādes budžeta izpildes pārskatā;</w:t>
            </w:r>
          </w:p>
          <w:p w:rsidR="00C554CF" w:rsidRPr="00C554CF" w:rsidRDefault="00C554CF" w:rsidP="003C467E">
            <w:pPr>
              <w:pStyle w:val="BodyText"/>
              <w:numPr>
                <w:ilvl w:val="1"/>
                <w:numId w:val="14"/>
              </w:numPr>
              <w:tabs>
                <w:tab w:val="left" w:pos="556"/>
              </w:tabs>
              <w:ind w:left="0" w:firstLine="0"/>
              <w:rPr>
                <w:b/>
                <w:lang w:val="lv-LV"/>
              </w:rPr>
            </w:pPr>
            <w:r w:rsidRPr="00C554CF">
              <w:rPr>
                <w:b/>
                <w:lang w:val="lv-LV" w:eastAsia="en-US"/>
              </w:rPr>
              <w:t xml:space="preserve">noteikts, ka valsts budžeta iestādes </w:t>
            </w:r>
            <w:r w:rsidR="00EB689A">
              <w:rPr>
                <w:b/>
                <w:lang w:val="lv-LV" w:eastAsia="en-US"/>
              </w:rPr>
              <w:t xml:space="preserve">sagatavojot </w:t>
            </w:r>
            <w:r w:rsidR="00EB689A" w:rsidRPr="00C554CF">
              <w:rPr>
                <w:b/>
                <w:lang w:val="lv-LV" w:eastAsia="en-US"/>
              </w:rPr>
              <w:t>pārskatu par budžeta izpildi (ziedojumi un dāvinājumi)</w:t>
            </w:r>
            <w:r w:rsidR="00EB689A">
              <w:rPr>
                <w:b/>
                <w:lang w:val="lv-LV" w:eastAsia="en-US"/>
              </w:rPr>
              <w:t xml:space="preserve">  un </w:t>
            </w:r>
            <w:r w:rsidR="00EB689A" w:rsidRPr="00EB689A">
              <w:rPr>
                <w:b/>
                <w:lang w:val="lv-LV" w:eastAsia="en-US"/>
              </w:rPr>
              <w:t>no valsts budžeta daļēji finansētas atvasinātas publiskas personas, budžeta nefinansētas iestādes</w:t>
            </w:r>
            <w:r w:rsidR="00EB689A">
              <w:rPr>
                <w:b/>
                <w:lang w:val="lv-LV" w:eastAsia="en-US"/>
              </w:rPr>
              <w:t xml:space="preserve"> sagatavojot pārskatu par budžeta izpildi (pamatdarbība, ziedojumi/ dāvinājumi) </w:t>
            </w:r>
            <w:r w:rsidR="008F23E1">
              <w:rPr>
                <w:b/>
                <w:lang w:val="lv-LV" w:eastAsia="en-US"/>
              </w:rPr>
              <w:t>aizpilda ailes „Likums/ plāns gadam”</w:t>
            </w:r>
            <w:r w:rsidR="00EB689A">
              <w:rPr>
                <w:b/>
                <w:lang w:val="lv-LV" w:eastAsia="en-US"/>
              </w:rPr>
              <w:t>.</w:t>
            </w:r>
          </w:p>
        </w:tc>
      </w:tr>
      <w:tr w:rsidR="009D64B9" w:rsidRPr="00A83BDB" w:rsidTr="00A83BDB">
        <w:tc>
          <w:tcPr>
            <w:tcW w:w="396" w:type="dxa"/>
            <w:shd w:val="clear" w:color="auto" w:fill="auto"/>
          </w:tcPr>
          <w:p w:rsidR="009D64B9" w:rsidRDefault="009D64B9" w:rsidP="001F20CA">
            <w:pPr>
              <w:pStyle w:val="NormalWeb"/>
            </w:pPr>
            <w:r>
              <w:lastRenderedPageBreak/>
              <w:t>5.</w:t>
            </w:r>
          </w:p>
        </w:tc>
        <w:tc>
          <w:tcPr>
            <w:tcW w:w="2592" w:type="dxa"/>
            <w:shd w:val="clear" w:color="auto" w:fill="auto"/>
          </w:tcPr>
          <w:p w:rsidR="009D64B9" w:rsidRDefault="009D64B9" w:rsidP="001F20CA">
            <w:pPr>
              <w:pStyle w:val="NormalWeb"/>
            </w:pPr>
            <w:r>
              <w:t>Projekta izstrādē iesaistītās institūcijas</w:t>
            </w:r>
          </w:p>
        </w:tc>
        <w:tc>
          <w:tcPr>
            <w:tcW w:w="6300" w:type="dxa"/>
            <w:shd w:val="clear" w:color="auto" w:fill="auto"/>
          </w:tcPr>
          <w:p w:rsidR="009D64B9" w:rsidRPr="00412614" w:rsidRDefault="00D56597" w:rsidP="00845533">
            <w:pPr>
              <w:pStyle w:val="NormalWeb"/>
              <w:spacing w:before="0" w:beforeAutospacing="0" w:after="0" w:afterAutospacing="0"/>
              <w:jc w:val="both"/>
            </w:pPr>
            <w:r w:rsidRPr="00412614">
              <w:t>Projekt</w:t>
            </w:r>
            <w:r w:rsidR="00845533">
              <w:t>a</w:t>
            </w:r>
            <w:r w:rsidRPr="00412614">
              <w:t xml:space="preserve"> </w:t>
            </w:r>
            <w:r w:rsidR="00845533">
              <w:t>izstrādē piedalījās Iekšlietu ministrijas un Ventspils pilsētas atbildīgie finanšu darbinieki.</w:t>
            </w:r>
          </w:p>
        </w:tc>
      </w:tr>
      <w:tr w:rsidR="009D64B9" w:rsidTr="00A83BDB">
        <w:tc>
          <w:tcPr>
            <w:tcW w:w="396" w:type="dxa"/>
            <w:shd w:val="clear" w:color="auto" w:fill="auto"/>
          </w:tcPr>
          <w:p w:rsidR="009D64B9" w:rsidRDefault="009D64B9" w:rsidP="001F20CA">
            <w:pPr>
              <w:pStyle w:val="NormalWeb"/>
            </w:pPr>
            <w:r>
              <w:t>6.</w:t>
            </w:r>
          </w:p>
        </w:tc>
        <w:tc>
          <w:tcPr>
            <w:tcW w:w="2592" w:type="dxa"/>
            <w:shd w:val="clear" w:color="auto" w:fill="auto"/>
          </w:tcPr>
          <w:p w:rsidR="009D64B9" w:rsidRDefault="009D64B9" w:rsidP="002372C0">
            <w:pPr>
              <w:pStyle w:val="NormalWeb"/>
              <w:jc w:val="both"/>
            </w:pPr>
            <w:r>
              <w:t>Iemesli, kādēļ netika nodrošināta sabiedrības līdzdalība</w:t>
            </w:r>
          </w:p>
        </w:tc>
        <w:tc>
          <w:tcPr>
            <w:tcW w:w="6300" w:type="dxa"/>
            <w:shd w:val="clear" w:color="auto" w:fill="auto"/>
          </w:tcPr>
          <w:p w:rsidR="009D64B9" w:rsidRDefault="009D64B9" w:rsidP="00103DC9">
            <w:pPr>
              <w:pStyle w:val="NormalWeb"/>
              <w:jc w:val="both"/>
            </w:pPr>
            <w:r w:rsidRPr="004505CC">
              <w:t>Noteikumu projekts</w:t>
            </w:r>
            <w:r>
              <w:t xml:space="preserve"> attiecināms uz institūcijām – budžeta iestādēm, ministrijām un centrālajām valsts iestādēm, pašvaldībām, no valsts budžeta daļēji finansētām atvasinātām publiskām personām, tādēļ ar sabiedrības līdzdalība nebija nepieciešama</w:t>
            </w:r>
          </w:p>
        </w:tc>
      </w:tr>
      <w:tr w:rsidR="009D64B9" w:rsidRPr="00A83BDB" w:rsidTr="00A83BDB">
        <w:tc>
          <w:tcPr>
            <w:tcW w:w="396" w:type="dxa"/>
            <w:shd w:val="clear" w:color="auto" w:fill="auto"/>
          </w:tcPr>
          <w:p w:rsidR="009D64B9" w:rsidRDefault="009D64B9" w:rsidP="001F20CA">
            <w:pPr>
              <w:pStyle w:val="NormalWeb"/>
            </w:pPr>
            <w:r>
              <w:t>7.</w:t>
            </w:r>
          </w:p>
        </w:tc>
        <w:tc>
          <w:tcPr>
            <w:tcW w:w="2592" w:type="dxa"/>
            <w:shd w:val="clear" w:color="auto" w:fill="auto"/>
          </w:tcPr>
          <w:p w:rsidR="009D64B9" w:rsidRDefault="009D64B9" w:rsidP="001F20CA">
            <w:pPr>
              <w:pStyle w:val="NormalWeb"/>
            </w:pPr>
            <w:r>
              <w:t>Cita informācija</w:t>
            </w:r>
          </w:p>
        </w:tc>
        <w:tc>
          <w:tcPr>
            <w:tcW w:w="6300" w:type="dxa"/>
            <w:shd w:val="clear" w:color="auto" w:fill="auto"/>
          </w:tcPr>
          <w:p w:rsidR="009D64B9" w:rsidRPr="00A973DE" w:rsidRDefault="00BD695D" w:rsidP="00400C92">
            <w:pPr>
              <w:pStyle w:val="ListParagraph"/>
              <w:numPr>
                <w:ilvl w:val="0"/>
                <w:numId w:val="20"/>
              </w:numPr>
              <w:ind w:left="0" w:firstLine="34"/>
              <w:jc w:val="both"/>
              <w:rPr>
                <w:sz w:val="24"/>
                <w:szCs w:val="24"/>
                <w:lang w:val="lv-LV"/>
              </w:rPr>
            </w:pPr>
            <w:r w:rsidRPr="00A973DE">
              <w:rPr>
                <w:sz w:val="24"/>
                <w:szCs w:val="24"/>
                <w:lang w:val="lv-LV"/>
              </w:rPr>
              <w:t xml:space="preserve">Valsts kase </w:t>
            </w:r>
            <w:r w:rsidR="00B84421" w:rsidRPr="00A973DE">
              <w:rPr>
                <w:sz w:val="24"/>
                <w:szCs w:val="24"/>
                <w:lang w:val="lv-LV"/>
              </w:rPr>
              <w:t>interneta vietnē publicē</w:t>
            </w:r>
            <w:r w:rsidRPr="00A973DE">
              <w:rPr>
                <w:sz w:val="24"/>
                <w:szCs w:val="24"/>
                <w:lang w:val="lv-LV"/>
              </w:rPr>
              <w:t xml:space="preserve"> gada pārskata elektronisko datu apmaiņas formātu (</w:t>
            </w:r>
            <w:proofErr w:type="spellStart"/>
            <w:r w:rsidRPr="00A973DE">
              <w:rPr>
                <w:sz w:val="24"/>
                <w:szCs w:val="24"/>
                <w:lang w:val="lv-LV"/>
              </w:rPr>
              <w:t>xml</w:t>
            </w:r>
            <w:proofErr w:type="spellEnd"/>
            <w:r w:rsidRPr="00A973DE">
              <w:rPr>
                <w:sz w:val="24"/>
                <w:szCs w:val="24"/>
                <w:lang w:val="lv-LV"/>
              </w:rPr>
              <w:t xml:space="preserve"> aprakstu), lai nodrošinātu  grāmatvedības uzskaites sistēm</w:t>
            </w:r>
            <w:r w:rsidR="00105B37" w:rsidRPr="00A973DE">
              <w:rPr>
                <w:sz w:val="24"/>
                <w:szCs w:val="24"/>
                <w:lang w:val="lv-LV"/>
              </w:rPr>
              <w:t xml:space="preserve">u datu eksportu </w:t>
            </w:r>
            <w:r w:rsidRPr="00A973DE">
              <w:rPr>
                <w:sz w:val="24"/>
                <w:szCs w:val="24"/>
                <w:lang w:val="lv-LV"/>
              </w:rPr>
              <w:t xml:space="preserve">uz </w:t>
            </w:r>
            <w:proofErr w:type="spellStart"/>
            <w:r w:rsidRPr="00A973DE">
              <w:rPr>
                <w:sz w:val="24"/>
                <w:szCs w:val="24"/>
                <w:lang w:val="lv-LV"/>
              </w:rPr>
              <w:t>ePārskat</w:t>
            </w:r>
            <w:r w:rsidR="00105B37" w:rsidRPr="00A973DE">
              <w:rPr>
                <w:sz w:val="24"/>
                <w:szCs w:val="24"/>
                <w:lang w:val="lv-LV"/>
              </w:rPr>
              <w:t>u</w:t>
            </w:r>
            <w:proofErr w:type="spellEnd"/>
            <w:r w:rsidR="00105B37" w:rsidRPr="00A973DE">
              <w:rPr>
                <w:sz w:val="24"/>
                <w:szCs w:val="24"/>
                <w:lang w:val="lv-LV"/>
              </w:rPr>
              <w:t xml:space="preserve"> sistēmu.</w:t>
            </w:r>
          </w:p>
          <w:p w:rsidR="000A5D04" w:rsidRPr="00400C92" w:rsidRDefault="000A5D04" w:rsidP="00400C92">
            <w:pPr>
              <w:pStyle w:val="ListParagraph"/>
              <w:numPr>
                <w:ilvl w:val="0"/>
                <w:numId w:val="20"/>
              </w:numPr>
              <w:ind w:left="0" w:firstLine="34"/>
              <w:jc w:val="both"/>
              <w:rPr>
                <w:b/>
              </w:rPr>
            </w:pPr>
            <w:r w:rsidRPr="00A973DE">
              <w:rPr>
                <w:b/>
                <w:sz w:val="24"/>
                <w:szCs w:val="24"/>
                <w:lang w:val="lv-LV"/>
              </w:rPr>
              <w:t>MK noteikumu projekta 34.punkts paredz iestādei, kas veic konsolidāciju un Valsts kasei saskaņot Valsts drošības iestāžu likumā minētās valsts drošības iestādes finanšu pārskata datu uzrādīšanu ministrijas konsolidētajā finanšu pārskatā. Ņemot vērā iepriekšējo pieredzi, Valsts kase uzaicinās atbildīgo ministriju amatpersonas vienošanās protokola par datu</w:t>
            </w:r>
            <w:r w:rsidRPr="00A973DE">
              <w:rPr>
                <w:b/>
                <w:sz w:val="24"/>
                <w:szCs w:val="24"/>
              </w:rPr>
              <w:t xml:space="preserve"> uzrādīšanu saskaņošanai un parakstīšanai.</w:t>
            </w:r>
            <w:r w:rsidRPr="00400C92">
              <w:rPr>
                <w:b/>
              </w:rPr>
              <w:t xml:space="preserve"> </w:t>
            </w:r>
          </w:p>
        </w:tc>
      </w:tr>
    </w:tbl>
    <w:p w:rsidR="000F41F1" w:rsidRDefault="000F41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1980"/>
        <w:gridCol w:w="6839"/>
      </w:tblGrid>
      <w:tr w:rsidR="006C4EB7" w:rsidTr="00A83BDB">
        <w:tc>
          <w:tcPr>
            <w:tcW w:w="9288" w:type="dxa"/>
            <w:gridSpan w:val="3"/>
            <w:shd w:val="clear" w:color="auto" w:fill="auto"/>
          </w:tcPr>
          <w:p w:rsidR="006C4EB7" w:rsidRDefault="006C4EB7" w:rsidP="00A83BDB">
            <w:pPr>
              <w:pStyle w:val="NormalWeb"/>
              <w:jc w:val="center"/>
            </w:pPr>
            <w:r w:rsidRPr="00A83BDB">
              <w:rPr>
                <w:b/>
                <w:bCs/>
              </w:rPr>
              <w:t>II. Tiesību akta projekta ietekme uz sabiedrību</w:t>
            </w:r>
          </w:p>
        </w:tc>
      </w:tr>
      <w:tr w:rsidR="006C4EB7" w:rsidTr="00A83BDB">
        <w:tc>
          <w:tcPr>
            <w:tcW w:w="468" w:type="dxa"/>
            <w:shd w:val="clear" w:color="auto" w:fill="auto"/>
          </w:tcPr>
          <w:p w:rsidR="006C4EB7" w:rsidRDefault="006C4EB7" w:rsidP="001F20CA">
            <w:pPr>
              <w:pStyle w:val="NormalWeb"/>
            </w:pPr>
            <w:r>
              <w:t>1.</w:t>
            </w:r>
          </w:p>
        </w:tc>
        <w:tc>
          <w:tcPr>
            <w:tcW w:w="1980" w:type="dxa"/>
            <w:shd w:val="clear" w:color="auto" w:fill="auto"/>
          </w:tcPr>
          <w:p w:rsidR="006C4EB7" w:rsidRDefault="006C4EB7" w:rsidP="001F20CA">
            <w:pPr>
              <w:pStyle w:val="NormalWeb"/>
            </w:pPr>
            <w:r>
              <w:t xml:space="preserve">Sabiedrības </w:t>
            </w:r>
            <w:proofErr w:type="spellStart"/>
            <w:r>
              <w:t>mērķgrupa</w:t>
            </w:r>
            <w:proofErr w:type="spellEnd"/>
          </w:p>
        </w:tc>
        <w:tc>
          <w:tcPr>
            <w:tcW w:w="6840" w:type="dxa"/>
            <w:shd w:val="clear" w:color="auto" w:fill="auto"/>
          </w:tcPr>
          <w:p w:rsidR="006C4EB7" w:rsidRPr="00D46EA7" w:rsidRDefault="008E62FB" w:rsidP="007A0BB1">
            <w:pPr>
              <w:pStyle w:val="NormalWeb"/>
              <w:jc w:val="both"/>
            </w:pPr>
            <w:r>
              <w:t>Noteikumu projekts attiecas uz budžeta iestāžu, no budžeta daļēji finansētu atvasinātu publisku personu un budžeta nefinansētu iestāžu – kopā 2334 – pārskatu sagatavošanā iesaistītajiem darbiniekiem.</w:t>
            </w:r>
          </w:p>
        </w:tc>
      </w:tr>
      <w:tr w:rsidR="006C4EB7" w:rsidTr="00A83BDB">
        <w:tc>
          <w:tcPr>
            <w:tcW w:w="468" w:type="dxa"/>
            <w:shd w:val="clear" w:color="auto" w:fill="auto"/>
          </w:tcPr>
          <w:p w:rsidR="006C4EB7" w:rsidRDefault="006C4EB7" w:rsidP="001F20CA">
            <w:pPr>
              <w:pStyle w:val="NormalWeb"/>
            </w:pPr>
            <w:r>
              <w:t>2.</w:t>
            </w:r>
          </w:p>
        </w:tc>
        <w:tc>
          <w:tcPr>
            <w:tcW w:w="1980" w:type="dxa"/>
            <w:shd w:val="clear" w:color="auto" w:fill="auto"/>
          </w:tcPr>
          <w:p w:rsidR="006C4EB7" w:rsidRDefault="006C4EB7" w:rsidP="001F20CA">
            <w:pPr>
              <w:pStyle w:val="NormalWeb"/>
            </w:pPr>
            <w:r>
              <w:t xml:space="preserve">Citas sabiedrības grupas (bez </w:t>
            </w:r>
            <w:proofErr w:type="spellStart"/>
            <w:r>
              <w:t>mērķgrupas</w:t>
            </w:r>
            <w:proofErr w:type="spellEnd"/>
            <w:r>
              <w:t xml:space="preserve">), kuras tiesiskais regulējums arī ietekmē vai </w:t>
            </w:r>
            <w:r>
              <w:lastRenderedPageBreak/>
              <w:t>varētu ietekmēt</w:t>
            </w:r>
          </w:p>
        </w:tc>
        <w:tc>
          <w:tcPr>
            <w:tcW w:w="6840" w:type="dxa"/>
            <w:shd w:val="clear" w:color="auto" w:fill="auto"/>
          </w:tcPr>
          <w:p w:rsidR="006C4EB7" w:rsidRPr="00D46EA7" w:rsidRDefault="008E62FB" w:rsidP="00A83BDB">
            <w:pPr>
              <w:pStyle w:val="NormalWeb"/>
              <w:jc w:val="both"/>
            </w:pPr>
            <w:r>
              <w:lastRenderedPageBreak/>
              <w:t xml:space="preserve">Zvērināti revidenti, kas sniedz ziņojumu par </w:t>
            </w:r>
            <w:r w:rsidR="00EF3CB7">
              <w:rPr>
                <w:b/>
              </w:rPr>
              <w:t>pašvaldību</w:t>
            </w:r>
            <w:r>
              <w:t xml:space="preserve"> gada pārskata sagatavošanas pareizību.  Skaitlisko lielumu nevar noteikt, jo nav zināms, cik katrs zvērināts revidents ir noslēdzis līgumus ar pašvaldībām un no valsts budžeta daļēji finansētām atvasinātām publiskām personām. Maksimālais skaits var sasniegts ~ 120.</w:t>
            </w:r>
          </w:p>
        </w:tc>
      </w:tr>
      <w:tr w:rsidR="006C4EB7" w:rsidTr="00A83BDB">
        <w:tc>
          <w:tcPr>
            <w:tcW w:w="468" w:type="dxa"/>
            <w:shd w:val="clear" w:color="auto" w:fill="auto"/>
          </w:tcPr>
          <w:p w:rsidR="006C4EB7" w:rsidRDefault="006C4EB7" w:rsidP="001F20CA">
            <w:pPr>
              <w:pStyle w:val="NormalWeb"/>
            </w:pPr>
            <w:r>
              <w:lastRenderedPageBreak/>
              <w:t>3.</w:t>
            </w:r>
          </w:p>
        </w:tc>
        <w:tc>
          <w:tcPr>
            <w:tcW w:w="1980" w:type="dxa"/>
            <w:shd w:val="clear" w:color="auto" w:fill="auto"/>
          </w:tcPr>
          <w:p w:rsidR="006C4EB7" w:rsidRDefault="006C4EB7" w:rsidP="001F20CA">
            <w:pPr>
              <w:pStyle w:val="NormalWeb"/>
            </w:pPr>
            <w:r>
              <w:t>Tiesiskā regulējuma finansiālā ietekme</w:t>
            </w:r>
          </w:p>
        </w:tc>
        <w:tc>
          <w:tcPr>
            <w:tcW w:w="6840" w:type="dxa"/>
            <w:shd w:val="clear" w:color="auto" w:fill="auto"/>
          </w:tcPr>
          <w:p w:rsidR="006C4EB7" w:rsidRPr="00D46EA7" w:rsidRDefault="00EA0CB5" w:rsidP="001F20CA">
            <w:pPr>
              <w:pStyle w:val="NormalWeb"/>
            </w:pPr>
            <w:r w:rsidRPr="00D46EA7">
              <w:t>Projekts šo jomu neskar</w:t>
            </w:r>
          </w:p>
        </w:tc>
      </w:tr>
      <w:tr w:rsidR="006C4EB7" w:rsidTr="00A83BDB">
        <w:tc>
          <w:tcPr>
            <w:tcW w:w="468" w:type="dxa"/>
            <w:shd w:val="clear" w:color="auto" w:fill="auto"/>
          </w:tcPr>
          <w:p w:rsidR="006C4EB7" w:rsidRDefault="006C4EB7" w:rsidP="001F20CA">
            <w:pPr>
              <w:pStyle w:val="NormalWeb"/>
            </w:pPr>
            <w:r>
              <w:t>4.</w:t>
            </w:r>
          </w:p>
        </w:tc>
        <w:tc>
          <w:tcPr>
            <w:tcW w:w="1980" w:type="dxa"/>
            <w:shd w:val="clear" w:color="auto" w:fill="auto"/>
          </w:tcPr>
          <w:p w:rsidR="006C4EB7" w:rsidRDefault="006C4EB7" w:rsidP="001F20CA">
            <w:pPr>
              <w:pStyle w:val="NormalWeb"/>
            </w:pPr>
            <w:r>
              <w:t>Tiesiskā regulējuma nefinansiālā ietekme</w:t>
            </w:r>
          </w:p>
        </w:tc>
        <w:tc>
          <w:tcPr>
            <w:tcW w:w="6840" w:type="dxa"/>
            <w:shd w:val="clear" w:color="auto" w:fill="auto"/>
          </w:tcPr>
          <w:p w:rsidR="006C4EB7" w:rsidRPr="00D46EA7" w:rsidRDefault="006359F8" w:rsidP="003B1F05">
            <w:pPr>
              <w:pStyle w:val="NormalWeb"/>
              <w:jc w:val="both"/>
            </w:pPr>
            <w:r w:rsidRPr="00D46EA7">
              <w:t>Projekts šo jomu neskar</w:t>
            </w:r>
          </w:p>
        </w:tc>
      </w:tr>
      <w:tr w:rsidR="006C4EB7" w:rsidTr="00A83BDB">
        <w:tc>
          <w:tcPr>
            <w:tcW w:w="468" w:type="dxa"/>
            <w:shd w:val="clear" w:color="auto" w:fill="auto"/>
          </w:tcPr>
          <w:p w:rsidR="006C4EB7" w:rsidRDefault="006C4EB7" w:rsidP="001F20CA">
            <w:pPr>
              <w:pStyle w:val="NormalWeb"/>
            </w:pPr>
            <w:r>
              <w:t>5.</w:t>
            </w:r>
          </w:p>
        </w:tc>
        <w:tc>
          <w:tcPr>
            <w:tcW w:w="1980" w:type="dxa"/>
            <w:shd w:val="clear" w:color="auto" w:fill="auto"/>
          </w:tcPr>
          <w:p w:rsidR="006C4EB7" w:rsidRDefault="006C4EB7" w:rsidP="001F20CA">
            <w:pPr>
              <w:pStyle w:val="NormalWeb"/>
            </w:pPr>
            <w:r>
              <w:t>Administratīvās procedūras raksturojums</w:t>
            </w:r>
          </w:p>
        </w:tc>
        <w:tc>
          <w:tcPr>
            <w:tcW w:w="6840" w:type="dxa"/>
            <w:shd w:val="clear" w:color="auto" w:fill="auto"/>
          </w:tcPr>
          <w:p w:rsidR="00C07AF1" w:rsidRDefault="002363BE" w:rsidP="005D3322">
            <w:pPr>
              <w:pStyle w:val="NormalWeb"/>
              <w:spacing w:before="0" w:beforeAutospacing="0" w:after="0" w:afterAutospacing="0"/>
              <w:jc w:val="both"/>
            </w:pPr>
            <w:r>
              <w:t xml:space="preserve">Noteikumu projekts paredz kārtību, ka reizi gadā budžeta iestādes, no valsts vai pašvaldības budžeta daļēji finansētas atvasinātas publiskas personas un budžeta nefinansētas iestādes sagatavo un iesniedz gada pārskatu elektroniski izmantojot </w:t>
            </w:r>
            <w:proofErr w:type="spellStart"/>
            <w:r w:rsidR="000D7DC7">
              <w:t>ePārskatus</w:t>
            </w:r>
            <w:proofErr w:type="spellEnd"/>
            <w:r>
              <w:t>.</w:t>
            </w:r>
            <w:r w:rsidR="00F36922">
              <w:t xml:space="preserve"> Budžeta iestādes sagatavo, paraksta un iesniedz gada pārskatu iestādei, kas veic konsolidāciju. Iestāde, kas veic konsolidāciju, pārbauda un apkopo padot</w:t>
            </w:r>
            <w:r w:rsidR="009E024C">
              <w:t>ības</w:t>
            </w:r>
            <w:r w:rsidR="00F36922">
              <w:t xml:space="preserve"> iestāžu gada pārskatus, veic konsolidācijas procedūru un sagatavo, paraksta un iesniedz konsolidēto gada pārskatu Valsts kasei </w:t>
            </w:r>
            <w:r w:rsidR="000D7DC7">
              <w:t>L</w:t>
            </w:r>
            <w:r w:rsidR="00F36922">
              <w:t>ikumā par budžetu un finanšu vadību noteiktajā termiņā. Valsts kase veic iesniegto pārskatu pārbaudi, apkopošanu un pieņemšanu, nodrošinot saimnieciskā gada pārskata sagatavošanu atbilsto</w:t>
            </w:r>
            <w:r w:rsidR="000D7DC7">
              <w:t>ši</w:t>
            </w:r>
            <w:r w:rsidR="00F36922">
              <w:t xml:space="preserve"> Ministru kabineta 2012.gada 29.maija noteikumiem </w:t>
            </w:r>
            <w:proofErr w:type="spellStart"/>
            <w:r w:rsidR="00F36922">
              <w:t>Nr</w:t>
            </w:r>
            <w:proofErr w:type="spellEnd"/>
            <w:r w:rsidR="00F36922">
              <w:t>. 375 „</w:t>
            </w:r>
            <w:r w:rsidR="00F36922" w:rsidRPr="00F36922">
              <w:t>Saimnieciskā gada pārskata sagatavošanas kārtība</w:t>
            </w:r>
            <w:r w:rsidR="00F36922">
              <w:t xml:space="preserve">”. </w:t>
            </w:r>
            <w:r w:rsidR="00F36922" w:rsidRPr="00F36922">
              <w:t xml:space="preserve">Ja iestāde gada pārskata sagatavošanai, pārbaudīšanai un parakstīšanai izmanto </w:t>
            </w:r>
            <w:proofErr w:type="spellStart"/>
            <w:r w:rsidR="00F36922" w:rsidRPr="00F36922">
              <w:t>ePārskatus</w:t>
            </w:r>
            <w:proofErr w:type="spellEnd"/>
            <w:r w:rsidR="00F36922" w:rsidRPr="00F36922">
              <w:t xml:space="preserve"> un ievēro šo noteikumu prasības, Valsts kase nodrošina visas šīs lietas iesniegšanu Latvijas Nacionālajā arhīvā.</w:t>
            </w:r>
          </w:p>
        </w:tc>
      </w:tr>
      <w:tr w:rsidR="006C4EB7" w:rsidTr="00A83BDB">
        <w:tc>
          <w:tcPr>
            <w:tcW w:w="468" w:type="dxa"/>
            <w:shd w:val="clear" w:color="auto" w:fill="auto"/>
          </w:tcPr>
          <w:p w:rsidR="006C4EB7" w:rsidRDefault="006C4EB7" w:rsidP="001F20CA">
            <w:pPr>
              <w:pStyle w:val="NormalWeb"/>
            </w:pPr>
            <w:r>
              <w:t>6.</w:t>
            </w:r>
          </w:p>
        </w:tc>
        <w:tc>
          <w:tcPr>
            <w:tcW w:w="1980" w:type="dxa"/>
            <w:shd w:val="clear" w:color="auto" w:fill="auto"/>
          </w:tcPr>
          <w:p w:rsidR="006C4EB7" w:rsidRDefault="006C4EB7" w:rsidP="001F20CA">
            <w:pPr>
              <w:pStyle w:val="NormalWeb"/>
            </w:pPr>
            <w:r>
              <w:t>Administratīvo izmaksu monetārs novērtējums</w:t>
            </w:r>
          </w:p>
        </w:tc>
        <w:tc>
          <w:tcPr>
            <w:tcW w:w="6840" w:type="dxa"/>
            <w:shd w:val="clear" w:color="auto" w:fill="auto"/>
          </w:tcPr>
          <w:p w:rsidR="006C4EB7" w:rsidRDefault="00EA0CB5" w:rsidP="001F20CA">
            <w:pPr>
              <w:pStyle w:val="NormalWeb"/>
            </w:pPr>
            <w:r>
              <w:t>Projekts šo jomu neskar</w:t>
            </w:r>
          </w:p>
        </w:tc>
      </w:tr>
      <w:tr w:rsidR="006C4EB7" w:rsidTr="00A83BDB">
        <w:tc>
          <w:tcPr>
            <w:tcW w:w="468" w:type="dxa"/>
            <w:shd w:val="clear" w:color="auto" w:fill="auto"/>
          </w:tcPr>
          <w:p w:rsidR="006C4EB7" w:rsidRDefault="006C4EB7" w:rsidP="001F20CA">
            <w:pPr>
              <w:pStyle w:val="NormalWeb"/>
            </w:pPr>
            <w:r>
              <w:t>7.</w:t>
            </w:r>
          </w:p>
        </w:tc>
        <w:tc>
          <w:tcPr>
            <w:tcW w:w="1980" w:type="dxa"/>
            <w:shd w:val="clear" w:color="auto" w:fill="auto"/>
          </w:tcPr>
          <w:p w:rsidR="006C4EB7" w:rsidRDefault="006C4EB7" w:rsidP="001F20CA">
            <w:pPr>
              <w:pStyle w:val="NormalWeb"/>
            </w:pPr>
            <w:r>
              <w:t>Cita informācija</w:t>
            </w:r>
          </w:p>
        </w:tc>
        <w:tc>
          <w:tcPr>
            <w:tcW w:w="6840" w:type="dxa"/>
            <w:shd w:val="clear" w:color="auto" w:fill="auto"/>
          </w:tcPr>
          <w:p w:rsidR="006C4EB7" w:rsidRDefault="00393820" w:rsidP="001F20CA">
            <w:pPr>
              <w:pStyle w:val="NormalWeb"/>
            </w:pPr>
            <w:r>
              <w:t>Nav</w:t>
            </w:r>
          </w:p>
        </w:tc>
      </w:tr>
    </w:tbl>
    <w:p w:rsidR="006C4EB7" w:rsidRDefault="006C4EB7"/>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851"/>
        <w:gridCol w:w="1843"/>
        <w:gridCol w:w="1701"/>
        <w:gridCol w:w="1275"/>
        <w:gridCol w:w="1276"/>
      </w:tblGrid>
      <w:tr w:rsidR="009B7092" w:rsidRPr="00992BD4" w:rsidTr="009B7092">
        <w:trPr>
          <w:trHeight w:val="413"/>
        </w:trPr>
        <w:tc>
          <w:tcPr>
            <w:tcW w:w="9356" w:type="dxa"/>
            <w:gridSpan w:val="6"/>
          </w:tcPr>
          <w:p w:rsidR="009B7092" w:rsidRPr="00992BD4" w:rsidRDefault="009B7092" w:rsidP="008C6EF2">
            <w:pPr>
              <w:pStyle w:val="naisnod"/>
              <w:spacing w:before="0" w:after="0"/>
              <w:ind w:left="-18" w:firstLine="18"/>
              <w:rPr>
                <w:i/>
              </w:rPr>
            </w:pPr>
            <w:r w:rsidRPr="00992BD4">
              <w:br w:type="page"/>
              <w:t>III. Tiesību akta projekta ietekme uz valsts budžetu un pašvaldību budžetiem</w:t>
            </w:r>
          </w:p>
        </w:tc>
      </w:tr>
      <w:tr w:rsidR="009B7092" w:rsidRPr="00992BD4" w:rsidTr="009B7092">
        <w:tc>
          <w:tcPr>
            <w:tcW w:w="2410" w:type="dxa"/>
            <w:vMerge w:val="restart"/>
            <w:vAlign w:val="center"/>
          </w:tcPr>
          <w:p w:rsidR="009B7092" w:rsidRPr="00992BD4" w:rsidRDefault="009B7092" w:rsidP="008C6EF2">
            <w:pPr>
              <w:pStyle w:val="naisf"/>
              <w:spacing w:before="0" w:after="0"/>
              <w:ind w:firstLine="0"/>
              <w:jc w:val="center"/>
              <w:rPr>
                <w:b/>
              </w:rPr>
            </w:pPr>
            <w:r w:rsidRPr="00992BD4">
              <w:rPr>
                <w:b/>
              </w:rPr>
              <w:t>Rādītāji</w:t>
            </w:r>
          </w:p>
        </w:tc>
        <w:tc>
          <w:tcPr>
            <w:tcW w:w="2694" w:type="dxa"/>
            <w:gridSpan w:val="2"/>
            <w:vMerge w:val="restart"/>
            <w:vAlign w:val="center"/>
          </w:tcPr>
          <w:p w:rsidR="009B7092" w:rsidRPr="00992BD4" w:rsidRDefault="009B7092" w:rsidP="008C6EF2">
            <w:pPr>
              <w:pStyle w:val="naisf"/>
              <w:spacing w:before="0" w:after="0"/>
              <w:ind w:firstLine="0"/>
              <w:jc w:val="center"/>
              <w:rPr>
                <w:b/>
              </w:rPr>
            </w:pPr>
            <w:r w:rsidRPr="00992BD4">
              <w:rPr>
                <w:b/>
              </w:rPr>
              <w:t>2013. gads</w:t>
            </w:r>
          </w:p>
        </w:tc>
        <w:tc>
          <w:tcPr>
            <w:tcW w:w="4252" w:type="dxa"/>
            <w:gridSpan w:val="3"/>
            <w:vAlign w:val="center"/>
          </w:tcPr>
          <w:p w:rsidR="009B7092" w:rsidRPr="00992BD4" w:rsidRDefault="009B7092" w:rsidP="008C6EF2">
            <w:pPr>
              <w:pStyle w:val="naisf"/>
              <w:spacing w:before="0" w:after="0"/>
              <w:ind w:firstLine="0"/>
              <w:jc w:val="center"/>
              <w:rPr>
                <w:b/>
                <w:i/>
              </w:rPr>
            </w:pPr>
            <w:r w:rsidRPr="00992BD4">
              <w:t>Turpmākie trīs gadi (</w:t>
            </w:r>
            <w:proofErr w:type="spellStart"/>
            <w:r w:rsidRPr="00992BD4">
              <w:t>tūkst</w:t>
            </w:r>
            <w:proofErr w:type="spellEnd"/>
            <w:r w:rsidRPr="00992BD4">
              <w:t xml:space="preserve">. </w:t>
            </w:r>
            <w:proofErr w:type="spellStart"/>
            <w:r w:rsidRPr="00992BD4">
              <w:rPr>
                <w:i/>
              </w:rPr>
              <w:t>euro</w:t>
            </w:r>
            <w:proofErr w:type="spellEnd"/>
            <w:r w:rsidRPr="00992BD4">
              <w:t>)</w:t>
            </w:r>
          </w:p>
        </w:tc>
      </w:tr>
      <w:tr w:rsidR="009B7092" w:rsidRPr="00992BD4" w:rsidTr="009B7092">
        <w:tc>
          <w:tcPr>
            <w:tcW w:w="2410" w:type="dxa"/>
            <w:vMerge/>
            <w:vAlign w:val="center"/>
          </w:tcPr>
          <w:p w:rsidR="009B7092" w:rsidRPr="00992BD4" w:rsidRDefault="009B7092" w:rsidP="008C6EF2">
            <w:pPr>
              <w:pStyle w:val="naisf"/>
              <w:spacing w:before="0" w:after="0"/>
              <w:ind w:firstLine="0"/>
              <w:jc w:val="center"/>
              <w:rPr>
                <w:b/>
                <w:i/>
              </w:rPr>
            </w:pPr>
          </w:p>
        </w:tc>
        <w:tc>
          <w:tcPr>
            <w:tcW w:w="2694" w:type="dxa"/>
            <w:gridSpan w:val="2"/>
            <w:vMerge/>
            <w:vAlign w:val="center"/>
          </w:tcPr>
          <w:p w:rsidR="009B7092" w:rsidRPr="00992BD4" w:rsidRDefault="009B7092" w:rsidP="008C6EF2">
            <w:pPr>
              <w:pStyle w:val="naisf"/>
              <w:spacing w:before="0" w:after="0"/>
              <w:ind w:firstLine="0"/>
              <w:jc w:val="center"/>
              <w:rPr>
                <w:b/>
                <w:i/>
              </w:rPr>
            </w:pPr>
          </w:p>
        </w:tc>
        <w:tc>
          <w:tcPr>
            <w:tcW w:w="1701" w:type="dxa"/>
            <w:vAlign w:val="center"/>
          </w:tcPr>
          <w:p w:rsidR="009B7092" w:rsidRPr="00992BD4" w:rsidRDefault="009B7092" w:rsidP="008C6EF2">
            <w:pPr>
              <w:pStyle w:val="naisf"/>
              <w:spacing w:before="0" w:after="0"/>
              <w:ind w:firstLine="0"/>
              <w:jc w:val="center"/>
              <w:rPr>
                <w:b/>
                <w:i/>
              </w:rPr>
            </w:pPr>
            <w:r w:rsidRPr="00992BD4">
              <w:rPr>
                <w:b/>
              </w:rPr>
              <w:t>2014. gads</w:t>
            </w:r>
          </w:p>
        </w:tc>
        <w:tc>
          <w:tcPr>
            <w:tcW w:w="1275" w:type="dxa"/>
            <w:vAlign w:val="center"/>
          </w:tcPr>
          <w:p w:rsidR="009B7092" w:rsidRPr="00992BD4" w:rsidRDefault="009B7092" w:rsidP="008C6EF2">
            <w:pPr>
              <w:pStyle w:val="naisf"/>
              <w:spacing w:before="0" w:after="0"/>
              <w:ind w:firstLine="0"/>
              <w:jc w:val="center"/>
              <w:rPr>
                <w:b/>
                <w:i/>
              </w:rPr>
            </w:pPr>
            <w:r w:rsidRPr="00992BD4">
              <w:rPr>
                <w:b/>
              </w:rPr>
              <w:t>2015. gads</w:t>
            </w:r>
          </w:p>
        </w:tc>
        <w:tc>
          <w:tcPr>
            <w:tcW w:w="1276" w:type="dxa"/>
            <w:vAlign w:val="center"/>
          </w:tcPr>
          <w:p w:rsidR="009B7092" w:rsidRPr="00992BD4" w:rsidRDefault="009B7092" w:rsidP="008C6EF2">
            <w:pPr>
              <w:pStyle w:val="naisf"/>
              <w:spacing w:before="0" w:after="0"/>
              <w:ind w:firstLine="0"/>
              <w:jc w:val="center"/>
              <w:rPr>
                <w:b/>
                <w:i/>
              </w:rPr>
            </w:pPr>
            <w:r w:rsidRPr="00992BD4">
              <w:rPr>
                <w:b/>
              </w:rPr>
              <w:t>2016. gads</w:t>
            </w:r>
          </w:p>
        </w:tc>
      </w:tr>
      <w:tr w:rsidR="009B7092" w:rsidRPr="00992BD4" w:rsidTr="009B7092">
        <w:tc>
          <w:tcPr>
            <w:tcW w:w="2410" w:type="dxa"/>
            <w:vMerge/>
            <w:vAlign w:val="center"/>
          </w:tcPr>
          <w:p w:rsidR="009B7092" w:rsidRPr="00992BD4" w:rsidRDefault="009B7092" w:rsidP="008C6EF2">
            <w:pPr>
              <w:pStyle w:val="naisf"/>
              <w:spacing w:before="0" w:after="0"/>
              <w:ind w:firstLine="0"/>
              <w:jc w:val="center"/>
              <w:rPr>
                <w:b/>
                <w:i/>
              </w:rPr>
            </w:pPr>
          </w:p>
        </w:tc>
        <w:tc>
          <w:tcPr>
            <w:tcW w:w="851" w:type="dxa"/>
            <w:vAlign w:val="center"/>
          </w:tcPr>
          <w:p w:rsidR="009B7092" w:rsidRPr="007D5F51" w:rsidRDefault="009B7092" w:rsidP="008C6EF2">
            <w:pPr>
              <w:pStyle w:val="naisf"/>
              <w:spacing w:before="0" w:after="0"/>
              <w:ind w:firstLine="0"/>
              <w:jc w:val="center"/>
              <w:rPr>
                <w:b/>
                <w:i/>
                <w:sz w:val="20"/>
                <w:szCs w:val="20"/>
              </w:rPr>
            </w:pPr>
            <w:r w:rsidRPr="007D5F51">
              <w:rPr>
                <w:sz w:val="20"/>
                <w:szCs w:val="20"/>
              </w:rPr>
              <w:t>Saskaņā ar valsts budžetu kārtējam gadam</w:t>
            </w:r>
          </w:p>
        </w:tc>
        <w:tc>
          <w:tcPr>
            <w:tcW w:w="1843" w:type="dxa"/>
            <w:vAlign w:val="center"/>
          </w:tcPr>
          <w:p w:rsidR="009B7092" w:rsidRPr="007D5F51" w:rsidRDefault="009B7092" w:rsidP="008C6EF2">
            <w:pPr>
              <w:pStyle w:val="naisf"/>
              <w:spacing w:before="0" w:after="0"/>
              <w:ind w:firstLine="0"/>
              <w:jc w:val="center"/>
              <w:rPr>
                <w:b/>
                <w:i/>
                <w:sz w:val="20"/>
                <w:szCs w:val="20"/>
              </w:rPr>
            </w:pPr>
            <w:r w:rsidRPr="007D5F51">
              <w:rPr>
                <w:sz w:val="20"/>
                <w:szCs w:val="20"/>
              </w:rPr>
              <w:t>Izmaiņas kārtējā gadā, salīdzinot ar budžetu kārtējam gadam</w:t>
            </w:r>
          </w:p>
        </w:tc>
        <w:tc>
          <w:tcPr>
            <w:tcW w:w="1701" w:type="dxa"/>
            <w:vAlign w:val="center"/>
          </w:tcPr>
          <w:p w:rsidR="009B7092" w:rsidRPr="007D5F51" w:rsidRDefault="009B7092" w:rsidP="008C6EF2">
            <w:pPr>
              <w:pStyle w:val="naisf"/>
              <w:spacing w:before="0" w:after="0"/>
              <w:ind w:firstLine="0"/>
              <w:jc w:val="center"/>
              <w:rPr>
                <w:b/>
                <w:i/>
                <w:sz w:val="20"/>
                <w:szCs w:val="20"/>
              </w:rPr>
            </w:pPr>
            <w:r w:rsidRPr="007D5F51">
              <w:rPr>
                <w:sz w:val="20"/>
                <w:szCs w:val="20"/>
              </w:rPr>
              <w:t>Izmaiņas, salīdzinot ar kārtējo 2013. gadu</w:t>
            </w:r>
          </w:p>
        </w:tc>
        <w:tc>
          <w:tcPr>
            <w:tcW w:w="1275" w:type="dxa"/>
            <w:vAlign w:val="center"/>
          </w:tcPr>
          <w:p w:rsidR="009B7092" w:rsidRPr="007D5F51" w:rsidRDefault="009B7092" w:rsidP="008C6EF2">
            <w:pPr>
              <w:pStyle w:val="naisf"/>
              <w:spacing w:before="0" w:after="0"/>
              <w:ind w:firstLine="0"/>
              <w:jc w:val="center"/>
              <w:rPr>
                <w:b/>
                <w:i/>
                <w:sz w:val="20"/>
                <w:szCs w:val="20"/>
              </w:rPr>
            </w:pPr>
            <w:r w:rsidRPr="007D5F51">
              <w:rPr>
                <w:sz w:val="20"/>
                <w:szCs w:val="20"/>
              </w:rPr>
              <w:t>Izmaiņas, salīdzinot ar kārtējo 2013. gadu</w:t>
            </w:r>
          </w:p>
        </w:tc>
        <w:tc>
          <w:tcPr>
            <w:tcW w:w="1276" w:type="dxa"/>
            <w:vAlign w:val="center"/>
          </w:tcPr>
          <w:p w:rsidR="009B7092" w:rsidRPr="007D5F51" w:rsidRDefault="009B7092" w:rsidP="008C6EF2">
            <w:pPr>
              <w:pStyle w:val="naisf"/>
              <w:spacing w:before="0" w:after="0"/>
              <w:ind w:firstLine="0"/>
              <w:jc w:val="center"/>
              <w:rPr>
                <w:b/>
                <w:i/>
                <w:sz w:val="20"/>
                <w:szCs w:val="20"/>
              </w:rPr>
            </w:pPr>
            <w:r w:rsidRPr="007D5F51">
              <w:rPr>
                <w:sz w:val="20"/>
                <w:szCs w:val="20"/>
              </w:rPr>
              <w:t>Izmaiņas, salīdzinot ar kārtējo 2013. gadu</w:t>
            </w:r>
          </w:p>
        </w:tc>
      </w:tr>
      <w:tr w:rsidR="009B7092" w:rsidRPr="00992BD4" w:rsidTr="009B7092">
        <w:tc>
          <w:tcPr>
            <w:tcW w:w="2410" w:type="dxa"/>
            <w:vAlign w:val="center"/>
          </w:tcPr>
          <w:p w:rsidR="009B7092" w:rsidRPr="00992BD4" w:rsidRDefault="009B7092" w:rsidP="008C6EF2">
            <w:pPr>
              <w:pStyle w:val="naisf"/>
              <w:spacing w:before="0" w:after="0"/>
              <w:ind w:firstLine="0"/>
              <w:jc w:val="center"/>
              <w:rPr>
                <w:bCs/>
              </w:rPr>
            </w:pPr>
            <w:r w:rsidRPr="00992BD4">
              <w:rPr>
                <w:bCs/>
              </w:rPr>
              <w:t>1</w:t>
            </w:r>
          </w:p>
        </w:tc>
        <w:tc>
          <w:tcPr>
            <w:tcW w:w="851" w:type="dxa"/>
            <w:vAlign w:val="center"/>
          </w:tcPr>
          <w:p w:rsidR="009B7092" w:rsidRPr="00992BD4" w:rsidRDefault="009B7092" w:rsidP="008C6EF2">
            <w:pPr>
              <w:pStyle w:val="naisf"/>
              <w:spacing w:before="0" w:after="0"/>
              <w:ind w:firstLine="0"/>
              <w:jc w:val="center"/>
              <w:rPr>
                <w:bCs/>
              </w:rPr>
            </w:pPr>
            <w:r w:rsidRPr="00992BD4">
              <w:rPr>
                <w:bCs/>
              </w:rPr>
              <w:t>2</w:t>
            </w:r>
          </w:p>
        </w:tc>
        <w:tc>
          <w:tcPr>
            <w:tcW w:w="1843" w:type="dxa"/>
            <w:vAlign w:val="center"/>
          </w:tcPr>
          <w:p w:rsidR="009B7092" w:rsidRPr="00992BD4" w:rsidRDefault="009B7092" w:rsidP="008C6EF2">
            <w:pPr>
              <w:pStyle w:val="naisf"/>
              <w:spacing w:before="0" w:after="0"/>
              <w:ind w:firstLine="0"/>
              <w:jc w:val="center"/>
              <w:rPr>
                <w:bCs/>
              </w:rPr>
            </w:pPr>
            <w:r w:rsidRPr="00992BD4">
              <w:rPr>
                <w:bCs/>
              </w:rPr>
              <w:t>3</w:t>
            </w:r>
          </w:p>
        </w:tc>
        <w:tc>
          <w:tcPr>
            <w:tcW w:w="1701" w:type="dxa"/>
            <w:vAlign w:val="center"/>
          </w:tcPr>
          <w:p w:rsidR="009B7092" w:rsidRPr="00992BD4" w:rsidRDefault="009B7092" w:rsidP="008C6EF2">
            <w:pPr>
              <w:pStyle w:val="naisf"/>
              <w:spacing w:before="0" w:after="0"/>
              <w:ind w:firstLine="0"/>
              <w:jc w:val="center"/>
              <w:rPr>
                <w:bCs/>
              </w:rPr>
            </w:pPr>
            <w:r w:rsidRPr="00992BD4">
              <w:rPr>
                <w:bCs/>
              </w:rPr>
              <w:t>4</w:t>
            </w:r>
          </w:p>
        </w:tc>
        <w:tc>
          <w:tcPr>
            <w:tcW w:w="1275" w:type="dxa"/>
            <w:vAlign w:val="center"/>
          </w:tcPr>
          <w:p w:rsidR="009B7092" w:rsidRPr="00992BD4" w:rsidRDefault="009B7092" w:rsidP="008C6EF2">
            <w:pPr>
              <w:pStyle w:val="naisf"/>
              <w:spacing w:before="0" w:after="0"/>
              <w:ind w:firstLine="0"/>
              <w:jc w:val="center"/>
              <w:rPr>
                <w:bCs/>
              </w:rPr>
            </w:pPr>
            <w:r w:rsidRPr="00992BD4">
              <w:rPr>
                <w:bCs/>
              </w:rPr>
              <w:t>5</w:t>
            </w:r>
          </w:p>
        </w:tc>
        <w:tc>
          <w:tcPr>
            <w:tcW w:w="1276" w:type="dxa"/>
            <w:vAlign w:val="center"/>
          </w:tcPr>
          <w:p w:rsidR="009B7092" w:rsidRPr="00992BD4" w:rsidRDefault="009B7092" w:rsidP="008C6EF2">
            <w:pPr>
              <w:pStyle w:val="naisf"/>
              <w:spacing w:before="0" w:after="0"/>
              <w:ind w:firstLine="0"/>
              <w:jc w:val="center"/>
              <w:rPr>
                <w:bCs/>
              </w:rPr>
            </w:pPr>
            <w:r w:rsidRPr="00992BD4">
              <w:rPr>
                <w:bCs/>
              </w:rPr>
              <w:t>6</w:t>
            </w:r>
          </w:p>
        </w:tc>
      </w:tr>
      <w:tr w:rsidR="009B7092" w:rsidRPr="00992BD4" w:rsidTr="009B7092">
        <w:tc>
          <w:tcPr>
            <w:tcW w:w="2410" w:type="dxa"/>
          </w:tcPr>
          <w:p w:rsidR="009B7092" w:rsidRPr="007D5F51" w:rsidRDefault="009B7092" w:rsidP="008C6EF2">
            <w:pPr>
              <w:pStyle w:val="naisf"/>
              <w:spacing w:before="0" w:after="0"/>
              <w:ind w:firstLine="0"/>
              <w:rPr>
                <w:i/>
                <w:sz w:val="20"/>
                <w:szCs w:val="20"/>
              </w:rPr>
            </w:pPr>
            <w:r w:rsidRPr="007D5F51">
              <w:rPr>
                <w:sz w:val="20"/>
                <w:szCs w:val="20"/>
              </w:rPr>
              <w:t>1. Budžeta ieņēmumi:</w:t>
            </w:r>
          </w:p>
        </w:tc>
        <w:tc>
          <w:tcPr>
            <w:tcW w:w="851" w:type="dxa"/>
          </w:tcPr>
          <w:p w:rsidR="009B7092" w:rsidRPr="00992BD4" w:rsidRDefault="009B7092" w:rsidP="008C6EF2">
            <w:pPr>
              <w:pStyle w:val="naisf"/>
              <w:spacing w:before="0" w:after="0"/>
              <w:ind w:firstLine="0"/>
              <w:rPr>
                <w:b/>
                <w:i/>
              </w:rPr>
            </w:pPr>
          </w:p>
        </w:tc>
        <w:tc>
          <w:tcPr>
            <w:tcW w:w="1843" w:type="dxa"/>
          </w:tcPr>
          <w:p w:rsidR="009B7092" w:rsidRPr="00992BD4" w:rsidRDefault="009B7092" w:rsidP="008C6EF2">
            <w:pPr>
              <w:pStyle w:val="naisf"/>
              <w:spacing w:before="0" w:after="0"/>
              <w:ind w:firstLine="0"/>
              <w:rPr>
                <w:b/>
                <w:i/>
              </w:rPr>
            </w:pPr>
          </w:p>
        </w:tc>
        <w:tc>
          <w:tcPr>
            <w:tcW w:w="1701" w:type="dxa"/>
          </w:tcPr>
          <w:p w:rsidR="009B7092" w:rsidRPr="00992BD4" w:rsidRDefault="009B7092" w:rsidP="008C6EF2">
            <w:pPr>
              <w:pStyle w:val="naisf"/>
              <w:spacing w:before="0" w:after="0"/>
              <w:ind w:firstLine="0"/>
              <w:rPr>
                <w:b/>
                <w:i/>
              </w:rPr>
            </w:pPr>
          </w:p>
        </w:tc>
        <w:tc>
          <w:tcPr>
            <w:tcW w:w="1275" w:type="dxa"/>
          </w:tcPr>
          <w:p w:rsidR="009B7092" w:rsidRPr="00992BD4" w:rsidRDefault="009B7092" w:rsidP="008C6EF2">
            <w:pPr>
              <w:pStyle w:val="naisf"/>
              <w:spacing w:before="0" w:after="0"/>
              <w:ind w:firstLine="0"/>
              <w:rPr>
                <w:b/>
                <w:i/>
              </w:rPr>
            </w:pPr>
          </w:p>
        </w:tc>
        <w:tc>
          <w:tcPr>
            <w:tcW w:w="1276" w:type="dxa"/>
          </w:tcPr>
          <w:p w:rsidR="009B7092" w:rsidRPr="00992BD4" w:rsidRDefault="009B7092" w:rsidP="008C6EF2">
            <w:pPr>
              <w:pStyle w:val="naisf"/>
              <w:spacing w:before="0" w:after="0"/>
              <w:ind w:firstLine="0"/>
              <w:rPr>
                <w:b/>
                <w:i/>
              </w:rPr>
            </w:pPr>
          </w:p>
        </w:tc>
      </w:tr>
      <w:tr w:rsidR="009B7092" w:rsidRPr="00992BD4" w:rsidTr="009B7092">
        <w:tc>
          <w:tcPr>
            <w:tcW w:w="2410" w:type="dxa"/>
          </w:tcPr>
          <w:p w:rsidR="009B7092" w:rsidRPr="007D5F51" w:rsidRDefault="009B7092" w:rsidP="008C6EF2">
            <w:pPr>
              <w:pStyle w:val="naisf"/>
              <w:spacing w:before="0" w:after="0"/>
              <w:ind w:firstLine="0"/>
              <w:rPr>
                <w:i/>
                <w:sz w:val="20"/>
                <w:szCs w:val="20"/>
              </w:rPr>
            </w:pPr>
            <w:r w:rsidRPr="007D5F51">
              <w:rPr>
                <w:sz w:val="20"/>
                <w:szCs w:val="20"/>
              </w:rPr>
              <w:t>1.1. valsts pamatbudžets, tai skaitā ieņēmumi no maksas pakalpojumiem un citi pašu ieņēmumi</w:t>
            </w:r>
          </w:p>
        </w:tc>
        <w:tc>
          <w:tcPr>
            <w:tcW w:w="851" w:type="dxa"/>
          </w:tcPr>
          <w:p w:rsidR="009B7092" w:rsidRPr="00992BD4" w:rsidRDefault="009B7092" w:rsidP="008C6EF2">
            <w:pPr>
              <w:pStyle w:val="naisf"/>
              <w:spacing w:before="0" w:after="0"/>
              <w:ind w:firstLine="0"/>
              <w:rPr>
                <w:b/>
                <w:i/>
              </w:rPr>
            </w:pPr>
          </w:p>
        </w:tc>
        <w:tc>
          <w:tcPr>
            <w:tcW w:w="1843" w:type="dxa"/>
          </w:tcPr>
          <w:p w:rsidR="009B7092" w:rsidRPr="00992BD4" w:rsidRDefault="009B7092" w:rsidP="008C6EF2">
            <w:pPr>
              <w:pStyle w:val="naisf"/>
              <w:spacing w:before="0" w:after="0"/>
              <w:ind w:firstLine="0"/>
              <w:rPr>
                <w:b/>
                <w:i/>
              </w:rPr>
            </w:pPr>
          </w:p>
        </w:tc>
        <w:tc>
          <w:tcPr>
            <w:tcW w:w="1701" w:type="dxa"/>
          </w:tcPr>
          <w:p w:rsidR="009B7092" w:rsidRPr="00992BD4" w:rsidRDefault="009B7092" w:rsidP="008C6EF2">
            <w:pPr>
              <w:pStyle w:val="naisf"/>
              <w:spacing w:before="0" w:after="0"/>
              <w:ind w:firstLine="0"/>
              <w:rPr>
                <w:b/>
                <w:i/>
              </w:rPr>
            </w:pPr>
          </w:p>
        </w:tc>
        <w:tc>
          <w:tcPr>
            <w:tcW w:w="1275" w:type="dxa"/>
          </w:tcPr>
          <w:p w:rsidR="009B7092" w:rsidRPr="00992BD4" w:rsidRDefault="009B7092" w:rsidP="008C6EF2">
            <w:pPr>
              <w:pStyle w:val="naisf"/>
              <w:spacing w:before="0" w:after="0"/>
              <w:ind w:firstLine="0"/>
              <w:rPr>
                <w:b/>
                <w:i/>
              </w:rPr>
            </w:pPr>
          </w:p>
        </w:tc>
        <w:tc>
          <w:tcPr>
            <w:tcW w:w="1276" w:type="dxa"/>
          </w:tcPr>
          <w:p w:rsidR="009B7092" w:rsidRPr="00992BD4" w:rsidRDefault="009B7092" w:rsidP="008C6EF2">
            <w:pPr>
              <w:pStyle w:val="naisf"/>
              <w:spacing w:before="0" w:after="0"/>
              <w:ind w:firstLine="0"/>
              <w:rPr>
                <w:b/>
                <w:i/>
              </w:rPr>
            </w:pPr>
          </w:p>
        </w:tc>
      </w:tr>
      <w:tr w:rsidR="009B7092" w:rsidRPr="00992BD4" w:rsidTr="009B7092">
        <w:tc>
          <w:tcPr>
            <w:tcW w:w="2410" w:type="dxa"/>
          </w:tcPr>
          <w:p w:rsidR="009B7092" w:rsidRPr="007D5F51" w:rsidRDefault="009B7092" w:rsidP="008C6EF2">
            <w:pPr>
              <w:pStyle w:val="naisf"/>
              <w:spacing w:before="0" w:after="0"/>
              <w:ind w:firstLine="0"/>
              <w:rPr>
                <w:i/>
                <w:sz w:val="20"/>
                <w:szCs w:val="20"/>
              </w:rPr>
            </w:pPr>
            <w:r w:rsidRPr="007D5F51">
              <w:rPr>
                <w:sz w:val="20"/>
                <w:szCs w:val="20"/>
              </w:rPr>
              <w:t>1.2. valsts speciālais budžets</w:t>
            </w:r>
          </w:p>
        </w:tc>
        <w:tc>
          <w:tcPr>
            <w:tcW w:w="851" w:type="dxa"/>
          </w:tcPr>
          <w:p w:rsidR="009B7092" w:rsidRPr="00992BD4" w:rsidRDefault="009B7092" w:rsidP="008C6EF2">
            <w:pPr>
              <w:pStyle w:val="naisf"/>
              <w:spacing w:before="0" w:after="0"/>
              <w:ind w:firstLine="0"/>
              <w:rPr>
                <w:b/>
                <w:i/>
              </w:rPr>
            </w:pPr>
          </w:p>
        </w:tc>
        <w:tc>
          <w:tcPr>
            <w:tcW w:w="1843" w:type="dxa"/>
          </w:tcPr>
          <w:p w:rsidR="009B7092" w:rsidRPr="00992BD4" w:rsidRDefault="009B7092" w:rsidP="008C6EF2">
            <w:pPr>
              <w:pStyle w:val="naisf"/>
              <w:spacing w:before="0" w:after="0"/>
              <w:ind w:firstLine="0"/>
              <w:rPr>
                <w:b/>
                <w:i/>
              </w:rPr>
            </w:pPr>
          </w:p>
        </w:tc>
        <w:tc>
          <w:tcPr>
            <w:tcW w:w="1701" w:type="dxa"/>
          </w:tcPr>
          <w:p w:rsidR="009B7092" w:rsidRPr="00992BD4" w:rsidRDefault="009B7092" w:rsidP="008C6EF2">
            <w:pPr>
              <w:pStyle w:val="naisf"/>
              <w:spacing w:before="0" w:after="0"/>
              <w:ind w:firstLine="0"/>
              <w:rPr>
                <w:b/>
                <w:i/>
              </w:rPr>
            </w:pPr>
          </w:p>
        </w:tc>
        <w:tc>
          <w:tcPr>
            <w:tcW w:w="1275" w:type="dxa"/>
          </w:tcPr>
          <w:p w:rsidR="009B7092" w:rsidRPr="00992BD4" w:rsidRDefault="009B7092" w:rsidP="008C6EF2">
            <w:pPr>
              <w:pStyle w:val="naisf"/>
              <w:spacing w:before="0" w:after="0"/>
              <w:ind w:firstLine="0"/>
              <w:rPr>
                <w:b/>
                <w:i/>
              </w:rPr>
            </w:pPr>
          </w:p>
        </w:tc>
        <w:tc>
          <w:tcPr>
            <w:tcW w:w="1276" w:type="dxa"/>
          </w:tcPr>
          <w:p w:rsidR="009B7092" w:rsidRPr="00992BD4" w:rsidRDefault="009B7092" w:rsidP="008C6EF2">
            <w:pPr>
              <w:pStyle w:val="naisf"/>
              <w:spacing w:before="0" w:after="0"/>
              <w:ind w:firstLine="0"/>
              <w:rPr>
                <w:b/>
                <w:i/>
              </w:rPr>
            </w:pPr>
          </w:p>
        </w:tc>
      </w:tr>
      <w:tr w:rsidR="009B7092" w:rsidRPr="00992BD4" w:rsidTr="009B7092">
        <w:tc>
          <w:tcPr>
            <w:tcW w:w="2410" w:type="dxa"/>
          </w:tcPr>
          <w:p w:rsidR="009B7092" w:rsidRPr="007D5F51" w:rsidRDefault="009B7092" w:rsidP="008C6EF2">
            <w:pPr>
              <w:pStyle w:val="naisf"/>
              <w:spacing w:before="0" w:after="0"/>
              <w:ind w:firstLine="0"/>
              <w:rPr>
                <w:i/>
                <w:sz w:val="20"/>
                <w:szCs w:val="20"/>
              </w:rPr>
            </w:pPr>
            <w:r w:rsidRPr="007D5F51">
              <w:rPr>
                <w:sz w:val="20"/>
                <w:szCs w:val="20"/>
              </w:rPr>
              <w:lastRenderedPageBreak/>
              <w:t>1.3. pašvaldību budžets</w:t>
            </w:r>
          </w:p>
        </w:tc>
        <w:tc>
          <w:tcPr>
            <w:tcW w:w="851" w:type="dxa"/>
          </w:tcPr>
          <w:p w:rsidR="009B7092" w:rsidRPr="00992BD4" w:rsidRDefault="009B7092" w:rsidP="008C6EF2">
            <w:pPr>
              <w:pStyle w:val="naisf"/>
              <w:spacing w:before="0" w:after="0"/>
              <w:ind w:firstLine="0"/>
              <w:rPr>
                <w:b/>
                <w:i/>
              </w:rPr>
            </w:pPr>
          </w:p>
        </w:tc>
        <w:tc>
          <w:tcPr>
            <w:tcW w:w="1843" w:type="dxa"/>
          </w:tcPr>
          <w:p w:rsidR="009B7092" w:rsidRPr="00992BD4" w:rsidRDefault="009B7092" w:rsidP="008C6EF2">
            <w:pPr>
              <w:pStyle w:val="naisf"/>
              <w:spacing w:before="0" w:after="0"/>
              <w:ind w:firstLine="0"/>
              <w:rPr>
                <w:b/>
                <w:i/>
              </w:rPr>
            </w:pPr>
          </w:p>
        </w:tc>
        <w:tc>
          <w:tcPr>
            <w:tcW w:w="1701" w:type="dxa"/>
          </w:tcPr>
          <w:p w:rsidR="009B7092" w:rsidRPr="00992BD4" w:rsidRDefault="009B7092" w:rsidP="008C6EF2">
            <w:pPr>
              <w:pStyle w:val="naisf"/>
              <w:spacing w:before="0" w:after="0"/>
              <w:ind w:firstLine="0"/>
              <w:rPr>
                <w:b/>
                <w:i/>
              </w:rPr>
            </w:pPr>
          </w:p>
        </w:tc>
        <w:tc>
          <w:tcPr>
            <w:tcW w:w="1275" w:type="dxa"/>
          </w:tcPr>
          <w:p w:rsidR="009B7092" w:rsidRPr="00992BD4" w:rsidRDefault="009B7092" w:rsidP="008C6EF2">
            <w:pPr>
              <w:pStyle w:val="naisf"/>
              <w:spacing w:before="0" w:after="0"/>
              <w:ind w:firstLine="0"/>
              <w:rPr>
                <w:b/>
                <w:i/>
              </w:rPr>
            </w:pPr>
          </w:p>
        </w:tc>
        <w:tc>
          <w:tcPr>
            <w:tcW w:w="1276" w:type="dxa"/>
          </w:tcPr>
          <w:p w:rsidR="009B7092" w:rsidRPr="00992BD4" w:rsidRDefault="009B7092" w:rsidP="008C6EF2">
            <w:pPr>
              <w:pStyle w:val="naisf"/>
              <w:spacing w:before="0" w:after="0"/>
              <w:ind w:firstLine="0"/>
              <w:rPr>
                <w:b/>
                <w:i/>
              </w:rPr>
            </w:pPr>
          </w:p>
        </w:tc>
      </w:tr>
      <w:tr w:rsidR="009B7092" w:rsidRPr="00992BD4" w:rsidTr="009B7092">
        <w:tc>
          <w:tcPr>
            <w:tcW w:w="2410" w:type="dxa"/>
          </w:tcPr>
          <w:p w:rsidR="009B7092" w:rsidRPr="007D5F51" w:rsidRDefault="009B7092" w:rsidP="008C6EF2">
            <w:pPr>
              <w:jc w:val="both"/>
              <w:rPr>
                <w:sz w:val="20"/>
                <w:szCs w:val="20"/>
              </w:rPr>
            </w:pPr>
            <w:r w:rsidRPr="007D5F51">
              <w:rPr>
                <w:sz w:val="20"/>
                <w:szCs w:val="20"/>
              </w:rPr>
              <w:t>2. Budžeta izdevumi:</w:t>
            </w:r>
          </w:p>
        </w:tc>
        <w:tc>
          <w:tcPr>
            <w:tcW w:w="851" w:type="dxa"/>
          </w:tcPr>
          <w:p w:rsidR="009B7092" w:rsidRPr="00992BD4" w:rsidRDefault="009B7092" w:rsidP="008C6EF2">
            <w:pPr>
              <w:pStyle w:val="naisf"/>
              <w:spacing w:before="0" w:after="0"/>
              <w:ind w:firstLine="0"/>
              <w:rPr>
                <w:b/>
                <w:i/>
              </w:rPr>
            </w:pPr>
          </w:p>
        </w:tc>
        <w:tc>
          <w:tcPr>
            <w:tcW w:w="1843" w:type="dxa"/>
          </w:tcPr>
          <w:p w:rsidR="009B7092" w:rsidRPr="00992BD4" w:rsidRDefault="009B7092" w:rsidP="008C6EF2">
            <w:pPr>
              <w:pStyle w:val="naisf"/>
              <w:spacing w:before="0" w:after="0"/>
              <w:ind w:firstLine="0"/>
              <w:rPr>
                <w:b/>
                <w:i/>
              </w:rPr>
            </w:pPr>
          </w:p>
        </w:tc>
        <w:tc>
          <w:tcPr>
            <w:tcW w:w="1701" w:type="dxa"/>
          </w:tcPr>
          <w:p w:rsidR="009B7092" w:rsidRPr="00992BD4" w:rsidRDefault="009B7092" w:rsidP="008C6EF2">
            <w:pPr>
              <w:pStyle w:val="naisf"/>
              <w:spacing w:before="0" w:after="0"/>
              <w:ind w:firstLine="0"/>
              <w:rPr>
                <w:b/>
                <w:i/>
              </w:rPr>
            </w:pPr>
          </w:p>
        </w:tc>
        <w:tc>
          <w:tcPr>
            <w:tcW w:w="1275" w:type="dxa"/>
          </w:tcPr>
          <w:p w:rsidR="009B7092" w:rsidRPr="00992BD4" w:rsidRDefault="009B7092" w:rsidP="008C6EF2">
            <w:pPr>
              <w:pStyle w:val="naisf"/>
              <w:spacing w:before="0" w:after="0"/>
              <w:ind w:firstLine="0"/>
              <w:rPr>
                <w:b/>
                <w:i/>
              </w:rPr>
            </w:pPr>
          </w:p>
        </w:tc>
        <w:tc>
          <w:tcPr>
            <w:tcW w:w="1276" w:type="dxa"/>
          </w:tcPr>
          <w:p w:rsidR="009B7092" w:rsidRPr="00992BD4" w:rsidRDefault="009B7092" w:rsidP="008C6EF2">
            <w:pPr>
              <w:pStyle w:val="naisf"/>
              <w:spacing w:before="0" w:after="0"/>
              <w:ind w:firstLine="0"/>
              <w:rPr>
                <w:b/>
                <w:i/>
              </w:rPr>
            </w:pPr>
          </w:p>
        </w:tc>
      </w:tr>
      <w:tr w:rsidR="009B7092" w:rsidRPr="00992BD4" w:rsidTr="009B7092">
        <w:tc>
          <w:tcPr>
            <w:tcW w:w="2410" w:type="dxa"/>
          </w:tcPr>
          <w:p w:rsidR="009B7092" w:rsidRPr="007D5F51" w:rsidRDefault="009B7092" w:rsidP="008C6EF2">
            <w:pPr>
              <w:jc w:val="both"/>
              <w:rPr>
                <w:sz w:val="20"/>
                <w:szCs w:val="20"/>
              </w:rPr>
            </w:pPr>
            <w:r w:rsidRPr="007D5F51">
              <w:rPr>
                <w:sz w:val="20"/>
                <w:szCs w:val="20"/>
              </w:rPr>
              <w:t>2.1. valsts pamatbudžets</w:t>
            </w:r>
          </w:p>
        </w:tc>
        <w:tc>
          <w:tcPr>
            <w:tcW w:w="851" w:type="dxa"/>
          </w:tcPr>
          <w:p w:rsidR="009B7092" w:rsidRPr="00992BD4" w:rsidRDefault="009B7092" w:rsidP="008C6EF2">
            <w:pPr>
              <w:pStyle w:val="naisf"/>
              <w:spacing w:before="0" w:after="0"/>
              <w:ind w:firstLine="0"/>
              <w:jc w:val="left"/>
            </w:pPr>
          </w:p>
        </w:tc>
        <w:tc>
          <w:tcPr>
            <w:tcW w:w="1843" w:type="dxa"/>
          </w:tcPr>
          <w:p w:rsidR="009B7092" w:rsidRPr="00992BD4" w:rsidRDefault="009B7092" w:rsidP="008C6EF2">
            <w:pPr>
              <w:pStyle w:val="naisf"/>
              <w:spacing w:before="0" w:after="0"/>
              <w:ind w:firstLine="0"/>
              <w:jc w:val="left"/>
            </w:pPr>
          </w:p>
        </w:tc>
        <w:tc>
          <w:tcPr>
            <w:tcW w:w="1701" w:type="dxa"/>
          </w:tcPr>
          <w:p w:rsidR="009B7092" w:rsidRPr="00992BD4" w:rsidRDefault="009B7092" w:rsidP="008C6EF2">
            <w:pPr>
              <w:pStyle w:val="naisf"/>
              <w:spacing w:before="0" w:after="0"/>
              <w:ind w:firstLine="0"/>
              <w:jc w:val="left"/>
            </w:pPr>
          </w:p>
        </w:tc>
        <w:tc>
          <w:tcPr>
            <w:tcW w:w="1275" w:type="dxa"/>
          </w:tcPr>
          <w:p w:rsidR="009B7092" w:rsidRPr="00992BD4" w:rsidRDefault="009B7092" w:rsidP="008C6EF2">
            <w:pPr>
              <w:pStyle w:val="naisf"/>
              <w:spacing w:before="0" w:after="0"/>
              <w:ind w:firstLine="0"/>
              <w:jc w:val="left"/>
            </w:pPr>
          </w:p>
        </w:tc>
        <w:tc>
          <w:tcPr>
            <w:tcW w:w="1276" w:type="dxa"/>
          </w:tcPr>
          <w:p w:rsidR="009B7092" w:rsidRPr="00992BD4" w:rsidRDefault="009B7092" w:rsidP="008C6EF2">
            <w:pPr>
              <w:pStyle w:val="naisf"/>
              <w:spacing w:before="0" w:after="0"/>
              <w:ind w:firstLine="0"/>
              <w:jc w:val="left"/>
            </w:pPr>
          </w:p>
        </w:tc>
      </w:tr>
      <w:tr w:rsidR="009B7092" w:rsidRPr="00992BD4" w:rsidTr="009B7092">
        <w:tc>
          <w:tcPr>
            <w:tcW w:w="2410" w:type="dxa"/>
          </w:tcPr>
          <w:p w:rsidR="009B7092" w:rsidRPr="007D5F51" w:rsidRDefault="009B7092" w:rsidP="008C6EF2">
            <w:pPr>
              <w:jc w:val="both"/>
              <w:rPr>
                <w:sz w:val="20"/>
                <w:szCs w:val="20"/>
              </w:rPr>
            </w:pPr>
            <w:r w:rsidRPr="007D5F51">
              <w:rPr>
                <w:sz w:val="20"/>
                <w:szCs w:val="20"/>
              </w:rPr>
              <w:t>2.2. valsts speciālais budžets</w:t>
            </w:r>
          </w:p>
        </w:tc>
        <w:tc>
          <w:tcPr>
            <w:tcW w:w="851" w:type="dxa"/>
          </w:tcPr>
          <w:p w:rsidR="009B7092" w:rsidRPr="00992BD4" w:rsidRDefault="009B7092" w:rsidP="008C6EF2">
            <w:pPr>
              <w:pStyle w:val="naisf"/>
              <w:spacing w:before="0" w:after="0"/>
              <w:ind w:firstLine="0"/>
              <w:rPr>
                <w:b/>
                <w:i/>
              </w:rPr>
            </w:pPr>
          </w:p>
        </w:tc>
        <w:tc>
          <w:tcPr>
            <w:tcW w:w="1843" w:type="dxa"/>
          </w:tcPr>
          <w:p w:rsidR="009B7092" w:rsidRPr="00992BD4" w:rsidRDefault="009B7092" w:rsidP="008C6EF2">
            <w:pPr>
              <w:pStyle w:val="naisf"/>
              <w:spacing w:before="0" w:after="0"/>
              <w:ind w:firstLine="0"/>
              <w:rPr>
                <w:b/>
                <w:i/>
              </w:rPr>
            </w:pPr>
          </w:p>
        </w:tc>
        <w:tc>
          <w:tcPr>
            <w:tcW w:w="1701" w:type="dxa"/>
          </w:tcPr>
          <w:p w:rsidR="009B7092" w:rsidRPr="00992BD4" w:rsidRDefault="009B7092" w:rsidP="008C6EF2">
            <w:pPr>
              <w:pStyle w:val="naisf"/>
              <w:spacing w:before="0" w:after="0"/>
              <w:ind w:firstLine="0"/>
              <w:rPr>
                <w:b/>
                <w:i/>
              </w:rPr>
            </w:pPr>
          </w:p>
        </w:tc>
        <w:tc>
          <w:tcPr>
            <w:tcW w:w="1275" w:type="dxa"/>
          </w:tcPr>
          <w:p w:rsidR="009B7092" w:rsidRPr="00992BD4" w:rsidRDefault="009B7092" w:rsidP="008C6EF2">
            <w:pPr>
              <w:pStyle w:val="naisf"/>
              <w:spacing w:before="0" w:after="0"/>
              <w:ind w:firstLine="0"/>
              <w:rPr>
                <w:b/>
                <w:i/>
              </w:rPr>
            </w:pPr>
          </w:p>
        </w:tc>
        <w:tc>
          <w:tcPr>
            <w:tcW w:w="1276" w:type="dxa"/>
          </w:tcPr>
          <w:p w:rsidR="009B7092" w:rsidRPr="00992BD4" w:rsidRDefault="009B7092" w:rsidP="008C6EF2">
            <w:pPr>
              <w:pStyle w:val="naisf"/>
              <w:spacing w:before="0" w:after="0"/>
              <w:ind w:firstLine="0"/>
              <w:rPr>
                <w:b/>
                <w:i/>
              </w:rPr>
            </w:pPr>
          </w:p>
        </w:tc>
      </w:tr>
      <w:tr w:rsidR="009B7092" w:rsidRPr="00992BD4" w:rsidTr="009B7092">
        <w:tc>
          <w:tcPr>
            <w:tcW w:w="2410" w:type="dxa"/>
          </w:tcPr>
          <w:p w:rsidR="009B7092" w:rsidRPr="007D5F51" w:rsidRDefault="009B7092" w:rsidP="008C6EF2">
            <w:pPr>
              <w:jc w:val="both"/>
              <w:rPr>
                <w:sz w:val="20"/>
                <w:szCs w:val="20"/>
              </w:rPr>
            </w:pPr>
            <w:r w:rsidRPr="007D5F51">
              <w:rPr>
                <w:sz w:val="20"/>
                <w:szCs w:val="20"/>
              </w:rPr>
              <w:t xml:space="preserve">2.3. pašvaldību budžets </w:t>
            </w:r>
          </w:p>
        </w:tc>
        <w:tc>
          <w:tcPr>
            <w:tcW w:w="851" w:type="dxa"/>
          </w:tcPr>
          <w:p w:rsidR="009B7092" w:rsidRPr="00992BD4" w:rsidRDefault="009B7092" w:rsidP="008C6EF2">
            <w:pPr>
              <w:pStyle w:val="naisf"/>
              <w:spacing w:before="0" w:after="0"/>
              <w:ind w:firstLine="0"/>
              <w:rPr>
                <w:b/>
                <w:i/>
              </w:rPr>
            </w:pPr>
          </w:p>
        </w:tc>
        <w:tc>
          <w:tcPr>
            <w:tcW w:w="1843" w:type="dxa"/>
          </w:tcPr>
          <w:p w:rsidR="009B7092" w:rsidRPr="00992BD4" w:rsidRDefault="009B7092" w:rsidP="008C6EF2">
            <w:pPr>
              <w:pStyle w:val="naisf"/>
              <w:spacing w:before="0" w:after="0"/>
              <w:ind w:firstLine="0"/>
              <w:rPr>
                <w:b/>
                <w:i/>
              </w:rPr>
            </w:pPr>
          </w:p>
        </w:tc>
        <w:tc>
          <w:tcPr>
            <w:tcW w:w="1701" w:type="dxa"/>
          </w:tcPr>
          <w:p w:rsidR="009B7092" w:rsidRPr="00992BD4" w:rsidRDefault="009B7092" w:rsidP="008C6EF2">
            <w:pPr>
              <w:pStyle w:val="naisf"/>
              <w:spacing w:before="0" w:after="0"/>
              <w:ind w:firstLine="0"/>
              <w:rPr>
                <w:b/>
                <w:i/>
              </w:rPr>
            </w:pPr>
          </w:p>
        </w:tc>
        <w:tc>
          <w:tcPr>
            <w:tcW w:w="1275" w:type="dxa"/>
          </w:tcPr>
          <w:p w:rsidR="009B7092" w:rsidRPr="00992BD4" w:rsidRDefault="009B7092" w:rsidP="008C6EF2">
            <w:pPr>
              <w:pStyle w:val="naisf"/>
              <w:spacing w:before="0" w:after="0"/>
              <w:ind w:firstLine="0"/>
              <w:rPr>
                <w:b/>
                <w:i/>
              </w:rPr>
            </w:pPr>
          </w:p>
        </w:tc>
        <w:tc>
          <w:tcPr>
            <w:tcW w:w="1276" w:type="dxa"/>
          </w:tcPr>
          <w:p w:rsidR="009B7092" w:rsidRPr="00992BD4" w:rsidRDefault="009B7092" w:rsidP="008C6EF2">
            <w:pPr>
              <w:pStyle w:val="naisf"/>
              <w:spacing w:before="0" w:after="0"/>
              <w:ind w:firstLine="0"/>
              <w:rPr>
                <w:b/>
                <w:i/>
              </w:rPr>
            </w:pPr>
          </w:p>
        </w:tc>
      </w:tr>
      <w:tr w:rsidR="009B7092" w:rsidRPr="00992BD4" w:rsidTr="009B7092">
        <w:tc>
          <w:tcPr>
            <w:tcW w:w="2410" w:type="dxa"/>
          </w:tcPr>
          <w:p w:rsidR="009B7092" w:rsidRPr="007D5F51" w:rsidRDefault="009B7092" w:rsidP="008C6EF2">
            <w:pPr>
              <w:jc w:val="both"/>
              <w:rPr>
                <w:sz w:val="20"/>
                <w:szCs w:val="20"/>
              </w:rPr>
            </w:pPr>
            <w:r w:rsidRPr="007D5F51">
              <w:rPr>
                <w:sz w:val="20"/>
                <w:szCs w:val="20"/>
              </w:rPr>
              <w:t>3. Finansiālā ietekme:</w:t>
            </w:r>
          </w:p>
        </w:tc>
        <w:tc>
          <w:tcPr>
            <w:tcW w:w="851" w:type="dxa"/>
            <w:shd w:val="clear" w:color="auto" w:fill="auto"/>
            <w:vAlign w:val="center"/>
          </w:tcPr>
          <w:p w:rsidR="009B7092" w:rsidRPr="00992BD4" w:rsidRDefault="009B7092" w:rsidP="008C6EF2">
            <w:pPr>
              <w:pStyle w:val="naisf"/>
              <w:spacing w:before="0" w:after="0"/>
              <w:ind w:firstLine="0"/>
              <w:jc w:val="center"/>
            </w:pPr>
          </w:p>
        </w:tc>
        <w:tc>
          <w:tcPr>
            <w:tcW w:w="1843" w:type="dxa"/>
          </w:tcPr>
          <w:p w:rsidR="009B7092" w:rsidRPr="00992BD4" w:rsidRDefault="009B7092" w:rsidP="008C6EF2">
            <w:pPr>
              <w:pStyle w:val="naisf"/>
              <w:spacing w:before="0" w:after="0"/>
              <w:ind w:firstLine="0"/>
              <w:rPr>
                <w:b/>
                <w:i/>
              </w:rPr>
            </w:pPr>
          </w:p>
        </w:tc>
        <w:tc>
          <w:tcPr>
            <w:tcW w:w="1701" w:type="dxa"/>
          </w:tcPr>
          <w:p w:rsidR="009B7092" w:rsidRPr="00992BD4" w:rsidRDefault="009B7092" w:rsidP="008C6EF2">
            <w:pPr>
              <w:pStyle w:val="naisf"/>
              <w:spacing w:before="0" w:after="0"/>
              <w:ind w:firstLine="0"/>
              <w:rPr>
                <w:b/>
                <w:i/>
              </w:rPr>
            </w:pPr>
          </w:p>
        </w:tc>
        <w:tc>
          <w:tcPr>
            <w:tcW w:w="1275" w:type="dxa"/>
          </w:tcPr>
          <w:p w:rsidR="009B7092" w:rsidRPr="00992BD4" w:rsidRDefault="009B7092" w:rsidP="008C6EF2">
            <w:pPr>
              <w:pStyle w:val="naisf"/>
              <w:spacing w:before="0" w:after="0"/>
              <w:ind w:firstLine="0"/>
              <w:rPr>
                <w:b/>
                <w:i/>
              </w:rPr>
            </w:pPr>
          </w:p>
        </w:tc>
        <w:tc>
          <w:tcPr>
            <w:tcW w:w="1276" w:type="dxa"/>
          </w:tcPr>
          <w:p w:rsidR="009B7092" w:rsidRPr="00992BD4" w:rsidRDefault="009B7092" w:rsidP="008C6EF2">
            <w:pPr>
              <w:pStyle w:val="naisf"/>
              <w:spacing w:before="0" w:after="0"/>
              <w:ind w:firstLine="0"/>
              <w:rPr>
                <w:b/>
                <w:i/>
              </w:rPr>
            </w:pPr>
          </w:p>
        </w:tc>
      </w:tr>
      <w:tr w:rsidR="009B7092" w:rsidRPr="00992BD4" w:rsidTr="009B7092">
        <w:tc>
          <w:tcPr>
            <w:tcW w:w="2410" w:type="dxa"/>
          </w:tcPr>
          <w:p w:rsidR="009B7092" w:rsidRPr="007D5F51" w:rsidRDefault="009B7092" w:rsidP="008C6EF2">
            <w:pPr>
              <w:jc w:val="both"/>
              <w:rPr>
                <w:sz w:val="20"/>
                <w:szCs w:val="20"/>
              </w:rPr>
            </w:pPr>
            <w:r w:rsidRPr="007D5F51">
              <w:rPr>
                <w:sz w:val="20"/>
                <w:szCs w:val="20"/>
              </w:rPr>
              <w:t>3.1. valsts pamatbudžets</w:t>
            </w:r>
          </w:p>
        </w:tc>
        <w:tc>
          <w:tcPr>
            <w:tcW w:w="851" w:type="dxa"/>
            <w:shd w:val="clear" w:color="auto" w:fill="auto"/>
          </w:tcPr>
          <w:p w:rsidR="009B7092" w:rsidRPr="00992BD4" w:rsidRDefault="009B7092" w:rsidP="008C6EF2">
            <w:pPr>
              <w:pStyle w:val="naisf"/>
              <w:spacing w:before="0" w:after="0"/>
              <w:ind w:firstLine="0"/>
              <w:rPr>
                <w:i/>
              </w:rPr>
            </w:pPr>
          </w:p>
        </w:tc>
        <w:tc>
          <w:tcPr>
            <w:tcW w:w="1843" w:type="dxa"/>
          </w:tcPr>
          <w:p w:rsidR="009B7092" w:rsidRPr="00992BD4" w:rsidRDefault="009B7092" w:rsidP="008C6EF2">
            <w:pPr>
              <w:pStyle w:val="naisf"/>
              <w:spacing w:before="0" w:after="0"/>
              <w:ind w:firstLine="0"/>
              <w:rPr>
                <w:b/>
                <w:i/>
              </w:rPr>
            </w:pPr>
          </w:p>
        </w:tc>
        <w:tc>
          <w:tcPr>
            <w:tcW w:w="1701" w:type="dxa"/>
          </w:tcPr>
          <w:p w:rsidR="009B7092" w:rsidRPr="00992BD4" w:rsidRDefault="009B7092" w:rsidP="008C6EF2">
            <w:pPr>
              <w:pStyle w:val="naisf"/>
              <w:spacing w:before="0" w:after="0"/>
              <w:ind w:firstLine="0"/>
              <w:rPr>
                <w:b/>
                <w:i/>
              </w:rPr>
            </w:pPr>
          </w:p>
        </w:tc>
        <w:tc>
          <w:tcPr>
            <w:tcW w:w="1275" w:type="dxa"/>
          </w:tcPr>
          <w:p w:rsidR="009B7092" w:rsidRPr="00992BD4" w:rsidRDefault="009B7092" w:rsidP="008C6EF2">
            <w:pPr>
              <w:pStyle w:val="naisf"/>
              <w:spacing w:before="0" w:after="0"/>
              <w:ind w:firstLine="0"/>
              <w:rPr>
                <w:b/>
                <w:i/>
              </w:rPr>
            </w:pPr>
          </w:p>
        </w:tc>
        <w:tc>
          <w:tcPr>
            <w:tcW w:w="1276" w:type="dxa"/>
          </w:tcPr>
          <w:p w:rsidR="009B7092" w:rsidRPr="00992BD4" w:rsidRDefault="009B7092" w:rsidP="008C6EF2">
            <w:pPr>
              <w:pStyle w:val="naisf"/>
              <w:spacing w:before="0" w:after="0"/>
              <w:ind w:firstLine="0"/>
              <w:rPr>
                <w:b/>
                <w:i/>
              </w:rPr>
            </w:pPr>
          </w:p>
        </w:tc>
      </w:tr>
      <w:tr w:rsidR="009B7092" w:rsidRPr="00992BD4" w:rsidTr="009B7092">
        <w:tc>
          <w:tcPr>
            <w:tcW w:w="2410" w:type="dxa"/>
          </w:tcPr>
          <w:p w:rsidR="009B7092" w:rsidRPr="007D5F51" w:rsidRDefault="009B7092" w:rsidP="008C6EF2">
            <w:pPr>
              <w:jc w:val="both"/>
              <w:rPr>
                <w:sz w:val="20"/>
                <w:szCs w:val="20"/>
              </w:rPr>
            </w:pPr>
            <w:r w:rsidRPr="007D5F51">
              <w:rPr>
                <w:sz w:val="20"/>
                <w:szCs w:val="20"/>
              </w:rPr>
              <w:t>3.2. speciālais budžets</w:t>
            </w:r>
          </w:p>
        </w:tc>
        <w:tc>
          <w:tcPr>
            <w:tcW w:w="851" w:type="dxa"/>
            <w:shd w:val="clear" w:color="auto" w:fill="auto"/>
          </w:tcPr>
          <w:p w:rsidR="009B7092" w:rsidRPr="00992BD4" w:rsidRDefault="009B7092" w:rsidP="008C6EF2">
            <w:pPr>
              <w:pStyle w:val="naisf"/>
              <w:spacing w:before="0" w:after="0"/>
              <w:ind w:firstLine="0"/>
              <w:rPr>
                <w:i/>
              </w:rPr>
            </w:pPr>
          </w:p>
        </w:tc>
        <w:tc>
          <w:tcPr>
            <w:tcW w:w="1843" w:type="dxa"/>
          </w:tcPr>
          <w:p w:rsidR="009B7092" w:rsidRPr="00992BD4" w:rsidRDefault="009B7092" w:rsidP="008C6EF2">
            <w:pPr>
              <w:pStyle w:val="naisf"/>
              <w:spacing w:before="0" w:after="0"/>
              <w:ind w:firstLine="0"/>
              <w:rPr>
                <w:b/>
                <w:i/>
              </w:rPr>
            </w:pPr>
          </w:p>
        </w:tc>
        <w:tc>
          <w:tcPr>
            <w:tcW w:w="1701" w:type="dxa"/>
          </w:tcPr>
          <w:p w:rsidR="009B7092" w:rsidRPr="00992BD4" w:rsidRDefault="009B7092" w:rsidP="008C6EF2">
            <w:pPr>
              <w:pStyle w:val="naisf"/>
              <w:spacing w:before="0" w:after="0"/>
              <w:ind w:firstLine="0"/>
              <w:rPr>
                <w:b/>
                <w:i/>
              </w:rPr>
            </w:pPr>
          </w:p>
        </w:tc>
        <w:tc>
          <w:tcPr>
            <w:tcW w:w="1275" w:type="dxa"/>
          </w:tcPr>
          <w:p w:rsidR="009B7092" w:rsidRPr="00992BD4" w:rsidRDefault="009B7092" w:rsidP="008C6EF2">
            <w:pPr>
              <w:pStyle w:val="naisf"/>
              <w:spacing w:before="0" w:after="0"/>
              <w:ind w:firstLine="0"/>
              <w:rPr>
                <w:b/>
                <w:i/>
              </w:rPr>
            </w:pPr>
          </w:p>
        </w:tc>
        <w:tc>
          <w:tcPr>
            <w:tcW w:w="1276" w:type="dxa"/>
          </w:tcPr>
          <w:p w:rsidR="009B7092" w:rsidRPr="00992BD4" w:rsidRDefault="009B7092" w:rsidP="008C6EF2">
            <w:pPr>
              <w:pStyle w:val="naisf"/>
              <w:spacing w:before="0" w:after="0"/>
              <w:ind w:firstLine="0"/>
              <w:rPr>
                <w:b/>
                <w:i/>
              </w:rPr>
            </w:pPr>
          </w:p>
        </w:tc>
      </w:tr>
      <w:tr w:rsidR="009B7092" w:rsidRPr="00992BD4" w:rsidTr="009B7092">
        <w:tc>
          <w:tcPr>
            <w:tcW w:w="2410" w:type="dxa"/>
          </w:tcPr>
          <w:p w:rsidR="009B7092" w:rsidRPr="007D5F51" w:rsidRDefault="009B7092" w:rsidP="008C6EF2">
            <w:pPr>
              <w:jc w:val="both"/>
              <w:rPr>
                <w:sz w:val="20"/>
                <w:szCs w:val="20"/>
              </w:rPr>
            </w:pPr>
            <w:r w:rsidRPr="007D5F51">
              <w:rPr>
                <w:sz w:val="20"/>
                <w:szCs w:val="20"/>
              </w:rPr>
              <w:t xml:space="preserve">3.3. pašvaldību budžets </w:t>
            </w:r>
          </w:p>
        </w:tc>
        <w:tc>
          <w:tcPr>
            <w:tcW w:w="851" w:type="dxa"/>
            <w:shd w:val="clear" w:color="auto" w:fill="auto"/>
          </w:tcPr>
          <w:p w:rsidR="009B7092" w:rsidRPr="00992BD4" w:rsidRDefault="009B7092" w:rsidP="008C6EF2">
            <w:pPr>
              <w:pStyle w:val="naisf"/>
              <w:spacing w:before="0" w:after="0"/>
              <w:ind w:firstLine="0"/>
              <w:rPr>
                <w:i/>
              </w:rPr>
            </w:pPr>
          </w:p>
        </w:tc>
        <w:tc>
          <w:tcPr>
            <w:tcW w:w="1843" w:type="dxa"/>
          </w:tcPr>
          <w:p w:rsidR="009B7092" w:rsidRPr="00992BD4" w:rsidRDefault="009B7092" w:rsidP="008C6EF2">
            <w:pPr>
              <w:pStyle w:val="naisf"/>
              <w:spacing w:before="0" w:after="0"/>
              <w:ind w:firstLine="0"/>
              <w:rPr>
                <w:b/>
                <w:i/>
              </w:rPr>
            </w:pPr>
          </w:p>
        </w:tc>
        <w:tc>
          <w:tcPr>
            <w:tcW w:w="1701" w:type="dxa"/>
          </w:tcPr>
          <w:p w:rsidR="009B7092" w:rsidRPr="00992BD4" w:rsidRDefault="009B7092" w:rsidP="008C6EF2">
            <w:pPr>
              <w:pStyle w:val="naisf"/>
              <w:spacing w:before="0" w:after="0"/>
              <w:ind w:firstLine="0"/>
              <w:rPr>
                <w:b/>
                <w:i/>
              </w:rPr>
            </w:pPr>
          </w:p>
        </w:tc>
        <w:tc>
          <w:tcPr>
            <w:tcW w:w="1275" w:type="dxa"/>
          </w:tcPr>
          <w:p w:rsidR="009B7092" w:rsidRPr="00992BD4" w:rsidRDefault="009B7092" w:rsidP="008C6EF2">
            <w:pPr>
              <w:pStyle w:val="naisf"/>
              <w:spacing w:before="0" w:after="0"/>
              <w:ind w:firstLine="0"/>
              <w:rPr>
                <w:b/>
                <w:i/>
              </w:rPr>
            </w:pPr>
          </w:p>
        </w:tc>
        <w:tc>
          <w:tcPr>
            <w:tcW w:w="1276" w:type="dxa"/>
          </w:tcPr>
          <w:p w:rsidR="009B7092" w:rsidRPr="00992BD4" w:rsidRDefault="009B7092" w:rsidP="008C6EF2">
            <w:pPr>
              <w:pStyle w:val="naisf"/>
              <w:spacing w:before="0" w:after="0"/>
              <w:ind w:firstLine="0"/>
              <w:rPr>
                <w:b/>
                <w:i/>
              </w:rPr>
            </w:pPr>
          </w:p>
        </w:tc>
      </w:tr>
      <w:tr w:rsidR="009B7092" w:rsidRPr="00992BD4" w:rsidTr="009B7092">
        <w:tc>
          <w:tcPr>
            <w:tcW w:w="2410" w:type="dxa"/>
            <w:vMerge w:val="restart"/>
          </w:tcPr>
          <w:p w:rsidR="009B7092" w:rsidRPr="007D5F51" w:rsidRDefault="009B7092" w:rsidP="008C6EF2">
            <w:pPr>
              <w:jc w:val="both"/>
              <w:rPr>
                <w:sz w:val="20"/>
                <w:szCs w:val="20"/>
              </w:rPr>
            </w:pPr>
            <w:r w:rsidRPr="007D5F51">
              <w:rPr>
                <w:sz w:val="20"/>
                <w:szCs w:val="20"/>
              </w:rPr>
              <w:t>4. Finanšu līdzekļi papildu izde</w:t>
            </w:r>
            <w:r w:rsidRPr="007D5F51">
              <w:rPr>
                <w:sz w:val="20"/>
                <w:szCs w:val="20"/>
              </w:rPr>
              <w:softHyphen/>
              <w:t>vumu finansēšanai (kompensējošu izdevumu samazinājumu norāda ar "+" zīmi)</w:t>
            </w:r>
          </w:p>
        </w:tc>
        <w:tc>
          <w:tcPr>
            <w:tcW w:w="851" w:type="dxa"/>
            <w:vMerge w:val="restart"/>
          </w:tcPr>
          <w:p w:rsidR="009B7092" w:rsidRPr="00992BD4" w:rsidRDefault="009B7092" w:rsidP="008C6EF2">
            <w:pPr>
              <w:pStyle w:val="naisf"/>
              <w:spacing w:before="0" w:after="0"/>
              <w:ind w:firstLine="0"/>
              <w:jc w:val="center"/>
              <w:rPr>
                <w:i/>
              </w:rPr>
            </w:pPr>
            <w:r w:rsidRPr="00992BD4">
              <w:t>X</w:t>
            </w:r>
          </w:p>
        </w:tc>
        <w:tc>
          <w:tcPr>
            <w:tcW w:w="1843" w:type="dxa"/>
          </w:tcPr>
          <w:p w:rsidR="009B7092" w:rsidRPr="00992BD4" w:rsidRDefault="009B7092" w:rsidP="008C6EF2">
            <w:pPr>
              <w:pStyle w:val="naisf"/>
              <w:spacing w:before="0" w:after="0"/>
              <w:ind w:firstLine="0"/>
              <w:jc w:val="left"/>
              <w:rPr>
                <w:b/>
                <w:i/>
              </w:rPr>
            </w:pPr>
          </w:p>
        </w:tc>
        <w:tc>
          <w:tcPr>
            <w:tcW w:w="1701" w:type="dxa"/>
          </w:tcPr>
          <w:p w:rsidR="009B7092" w:rsidRPr="00992BD4" w:rsidRDefault="009B7092" w:rsidP="008C6EF2">
            <w:pPr>
              <w:pStyle w:val="naisf"/>
              <w:spacing w:before="0" w:after="0"/>
              <w:ind w:firstLine="0"/>
              <w:jc w:val="left"/>
              <w:rPr>
                <w:b/>
                <w:i/>
              </w:rPr>
            </w:pPr>
          </w:p>
        </w:tc>
        <w:tc>
          <w:tcPr>
            <w:tcW w:w="1275" w:type="dxa"/>
          </w:tcPr>
          <w:p w:rsidR="009B7092" w:rsidRPr="00992BD4" w:rsidRDefault="009B7092" w:rsidP="008C6EF2">
            <w:pPr>
              <w:pStyle w:val="naisf"/>
              <w:spacing w:before="0" w:after="0"/>
              <w:ind w:firstLine="0"/>
              <w:jc w:val="left"/>
              <w:rPr>
                <w:b/>
                <w:i/>
              </w:rPr>
            </w:pPr>
          </w:p>
        </w:tc>
        <w:tc>
          <w:tcPr>
            <w:tcW w:w="1276" w:type="dxa"/>
          </w:tcPr>
          <w:p w:rsidR="009B7092" w:rsidRPr="00992BD4" w:rsidRDefault="009B7092" w:rsidP="008C6EF2">
            <w:pPr>
              <w:pStyle w:val="naisf"/>
              <w:spacing w:before="0" w:after="0"/>
              <w:ind w:firstLine="0"/>
              <w:jc w:val="left"/>
              <w:rPr>
                <w:b/>
                <w:i/>
              </w:rPr>
            </w:pPr>
          </w:p>
        </w:tc>
      </w:tr>
      <w:tr w:rsidR="009B7092" w:rsidRPr="00992BD4" w:rsidTr="009B7092">
        <w:tc>
          <w:tcPr>
            <w:tcW w:w="2410" w:type="dxa"/>
            <w:vMerge/>
          </w:tcPr>
          <w:p w:rsidR="009B7092" w:rsidRPr="007D5F51" w:rsidRDefault="009B7092" w:rsidP="008C6EF2">
            <w:pPr>
              <w:jc w:val="both"/>
              <w:rPr>
                <w:sz w:val="20"/>
                <w:szCs w:val="20"/>
              </w:rPr>
            </w:pPr>
          </w:p>
        </w:tc>
        <w:tc>
          <w:tcPr>
            <w:tcW w:w="851" w:type="dxa"/>
            <w:vMerge/>
          </w:tcPr>
          <w:p w:rsidR="009B7092" w:rsidRPr="00992BD4" w:rsidRDefault="009B7092" w:rsidP="008C6EF2">
            <w:pPr>
              <w:pStyle w:val="naisf"/>
              <w:spacing w:before="0" w:after="0"/>
              <w:ind w:firstLine="0"/>
              <w:jc w:val="center"/>
              <w:rPr>
                <w:i/>
              </w:rPr>
            </w:pPr>
          </w:p>
        </w:tc>
        <w:tc>
          <w:tcPr>
            <w:tcW w:w="1843" w:type="dxa"/>
          </w:tcPr>
          <w:p w:rsidR="009B7092" w:rsidRPr="00992BD4" w:rsidRDefault="009B7092" w:rsidP="008C6EF2">
            <w:pPr>
              <w:pStyle w:val="naisf"/>
              <w:spacing w:before="0" w:after="0"/>
              <w:ind w:firstLine="0"/>
              <w:jc w:val="left"/>
              <w:rPr>
                <w:b/>
                <w:i/>
              </w:rPr>
            </w:pPr>
          </w:p>
        </w:tc>
        <w:tc>
          <w:tcPr>
            <w:tcW w:w="1701" w:type="dxa"/>
          </w:tcPr>
          <w:p w:rsidR="009B7092" w:rsidRPr="00992BD4" w:rsidRDefault="009B7092" w:rsidP="008C6EF2">
            <w:pPr>
              <w:pStyle w:val="naisf"/>
              <w:spacing w:before="0" w:after="0"/>
              <w:ind w:firstLine="0"/>
              <w:jc w:val="left"/>
              <w:rPr>
                <w:b/>
                <w:i/>
              </w:rPr>
            </w:pPr>
          </w:p>
        </w:tc>
        <w:tc>
          <w:tcPr>
            <w:tcW w:w="1275" w:type="dxa"/>
          </w:tcPr>
          <w:p w:rsidR="009B7092" w:rsidRPr="00992BD4" w:rsidRDefault="009B7092" w:rsidP="008C6EF2">
            <w:pPr>
              <w:pStyle w:val="naisf"/>
              <w:spacing w:before="0" w:after="0"/>
              <w:ind w:firstLine="0"/>
              <w:jc w:val="left"/>
              <w:rPr>
                <w:b/>
                <w:i/>
              </w:rPr>
            </w:pPr>
          </w:p>
        </w:tc>
        <w:tc>
          <w:tcPr>
            <w:tcW w:w="1276" w:type="dxa"/>
          </w:tcPr>
          <w:p w:rsidR="009B7092" w:rsidRPr="00992BD4" w:rsidRDefault="009B7092" w:rsidP="008C6EF2">
            <w:pPr>
              <w:pStyle w:val="naisf"/>
              <w:spacing w:before="0" w:after="0"/>
              <w:ind w:firstLine="0"/>
              <w:jc w:val="left"/>
              <w:rPr>
                <w:b/>
                <w:i/>
              </w:rPr>
            </w:pPr>
          </w:p>
        </w:tc>
      </w:tr>
      <w:tr w:rsidR="009B7092" w:rsidRPr="00992BD4" w:rsidTr="009B7092">
        <w:tc>
          <w:tcPr>
            <w:tcW w:w="2410" w:type="dxa"/>
            <w:vMerge/>
          </w:tcPr>
          <w:p w:rsidR="009B7092" w:rsidRPr="007D5F51" w:rsidRDefault="009B7092" w:rsidP="008C6EF2">
            <w:pPr>
              <w:jc w:val="both"/>
              <w:rPr>
                <w:sz w:val="20"/>
                <w:szCs w:val="20"/>
              </w:rPr>
            </w:pPr>
          </w:p>
        </w:tc>
        <w:tc>
          <w:tcPr>
            <w:tcW w:w="851" w:type="dxa"/>
            <w:vMerge/>
          </w:tcPr>
          <w:p w:rsidR="009B7092" w:rsidRPr="00992BD4" w:rsidRDefault="009B7092" w:rsidP="008C6EF2">
            <w:pPr>
              <w:pStyle w:val="naisf"/>
              <w:spacing w:before="0" w:after="0"/>
              <w:ind w:firstLine="0"/>
              <w:jc w:val="center"/>
              <w:rPr>
                <w:i/>
              </w:rPr>
            </w:pPr>
          </w:p>
        </w:tc>
        <w:tc>
          <w:tcPr>
            <w:tcW w:w="1843" w:type="dxa"/>
          </w:tcPr>
          <w:p w:rsidR="009B7092" w:rsidRPr="00992BD4" w:rsidRDefault="009B7092" w:rsidP="008C6EF2">
            <w:pPr>
              <w:pStyle w:val="naisf"/>
              <w:spacing w:before="0" w:after="0"/>
              <w:ind w:firstLine="0"/>
              <w:jc w:val="left"/>
              <w:rPr>
                <w:b/>
                <w:i/>
              </w:rPr>
            </w:pPr>
          </w:p>
        </w:tc>
        <w:tc>
          <w:tcPr>
            <w:tcW w:w="1701" w:type="dxa"/>
          </w:tcPr>
          <w:p w:rsidR="009B7092" w:rsidRPr="00992BD4" w:rsidRDefault="009B7092" w:rsidP="008C6EF2">
            <w:pPr>
              <w:pStyle w:val="naisf"/>
              <w:spacing w:before="0" w:after="0"/>
              <w:ind w:firstLine="0"/>
              <w:jc w:val="left"/>
              <w:rPr>
                <w:b/>
                <w:i/>
              </w:rPr>
            </w:pPr>
          </w:p>
        </w:tc>
        <w:tc>
          <w:tcPr>
            <w:tcW w:w="1275" w:type="dxa"/>
          </w:tcPr>
          <w:p w:rsidR="009B7092" w:rsidRPr="00992BD4" w:rsidRDefault="009B7092" w:rsidP="008C6EF2">
            <w:pPr>
              <w:pStyle w:val="naisf"/>
              <w:spacing w:before="0" w:after="0"/>
              <w:ind w:firstLine="0"/>
              <w:jc w:val="left"/>
              <w:rPr>
                <w:b/>
                <w:i/>
              </w:rPr>
            </w:pPr>
          </w:p>
        </w:tc>
        <w:tc>
          <w:tcPr>
            <w:tcW w:w="1276" w:type="dxa"/>
          </w:tcPr>
          <w:p w:rsidR="009B7092" w:rsidRPr="00992BD4" w:rsidRDefault="009B7092" w:rsidP="008C6EF2">
            <w:pPr>
              <w:pStyle w:val="naisf"/>
              <w:spacing w:before="0" w:after="0"/>
              <w:ind w:firstLine="0"/>
              <w:jc w:val="left"/>
              <w:rPr>
                <w:b/>
                <w:i/>
              </w:rPr>
            </w:pPr>
          </w:p>
        </w:tc>
      </w:tr>
      <w:tr w:rsidR="009B7092" w:rsidRPr="00992BD4" w:rsidTr="009B7092">
        <w:tc>
          <w:tcPr>
            <w:tcW w:w="2410" w:type="dxa"/>
          </w:tcPr>
          <w:p w:rsidR="009B7092" w:rsidRPr="007D5F51" w:rsidRDefault="009B7092" w:rsidP="008C6EF2">
            <w:pPr>
              <w:jc w:val="both"/>
              <w:rPr>
                <w:sz w:val="20"/>
                <w:szCs w:val="20"/>
              </w:rPr>
            </w:pPr>
            <w:r w:rsidRPr="007D5F51">
              <w:rPr>
                <w:sz w:val="20"/>
                <w:szCs w:val="20"/>
              </w:rPr>
              <w:t>5. Precizēta finansiālā ietekme:</w:t>
            </w:r>
          </w:p>
        </w:tc>
        <w:tc>
          <w:tcPr>
            <w:tcW w:w="851" w:type="dxa"/>
            <w:vMerge w:val="restart"/>
          </w:tcPr>
          <w:p w:rsidR="009B7092" w:rsidRPr="00992BD4" w:rsidRDefault="009B7092" w:rsidP="008C6EF2">
            <w:pPr>
              <w:pStyle w:val="naisf"/>
              <w:spacing w:before="0" w:after="0"/>
              <w:ind w:firstLine="0"/>
              <w:jc w:val="center"/>
              <w:rPr>
                <w:i/>
              </w:rPr>
            </w:pPr>
            <w:r w:rsidRPr="00992BD4">
              <w:t>X</w:t>
            </w:r>
          </w:p>
        </w:tc>
        <w:tc>
          <w:tcPr>
            <w:tcW w:w="1843" w:type="dxa"/>
          </w:tcPr>
          <w:p w:rsidR="009B7092" w:rsidRPr="00992BD4" w:rsidRDefault="009B7092" w:rsidP="008C6EF2">
            <w:pPr>
              <w:pStyle w:val="naisf"/>
              <w:spacing w:before="0" w:after="0"/>
              <w:ind w:firstLine="0"/>
              <w:rPr>
                <w:b/>
                <w:i/>
              </w:rPr>
            </w:pPr>
          </w:p>
        </w:tc>
        <w:tc>
          <w:tcPr>
            <w:tcW w:w="1701" w:type="dxa"/>
          </w:tcPr>
          <w:p w:rsidR="009B7092" w:rsidRPr="00992BD4" w:rsidRDefault="009B7092" w:rsidP="008C6EF2">
            <w:pPr>
              <w:pStyle w:val="naisf"/>
              <w:spacing w:before="0" w:after="0"/>
              <w:ind w:firstLine="0"/>
              <w:rPr>
                <w:b/>
                <w:i/>
              </w:rPr>
            </w:pPr>
          </w:p>
        </w:tc>
        <w:tc>
          <w:tcPr>
            <w:tcW w:w="1275" w:type="dxa"/>
          </w:tcPr>
          <w:p w:rsidR="009B7092" w:rsidRPr="00992BD4" w:rsidRDefault="009B7092" w:rsidP="008C6EF2">
            <w:pPr>
              <w:pStyle w:val="naisf"/>
              <w:spacing w:before="0" w:after="0"/>
              <w:ind w:firstLine="0"/>
              <w:rPr>
                <w:b/>
                <w:i/>
              </w:rPr>
            </w:pPr>
          </w:p>
        </w:tc>
        <w:tc>
          <w:tcPr>
            <w:tcW w:w="1276" w:type="dxa"/>
          </w:tcPr>
          <w:p w:rsidR="009B7092" w:rsidRPr="00992BD4" w:rsidRDefault="009B7092" w:rsidP="008C6EF2">
            <w:pPr>
              <w:pStyle w:val="naisf"/>
              <w:spacing w:before="0" w:after="0"/>
              <w:ind w:firstLine="0"/>
              <w:rPr>
                <w:b/>
                <w:i/>
              </w:rPr>
            </w:pPr>
          </w:p>
        </w:tc>
      </w:tr>
      <w:tr w:rsidR="009B7092" w:rsidRPr="00992BD4" w:rsidTr="009B7092">
        <w:tc>
          <w:tcPr>
            <w:tcW w:w="2410" w:type="dxa"/>
          </w:tcPr>
          <w:p w:rsidR="009B7092" w:rsidRPr="007D5F51" w:rsidRDefault="009B7092" w:rsidP="008C6EF2">
            <w:pPr>
              <w:jc w:val="both"/>
              <w:rPr>
                <w:sz w:val="20"/>
                <w:szCs w:val="20"/>
              </w:rPr>
            </w:pPr>
            <w:r w:rsidRPr="007D5F51">
              <w:rPr>
                <w:sz w:val="20"/>
                <w:szCs w:val="20"/>
              </w:rPr>
              <w:t>5.1. valsts pamatbudžets</w:t>
            </w:r>
          </w:p>
        </w:tc>
        <w:tc>
          <w:tcPr>
            <w:tcW w:w="851" w:type="dxa"/>
            <w:vMerge/>
            <w:vAlign w:val="center"/>
          </w:tcPr>
          <w:p w:rsidR="009B7092" w:rsidRPr="00992BD4" w:rsidRDefault="009B7092" w:rsidP="008C6EF2">
            <w:pPr>
              <w:pStyle w:val="naisf"/>
              <w:spacing w:before="0" w:after="0"/>
              <w:ind w:firstLine="0"/>
              <w:jc w:val="center"/>
              <w:rPr>
                <w:i/>
              </w:rPr>
            </w:pPr>
          </w:p>
        </w:tc>
        <w:tc>
          <w:tcPr>
            <w:tcW w:w="1843" w:type="dxa"/>
          </w:tcPr>
          <w:p w:rsidR="009B7092" w:rsidRPr="00992BD4" w:rsidRDefault="009B7092" w:rsidP="008C6EF2">
            <w:pPr>
              <w:pStyle w:val="naisf"/>
              <w:spacing w:before="0" w:after="0"/>
              <w:ind w:firstLine="0"/>
              <w:rPr>
                <w:b/>
                <w:i/>
              </w:rPr>
            </w:pPr>
            <w:r w:rsidRPr="00992BD4">
              <w:rPr>
                <w:b/>
                <w:i/>
              </w:rPr>
              <w:t>0</w:t>
            </w:r>
          </w:p>
        </w:tc>
        <w:tc>
          <w:tcPr>
            <w:tcW w:w="1701" w:type="dxa"/>
          </w:tcPr>
          <w:p w:rsidR="009B7092" w:rsidRPr="00992BD4" w:rsidRDefault="009B7092" w:rsidP="008C6EF2">
            <w:pPr>
              <w:pStyle w:val="naisf"/>
              <w:spacing w:before="0" w:after="0"/>
              <w:ind w:firstLine="0"/>
              <w:rPr>
                <w:b/>
                <w:i/>
              </w:rPr>
            </w:pPr>
            <w:r w:rsidRPr="00992BD4">
              <w:rPr>
                <w:b/>
                <w:i/>
              </w:rPr>
              <w:t>0</w:t>
            </w:r>
          </w:p>
        </w:tc>
        <w:tc>
          <w:tcPr>
            <w:tcW w:w="1275" w:type="dxa"/>
          </w:tcPr>
          <w:p w:rsidR="009B7092" w:rsidRPr="00992BD4" w:rsidRDefault="009B7092" w:rsidP="008C6EF2">
            <w:pPr>
              <w:pStyle w:val="naisf"/>
              <w:spacing w:before="0" w:after="0"/>
              <w:ind w:firstLine="0"/>
              <w:rPr>
                <w:b/>
                <w:i/>
              </w:rPr>
            </w:pPr>
            <w:r w:rsidRPr="00992BD4">
              <w:rPr>
                <w:b/>
                <w:i/>
              </w:rPr>
              <w:t>0</w:t>
            </w:r>
          </w:p>
        </w:tc>
        <w:tc>
          <w:tcPr>
            <w:tcW w:w="1276" w:type="dxa"/>
          </w:tcPr>
          <w:p w:rsidR="009B7092" w:rsidRPr="00992BD4" w:rsidRDefault="009B7092" w:rsidP="008C6EF2">
            <w:pPr>
              <w:pStyle w:val="naisf"/>
              <w:spacing w:before="0" w:after="0"/>
              <w:ind w:firstLine="0"/>
              <w:rPr>
                <w:b/>
                <w:i/>
              </w:rPr>
            </w:pPr>
            <w:r w:rsidRPr="00992BD4">
              <w:rPr>
                <w:b/>
                <w:i/>
              </w:rPr>
              <w:t>0</w:t>
            </w:r>
          </w:p>
        </w:tc>
      </w:tr>
      <w:tr w:rsidR="009B7092" w:rsidRPr="00992BD4" w:rsidTr="009B7092">
        <w:tc>
          <w:tcPr>
            <w:tcW w:w="2410" w:type="dxa"/>
          </w:tcPr>
          <w:p w:rsidR="009B7092" w:rsidRPr="007D5F51" w:rsidRDefault="009B7092" w:rsidP="008C6EF2">
            <w:pPr>
              <w:jc w:val="both"/>
              <w:rPr>
                <w:sz w:val="20"/>
                <w:szCs w:val="20"/>
              </w:rPr>
            </w:pPr>
            <w:r w:rsidRPr="007D5F51">
              <w:rPr>
                <w:sz w:val="20"/>
                <w:szCs w:val="20"/>
              </w:rPr>
              <w:t>5.2. speciālais budžets</w:t>
            </w:r>
          </w:p>
        </w:tc>
        <w:tc>
          <w:tcPr>
            <w:tcW w:w="851" w:type="dxa"/>
            <w:vMerge/>
            <w:vAlign w:val="center"/>
          </w:tcPr>
          <w:p w:rsidR="009B7092" w:rsidRPr="00992BD4" w:rsidRDefault="009B7092" w:rsidP="008C6EF2">
            <w:pPr>
              <w:pStyle w:val="naisf"/>
              <w:spacing w:before="0" w:after="0"/>
              <w:ind w:firstLine="0"/>
              <w:jc w:val="center"/>
              <w:rPr>
                <w:i/>
              </w:rPr>
            </w:pPr>
          </w:p>
        </w:tc>
        <w:tc>
          <w:tcPr>
            <w:tcW w:w="1843" w:type="dxa"/>
          </w:tcPr>
          <w:p w:rsidR="009B7092" w:rsidRPr="00992BD4" w:rsidRDefault="009B7092" w:rsidP="008C6EF2">
            <w:pPr>
              <w:pStyle w:val="naisf"/>
              <w:spacing w:before="0" w:after="0"/>
              <w:ind w:firstLine="0"/>
              <w:rPr>
                <w:b/>
                <w:i/>
              </w:rPr>
            </w:pPr>
            <w:r w:rsidRPr="00992BD4">
              <w:rPr>
                <w:b/>
                <w:i/>
              </w:rPr>
              <w:t>0</w:t>
            </w:r>
          </w:p>
        </w:tc>
        <w:tc>
          <w:tcPr>
            <w:tcW w:w="1701" w:type="dxa"/>
          </w:tcPr>
          <w:p w:rsidR="009B7092" w:rsidRPr="00992BD4" w:rsidRDefault="009B7092" w:rsidP="008C6EF2">
            <w:pPr>
              <w:pStyle w:val="naisf"/>
              <w:spacing w:before="0" w:after="0"/>
              <w:ind w:firstLine="0"/>
              <w:rPr>
                <w:b/>
                <w:i/>
              </w:rPr>
            </w:pPr>
            <w:r w:rsidRPr="00992BD4">
              <w:rPr>
                <w:b/>
                <w:i/>
              </w:rPr>
              <w:t>0</w:t>
            </w:r>
          </w:p>
        </w:tc>
        <w:tc>
          <w:tcPr>
            <w:tcW w:w="1275" w:type="dxa"/>
          </w:tcPr>
          <w:p w:rsidR="009B7092" w:rsidRPr="00992BD4" w:rsidRDefault="009B7092" w:rsidP="008C6EF2">
            <w:pPr>
              <w:pStyle w:val="naisf"/>
              <w:spacing w:before="0" w:after="0"/>
              <w:ind w:firstLine="0"/>
              <w:rPr>
                <w:b/>
                <w:i/>
              </w:rPr>
            </w:pPr>
            <w:r w:rsidRPr="00992BD4">
              <w:rPr>
                <w:b/>
                <w:i/>
              </w:rPr>
              <w:t>0</w:t>
            </w:r>
          </w:p>
        </w:tc>
        <w:tc>
          <w:tcPr>
            <w:tcW w:w="1276" w:type="dxa"/>
          </w:tcPr>
          <w:p w:rsidR="009B7092" w:rsidRPr="00992BD4" w:rsidRDefault="009B7092" w:rsidP="008C6EF2">
            <w:pPr>
              <w:pStyle w:val="naisf"/>
              <w:spacing w:before="0" w:after="0"/>
              <w:ind w:firstLine="0"/>
              <w:rPr>
                <w:b/>
                <w:i/>
              </w:rPr>
            </w:pPr>
            <w:r w:rsidRPr="00992BD4">
              <w:rPr>
                <w:b/>
                <w:i/>
              </w:rPr>
              <w:t>0</w:t>
            </w:r>
          </w:p>
        </w:tc>
      </w:tr>
      <w:tr w:rsidR="009B7092" w:rsidRPr="00992BD4" w:rsidTr="009B7092">
        <w:tc>
          <w:tcPr>
            <w:tcW w:w="2410" w:type="dxa"/>
          </w:tcPr>
          <w:p w:rsidR="009B7092" w:rsidRPr="007D5F51" w:rsidRDefault="009B7092" w:rsidP="008C6EF2">
            <w:pPr>
              <w:jc w:val="both"/>
              <w:rPr>
                <w:sz w:val="20"/>
                <w:szCs w:val="20"/>
              </w:rPr>
            </w:pPr>
            <w:r w:rsidRPr="007D5F51">
              <w:rPr>
                <w:sz w:val="20"/>
                <w:szCs w:val="20"/>
              </w:rPr>
              <w:t xml:space="preserve">5.3. pašvaldību budžets </w:t>
            </w:r>
          </w:p>
        </w:tc>
        <w:tc>
          <w:tcPr>
            <w:tcW w:w="851" w:type="dxa"/>
            <w:vMerge/>
            <w:vAlign w:val="center"/>
          </w:tcPr>
          <w:p w:rsidR="009B7092" w:rsidRPr="00992BD4" w:rsidRDefault="009B7092" w:rsidP="008C6EF2">
            <w:pPr>
              <w:pStyle w:val="naisf"/>
              <w:spacing w:before="0" w:after="0"/>
              <w:ind w:firstLine="0"/>
              <w:jc w:val="center"/>
              <w:rPr>
                <w:i/>
              </w:rPr>
            </w:pPr>
          </w:p>
        </w:tc>
        <w:tc>
          <w:tcPr>
            <w:tcW w:w="1843" w:type="dxa"/>
          </w:tcPr>
          <w:p w:rsidR="009B7092" w:rsidRPr="00992BD4" w:rsidRDefault="009B7092" w:rsidP="008C6EF2">
            <w:pPr>
              <w:pStyle w:val="naisf"/>
              <w:spacing w:before="0" w:after="0"/>
              <w:ind w:firstLine="0"/>
              <w:rPr>
                <w:b/>
                <w:i/>
              </w:rPr>
            </w:pPr>
            <w:r w:rsidRPr="00992BD4">
              <w:rPr>
                <w:b/>
                <w:i/>
              </w:rPr>
              <w:t>0</w:t>
            </w:r>
          </w:p>
        </w:tc>
        <w:tc>
          <w:tcPr>
            <w:tcW w:w="1701" w:type="dxa"/>
          </w:tcPr>
          <w:p w:rsidR="009B7092" w:rsidRPr="00992BD4" w:rsidRDefault="009B7092" w:rsidP="008C6EF2">
            <w:pPr>
              <w:pStyle w:val="naisf"/>
              <w:spacing w:before="0" w:after="0"/>
              <w:ind w:firstLine="0"/>
              <w:rPr>
                <w:b/>
                <w:i/>
              </w:rPr>
            </w:pPr>
            <w:r w:rsidRPr="00992BD4">
              <w:rPr>
                <w:b/>
                <w:i/>
              </w:rPr>
              <w:t>0</w:t>
            </w:r>
          </w:p>
        </w:tc>
        <w:tc>
          <w:tcPr>
            <w:tcW w:w="1275" w:type="dxa"/>
          </w:tcPr>
          <w:p w:rsidR="009B7092" w:rsidRPr="00992BD4" w:rsidRDefault="009B7092" w:rsidP="008C6EF2">
            <w:pPr>
              <w:pStyle w:val="naisf"/>
              <w:spacing w:before="0" w:after="0"/>
              <w:ind w:firstLine="0"/>
              <w:rPr>
                <w:b/>
                <w:i/>
              </w:rPr>
            </w:pPr>
            <w:r w:rsidRPr="00992BD4">
              <w:rPr>
                <w:b/>
                <w:i/>
              </w:rPr>
              <w:t>0</w:t>
            </w:r>
          </w:p>
        </w:tc>
        <w:tc>
          <w:tcPr>
            <w:tcW w:w="1276" w:type="dxa"/>
          </w:tcPr>
          <w:p w:rsidR="009B7092" w:rsidRPr="00992BD4" w:rsidRDefault="009B7092" w:rsidP="008C6EF2">
            <w:pPr>
              <w:pStyle w:val="naisf"/>
              <w:spacing w:before="0" w:after="0"/>
              <w:ind w:firstLine="0"/>
              <w:rPr>
                <w:b/>
                <w:i/>
              </w:rPr>
            </w:pPr>
            <w:r w:rsidRPr="00992BD4">
              <w:rPr>
                <w:b/>
                <w:i/>
              </w:rPr>
              <w:t>0</w:t>
            </w:r>
          </w:p>
        </w:tc>
      </w:tr>
      <w:tr w:rsidR="009B7092" w:rsidRPr="00992BD4" w:rsidTr="009B7092">
        <w:tc>
          <w:tcPr>
            <w:tcW w:w="2410" w:type="dxa"/>
          </w:tcPr>
          <w:p w:rsidR="009B7092" w:rsidRPr="007D5F51" w:rsidRDefault="009B7092" w:rsidP="008C6EF2">
            <w:pPr>
              <w:jc w:val="both"/>
              <w:rPr>
                <w:sz w:val="20"/>
                <w:szCs w:val="20"/>
              </w:rPr>
            </w:pPr>
            <w:r w:rsidRPr="007D5F51">
              <w:rPr>
                <w:sz w:val="20"/>
                <w:szCs w:val="20"/>
              </w:rPr>
              <w:t>6. Detalizēts ieņēmumu un izdevu</w:t>
            </w:r>
            <w:r w:rsidRPr="007D5F51">
              <w:rPr>
                <w:sz w:val="20"/>
                <w:szCs w:val="20"/>
              </w:rPr>
              <w:softHyphen/>
              <w:t>mu aprēķins (ja nepieciešams, detalizētu ieņēmumu un izdevumu aprēķinu var pievienot anotācijas pielikumā):</w:t>
            </w:r>
          </w:p>
        </w:tc>
        <w:tc>
          <w:tcPr>
            <w:tcW w:w="6946" w:type="dxa"/>
            <w:gridSpan w:val="5"/>
            <w:vMerge w:val="restart"/>
          </w:tcPr>
          <w:p w:rsidR="009B7092" w:rsidRPr="00992BD4" w:rsidRDefault="009B7092" w:rsidP="008C6EF2">
            <w:pPr>
              <w:pStyle w:val="naisf"/>
              <w:spacing w:before="0" w:after="0"/>
              <w:ind w:firstLine="0"/>
            </w:pPr>
          </w:p>
          <w:p w:rsidR="009B7092" w:rsidRPr="00992BD4" w:rsidRDefault="009B7092" w:rsidP="008C6EF2">
            <w:pPr>
              <w:pStyle w:val="naisf"/>
              <w:spacing w:before="0" w:after="0"/>
              <w:ind w:firstLine="452"/>
            </w:pPr>
          </w:p>
        </w:tc>
      </w:tr>
      <w:tr w:rsidR="009B7092" w:rsidRPr="00992BD4" w:rsidTr="009B7092">
        <w:tc>
          <w:tcPr>
            <w:tcW w:w="2410" w:type="dxa"/>
          </w:tcPr>
          <w:p w:rsidR="009B7092" w:rsidRPr="007D5F51" w:rsidRDefault="009B7092" w:rsidP="008C6EF2">
            <w:pPr>
              <w:jc w:val="both"/>
              <w:rPr>
                <w:sz w:val="20"/>
                <w:szCs w:val="20"/>
              </w:rPr>
            </w:pPr>
            <w:r w:rsidRPr="007D5F51">
              <w:rPr>
                <w:sz w:val="20"/>
                <w:szCs w:val="20"/>
              </w:rPr>
              <w:t>6.1. detalizēts ieņēmumu aprēķins</w:t>
            </w:r>
          </w:p>
        </w:tc>
        <w:tc>
          <w:tcPr>
            <w:tcW w:w="6946" w:type="dxa"/>
            <w:gridSpan w:val="5"/>
            <w:vMerge/>
          </w:tcPr>
          <w:p w:rsidR="009B7092" w:rsidRPr="00992BD4" w:rsidRDefault="009B7092" w:rsidP="008C6EF2">
            <w:pPr>
              <w:pStyle w:val="naisf"/>
              <w:spacing w:before="0" w:after="0"/>
              <w:ind w:firstLine="0"/>
              <w:rPr>
                <w:b/>
                <w:i/>
              </w:rPr>
            </w:pPr>
          </w:p>
        </w:tc>
      </w:tr>
      <w:tr w:rsidR="009B7092" w:rsidRPr="00992BD4" w:rsidTr="009B7092">
        <w:tc>
          <w:tcPr>
            <w:tcW w:w="2410" w:type="dxa"/>
          </w:tcPr>
          <w:p w:rsidR="009B7092" w:rsidRPr="007D5F51" w:rsidRDefault="009B7092" w:rsidP="008C6EF2">
            <w:pPr>
              <w:jc w:val="both"/>
              <w:rPr>
                <w:sz w:val="20"/>
                <w:szCs w:val="20"/>
              </w:rPr>
            </w:pPr>
            <w:r w:rsidRPr="007D5F51">
              <w:rPr>
                <w:sz w:val="20"/>
                <w:szCs w:val="20"/>
              </w:rPr>
              <w:t>6.2. detalizēts izdevumu aprēķins</w:t>
            </w:r>
          </w:p>
        </w:tc>
        <w:tc>
          <w:tcPr>
            <w:tcW w:w="6946" w:type="dxa"/>
            <w:gridSpan w:val="5"/>
            <w:vMerge/>
          </w:tcPr>
          <w:p w:rsidR="009B7092" w:rsidRPr="00992BD4" w:rsidRDefault="009B7092" w:rsidP="008C6EF2">
            <w:pPr>
              <w:pStyle w:val="naisf"/>
              <w:spacing w:before="0" w:after="0"/>
              <w:ind w:firstLine="0"/>
              <w:rPr>
                <w:b/>
                <w:i/>
              </w:rPr>
            </w:pPr>
          </w:p>
        </w:tc>
      </w:tr>
      <w:tr w:rsidR="009B7092" w:rsidRPr="00992BD4" w:rsidTr="009B7092">
        <w:tc>
          <w:tcPr>
            <w:tcW w:w="2410" w:type="dxa"/>
          </w:tcPr>
          <w:p w:rsidR="009B7092" w:rsidRPr="007D5F51" w:rsidRDefault="009B7092" w:rsidP="008C6EF2">
            <w:pPr>
              <w:jc w:val="both"/>
              <w:rPr>
                <w:sz w:val="20"/>
                <w:szCs w:val="20"/>
              </w:rPr>
            </w:pPr>
            <w:r w:rsidRPr="007D5F51">
              <w:rPr>
                <w:sz w:val="20"/>
                <w:szCs w:val="20"/>
              </w:rPr>
              <w:t>7. Cita informācija</w:t>
            </w:r>
          </w:p>
        </w:tc>
        <w:tc>
          <w:tcPr>
            <w:tcW w:w="6946" w:type="dxa"/>
            <w:gridSpan w:val="5"/>
          </w:tcPr>
          <w:p w:rsidR="009B7092" w:rsidRPr="00992BD4" w:rsidRDefault="009B7092" w:rsidP="008C6EF2">
            <w:pPr>
              <w:pStyle w:val="naisf"/>
              <w:spacing w:before="0" w:after="0"/>
              <w:ind w:firstLine="0"/>
              <w:rPr>
                <w:highlight w:val="yellow"/>
              </w:rPr>
            </w:pPr>
            <w:r w:rsidRPr="00992BD4">
              <w:t>Grozījumu ietekmi (iespējamo ieņēmumu samazinājumu vai izdevumu palielinājumu) iespējams segt, nemainot attiecīgajās budžeta programmās vai apakšprogrammās finansējuma sadalījumu pa ieņēmumu, izdevumu vai finansēšanas klasifikācijas kodiem.</w:t>
            </w:r>
          </w:p>
        </w:tc>
      </w:tr>
    </w:tbl>
    <w:p w:rsidR="009B7092" w:rsidRDefault="009B7092"/>
    <w:p w:rsidR="00574FB0" w:rsidRPr="00574FB0" w:rsidRDefault="00574FB0" w:rsidP="00574FB0">
      <w:pPr>
        <w:rPr>
          <w:b/>
        </w:rPr>
      </w:pPr>
      <w:r w:rsidRPr="00574FB0">
        <w:rPr>
          <w:b/>
        </w:rPr>
        <w:t xml:space="preserve">Anotācijas </w:t>
      </w:r>
      <w:r w:rsidR="00146CB3" w:rsidRPr="00146CB3">
        <w:rPr>
          <w:b/>
          <w:bCs/>
        </w:rPr>
        <w:t>IV</w:t>
      </w:r>
      <w:r w:rsidR="00146CB3">
        <w:rPr>
          <w:b/>
          <w:bCs/>
        </w:rPr>
        <w:t>,</w:t>
      </w:r>
      <w:r w:rsidRPr="00574FB0">
        <w:rPr>
          <w:b/>
        </w:rPr>
        <w:t>V</w:t>
      </w:r>
      <w:r w:rsidR="00146CB3">
        <w:rPr>
          <w:b/>
        </w:rPr>
        <w:t>,</w:t>
      </w:r>
      <w:r w:rsidRPr="00574FB0">
        <w:rPr>
          <w:b/>
        </w:rPr>
        <w:t xml:space="preserve"> un VI sadaļa – projekts šo jomu neskar.</w:t>
      </w:r>
    </w:p>
    <w:p w:rsidR="000F41F1" w:rsidRDefault="000F41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880"/>
        <w:gridCol w:w="5939"/>
      </w:tblGrid>
      <w:tr w:rsidR="001F20CA" w:rsidTr="00A83BDB">
        <w:tc>
          <w:tcPr>
            <w:tcW w:w="9288" w:type="dxa"/>
            <w:gridSpan w:val="3"/>
            <w:shd w:val="clear" w:color="auto" w:fill="auto"/>
          </w:tcPr>
          <w:p w:rsidR="001F20CA" w:rsidRDefault="001F20CA" w:rsidP="00A83BDB">
            <w:pPr>
              <w:jc w:val="center"/>
            </w:pPr>
            <w:r w:rsidRPr="00A83BDB">
              <w:rPr>
                <w:b/>
                <w:bCs/>
              </w:rPr>
              <w:t>VII. Tiesību akta projekta izpildes nodrošināšana un tās ietekme uz institūcijām</w:t>
            </w:r>
          </w:p>
        </w:tc>
      </w:tr>
      <w:tr w:rsidR="001F20CA" w:rsidTr="00A83BDB">
        <w:tc>
          <w:tcPr>
            <w:tcW w:w="468" w:type="dxa"/>
            <w:shd w:val="clear" w:color="auto" w:fill="auto"/>
          </w:tcPr>
          <w:p w:rsidR="001F20CA" w:rsidRDefault="001F20CA" w:rsidP="001F20CA">
            <w:pPr>
              <w:pStyle w:val="NormalWeb"/>
            </w:pPr>
            <w:r>
              <w:t>1.</w:t>
            </w:r>
          </w:p>
        </w:tc>
        <w:tc>
          <w:tcPr>
            <w:tcW w:w="2880" w:type="dxa"/>
            <w:shd w:val="clear" w:color="auto" w:fill="auto"/>
          </w:tcPr>
          <w:p w:rsidR="001F20CA" w:rsidRDefault="001F20CA" w:rsidP="001F20CA">
            <w:pPr>
              <w:pStyle w:val="NormalWeb"/>
            </w:pPr>
            <w:r>
              <w:t>Projekta izpildē iesaistītās institūcijas</w:t>
            </w:r>
          </w:p>
        </w:tc>
        <w:tc>
          <w:tcPr>
            <w:tcW w:w="5940" w:type="dxa"/>
            <w:shd w:val="clear" w:color="auto" w:fill="auto"/>
          </w:tcPr>
          <w:p w:rsidR="001F20CA" w:rsidRDefault="00027279" w:rsidP="00A83BDB">
            <w:pPr>
              <w:pStyle w:val="NormalWeb"/>
              <w:jc w:val="both"/>
            </w:pPr>
            <w:r>
              <w:t>Ministrijas, centrālās valsts iestādes, pašvaldības, budžeta iestādes, no budžeta daļēji finansētas atvasinātas publiskas personas un budžeta nefinansētas iestādes, zvērināti revidenti vai zvērinātu revidentu komercsabiedrības, Valsts kase.</w:t>
            </w:r>
          </w:p>
        </w:tc>
      </w:tr>
      <w:tr w:rsidR="001F20CA" w:rsidTr="00A83BDB">
        <w:tc>
          <w:tcPr>
            <w:tcW w:w="468" w:type="dxa"/>
            <w:shd w:val="clear" w:color="auto" w:fill="auto"/>
          </w:tcPr>
          <w:p w:rsidR="001F20CA" w:rsidRDefault="001F20CA" w:rsidP="001F20CA">
            <w:pPr>
              <w:pStyle w:val="NormalWeb"/>
            </w:pPr>
            <w:r>
              <w:t>2.</w:t>
            </w:r>
          </w:p>
        </w:tc>
        <w:tc>
          <w:tcPr>
            <w:tcW w:w="2880" w:type="dxa"/>
            <w:shd w:val="clear" w:color="auto" w:fill="auto"/>
          </w:tcPr>
          <w:p w:rsidR="001F20CA" w:rsidRDefault="001F20CA" w:rsidP="001F20CA">
            <w:pPr>
              <w:pStyle w:val="NormalWeb"/>
            </w:pPr>
            <w:r>
              <w:t>Projekta izpildes ietekme uz pārvaldes funkcijām</w:t>
            </w:r>
          </w:p>
        </w:tc>
        <w:tc>
          <w:tcPr>
            <w:tcW w:w="5940" w:type="dxa"/>
            <w:shd w:val="clear" w:color="auto" w:fill="auto"/>
          </w:tcPr>
          <w:p w:rsidR="001F20CA" w:rsidRDefault="00EA0CB5" w:rsidP="001F20CA">
            <w:pPr>
              <w:pStyle w:val="NormalWeb"/>
            </w:pPr>
            <w:r>
              <w:t>Projekts šo jomu neskar</w:t>
            </w:r>
          </w:p>
        </w:tc>
      </w:tr>
      <w:tr w:rsidR="001F20CA" w:rsidTr="00A83BDB">
        <w:tc>
          <w:tcPr>
            <w:tcW w:w="468" w:type="dxa"/>
            <w:shd w:val="clear" w:color="auto" w:fill="auto"/>
          </w:tcPr>
          <w:p w:rsidR="001F20CA" w:rsidRDefault="001F20CA" w:rsidP="001F20CA">
            <w:pPr>
              <w:pStyle w:val="NormalWeb"/>
            </w:pPr>
            <w:r>
              <w:t>3.</w:t>
            </w:r>
          </w:p>
        </w:tc>
        <w:tc>
          <w:tcPr>
            <w:tcW w:w="2880" w:type="dxa"/>
            <w:shd w:val="clear" w:color="auto" w:fill="auto"/>
          </w:tcPr>
          <w:p w:rsidR="00FA2831" w:rsidRDefault="001F20CA" w:rsidP="00A83BDB">
            <w:pPr>
              <w:pStyle w:val="NormalWeb"/>
              <w:spacing w:before="0" w:beforeAutospacing="0" w:after="0" w:afterAutospacing="0"/>
            </w:pPr>
            <w:r>
              <w:t>Projekta izpildes ietekme uz pārvaldes institucionālo struktūru.</w:t>
            </w:r>
          </w:p>
          <w:p w:rsidR="001F20CA" w:rsidRDefault="001F20CA" w:rsidP="00A83BDB">
            <w:pPr>
              <w:pStyle w:val="NormalWeb"/>
              <w:spacing w:before="0" w:beforeAutospacing="0" w:after="0" w:afterAutospacing="0"/>
            </w:pPr>
            <w:r>
              <w:t>Jaunu institūciju izveide</w:t>
            </w:r>
          </w:p>
        </w:tc>
        <w:tc>
          <w:tcPr>
            <w:tcW w:w="5940" w:type="dxa"/>
            <w:shd w:val="clear" w:color="auto" w:fill="auto"/>
          </w:tcPr>
          <w:p w:rsidR="001F20CA" w:rsidRDefault="00EA0CB5" w:rsidP="001F20CA">
            <w:pPr>
              <w:pStyle w:val="NormalWeb"/>
            </w:pPr>
            <w:r>
              <w:t>Projekts šo jomu neskar</w:t>
            </w:r>
          </w:p>
        </w:tc>
      </w:tr>
      <w:tr w:rsidR="001F20CA" w:rsidTr="00A83BDB">
        <w:tc>
          <w:tcPr>
            <w:tcW w:w="468" w:type="dxa"/>
            <w:shd w:val="clear" w:color="auto" w:fill="auto"/>
          </w:tcPr>
          <w:p w:rsidR="001F20CA" w:rsidRDefault="001F20CA" w:rsidP="001F20CA">
            <w:pPr>
              <w:pStyle w:val="NormalWeb"/>
            </w:pPr>
            <w:r>
              <w:t>4.</w:t>
            </w:r>
          </w:p>
        </w:tc>
        <w:tc>
          <w:tcPr>
            <w:tcW w:w="2880" w:type="dxa"/>
            <w:shd w:val="clear" w:color="auto" w:fill="auto"/>
          </w:tcPr>
          <w:p w:rsidR="001F20CA" w:rsidRDefault="001F20CA" w:rsidP="00A83BDB">
            <w:pPr>
              <w:pStyle w:val="NormalWeb"/>
              <w:spacing w:before="0" w:beforeAutospacing="0" w:after="0" w:afterAutospacing="0"/>
            </w:pPr>
            <w:r>
              <w:t xml:space="preserve">Projekta izpildes ietekme </w:t>
            </w:r>
            <w:r>
              <w:lastRenderedPageBreak/>
              <w:t>uz pārvaldes institucionālo struktūru.</w:t>
            </w:r>
          </w:p>
          <w:p w:rsidR="001F20CA" w:rsidRDefault="001F20CA" w:rsidP="00A83BDB">
            <w:pPr>
              <w:pStyle w:val="NormalWeb"/>
              <w:spacing w:before="0" w:beforeAutospacing="0" w:after="0" w:afterAutospacing="0"/>
            </w:pPr>
            <w:r>
              <w:t>Esošu institūciju likvidācija</w:t>
            </w:r>
          </w:p>
        </w:tc>
        <w:tc>
          <w:tcPr>
            <w:tcW w:w="5940" w:type="dxa"/>
            <w:shd w:val="clear" w:color="auto" w:fill="auto"/>
          </w:tcPr>
          <w:p w:rsidR="001F20CA" w:rsidRDefault="00EA0CB5" w:rsidP="001F20CA">
            <w:pPr>
              <w:pStyle w:val="NormalWeb"/>
            </w:pPr>
            <w:r>
              <w:lastRenderedPageBreak/>
              <w:t>Projekts šo jomu neskar</w:t>
            </w:r>
          </w:p>
        </w:tc>
      </w:tr>
      <w:tr w:rsidR="001F20CA" w:rsidTr="00A83BDB">
        <w:tc>
          <w:tcPr>
            <w:tcW w:w="468" w:type="dxa"/>
            <w:shd w:val="clear" w:color="auto" w:fill="auto"/>
          </w:tcPr>
          <w:p w:rsidR="001F20CA" w:rsidRDefault="001F20CA" w:rsidP="001F20CA">
            <w:pPr>
              <w:pStyle w:val="NormalWeb"/>
            </w:pPr>
            <w:r>
              <w:lastRenderedPageBreak/>
              <w:t>5.</w:t>
            </w:r>
          </w:p>
        </w:tc>
        <w:tc>
          <w:tcPr>
            <w:tcW w:w="2880" w:type="dxa"/>
            <w:shd w:val="clear" w:color="auto" w:fill="auto"/>
          </w:tcPr>
          <w:p w:rsidR="001F20CA" w:rsidRDefault="001F20CA" w:rsidP="00A83BDB">
            <w:pPr>
              <w:pStyle w:val="NormalWeb"/>
              <w:spacing w:before="0" w:beforeAutospacing="0" w:after="0" w:afterAutospacing="0"/>
            </w:pPr>
            <w:r>
              <w:t>Projekta izpildes ietekme uz pārvaldes institucionālo struktūru.</w:t>
            </w:r>
          </w:p>
          <w:p w:rsidR="001F20CA" w:rsidRDefault="001F20CA" w:rsidP="00A83BDB">
            <w:pPr>
              <w:pStyle w:val="NormalWeb"/>
              <w:spacing w:before="0" w:beforeAutospacing="0" w:after="0" w:afterAutospacing="0"/>
            </w:pPr>
            <w:r>
              <w:t>Esošu institūciju reorganizācija</w:t>
            </w:r>
          </w:p>
        </w:tc>
        <w:tc>
          <w:tcPr>
            <w:tcW w:w="5940" w:type="dxa"/>
            <w:shd w:val="clear" w:color="auto" w:fill="auto"/>
          </w:tcPr>
          <w:p w:rsidR="001F20CA" w:rsidRDefault="00EA0CB5" w:rsidP="001F20CA">
            <w:pPr>
              <w:pStyle w:val="NormalWeb"/>
            </w:pPr>
            <w:r>
              <w:t>Projekts šo jomu neskar</w:t>
            </w:r>
          </w:p>
        </w:tc>
      </w:tr>
      <w:tr w:rsidR="001F20CA" w:rsidTr="00A83BDB">
        <w:tc>
          <w:tcPr>
            <w:tcW w:w="468" w:type="dxa"/>
            <w:shd w:val="clear" w:color="auto" w:fill="auto"/>
          </w:tcPr>
          <w:p w:rsidR="001F20CA" w:rsidRDefault="001F20CA" w:rsidP="001F20CA">
            <w:pPr>
              <w:pStyle w:val="NormalWeb"/>
            </w:pPr>
            <w:r>
              <w:t>6.</w:t>
            </w:r>
          </w:p>
        </w:tc>
        <w:tc>
          <w:tcPr>
            <w:tcW w:w="2880" w:type="dxa"/>
            <w:shd w:val="clear" w:color="auto" w:fill="auto"/>
          </w:tcPr>
          <w:p w:rsidR="001F20CA" w:rsidRDefault="001F20CA" w:rsidP="00A83BDB">
            <w:pPr>
              <w:pStyle w:val="NormalWeb"/>
              <w:spacing w:before="0" w:beforeAutospacing="0" w:after="0" w:afterAutospacing="0"/>
            </w:pPr>
            <w:r>
              <w:t>Cita informācija</w:t>
            </w:r>
          </w:p>
        </w:tc>
        <w:tc>
          <w:tcPr>
            <w:tcW w:w="5940" w:type="dxa"/>
            <w:shd w:val="clear" w:color="auto" w:fill="auto"/>
          </w:tcPr>
          <w:p w:rsidR="001F20CA" w:rsidRDefault="00FA2831" w:rsidP="001F20CA">
            <w:pPr>
              <w:pStyle w:val="NormalWeb"/>
            </w:pPr>
            <w:r>
              <w:t>Nav</w:t>
            </w:r>
          </w:p>
        </w:tc>
      </w:tr>
    </w:tbl>
    <w:p w:rsidR="001F20CA" w:rsidRDefault="001F20CA"/>
    <w:p w:rsidR="002615B9" w:rsidRDefault="002615B9" w:rsidP="002615B9">
      <w:pPr>
        <w:rPr>
          <w:sz w:val="28"/>
          <w:szCs w:val="28"/>
        </w:rPr>
      </w:pPr>
    </w:p>
    <w:p w:rsidR="002615B9" w:rsidRDefault="002615B9" w:rsidP="002615B9">
      <w:pPr>
        <w:rPr>
          <w:sz w:val="28"/>
          <w:szCs w:val="28"/>
        </w:rPr>
      </w:pPr>
      <w:r>
        <w:rPr>
          <w:sz w:val="28"/>
          <w:szCs w:val="28"/>
        </w:rPr>
        <w:t>Finanšu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90C73">
        <w:rPr>
          <w:sz w:val="28"/>
          <w:szCs w:val="28"/>
        </w:rPr>
        <w:t>A.Vilks</w:t>
      </w:r>
    </w:p>
    <w:p w:rsidR="006604A2" w:rsidRDefault="006604A2" w:rsidP="0016226E">
      <w:pPr>
        <w:rPr>
          <w:sz w:val="20"/>
          <w:szCs w:val="20"/>
        </w:rPr>
      </w:pPr>
    </w:p>
    <w:p w:rsidR="006604A2" w:rsidRDefault="006604A2" w:rsidP="0016226E">
      <w:pPr>
        <w:rPr>
          <w:sz w:val="20"/>
          <w:szCs w:val="20"/>
        </w:rPr>
      </w:pPr>
    </w:p>
    <w:p w:rsidR="00A03741" w:rsidRPr="000C4096" w:rsidRDefault="003775AA" w:rsidP="00A03741">
      <w:pPr>
        <w:jc w:val="both"/>
        <w:rPr>
          <w:sz w:val="20"/>
          <w:szCs w:val="20"/>
        </w:rPr>
      </w:pPr>
      <w:r>
        <w:rPr>
          <w:sz w:val="20"/>
          <w:szCs w:val="20"/>
        </w:rPr>
        <w:t>28.08.2013. 10:10</w:t>
      </w:r>
    </w:p>
    <w:p w:rsidR="0029070D" w:rsidRPr="00E3194F" w:rsidRDefault="0029070D" w:rsidP="0029070D">
      <w:pPr>
        <w:jc w:val="both"/>
        <w:rPr>
          <w:sz w:val="22"/>
          <w:szCs w:val="22"/>
        </w:rPr>
      </w:pPr>
      <w:r w:rsidRPr="00E3194F">
        <w:rPr>
          <w:sz w:val="22"/>
          <w:szCs w:val="22"/>
        </w:rPr>
        <w:fldChar w:fldCharType="begin"/>
      </w:r>
      <w:r w:rsidRPr="00E3194F">
        <w:rPr>
          <w:sz w:val="22"/>
          <w:szCs w:val="22"/>
        </w:rPr>
        <w:instrText xml:space="preserve"> NUMWORDS  \* MERGEFORMAT </w:instrText>
      </w:r>
      <w:r w:rsidRPr="00E3194F">
        <w:rPr>
          <w:sz w:val="22"/>
          <w:szCs w:val="22"/>
        </w:rPr>
        <w:fldChar w:fldCharType="separate"/>
      </w:r>
      <w:r w:rsidR="003775AA">
        <w:rPr>
          <w:noProof/>
          <w:sz w:val="22"/>
          <w:szCs w:val="22"/>
        </w:rPr>
        <w:t>2082</w:t>
      </w:r>
      <w:r w:rsidRPr="00E3194F">
        <w:rPr>
          <w:noProof/>
          <w:sz w:val="22"/>
          <w:szCs w:val="22"/>
        </w:rPr>
        <w:fldChar w:fldCharType="end"/>
      </w:r>
    </w:p>
    <w:p w:rsidR="006604A2" w:rsidRPr="00E3194F" w:rsidRDefault="0029070D" w:rsidP="006604A2">
      <w:pPr>
        <w:rPr>
          <w:sz w:val="22"/>
          <w:szCs w:val="22"/>
          <w:lang w:val="en-GB" w:eastAsia="en-US"/>
        </w:rPr>
      </w:pPr>
      <w:r w:rsidRPr="00E3194F">
        <w:rPr>
          <w:sz w:val="22"/>
          <w:szCs w:val="22"/>
          <w:lang w:val="en-GB" w:eastAsia="en-US"/>
        </w:rPr>
        <w:t>Parfenkova</w:t>
      </w:r>
    </w:p>
    <w:p w:rsidR="001F20CA" w:rsidRDefault="006604A2">
      <w:r w:rsidRPr="00E3194F">
        <w:rPr>
          <w:sz w:val="22"/>
          <w:szCs w:val="22"/>
          <w:lang w:val="en-GB" w:eastAsia="en-US"/>
        </w:rPr>
        <w:t>670942</w:t>
      </w:r>
      <w:r w:rsidR="0029070D" w:rsidRPr="00E3194F">
        <w:rPr>
          <w:sz w:val="22"/>
          <w:szCs w:val="22"/>
          <w:lang w:val="en-GB" w:eastAsia="en-US"/>
        </w:rPr>
        <w:t>48</w:t>
      </w:r>
      <w:r w:rsidRPr="00E3194F">
        <w:rPr>
          <w:sz w:val="22"/>
          <w:szCs w:val="22"/>
          <w:lang w:val="en-GB" w:eastAsia="en-US"/>
        </w:rPr>
        <w:t xml:space="preserve">, </w:t>
      </w:r>
      <w:r w:rsidR="0029070D" w:rsidRPr="00E3194F">
        <w:rPr>
          <w:sz w:val="22"/>
          <w:szCs w:val="22"/>
          <w:lang w:val="en-GB" w:eastAsia="en-US"/>
        </w:rPr>
        <w:t>vineta.parfenkova</w:t>
      </w:r>
      <w:r w:rsidR="000659C0">
        <w:rPr>
          <w:sz w:val="22"/>
          <w:szCs w:val="22"/>
          <w:lang w:val="en-GB" w:eastAsia="en-US"/>
        </w:rPr>
        <w:t>p</w:t>
      </w:r>
      <w:r w:rsidRPr="00E3194F">
        <w:rPr>
          <w:sz w:val="22"/>
          <w:szCs w:val="22"/>
          <w:lang w:val="en-GB" w:eastAsia="en-US"/>
        </w:rPr>
        <w:t>@kas</w:t>
      </w:r>
      <w:bookmarkStart w:id="0" w:name="_GoBack"/>
      <w:bookmarkEnd w:id="0"/>
      <w:r w:rsidRPr="00E3194F">
        <w:rPr>
          <w:sz w:val="22"/>
          <w:szCs w:val="22"/>
          <w:lang w:val="en-GB" w:eastAsia="en-US"/>
        </w:rPr>
        <w:t>e.gov.lv</w:t>
      </w:r>
    </w:p>
    <w:sectPr w:rsidR="001F20CA" w:rsidSect="0078029C">
      <w:headerReference w:type="default" r:id="rId9"/>
      <w:footerReference w:type="default" r:id="rId10"/>
      <w:headerReference w:type="first" r:id="rId11"/>
      <w:footerReference w:type="first" r:id="rId12"/>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FA1" w:rsidRDefault="00B77FA1">
      <w:r>
        <w:separator/>
      </w:r>
    </w:p>
  </w:endnote>
  <w:endnote w:type="continuationSeparator" w:id="0">
    <w:p w:rsidR="00B77FA1" w:rsidRDefault="00B7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58" w:rsidRPr="00E6248E" w:rsidRDefault="00D70B7F" w:rsidP="00E6248E">
    <w:pPr>
      <w:pStyle w:val="Heading4"/>
      <w:jc w:val="both"/>
      <w:rPr>
        <w:b w:val="0"/>
      </w:rPr>
    </w:pPr>
    <w:r w:rsidRPr="00E6248E">
      <w:rPr>
        <w:b w:val="0"/>
      </w:rPr>
      <w:fldChar w:fldCharType="begin"/>
    </w:r>
    <w:r w:rsidR="006B7A58" w:rsidRPr="00E6248E">
      <w:rPr>
        <w:b w:val="0"/>
      </w:rPr>
      <w:instrText xml:space="preserve"> FILENAME </w:instrText>
    </w:r>
    <w:r w:rsidRPr="00E6248E">
      <w:rPr>
        <w:b w:val="0"/>
      </w:rPr>
      <w:fldChar w:fldCharType="separate"/>
    </w:r>
    <w:r w:rsidR="003775AA">
      <w:rPr>
        <w:b w:val="0"/>
        <w:noProof/>
      </w:rPr>
      <w:t>FMAnot_280813_gada p.sagatav.docx</w:t>
    </w:r>
    <w:r w:rsidRPr="00E6248E">
      <w:rPr>
        <w:b w:val="0"/>
      </w:rPr>
      <w:fldChar w:fldCharType="end"/>
    </w:r>
    <w:r w:rsidR="006B7A58" w:rsidRPr="00E6248E">
      <w:rPr>
        <w:b w:val="0"/>
      </w:rPr>
      <w:t>;Ministru kabineta noteikumu projekta „</w:t>
    </w:r>
    <w:r w:rsidR="006B7A58" w:rsidRPr="00891890">
      <w:rPr>
        <w:b w:val="0"/>
      </w:rPr>
      <w:t>Noteikumi par saimnieciskā gada pārskata sagatavošanas kārtību</w:t>
    </w:r>
    <w:r w:rsidR="006B7A58">
      <w:rPr>
        <w:b w:val="0"/>
      </w:rPr>
      <w:t>”</w:t>
    </w:r>
    <w:r w:rsidR="006B7A58" w:rsidRPr="00E6248E">
      <w:rPr>
        <w:b w:val="0"/>
      </w:rPr>
      <w:t xml:space="preserve"> sākotnējās ietekmes novērtējuma ziņojums (anotācija)</w:t>
    </w:r>
  </w:p>
  <w:p w:rsidR="006B7A58" w:rsidRDefault="006B7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58" w:rsidRDefault="00D70B7F" w:rsidP="00B647B8">
    <w:pPr>
      <w:pStyle w:val="Heading4"/>
      <w:jc w:val="both"/>
    </w:pPr>
    <w:r w:rsidRPr="00E6248E">
      <w:rPr>
        <w:b w:val="0"/>
      </w:rPr>
      <w:fldChar w:fldCharType="begin"/>
    </w:r>
    <w:r w:rsidR="006B7A58" w:rsidRPr="00E6248E">
      <w:rPr>
        <w:b w:val="0"/>
      </w:rPr>
      <w:instrText xml:space="preserve"> FILENAME </w:instrText>
    </w:r>
    <w:r w:rsidRPr="00E6248E">
      <w:rPr>
        <w:b w:val="0"/>
      </w:rPr>
      <w:fldChar w:fldCharType="separate"/>
    </w:r>
    <w:r w:rsidR="003775AA">
      <w:rPr>
        <w:b w:val="0"/>
        <w:noProof/>
      </w:rPr>
      <w:t>FMAnot_280813_gada p.sagatav.docx</w:t>
    </w:r>
    <w:r w:rsidRPr="00E6248E">
      <w:rPr>
        <w:b w:val="0"/>
      </w:rPr>
      <w:fldChar w:fldCharType="end"/>
    </w:r>
    <w:r w:rsidR="006B7A58" w:rsidRPr="00E6248E">
      <w:rPr>
        <w:b w:val="0"/>
      </w:rPr>
      <w:t>;Ministru kabineta noteikumu projekta „</w:t>
    </w:r>
    <w:r w:rsidR="006B7A58" w:rsidRPr="00891890">
      <w:rPr>
        <w:b w:val="0"/>
      </w:rPr>
      <w:t>Noteikumi par saimnieciskā gada pārskata sagatavošanas kārtību</w:t>
    </w:r>
    <w:r w:rsidR="006B7A58">
      <w:rPr>
        <w:b w:val="0"/>
      </w:rPr>
      <w:t>”</w:t>
    </w:r>
    <w:r w:rsidR="006B7A58" w:rsidRPr="00E6248E">
      <w:rPr>
        <w:b w:val="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FA1" w:rsidRDefault="00B77FA1">
      <w:r>
        <w:separator/>
      </w:r>
    </w:p>
  </w:footnote>
  <w:footnote w:type="continuationSeparator" w:id="0">
    <w:p w:rsidR="00B77FA1" w:rsidRDefault="00B77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58" w:rsidRDefault="00D70B7F">
    <w:pPr>
      <w:pStyle w:val="Header"/>
      <w:jc w:val="center"/>
    </w:pPr>
    <w:r>
      <w:fldChar w:fldCharType="begin"/>
    </w:r>
    <w:r w:rsidR="006B7A58">
      <w:instrText xml:space="preserve"> PAGE   \* MERGEFORMAT </w:instrText>
    </w:r>
    <w:r>
      <w:fldChar w:fldCharType="separate"/>
    </w:r>
    <w:r w:rsidR="003775AA">
      <w:rPr>
        <w:noProof/>
      </w:rPr>
      <w:t>8</w:t>
    </w:r>
    <w:r>
      <w:rPr>
        <w:noProof/>
      </w:rPr>
      <w:fldChar w:fldCharType="end"/>
    </w:r>
  </w:p>
  <w:p w:rsidR="006B7A58" w:rsidRDefault="006B7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58" w:rsidRDefault="006B7A58" w:rsidP="0099512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6BDF"/>
    <w:multiLevelType w:val="hybridMultilevel"/>
    <w:tmpl w:val="E7064D88"/>
    <w:lvl w:ilvl="0" w:tplc="09FEC7AE">
      <w:start w:val="1"/>
      <w:numFmt w:val="bullet"/>
      <w:lvlText w:val="-"/>
      <w:lvlJc w:val="left"/>
      <w:pPr>
        <w:tabs>
          <w:tab w:val="num" w:pos="780"/>
        </w:tabs>
        <w:ind w:left="780" w:hanging="360"/>
      </w:pPr>
      <w:rPr>
        <w:rFonts w:hAnsi="Courier New"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
    <w:nsid w:val="12C71B1E"/>
    <w:multiLevelType w:val="hybridMultilevel"/>
    <w:tmpl w:val="A770DDC0"/>
    <w:lvl w:ilvl="0" w:tplc="F776107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
    <w:nsid w:val="18047C30"/>
    <w:multiLevelType w:val="hybridMultilevel"/>
    <w:tmpl w:val="4FA272D6"/>
    <w:lvl w:ilvl="0" w:tplc="0426000F">
      <w:start w:val="1"/>
      <w:numFmt w:val="decimal"/>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3">
    <w:nsid w:val="2BD535D2"/>
    <w:multiLevelType w:val="hybridMultilevel"/>
    <w:tmpl w:val="92761FC0"/>
    <w:lvl w:ilvl="0" w:tplc="5D1216C6">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2EFB1C97"/>
    <w:multiLevelType w:val="hybridMultilevel"/>
    <w:tmpl w:val="AD96D03A"/>
    <w:lvl w:ilvl="0" w:tplc="0409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31A13441"/>
    <w:multiLevelType w:val="multilevel"/>
    <w:tmpl w:val="0F30290E"/>
    <w:lvl w:ilvl="0">
      <w:start w:val="1"/>
      <w:numFmt w:val="decimal"/>
      <w:lvlText w:val="%1."/>
      <w:lvlJc w:val="left"/>
      <w:pPr>
        <w:ind w:left="720" w:hanging="360"/>
      </w:pPr>
      <w:rPr>
        <w:rFonts w:hint="default"/>
        <w:i w:val="0"/>
      </w:rPr>
    </w:lvl>
    <w:lvl w:ilvl="1">
      <w:start w:val="2"/>
      <w:numFmt w:val="decimal"/>
      <w:isLgl/>
      <w:lvlText w:val="%1.%2."/>
      <w:lvlJc w:val="left"/>
      <w:pPr>
        <w:ind w:left="1434" w:hanging="1020"/>
      </w:pPr>
      <w:rPr>
        <w:rFonts w:hint="default"/>
      </w:rPr>
    </w:lvl>
    <w:lvl w:ilvl="2">
      <w:start w:val="1"/>
      <w:numFmt w:val="decimal"/>
      <w:isLgl/>
      <w:lvlText w:val="%1.%2.%3."/>
      <w:lvlJc w:val="left"/>
      <w:pPr>
        <w:ind w:left="1488" w:hanging="1020"/>
      </w:pPr>
      <w:rPr>
        <w:rFonts w:hint="default"/>
      </w:rPr>
    </w:lvl>
    <w:lvl w:ilvl="3">
      <w:start w:val="1"/>
      <w:numFmt w:val="decimal"/>
      <w:isLgl/>
      <w:lvlText w:val="%1.%2.%3.%4."/>
      <w:lvlJc w:val="left"/>
      <w:pPr>
        <w:ind w:left="1542" w:hanging="10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6">
    <w:nsid w:val="334E626D"/>
    <w:multiLevelType w:val="hybridMultilevel"/>
    <w:tmpl w:val="EC727EA2"/>
    <w:lvl w:ilvl="0" w:tplc="AF4459C2">
      <w:start w:val="2009"/>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382809D6"/>
    <w:multiLevelType w:val="hybridMultilevel"/>
    <w:tmpl w:val="2E3866CE"/>
    <w:lvl w:ilvl="0" w:tplc="05340E5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8">
    <w:nsid w:val="3C234EF0"/>
    <w:multiLevelType w:val="multilevel"/>
    <w:tmpl w:val="1F52D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795B06"/>
    <w:multiLevelType w:val="hybridMultilevel"/>
    <w:tmpl w:val="8D28B0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457D0A65"/>
    <w:multiLevelType w:val="multilevel"/>
    <w:tmpl w:val="586A6A48"/>
    <w:lvl w:ilvl="0">
      <w:start w:val="1"/>
      <w:numFmt w:val="decimal"/>
      <w:lvlText w:val="%1."/>
      <w:lvlJc w:val="left"/>
      <w:pPr>
        <w:ind w:left="915" w:hanging="615"/>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1">
    <w:nsid w:val="51A90F3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ACB6DF6"/>
    <w:multiLevelType w:val="multilevel"/>
    <w:tmpl w:val="586A6A48"/>
    <w:lvl w:ilvl="0">
      <w:start w:val="1"/>
      <w:numFmt w:val="decimal"/>
      <w:lvlText w:val="%1."/>
      <w:lvlJc w:val="left"/>
      <w:pPr>
        <w:ind w:left="915" w:hanging="615"/>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3">
    <w:nsid w:val="65C20301"/>
    <w:multiLevelType w:val="hybridMultilevel"/>
    <w:tmpl w:val="D5CC8444"/>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14">
    <w:nsid w:val="6AFC1D27"/>
    <w:multiLevelType w:val="hybridMultilevel"/>
    <w:tmpl w:val="481CD87E"/>
    <w:lvl w:ilvl="0" w:tplc="09FEC7AE">
      <w:start w:val="1"/>
      <w:numFmt w:val="bullet"/>
      <w:lvlText w:val="-"/>
      <w:lvlJc w:val="left"/>
      <w:pPr>
        <w:tabs>
          <w:tab w:val="num" w:pos="780"/>
        </w:tabs>
        <w:ind w:left="780" w:hanging="360"/>
      </w:pPr>
      <w:rPr>
        <w:rFonts w:hAnsi="Courier New"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5">
    <w:nsid w:val="72ED353C"/>
    <w:multiLevelType w:val="hybridMultilevel"/>
    <w:tmpl w:val="164CE260"/>
    <w:lvl w:ilvl="0" w:tplc="37D8A39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nsid w:val="7663759D"/>
    <w:multiLevelType w:val="multilevel"/>
    <w:tmpl w:val="E69C94CA"/>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17">
    <w:nsid w:val="770007A7"/>
    <w:multiLevelType w:val="hybridMultilevel"/>
    <w:tmpl w:val="97E492EC"/>
    <w:lvl w:ilvl="0" w:tplc="A94A029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8">
    <w:nsid w:val="7D046843"/>
    <w:multiLevelType w:val="multilevel"/>
    <w:tmpl w:val="20606E9E"/>
    <w:lvl w:ilvl="0">
      <w:start w:val="2"/>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19">
    <w:nsid w:val="7FF76E43"/>
    <w:multiLevelType w:val="multilevel"/>
    <w:tmpl w:val="586A6A48"/>
    <w:lvl w:ilvl="0">
      <w:start w:val="1"/>
      <w:numFmt w:val="decimal"/>
      <w:lvlText w:val="%1."/>
      <w:lvlJc w:val="left"/>
      <w:pPr>
        <w:ind w:left="915" w:hanging="615"/>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num w:numId="1">
    <w:abstractNumId w:val="8"/>
  </w:num>
  <w:num w:numId="2">
    <w:abstractNumId w:val="6"/>
  </w:num>
  <w:num w:numId="3">
    <w:abstractNumId w:val="0"/>
  </w:num>
  <w:num w:numId="4">
    <w:abstractNumId w:val="4"/>
  </w:num>
  <w:num w:numId="5">
    <w:abstractNumId w:val="14"/>
  </w:num>
  <w:num w:numId="6">
    <w:abstractNumId w:val="15"/>
  </w:num>
  <w:num w:numId="7">
    <w:abstractNumId w:val="3"/>
  </w:num>
  <w:num w:numId="8">
    <w:abstractNumId w:val="11"/>
  </w:num>
  <w:num w:numId="9">
    <w:abstractNumId w:val="1"/>
  </w:num>
  <w:num w:numId="10">
    <w:abstractNumId w:val="7"/>
  </w:num>
  <w:num w:numId="11">
    <w:abstractNumId w:val="9"/>
  </w:num>
  <w:num w:numId="12">
    <w:abstractNumId w:val="13"/>
  </w:num>
  <w:num w:numId="13">
    <w:abstractNumId w:val="5"/>
  </w:num>
  <w:num w:numId="14">
    <w:abstractNumId w:val="16"/>
  </w:num>
  <w:num w:numId="15">
    <w:abstractNumId w:val="18"/>
  </w:num>
  <w:num w:numId="16">
    <w:abstractNumId w:val="19"/>
  </w:num>
  <w:num w:numId="17">
    <w:abstractNumId w:val="2"/>
  </w:num>
  <w:num w:numId="18">
    <w:abstractNumId w:val="12"/>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F1"/>
    <w:rsid w:val="00000CB4"/>
    <w:rsid w:val="00005FAB"/>
    <w:rsid w:val="000107F7"/>
    <w:rsid w:val="00014EE3"/>
    <w:rsid w:val="00021EE3"/>
    <w:rsid w:val="00027279"/>
    <w:rsid w:val="00032F9E"/>
    <w:rsid w:val="0003577D"/>
    <w:rsid w:val="00036CBB"/>
    <w:rsid w:val="000659C0"/>
    <w:rsid w:val="00066545"/>
    <w:rsid w:val="00072910"/>
    <w:rsid w:val="00080DD8"/>
    <w:rsid w:val="000849E6"/>
    <w:rsid w:val="00087E32"/>
    <w:rsid w:val="000A11E4"/>
    <w:rsid w:val="000A350E"/>
    <w:rsid w:val="000A5D04"/>
    <w:rsid w:val="000A6F07"/>
    <w:rsid w:val="000B0B9D"/>
    <w:rsid w:val="000B5327"/>
    <w:rsid w:val="000B7D60"/>
    <w:rsid w:val="000D0790"/>
    <w:rsid w:val="000D7DC7"/>
    <w:rsid w:val="000E29DC"/>
    <w:rsid w:val="000E3632"/>
    <w:rsid w:val="000E7315"/>
    <w:rsid w:val="000F41F1"/>
    <w:rsid w:val="000F7AB7"/>
    <w:rsid w:val="00105B37"/>
    <w:rsid w:val="00142349"/>
    <w:rsid w:val="0014438A"/>
    <w:rsid w:val="001454EA"/>
    <w:rsid w:val="00146CB3"/>
    <w:rsid w:val="0015231A"/>
    <w:rsid w:val="0016166B"/>
    <w:rsid w:val="0016226E"/>
    <w:rsid w:val="001654D7"/>
    <w:rsid w:val="00167AA7"/>
    <w:rsid w:val="00181B0B"/>
    <w:rsid w:val="001974B4"/>
    <w:rsid w:val="001A1572"/>
    <w:rsid w:val="001A44A1"/>
    <w:rsid w:val="001B2882"/>
    <w:rsid w:val="001B5664"/>
    <w:rsid w:val="001D044F"/>
    <w:rsid w:val="001D2503"/>
    <w:rsid w:val="001E2463"/>
    <w:rsid w:val="001E7075"/>
    <w:rsid w:val="001F20CA"/>
    <w:rsid w:val="00200022"/>
    <w:rsid w:val="0020242D"/>
    <w:rsid w:val="00204E3B"/>
    <w:rsid w:val="002260A9"/>
    <w:rsid w:val="002262E6"/>
    <w:rsid w:val="002363BE"/>
    <w:rsid w:val="002372C0"/>
    <w:rsid w:val="0023783C"/>
    <w:rsid w:val="002401F6"/>
    <w:rsid w:val="00241B7D"/>
    <w:rsid w:val="00251597"/>
    <w:rsid w:val="00260E09"/>
    <w:rsid w:val="002615B9"/>
    <w:rsid w:val="002655FF"/>
    <w:rsid w:val="0028562E"/>
    <w:rsid w:val="0029070D"/>
    <w:rsid w:val="002A063E"/>
    <w:rsid w:val="002B292D"/>
    <w:rsid w:val="002C3C1C"/>
    <w:rsid w:val="002C3DBD"/>
    <w:rsid w:val="002D2AE4"/>
    <w:rsid w:val="002D5C82"/>
    <w:rsid w:val="002E15E6"/>
    <w:rsid w:val="002E7F01"/>
    <w:rsid w:val="002F4193"/>
    <w:rsid w:val="003216A5"/>
    <w:rsid w:val="003264CC"/>
    <w:rsid w:val="00342934"/>
    <w:rsid w:val="00351A19"/>
    <w:rsid w:val="003528A5"/>
    <w:rsid w:val="003775AA"/>
    <w:rsid w:val="00393820"/>
    <w:rsid w:val="00397982"/>
    <w:rsid w:val="003A0DF9"/>
    <w:rsid w:val="003A1038"/>
    <w:rsid w:val="003A77D3"/>
    <w:rsid w:val="003B1F05"/>
    <w:rsid w:val="003C467E"/>
    <w:rsid w:val="003D5F7F"/>
    <w:rsid w:val="003E12AA"/>
    <w:rsid w:val="003E2868"/>
    <w:rsid w:val="003F1668"/>
    <w:rsid w:val="003F7F27"/>
    <w:rsid w:val="00400C92"/>
    <w:rsid w:val="0040372C"/>
    <w:rsid w:val="0040769D"/>
    <w:rsid w:val="00412614"/>
    <w:rsid w:val="00427D02"/>
    <w:rsid w:val="00435F83"/>
    <w:rsid w:val="0043641D"/>
    <w:rsid w:val="0044608F"/>
    <w:rsid w:val="004505CC"/>
    <w:rsid w:val="00460402"/>
    <w:rsid w:val="00470FD8"/>
    <w:rsid w:val="004715E3"/>
    <w:rsid w:val="00472BB8"/>
    <w:rsid w:val="0048581B"/>
    <w:rsid w:val="00486E33"/>
    <w:rsid w:val="00490C73"/>
    <w:rsid w:val="00493DAF"/>
    <w:rsid w:val="0049512E"/>
    <w:rsid w:val="004A51B6"/>
    <w:rsid w:val="004B326F"/>
    <w:rsid w:val="004B3386"/>
    <w:rsid w:val="004B4278"/>
    <w:rsid w:val="004B7281"/>
    <w:rsid w:val="004C06AC"/>
    <w:rsid w:val="004C58E5"/>
    <w:rsid w:val="004C5F7E"/>
    <w:rsid w:val="004C7A53"/>
    <w:rsid w:val="004D62D7"/>
    <w:rsid w:val="004E3E7C"/>
    <w:rsid w:val="004E7916"/>
    <w:rsid w:val="00507951"/>
    <w:rsid w:val="00510C9C"/>
    <w:rsid w:val="00510E72"/>
    <w:rsid w:val="005142CA"/>
    <w:rsid w:val="005272F5"/>
    <w:rsid w:val="00531706"/>
    <w:rsid w:val="005327C9"/>
    <w:rsid w:val="005375C1"/>
    <w:rsid w:val="005451EC"/>
    <w:rsid w:val="00550066"/>
    <w:rsid w:val="005504A6"/>
    <w:rsid w:val="00567244"/>
    <w:rsid w:val="00574FB0"/>
    <w:rsid w:val="005975A6"/>
    <w:rsid w:val="00597C7D"/>
    <w:rsid w:val="005A2AA1"/>
    <w:rsid w:val="005A37AE"/>
    <w:rsid w:val="005B3DC6"/>
    <w:rsid w:val="005B3EE5"/>
    <w:rsid w:val="005B4610"/>
    <w:rsid w:val="005C16A3"/>
    <w:rsid w:val="005C25E1"/>
    <w:rsid w:val="005D3322"/>
    <w:rsid w:val="005D39F1"/>
    <w:rsid w:val="005D3DF0"/>
    <w:rsid w:val="005F47AF"/>
    <w:rsid w:val="00604B95"/>
    <w:rsid w:val="00626858"/>
    <w:rsid w:val="006359F8"/>
    <w:rsid w:val="00642EC3"/>
    <w:rsid w:val="006458AF"/>
    <w:rsid w:val="00647B63"/>
    <w:rsid w:val="006604A2"/>
    <w:rsid w:val="006759C4"/>
    <w:rsid w:val="006853AF"/>
    <w:rsid w:val="00693998"/>
    <w:rsid w:val="006B50FC"/>
    <w:rsid w:val="006B715D"/>
    <w:rsid w:val="006B7A58"/>
    <w:rsid w:val="006B7B6A"/>
    <w:rsid w:val="006C4EB7"/>
    <w:rsid w:val="006C7277"/>
    <w:rsid w:val="006E4E4B"/>
    <w:rsid w:val="007001A8"/>
    <w:rsid w:val="00714B7B"/>
    <w:rsid w:val="00715B9E"/>
    <w:rsid w:val="00725923"/>
    <w:rsid w:val="00740252"/>
    <w:rsid w:val="007409A9"/>
    <w:rsid w:val="00742CAE"/>
    <w:rsid w:val="007469E9"/>
    <w:rsid w:val="00747976"/>
    <w:rsid w:val="007552E1"/>
    <w:rsid w:val="007719FF"/>
    <w:rsid w:val="00773FCD"/>
    <w:rsid w:val="0078029C"/>
    <w:rsid w:val="00782263"/>
    <w:rsid w:val="00785F18"/>
    <w:rsid w:val="00792AC2"/>
    <w:rsid w:val="007937BB"/>
    <w:rsid w:val="00797C5D"/>
    <w:rsid w:val="007A0BB1"/>
    <w:rsid w:val="007A1D05"/>
    <w:rsid w:val="007A793E"/>
    <w:rsid w:val="007B18F2"/>
    <w:rsid w:val="007B7093"/>
    <w:rsid w:val="007C0A0B"/>
    <w:rsid w:val="007C1BC8"/>
    <w:rsid w:val="007D5F51"/>
    <w:rsid w:val="007D7CBA"/>
    <w:rsid w:val="007E2279"/>
    <w:rsid w:val="007E5EEE"/>
    <w:rsid w:val="007F2FE1"/>
    <w:rsid w:val="007F6937"/>
    <w:rsid w:val="00801999"/>
    <w:rsid w:val="00802F19"/>
    <w:rsid w:val="0081231A"/>
    <w:rsid w:val="0081558E"/>
    <w:rsid w:val="008302F5"/>
    <w:rsid w:val="00830346"/>
    <w:rsid w:val="00830625"/>
    <w:rsid w:val="00832D84"/>
    <w:rsid w:val="00845533"/>
    <w:rsid w:val="0085084B"/>
    <w:rsid w:val="0085566B"/>
    <w:rsid w:val="00870A87"/>
    <w:rsid w:val="00874824"/>
    <w:rsid w:val="00876F3B"/>
    <w:rsid w:val="0088049F"/>
    <w:rsid w:val="00882EA4"/>
    <w:rsid w:val="00883283"/>
    <w:rsid w:val="00885901"/>
    <w:rsid w:val="00890134"/>
    <w:rsid w:val="00891890"/>
    <w:rsid w:val="008939FB"/>
    <w:rsid w:val="00894AA5"/>
    <w:rsid w:val="008C56D1"/>
    <w:rsid w:val="008C7E21"/>
    <w:rsid w:val="008E0BF1"/>
    <w:rsid w:val="008E52AF"/>
    <w:rsid w:val="008E62FB"/>
    <w:rsid w:val="008F23E1"/>
    <w:rsid w:val="00906FD1"/>
    <w:rsid w:val="00912DAB"/>
    <w:rsid w:val="00930645"/>
    <w:rsid w:val="00936117"/>
    <w:rsid w:val="009376EA"/>
    <w:rsid w:val="009453D3"/>
    <w:rsid w:val="00947179"/>
    <w:rsid w:val="00951AD3"/>
    <w:rsid w:val="009534F9"/>
    <w:rsid w:val="009605AE"/>
    <w:rsid w:val="0096136B"/>
    <w:rsid w:val="0096473B"/>
    <w:rsid w:val="00964CD1"/>
    <w:rsid w:val="00976627"/>
    <w:rsid w:val="009917D0"/>
    <w:rsid w:val="0099512E"/>
    <w:rsid w:val="009A0134"/>
    <w:rsid w:val="009A1A8F"/>
    <w:rsid w:val="009A57D4"/>
    <w:rsid w:val="009B3BAC"/>
    <w:rsid w:val="009B7092"/>
    <w:rsid w:val="009C5883"/>
    <w:rsid w:val="009D64B9"/>
    <w:rsid w:val="009D71FA"/>
    <w:rsid w:val="009E024C"/>
    <w:rsid w:val="009E1FF0"/>
    <w:rsid w:val="009F02E0"/>
    <w:rsid w:val="009F091F"/>
    <w:rsid w:val="009F14B5"/>
    <w:rsid w:val="009F6CF0"/>
    <w:rsid w:val="009F790B"/>
    <w:rsid w:val="00A03741"/>
    <w:rsid w:val="00A06BB9"/>
    <w:rsid w:val="00A11519"/>
    <w:rsid w:val="00A154D3"/>
    <w:rsid w:val="00A30504"/>
    <w:rsid w:val="00A501FF"/>
    <w:rsid w:val="00A60BC4"/>
    <w:rsid w:val="00A61BE6"/>
    <w:rsid w:val="00A61FC9"/>
    <w:rsid w:val="00A719DD"/>
    <w:rsid w:val="00A75F6A"/>
    <w:rsid w:val="00A83BDB"/>
    <w:rsid w:val="00A973DE"/>
    <w:rsid w:val="00AA46F7"/>
    <w:rsid w:val="00AB4D6E"/>
    <w:rsid w:val="00AC2198"/>
    <w:rsid w:val="00AD26B5"/>
    <w:rsid w:val="00AD334B"/>
    <w:rsid w:val="00AD385A"/>
    <w:rsid w:val="00AE375A"/>
    <w:rsid w:val="00AE638F"/>
    <w:rsid w:val="00B03C9B"/>
    <w:rsid w:val="00B05332"/>
    <w:rsid w:val="00B0703D"/>
    <w:rsid w:val="00B25CA3"/>
    <w:rsid w:val="00B31430"/>
    <w:rsid w:val="00B31CF9"/>
    <w:rsid w:val="00B35FBE"/>
    <w:rsid w:val="00B472E3"/>
    <w:rsid w:val="00B47991"/>
    <w:rsid w:val="00B52870"/>
    <w:rsid w:val="00B54F0D"/>
    <w:rsid w:val="00B55FA0"/>
    <w:rsid w:val="00B647B8"/>
    <w:rsid w:val="00B64AE6"/>
    <w:rsid w:val="00B64C8F"/>
    <w:rsid w:val="00B64E2F"/>
    <w:rsid w:val="00B732EE"/>
    <w:rsid w:val="00B77FA1"/>
    <w:rsid w:val="00B80393"/>
    <w:rsid w:val="00B84421"/>
    <w:rsid w:val="00B95C9E"/>
    <w:rsid w:val="00BA0887"/>
    <w:rsid w:val="00BB6DD2"/>
    <w:rsid w:val="00BC1FF0"/>
    <w:rsid w:val="00BC481A"/>
    <w:rsid w:val="00BD3BBB"/>
    <w:rsid w:val="00BD54E6"/>
    <w:rsid w:val="00BD695D"/>
    <w:rsid w:val="00BE3564"/>
    <w:rsid w:val="00BE394D"/>
    <w:rsid w:val="00BE5934"/>
    <w:rsid w:val="00BF3AF7"/>
    <w:rsid w:val="00BF644F"/>
    <w:rsid w:val="00C07AF1"/>
    <w:rsid w:val="00C11354"/>
    <w:rsid w:val="00C1447D"/>
    <w:rsid w:val="00C1566C"/>
    <w:rsid w:val="00C26AD4"/>
    <w:rsid w:val="00C3201F"/>
    <w:rsid w:val="00C46972"/>
    <w:rsid w:val="00C554CF"/>
    <w:rsid w:val="00C57654"/>
    <w:rsid w:val="00C82F86"/>
    <w:rsid w:val="00C85C47"/>
    <w:rsid w:val="00C8737E"/>
    <w:rsid w:val="00C9099C"/>
    <w:rsid w:val="00C9406F"/>
    <w:rsid w:val="00C97068"/>
    <w:rsid w:val="00CA2446"/>
    <w:rsid w:val="00CA61EB"/>
    <w:rsid w:val="00CB64BC"/>
    <w:rsid w:val="00CC119A"/>
    <w:rsid w:val="00CC132B"/>
    <w:rsid w:val="00CC1DDB"/>
    <w:rsid w:val="00CC7273"/>
    <w:rsid w:val="00CC7CB9"/>
    <w:rsid w:val="00CD4B15"/>
    <w:rsid w:val="00CE04CB"/>
    <w:rsid w:val="00D02C6A"/>
    <w:rsid w:val="00D036CC"/>
    <w:rsid w:val="00D1250A"/>
    <w:rsid w:val="00D13AE5"/>
    <w:rsid w:val="00D16713"/>
    <w:rsid w:val="00D171D2"/>
    <w:rsid w:val="00D303AF"/>
    <w:rsid w:val="00D35FB5"/>
    <w:rsid w:val="00D46EA7"/>
    <w:rsid w:val="00D522E3"/>
    <w:rsid w:val="00D56597"/>
    <w:rsid w:val="00D604A9"/>
    <w:rsid w:val="00D61B93"/>
    <w:rsid w:val="00D6469B"/>
    <w:rsid w:val="00D66D88"/>
    <w:rsid w:val="00D70B7F"/>
    <w:rsid w:val="00D77D4E"/>
    <w:rsid w:val="00D91908"/>
    <w:rsid w:val="00D97B37"/>
    <w:rsid w:val="00DA07A4"/>
    <w:rsid w:val="00DB1158"/>
    <w:rsid w:val="00DC490F"/>
    <w:rsid w:val="00DC4C9B"/>
    <w:rsid w:val="00DF204D"/>
    <w:rsid w:val="00DF523D"/>
    <w:rsid w:val="00E05912"/>
    <w:rsid w:val="00E107A6"/>
    <w:rsid w:val="00E13838"/>
    <w:rsid w:val="00E1789B"/>
    <w:rsid w:val="00E227B4"/>
    <w:rsid w:val="00E247AC"/>
    <w:rsid w:val="00E3194F"/>
    <w:rsid w:val="00E333AB"/>
    <w:rsid w:val="00E3493D"/>
    <w:rsid w:val="00E349A2"/>
    <w:rsid w:val="00E44C52"/>
    <w:rsid w:val="00E45EFB"/>
    <w:rsid w:val="00E6248E"/>
    <w:rsid w:val="00E64C93"/>
    <w:rsid w:val="00E703A1"/>
    <w:rsid w:val="00E70800"/>
    <w:rsid w:val="00E81E66"/>
    <w:rsid w:val="00E85D02"/>
    <w:rsid w:val="00EA0CB5"/>
    <w:rsid w:val="00EA7EC9"/>
    <w:rsid w:val="00EB1A3D"/>
    <w:rsid w:val="00EB54D1"/>
    <w:rsid w:val="00EB689A"/>
    <w:rsid w:val="00ED456E"/>
    <w:rsid w:val="00EE0677"/>
    <w:rsid w:val="00EF172F"/>
    <w:rsid w:val="00EF3CB7"/>
    <w:rsid w:val="00F0243C"/>
    <w:rsid w:val="00F04297"/>
    <w:rsid w:val="00F06589"/>
    <w:rsid w:val="00F10DC0"/>
    <w:rsid w:val="00F14086"/>
    <w:rsid w:val="00F17E9B"/>
    <w:rsid w:val="00F36922"/>
    <w:rsid w:val="00F43492"/>
    <w:rsid w:val="00F4429D"/>
    <w:rsid w:val="00F4438F"/>
    <w:rsid w:val="00F446DE"/>
    <w:rsid w:val="00F53EA5"/>
    <w:rsid w:val="00F72DC5"/>
    <w:rsid w:val="00F778B2"/>
    <w:rsid w:val="00F87AFE"/>
    <w:rsid w:val="00F96B4D"/>
    <w:rsid w:val="00FA2831"/>
    <w:rsid w:val="00FA7716"/>
    <w:rsid w:val="00FB0185"/>
    <w:rsid w:val="00FD1B17"/>
    <w:rsid w:val="00FE061B"/>
    <w:rsid w:val="00FE273D"/>
    <w:rsid w:val="00FE579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0F41F1"/>
    <w:pPr>
      <w:spacing w:before="100" w:beforeAutospacing="1" w:after="100" w:afterAutospacing="1"/>
      <w:outlineLvl w:val="2"/>
    </w:pPr>
    <w:rPr>
      <w:b/>
      <w:bCs/>
      <w:sz w:val="27"/>
      <w:szCs w:val="27"/>
    </w:rPr>
  </w:style>
  <w:style w:type="paragraph" w:styleId="Heading4">
    <w:name w:val="heading 4"/>
    <w:basedOn w:val="Normal"/>
    <w:link w:val="Heading4Char"/>
    <w:qFormat/>
    <w:rsid w:val="000F41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1F1"/>
    <w:rPr>
      <w:color w:val="0000FF"/>
      <w:u w:val="single"/>
    </w:rPr>
  </w:style>
  <w:style w:type="paragraph" w:styleId="NormalWeb">
    <w:name w:val="Normal (Web)"/>
    <w:basedOn w:val="Normal"/>
    <w:rsid w:val="000F41F1"/>
    <w:pPr>
      <w:spacing w:before="100" w:beforeAutospacing="1" w:after="100" w:afterAutospacing="1"/>
    </w:pPr>
  </w:style>
  <w:style w:type="table" w:styleId="TableGrid">
    <w:name w:val="Table Grid"/>
    <w:basedOn w:val="TableNormal"/>
    <w:rsid w:val="006C4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85D02"/>
    <w:pPr>
      <w:ind w:firstLine="720"/>
    </w:pPr>
    <w:rPr>
      <w:sz w:val="28"/>
      <w:lang w:eastAsia="en-US"/>
    </w:rPr>
  </w:style>
  <w:style w:type="character" w:styleId="CommentReference">
    <w:name w:val="annotation reference"/>
    <w:semiHidden/>
    <w:rsid w:val="00D02C6A"/>
    <w:rPr>
      <w:sz w:val="16"/>
      <w:szCs w:val="16"/>
    </w:rPr>
  </w:style>
  <w:style w:type="paragraph" w:styleId="CommentText">
    <w:name w:val="annotation text"/>
    <w:basedOn w:val="Normal"/>
    <w:link w:val="CommentTextChar"/>
    <w:semiHidden/>
    <w:rsid w:val="00D02C6A"/>
    <w:rPr>
      <w:sz w:val="20"/>
      <w:szCs w:val="20"/>
    </w:rPr>
  </w:style>
  <w:style w:type="paragraph" w:styleId="BalloonText">
    <w:name w:val="Balloon Text"/>
    <w:basedOn w:val="Normal"/>
    <w:link w:val="BalloonTextChar"/>
    <w:uiPriority w:val="99"/>
    <w:semiHidden/>
    <w:rsid w:val="00D02C6A"/>
    <w:rPr>
      <w:rFonts w:ascii="Tahoma" w:hAnsi="Tahoma" w:cs="Tahoma"/>
      <w:sz w:val="16"/>
      <w:szCs w:val="16"/>
    </w:rPr>
  </w:style>
  <w:style w:type="paragraph" w:styleId="Header">
    <w:name w:val="header"/>
    <w:basedOn w:val="Normal"/>
    <w:link w:val="HeaderChar"/>
    <w:uiPriority w:val="99"/>
    <w:rsid w:val="00E6248E"/>
    <w:pPr>
      <w:tabs>
        <w:tab w:val="center" w:pos="4153"/>
        <w:tab w:val="right" w:pos="8306"/>
      </w:tabs>
    </w:pPr>
    <w:rPr>
      <w:lang w:val="x-none" w:eastAsia="x-none"/>
    </w:rPr>
  </w:style>
  <w:style w:type="paragraph" w:styleId="Footer">
    <w:name w:val="footer"/>
    <w:basedOn w:val="Normal"/>
    <w:rsid w:val="00E6248E"/>
    <w:pPr>
      <w:tabs>
        <w:tab w:val="center" w:pos="4153"/>
        <w:tab w:val="right" w:pos="8306"/>
      </w:tabs>
    </w:pPr>
  </w:style>
  <w:style w:type="paragraph" w:customStyle="1" w:styleId="xl36">
    <w:name w:val="xl36"/>
    <w:basedOn w:val="Normal"/>
    <w:rsid w:val="002615B9"/>
    <w:pPr>
      <w:spacing w:before="100" w:beforeAutospacing="1" w:after="100" w:afterAutospacing="1"/>
      <w:jc w:val="both"/>
    </w:pPr>
    <w:rPr>
      <w:rFonts w:eastAsia="Arial Unicode MS"/>
      <w:lang w:val="en-GB" w:eastAsia="en-US"/>
    </w:rPr>
  </w:style>
  <w:style w:type="paragraph" w:styleId="CommentSubject">
    <w:name w:val="annotation subject"/>
    <w:basedOn w:val="CommentText"/>
    <w:next w:val="CommentText"/>
    <w:link w:val="CommentSubjectChar"/>
    <w:rsid w:val="00AA46F7"/>
    <w:rPr>
      <w:b/>
      <w:bCs/>
      <w:lang w:val="x-none" w:eastAsia="x-none"/>
    </w:rPr>
  </w:style>
  <w:style w:type="character" w:customStyle="1" w:styleId="CommentTextChar">
    <w:name w:val="Comment Text Char"/>
    <w:basedOn w:val="DefaultParagraphFont"/>
    <w:link w:val="CommentText"/>
    <w:semiHidden/>
    <w:rsid w:val="00AA46F7"/>
  </w:style>
  <w:style w:type="character" w:customStyle="1" w:styleId="CommentSubjectChar">
    <w:name w:val="Comment Subject Char"/>
    <w:link w:val="CommentSubject"/>
    <w:rsid w:val="00AA46F7"/>
    <w:rPr>
      <w:b/>
      <w:bCs/>
    </w:rPr>
  </w:style>
  <w:style w:type="character" w:customStyle="1" w:styleId="HeaderChar">
    <w:name w:val="Header Char"/>
    <w:link w:val="Header"/>
    <w:uiPriority w:val="99"/>
    <w:rsid w:val="00EA0CB5"/>
    <w:rPr>
      <w:sz w:val="24"/>
      <w:szCs w:val="24"/>
    </w:rPr>
  </w:style>
  <w:style w:type="paragraph" w:styleId="BodyText">
    <w:name w:val="Body Text"/>
    <w:basedOn w:val="Normal"/>
    <w:link w:val="BodyTextChar"/>
    <w:rsid w:val="0049512E"/>
    <w:pPr>
      <w:jc w:val="both"/>
    </w:pPr>
    <w:rPr>
      <w:iCs/>
      <w:lang w:val="x-none" w:eastAsia="x-none"/>
    </w:rPr>
  </w:style>
  <w:style w:type="character" w:customStyle="1" w:styleId="BodyTextChar">
    <w:name w:val="Body Text Char"/>
    <w:basedOn w:val="DefaultParagraphFont"/>
    <w:link w:val="BodyText"/>
    <w:rsid w:val="0049512E"/>
    <w:rPr>
      <w:iCs/>
      <w:sz w:val="24"/>
      <w:szCs w:val="24"/>
      <w:lang w:val="x-none" w:eastAsia="x-none"/>
    </w:rPr>
  </w:style>
  <w:style w:type="character" w:customStyle="1" w:styleId="Heading4Char">
    <w:name w:val="Heading 4 Char"/>
    <w:link w:val="Heading4"/>
    <w:rsid w:val="005375C1"/>
    <w:rPr>
      <w:b/>
      <w:bCs/>
      <w:sz w:val="24"/>
      <w:szCs w:val="24"/>
    </w:rPr>
  </w:style>
  <w:style w:type="paragraph" w:customStyle="1" w:styleId="naisf">
    <w:name w:val="naisf"/>
    <w:basedOn w:val="Normal"/>
    <w:rsid w:val="00DC490F"/>
    <w:pPr>
      <w:spacing w:before="75" w:after="75"/>
      <w:ind w:firstLine="375"/>
      <w:jc w:val="both"/>
    </w:pPr>
  </w:style>
  <w:style w:type="paragraph" w:styleId="ListParagraph">
    <w:name w:val="List Paragraph"/>
    <w:basedOn w:val="Normal"/>
    <w:uiPriority w:val="34"/>
    <w:qFormat/>
    <w:rsid w:val="00EB54D1"/>
    <w:pPr>
      <w:ind w:left="720"/>
      <w:contextualSpacing/>
    </w:pPr>
    <w:rPr>
      <w:rFonts w:eastAsia="Calibri"/>
      <w:sz w:val="28"/>
      <w:szCs w:val="28"/>
      <w:lang w:val="en-GB" w:eastAsia="en-US"/>
    </w:rPr>
  </w:style>
  <w:style w:type="character" w:customStyle="1" w:styleId="BalloonTextChar">
    <w:name w:val="Balloon Text Char"/>
    <w:link w:val="BalloonText"/>
    <w:uiPriority w:val="99"/>
    <w:semiHidden/>
    <w:rsid w:val="00EB54D1"/>
    <w:rPr>
      <w:rFonts w:ascii="Tahoma" w:hAnsi="Tahoma" w:cs="Tahoma"/>
      <w:sz w:val="16"/>
      <w:szCs w:val="16"/>
    </w:rPr>
  </w:style>
  <w:style w:type="paragraph" w:customStyle="1" w:styleId="naisnod">
    <w:name w:val="naisnod"/>
    <w:basedOn w:val="Normal"/>
    <w:rsid w:val="009B7092"/>
    <w:pPr>
      <w:spacing w:before="150" w:after="150"/>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0F41F1"/>
    <w:pPr>
      <w:spacing w:before="100" w:beforeAutospacing="1" w:after="100" w:afterAutospacing="1"/>
      <w:outlineLvl w:val="2"/>
    </w:pPr>
    <w:rPr>
      <w:b/>
      <w:bCs/>
      <w:sz w:val="27"/>
      <w:szCs w:val="27"/>
    </w:rPr>
  </w:style>
  <w:style w:type="paragraph" w:styleId="Heading4">
    <w:name w:val="heading 4"/>
    <w:basedOn w:val="Normal"/>
    <w:link w:val="Heading4Char"/>
    <w:qFormat/>
    <w:rsid w:val="000F41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1F1"/>
    <w:rPr>
      <w:color w:val="0000FF"/>
      <w:u w:val="single"/>
    </w:rPr>
  </w:style>
  <w:style w:type="paragraph" w:styleId="NormalWeb">
    <w:name w:val="Normal (Web)"/>
    <w:basedOn w:val="Normal"/>
    <w:rsid w:val="000F41F1"/>
    <w:pPr>
      <w:spacing w:before="100" w:beforeAutospacing="1" w:after="100" w:afterAutospacing="1"/>
    </w:pPr>
  </w:style>
  <w:style w:type="table" w:styleId="TableGrid">
    <w:name w:val="Table Grid"/>
    <w:basedOn w:val="TableNormal"/>
    <w:rsid w:val="006C4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85D02"/>
    <w:pPr>
      <w:ind w:firstLine="720"/>
    </w:pPr>
    <w:rPr>
      <w:sz w:val="28"/>
      <w:lang w:eastAsia="en-US"/>
    </w:rPr>
  </w:style>
  <w:style w:type="character" w:styleId="CommentReference">
    <w:name w:val="annotation reference"/>
    <w:semiHidden/>
    <w:rsid w:val="00D02C6A"/>
    <w:rPr>
      <w:sz w:val="16"/>
      <w:szCs w:val="16"/>
    </w:rPr>
  </w:style>
  <w:style w:type="paragraph" w:styleId="CommentText">
    <w:name w:val="annotation text"/>
    <w:basedOn w:val="Normal"/>
    <w:link w:val="CommentTextChar"/>
    <w:semiHidden/>
    <w:rsid w:val="00D02C6A"/>
    <w:rPr>
      <w:sz w:val="20"/>
      <w:szCs w:val="20"/>
    </w:rPr>
  </w:style>
  <w:style w:type="paragraph" w:styleId="BalloonText">
    <w:name w:val="Balloon Text"/>
    <w:basedOn w:val="Normal"/>
    <w:link w:val="BalloonTextChar"/>
    <w:uiPriority w:val="99"/>
    <w:semiHidden/>
    <w:rsid w:val="00D02C6A"/>
    <w:rPr>
      <w:rFonts w:ascii="Tahoma" w:hAnsi="Tahoma" w:cs="Tahoma"/>
      <w:sz w:val="16"/>
      <w:szCs w:val="16"/>
    </w:rPr>
  </w:style>
  <w:style w:type="paragraph" w:styleId="Header">
    <w:name w:val="header"/>
    <w:basedOn w:val="Normal"/>
    <w:link w:val="HeaderChar"/>
    <w:uiPriority w:val="99"/>
    <w:rsid w:val="00E6248E"/>
    <w:pPr>
      <w:tabs>
        <w:tab w:val="center" w:pos="4153"/>
        <w:tab w:val="right" w:pos="8306"/>
      </w:tabs>
    </w:pPr>
    <w:rPr>
      <w:lang w:val="x-none" w:eastAsia="x-none"/>
    </w:rPr>
  </w:style>
  <w:style w:type="paragraph" w:styleId="Footer">
    <w:name w:val="footer"/>
    <w:basedOn w:val="Normal"/>
    <w:rsid w:val="00E6248E"/>
    <w:pPr>
      <w:tabs>
        <w:tab w:val="center" w:pos="4153"/>
        <w:tab w:val="right" w:pos="8306"/>
      </w:tabs>
    </w:pPr>
  </w:style>
  <w:style w:type="paragraph" w:customStyle="1" w:styleId="xl36">
    <w:name w:val="xl36"/>
    <w:basedOn w:val="Normal"/>
    <w:rsid w:val="002615B9"/>
    <w:pPr>
      <w:spacing w:before="100" w:beforeAutospacing="1" w:after="100" w:afterAutospacing="1"/>
      <w:jc w:val="both"/>
    </w:pPr>
    <w:rPr>
      <w:rFonts w:eastAsia="Arial Unicode MS"/>
      <w:lang w:val="en-GB" w:eastAsia="en-US"/>
    </w:rPr>
  </w:style>
  <w:style w:type="paragraph" w:styleId="CommentSubject">
    <w:name w:val="annotation subject"/>
    <w:basedOn w:val="CommentText"/>
    <w:next w:val="CommentText"/>
    <w:link w:val="CommentSubjectChar"/>
    <w:rsid w:val="00AA46F7"/>
    <w:rPr>
      <w:b/>
      <w:bCs/>
      <w:lang w:val="x-none" w:eastAsia="x-none"/>
    </w:rPr>
  </w:style>
  <w:style w:type="character" w:customStyle="1" w:styleId="CommentTextChar">
    <w:name w:val="Comment Text Char"/>
    <w:basedOn w:val="DefaultParagraphFont"/>
    <w:link w:val="CommentText"/>
    <w:semiHidden/>
    <w:rsid w:val="00AA46F7"/>
  </w:style>
  <w:style w:type="character" w:customStyle="1" w:styleId="CommentSubjectChar">
    <w:name w:val="Comment Subject Char"/>
    <w:link w:val="CommentSubject"/>
    <w:rsid w:val="00AA46F7"/>
    <w:rPr>
      <w:b/>
      <w:bCs/>
    </w:rPr>
  </w:style>
  <w:style w:type="character" w:customStyle="1" w:styleId="HeaderChar">
    <w:name w:val="Header Char"/>
    <w:link w:val="Header"/>
    <w:uiPriority w:val="99"/>
    <w:rsid w:val="00EA0CB5"/>
    <w:rPr>
      <w:sz w:val="24"/>
      <w:szCs w:val="24"/>
    </w:rPr>
  </w:style>
  <w:style w:type="paragraph" w:styleId="BodyText">
    <w:name w:val="Body Text"/>
    <w:basedOn w:val="Normal"/>
    <w:link w:val="BodyTextChar"/>
    <w:rsid w:val="0049512E"/>
    <w:pPr>
      <w:jc w:val="both"/>
    </w:pPr>
    <w:rPr>
      <w:iCs/>
      <w:lang w:val="x-none" w:eastAsia="x-none"/>
    </w:rPr>
  </w:style>
  <w:style w:type="character" w:customStyle="1" w:styleId="BodyTextChar">
    <w:name w:val="Body Text Char"/>
    <w:basedOn w:val="DefaultParagraphFont"/>
    <w:link w:val="BodyText"/>
    <w:rsid w:val="0049512E"/>
    <w:rPr>
      <w:iCs/>
      <w:sz w:val="24"/>
      <w:szCs w:val="24"/>
      <w:lang w:val="x-none" w:eastAsia="x-none"/>
    </w:rPr>
  </w:style>
  <w:style w:type="character" w:customStyle="1" w:styleId="Heading4Char">
    <w:name w:val="Heading 4 Char"/>
    <w:link w:val="Heading4"/>
    <w:rsid w:val="005375C1"/>
    <w:rPr>
      <w:b/>
      <w:bCs/>
      <w:sz w:val="24"/>
      <w:szCs w:val="24"/>
    </w:rPr>
  </w:style>
  <w:style w:type="paragraph" w:customStyle="1" w:styleId="naisf">
    <w:name w:val="naisf"/>
    <w:basedOn w:val="Normal"/>
    <w:rsid w:val="00DC490F"/>
    <w:pPr>
      <w:spacing w:before="75" w:after="75"/>
      <w:ind w:firstLine="375"/>
      <w:jc w:val="both"/>
    </w:pPr>
  </w:style>
  <w:style w:type="paragraph" w:styleId="ListParagraph">
    <w:name w:val="List Paragraph"/>
    <w:basedOn w:val="Normal"/>
    <w:uiPriority w:val="34"/>
    <w:qFormat/>
    <w:rsid w:val="00EB54D1"/>
    <w:pPr>
      <w:ind w:left="720"/>
      <w:contextualSpacing/>
    </w:pPr>
    <w:rPr>
      <w:rFonts w:eastAsia="Calibri"/>
      <w:sz w:val="28"/>
      <w:szCs w:val="28"/>
      <w:lang w:val="en-GB" w:eastAsia="en-US"/>
    </w:rPr>
  </w:style>
  <w:style w:type="character" w:customStyle="1" w:styleId="BalloonTextChar">
    <w:name w:val="Balloon Text Char"/>
    <w:link w:val="BalloonText"/>
    <w:uiPriority w:val="99"/>
    <w:semiHidden/>
    <w:rsid w:val="00EB54D1"/>
    <w:rPr>
      <w:rFonts w:ascii="Tahoma" w:hAnsi="Tahoma" w:cs="Tahoma"/>
      <w:sz w:val="16"/>
      <w:szCs w:val="16"/>
    </w:rPr>
  </w:style>
  <w:style w:type="paragraph" w:customStyle="1" w:styleId="naisnod">
    <w:name w:val="naisnod"/>
    <w:basedOn w:val="Normal"/>
    <w:rsid w:val="009B7092"/>
    <w:pPr>
      <w:spacing w:before="150" w:after="15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434839">
      <w:bodyDiv w:val="1"/>
      <w:marLeft w:val="0"/>
      <w:marRight w:val="0"/>
      <w:marTop w:val="0"/>
      <w:marBottom w:val="0"/>
      <w:divBdr>
        <w:top w:val="none" w:sz="0" w:space="0" w:color="auto"/>
        <w:left w:val="none" w:sz="0" w:space="0" w:color="auto"/>
        <w:bottom w:val="none" w:sz="0" w:space="0" w:color="auto"/>
        <w:right w:val="none" w:sz="0" w:space="0" w:color="auto"/>
      </w:divBdr>
      <w:divsChild>
        <w:div w:id="7292053">
          <w:marLeft w:val="0"/>
          <w:marRight w:val="0"/>
          <w:marTop w:val="0"/>
          <w:marBottom w:val="0"/>
          <w:divBdr>
            <w:top w:val="none" w:sz="0" w:space="0" w:color="auto"/>
            <w:left w:val="none" w:sz="0" w:space="0" w:color="auto"/>
            <w:bottom w:val="none" w:sz="0" w:space="0" w:color="auto"/>
            <w:right w:val="none" w:sz="0" w:space="0" w:color="auto"/>
          </w:divBdr>
        </w:div>
        <w:div w:id="102655223">
          <w:marLeft w:val="0"/>
          <w:marRight w:val="0"/>
          <w:marTop w:val="0"/>
          <w:marBottom w:val="0"/>
          <w:divBdr>
            <w:top w:val="none" w:sz="0" w:space="0" w:color="auto"/>
            <w:left w:val="none" w:sz="0" w:space="0" w:color="auto"/>
            <w:bottom w:val="none" w:sz="0" w:space="0" w:color="auto"/>
            <w:right w:val="none" w:sz="0" w:space="0" w:color="auto"/>
          </w:divBdr>
        </w:div>
        <w:div w:id="191767022">
          <w:marLeft w:val="0"/>
          <w:marRight w:val="0"/>
          <w:marTop w:val="0"/>
          <w:marBottom w:val="0"/>
          <w:divBdr>
            <w:top w:val="none" w:sz="0" w:space="0" w:color="auto"/>
            <w:left w:val="none" w:sz="0" w:space="0" w:color="auto"/>
            <w:bottom w:val="none" w:sz="0" w:space="0" w:color="auto"/>
            <w:right w:val="none" w:sz="0" w:space="0" w:color="auto"/>
          </w:divBdr>
        </w:div>
        <w:div w:id="306202789">
          <w:marLeft w:val="0"/>
          <w:marRight w:val="0"/>
          <w:marTop w:val="0"/>
          <w:marBottom w:val="0"/>
          <w:divBdr>
            <w:top w:val="none" w:sz="0" w:space="0" w:color="auto"/>
            <w:left w:val="none" w:sz="0" w:space="0" w:color="auto"/>
            <w:bottom w:val="none" w:sz="0" w:space="0" w:color="auto"/>
            <w:right w:val="none" w:sz="0" w:space="0" w:color="auto"/>
          </w:divBdr>
        </w:div>
        <w:div w:id="388648313">
          <w:marLeft w:val="0"/>
          <w:marRight w:val="0"/>
          <w:marTop w:val="0"/>
          <w:marBottom w:val="0"/>
          <w:divBdr>
            <w:top w:val="none" w:sz="0" w:space="0" w:color="auto"/>
            <w:left w:val="none" w:sz="0" w:space="0" w:color="auto"/>
            <w:bottom w:val="none" w:sz="0" w:space="0" w:color="auto"/>
            <w:right w:val="none" w:sz="0" w:space="0" w:color="auto"/>
          </w:divBdr>
        </w:div>
        <w:div w:id="461265460">
          <w:marLeft w:val="0"/>
          <w:marRight w:val="0"/>
          <w:marTop w:val="0"/>
          <w:marBottom w:val="0"/>
          <w:divBdr>
            <w:top w:val="none" w:sz="0" w:space="0" w:color="auto"/>
            <w:left w:val="none" w:sz="0" w:space="0" w:color="auto"/>
            <w:bottom w:val="none" w:sz="0" w:space="0" w:color="auto"/>
            <w:right w:val="none" w:sz="0" w:space="0" w:color="auto"/>
          </w:divBdr>
        </w:div>
        <w:div w:id="920217380">
          <w:marLeft w:val="0"/>
          <w:marRight w:val="0"/>
          <w:marTop w:val="0"/>
          <w:marBottom w:val="0"/>
          <w:divBdr>
            <w:top w:val="none" w:sz="0" w:space="0" w:color="auto"/>
            <w:left w:val="none" w:sz="0" w:space="0" w:color="auto"/>
            <w:bottom w:val="none" w:sz="0" w:space="0" w:color="auto"/>
            <w:right w:val="none" w:sz="0" w:space="0" w:color="auto"/>
          </w:divBdr>
        </w:div>
        <w:div w:id="1225995426">
          <w:marLeft w:val="0"/>
          <w:marRight w:val="0"/>
          <w:marTop w:val="0"/>
          <w:marBottom w:val="0"/>
          <w:divBdr>
            <w:top w:val="none" w:sz="0" w:space="0" w:color="auto"/>
            <w:left w:val="none" w:sz="0" w:space="0" w:color="auto"/>
            <w:bottom w:val="none" w:sz="0" w:space="0" w:color="auto"/>
            <w:right w:val="none" w:sz="0" w:space="0" w:color="auto"/>
          </w:divBdr>
        </w:div>
        <w:div w:id="1238250724">
          <w:marLeft w:val="0"/>
          <w:marRight w:val="0"/>
          <w:marTop w:val="0"/>
          <w:marBottom w:val="0"/>
          <w:divBdr>
            <w:top w:val="none" w:sz="0" w:space="0" w:color="auto"/>
            <w:left w:val="none" w:sz="0" w:space="0" w:color="auto"/>
            <w:bottom w:val="none" w:sz="0" w:space="0" w:color="auto"/>
            <w:right w:val="none" w:sz="0" w:space="0" w:color="auto"/>
          </w:divBdr>
        </w:div>
        <w:div w:id="1256859203">
          <w:marLeft w:val="0"/>
          <w:marRight w:val="0"/>
          <w:marTop w:val="0"/>
          <w:marBottom w:val="0"/>
          <w:divBdr>
            <w:top w:val="none" w:sz="0" w:space="0" w:color="auto"/>
            <w:left w:val="none" w:sz="0" w:space="0" w:color="auto"/>
            <w:bottom w:val="none" w:sz="0" w:space="0" w:color="auto"/>
            <w:right w:val="none" w:sz="0" w:space="0" w:color="auto"/>
          </w:divBdr>
        </w:div>
        <w:div w:id="1597597003">
          <w:marLeft w:val="0"/>
          <w:marRight w:val="0"/>
          <w:marTop w:val="0"/>
          <w:marBottom w:val="0"/>
          <w:divBdr>
            <w:top w:val="none" w:sz="0" w:space="0" w:color="auto"/>
            <w:left w:val="none" w:sz="0" w:space="0" w:color="auto"/>
            <w:bottom w:val="none" w:sz="0" w:space="0" w:color="auto"/>
            <w:right w:val="none" w:sz="0" w:space="0" w:color="auto"/>
          </w:divBdr>
        </w:div>
        <w:div w:id="1740864766">
          <w:marLeft w:val="0"/>
          <w:marRight w:val="0"/>
          <w:marTop w:val="0"/>
          <w:marBottom w:val="0"/>
          <w:divBdr>
            <w:top w:val="none" w:sz="0" w:space="0" w:color="auto"/>
            <w:left w:val="none" w:sz="0" w:space="0" w:color="auto"/>
            <w:bottom w:val="none" w:sz="0" w:space="0" w:color="auto"/>
            <w:right w:val="none" w:sz="0" w:space="0" w:color="auto"/>
          </w:divBdr>
        </w:div>
        <w:div w:id="1756046883">
          <w:marLeft w:val="0"/>
          <w:marRight w:val="0"/>
          <w:marTop w:val="0"/>
          <w:marBottom w:val="0"/>
          <w:divBdr>
            <w:top w:val="none" w:sz="0" w:space="0" w:color="auto"/>
            <w:left w:val="none" w:sz="0" w:space="0" w:color="auto"/>
            <w:bottom w:val="none" w:sz="0" w:space="0" w:color="auto"/>
            <w:right w:val="none" w:sz="0" w:space="0" w:color="auto"/>
          </w:divBdr>
        </w:div>
        <w:div w:id="1912496825">
          <w:marLeft w:val="0"/>
          <w:marRight w:val="0"/>
          <w:marTop w:val="0"/>
          <w:marBottom w:val="0"/>
          <w:divBdr>
            <w:top w:val="none" w:sz="0" w:space="0" w:color="auto"/>
            <w:left w:val="none" w:sz="0" w:space="0" w:color="auto"/>
            <w:bottom w:val="none" w:sz="0" w:space="0" w:color="auto"/>
            <w:right w:val="none" w:sz="0" w:space="0" w:color="auto"/>
          </w:divBdr>
        </w:div>
        <w:div w:id="214646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3B07-A7C8-4E67-BBDE-1AF59B72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8</Pages>
  <Words>2082</Words>
  <Characters>14723</Characters>
  <Application>Microsoft Office Word</Application>
  <DocSecurity>0</DocSecurity>
  <Lines>545</Lines>
  <Paragraphs>180</Paragraphs>
  <ScaleCrop>false</ScaleCrop>
  <HeadingPairs>
    <vt:vector size="2" baseType="variant">
      <vt:variant>
        <vt:lpstr>Title</vt:lpstr>
      </vt:variant>
      <vt:variant>
        <vt:i4>1</vt:i4>
      </vt:variant>
    </vt:vector>
  </HeadingPairs>
  <TitlesOfParts>
    <vt:vector size="1" baseType="lpstr">
      <vt:lpstr>Ministru kabineta noteikumu projekta „Gada pārskata sagatavošanas kārtību” sākotnējās ietekmes novērtējuma ziņojums (anotācija)</vt:lpstr>
    </vt:vector>
  </TitlesOfParts>
  <Manager>Ligita.Agleniece@kase.gov.lv</Manager>
  <Company>Valsts kase</Company>
  <LinksUpToDate>false</LinksUpToDate>
  <CharactersWithSpaces>16625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„Gada pārskata sagatavošanas kārtību” sākotnējās ietekmes novērtējuma ziņojums (anotācija)</dc:title>
  <dc:subject>Anotācija</dc:subject>
  <dc:creator>Vineta.Parfenkova@kase.gov.lv</dc:creator>
  <dc:description>Ligita.agleniece@kase.gov.lv; 67094249
vineta.parfenkova@kase.gov.lv
67094248</dc:description>
  <cp:lastModifiedBy>Vineta Parfenkova</cp:lastModifiedBy>
  <cp:revision>53</cp:revision>
  <cp:lastPrinted>2013-07-04T06:53:00Z</cp:lastPrinted>
  <dcterms:created xsi:type="dcterms:W3CDTF">2013-06-19T11:32:00Z</dcterms:created>
  <dcterms:modified xsi:type="dcterms:W3CDTF">2013-08-28T07:10:00Z</dcterms:modified>
</cp:coreProperties>
</file>