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3D3" w:rsidRPr="003A73D3" w:rsidRDefault="003A73D3" w:rsidP="003A73D3">
      <w:pPr>
        <w:jc w:val="center"/>
        <w:rPr>
          <w:b/>
          <w:sz w:val="26"/>
          <w:szCs w:val="26"/>
          <w:lang w:eastAsia="lv-LV"/>
        </w:rPr>
      </w:pPr>
      <w:bookmarkStart w:id="0" w:name="OLE_LINK1"/>
      <w:bookmarkStart w:id="1" w:name="OLE_LINK2"/>
      <w:r w:rsidRPr="003A73D3">
        <w:rPr>
          <w:b/>
          <w:sz w:val="26"/>
          <w:szCs w:val="26"/>
          <w:lang w:eastAsia="lv-LV"/>
        </w:rPr>
        <w:t>Ministru kabineta noteikumu projekta „Grozījumi Ministru kabineta 2006.gada 14.novembra noteikumos Nr.933 „Likuma „Par pievienotās vērtības nodokli" normu piemērošanas kārtība”” sākotnējās ietekmes novērtējuma ziņojums (anotācija)</w:t>
      </w:r>
    </w:p>
    <w:p w:rsidR="008A238C" w:rsidRPr="008A238C" w:rsidRDefault="008A238C" w:rsidP="005F0EFE">
      <w:pPr>
        <w:jc w:val="center"/>
        <w:rPr>
          <w:sz w:val="16"/>
          <w:szCs w:val="16"/>
          <w:lang w:eastAsia="lv-LV"/>
        </w:rPr>
      </w:pPr>
    </w:p>
    <w:tbl>
      <w:tblPr>
        <w:tblW w:w="9214"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8"/>
        <w:gridCol w:w="105"/>
        <w:gridCol w:w="552"/>
        <w:gridCol w:w="1651"/>
        <w:gridCol w:w="567"/>
        <w:gridCol w:w="850"/>
        <w:gridCol w:w="259"/>
        <w:gridCol w:w="4702"/>
      </w:tblGrid>
      <w:tr w:rsidR="005A039A" w:rsidRPr="005A039A" w:rsidTr="00797FA6">
        <w:trPr>
          <w:tblCellSpacing w:w="0" w:type="dxa"/>
        </w:trPr>
        <w:tc>
          <w:tcPr>
            <w:tcW w:w="9214" w:type="dxa"/>
            <w:gridSpan w:val="8"/>
            <w:tcBorders>
              <w:top w:val="outset" w:sz="6" w:space="0" w:color="auto"/>
              <w:left w:val="outset" w:sz="6" w:space="0" w:color="auto"/>
              <w:bottom w:val="outset" w:sz="6" w:space="0" w:color="auto"/>
              <w:right w:val="outset" w:sz="6" w:space="0" w:color="auto"/>
            </w:tcBorders>
            <w:vAlign w:val="center"/>
            <w:hideMark/>
          </w:tcPr>
          <w:bookmarkEnd w:id="0"/>
          <w:bookmarkEnd w:id="1"/>
          <w:p w:rsidR="005A039A" w:rsidRPr="005A039A" w:rsidRDefault="005A039A" w:rsidP="001119FE">
            <w:pPr>
              <w:jc w:val="center"/>
              <w:rPr>
                <w:rFonts w:eastAsia="Times New Roman" w:cs="Times New Roman"/>
                <w:sz w:val="24"/>
                <w:szCs w:val="24"/>
                <w:lang w:eastAsia="lv-LV"/>
              </w:rPr>
            </w:pPr>
            <w:r w:rsidRPr="005A039A">
              <w:rPr>
                <w:rFonts w:eastAsia="Times New Roman" w:cs="Times New Roman"/>
                <w:b/>
                <w:bCs/>
                <w:sz w:val="24"/>
                <w:szCs w:val="24"/>
                <w:lang w:eastAsia="lv-LV"/>
              </w:rPr>
              <w:t>I. Tiesību akta projekta izstrādes nepieciešamība</w:t>
            </w:r>
          </w:p>
        </w:tc>
      </w:tr>
      <w:tr w:rsidR="005A039A" w:rsidRPr="005A039A" w:rsidTr="000B159B">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1.</w:t>
            </w:r>
          </w:p>
        </w:tc>
        <w:tc>
          <w:tcPr>
            <w:tcW w:w="2308" w:type="dxa"/>
            <w:gridSpan w:val="3"/>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Pamatojums</w:t>
            </w:r>
          </w:p>
        </w:tc>
        <w:tc>
          <w:tcPr>
            <w:tcW w:w="6378" w:type="dxa"/>
            <w:gridSpan w:val="4"/>
            <w:tcBorders>
              <w:top w:val="outset" w:sz="6" w:space="0" w:color="auto"/>
              <w:left w:val="outset" w:sz="6" w:space="0" w:color="auto"/>
              <w:bottom w:val="outset" w:sz="6" w:space="0" w:color="auto"/>
              <w:right w:val="outset" w:sz="6" w:space="0" w:color="auto"/>
            </w:tcBorders>
            <w:hideMark/>
          </w:tcPr>
          <w:p w:rsidR="00C33C87" w:rsidRPr="003A73D3" w:rsidRDefault="00956E71" w:rsidP="00414791">
            <w:pPr>
              <w:tabs>
                <w:tab w:val="left" w:pos="306"/>
                <w:tab w:val="left" w:pos="977"/>
                <w:tab w:val="left" w:pos="1431"/>
              </w:tabs>
              <w:ind w:left="126" w:right="52"/>
              <w:jc w:val="both"/>
              <w:rPr>
                <w:rFonts w:eastAsia="Times New Roman" w:cs="Times New Roman"/>
                <w:sz w:val="24"/>
                <w:szCs w:val="24"/>
                <w:lang w:eastAsia="lv-LV"/>
              </w:rPr>
            </w:pPr>
            <w:r>
              <w:rPr>
                <w:sz w:val="24"/>
                <w:szCs w:val="24"/>
              </w:rPr>
              <w:t>2011.gada 1.janvārī stā</w:t>
            </w:r>
            <w:r w:rsidR="003A73D3" w:rsidRPr="003A73D3">
              <w:rPr>
                <w:sz w:val="24"/>
                <w:szCs w:val="24"/>
              </w:rPr>
              <w:t>s</w:t>
            </w:r>
            <w:r>
              <w:rPr>
                <w:sz w:val="24"/>
                <w:szCs w:val="24"/>
              </w:rPr>
              <w:t>ies</w:t>
            </w:r>
            <w:r w:rsidR="003A73D3" w:rsidRPr="003A73D3">
              <w:rPr>
                <w:sz w:val="24"/>
                <w:szCs w:val="24"/>
              </w:rPr>
              <w:t xml:space="preserve"> spēkā Saeimā 2010.gada 2.decembrī pieņemtais likums „Grozījumi likumā „Par pievienotās vērtības nodokli” un 2010.gada </w:t>
            </w:r>
            <w:r w:rsidR="00414791">
              <w:rPr>
                <w:sz w:val="24"/>
                <w:szCs w:val="24"/>
              </w:rPr>
              <w:t>20</w:t>
            </w:r>
            <w:r w:rsidR="003A73D3" w:rsidRPr="003A73D3">
              <w:rPr>
                <w:sz w:val="24"/>
                <w:szCs w:val="24"/>
              </w:rPr>
              <w:t xml:space="preserve">.decembrī </w:t>
            </w:r>
            <w:r w:rsidR="00414791">
              <w:rPr>
                <w:sz w:val="24"/>
                <w:szCs w:val="24"/>
              </w:rPr>
              <w:t>pieņemtais likum</w:t>
            </w:r>
            <w:r w:rsidR="003A73D3" w:rsidRPr="003A73D3">
              <w:rPr>
                <w:sz w:val="24"/>
                <w:szCs w:val="24"/>
              </w:rPr>
              <w:t xml:space="preserve">s „Grozījumi likumā „Par pievienotās vērtības nodokli””, kas </w:t>
            </w:r>
            <w:r w:rsidR="00414791">
              <w:rPr>
                <w:sz w:val="24"/>
                <w:szCs w:val="24"/>
              </w:rPr>
              <w:t>bija izskatīts</w:t>
            </w:r>
            <w:r w:rsidR="003A73D3" w:rsidRPr="003A73D3">
              <w:rPr>
                <w:sz w:val="24"/>
                <w:szCs w:val="24"/>
              </w:rPr>
              <w:t xml:space="preserve"> valsts budžeta 2011.gadam pavadošo likumprojektu paketē.</w:t>
            </w:r>
          </w:p>
        </w:tc>
      </w:tr>
      <w:tr w:rsidR="005A039A" w:rsidRPr="005A039A" w:rsidTr="000B159B">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5A039A" w:rsidRPr="005A039A" w:rsidRDefault="0079410D" w:rsidP="005F0EFE">
            <w:pPr>
              <w:rPr>
                <w:rFonts w:eastAsia="Times New Roman" w:cs="Times New Roman"/>
                <w:sz w:val="24"/>
                <w:szCs w:val="24"/>
                <w:lang w:eastAsia="lv-LV"/>
              </w:rPr>
            </w:pPr>
            <w:r>
              <w:rPr>
                <w:rFonts w:eastAsia="Times New Roman" w:cs="Times New Roman"/>
                <w:sz w:val="24"/>
                <w:szCs w:val="24"/>
                <w:lang w:eastAsia="lv-LV"/>
              </w:rPr>
              <w:t xml:space="preserve">   </w:t>
            </w:r>
            <w:r w:rsidR="007D6062">
              <w:rPr>
                <w:rFonts w:eastAsia="Times New Roman" w:cs="Times New Roman"/>
                <w:sz w:val="24"/>
                <w:szCs w:val="24"/>
                <w:lang w:eastAsia="lv-LV"/>
              </w:rPr>
              <w:t>2.</w:t>
            </w:r>
          </w:p>
        </w:tc>
        <w:tc>
          <w:tcPr>
            <w:tcW w:w="2308" w:type="dxa"/>
            <w:gridSpan w:val="3"/>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ind w:left="25"/>
              <w:rPr>
                <w:rFonts w:eastAsia="Times New Roman" w:cs="Times New Roman"/>
                <w:sz w:val="24"/>
                <w:szCs w:val="24"/>
                <w:lang w:eastAsia="lv-LV"/>
              </w:rPr>
            </w:pPr>
            <w:r w:rsidRPr="005A039A">
              <w:rPr>
                <w:rFonts w:eastAsia="Times New Roman" w:cs="Times New Roman"/>
                <w:sz w:val="24"/>
                <w:szCs w:val="24"/>
                <w:lang w:eastAsia="lv-LV"/>
              </w:rPr>
              <w:t xml:space="preserve">Pašreizējā situācija un </w:t>
            </w:r>
            <w:r w:rsidR="00C33C87">
              <w:rPr>
                <w:rFonts w:eastAsia="Times New Roman" w:cs="Times New Roman"/>
                <w:sz w:val="24"/>
                <w:szCs w:val="24"/>
                <w:lang w:eastAsia="lv-LV"/>
              </w:rPr>
              <w:t xml:space="preserve">   </w:t>
            </w:r>
            <w:r w:rsidRPr="005A039A">
              <w:rPr>
                <w:rFonts w:eastAsia="Times New Roman" w:cs="Times New Roman"/>
                <w:sz w:val="24"/>
                <w:szCs w:val="24"/>
                <w:lang w:eastAsia="lv-LV"/>
              </w:rPr>
              <w:t>problēmas</w:t>
            </w:r>
          </w:p>
        </w:tc>
        <w:tc>
          <w:tcPr>
            <w:tcW w:w="6378" w:type="dxa"/>
            <w:gridSpan w:val="4"/>
            <w:tcBorders>
              <w:top w:val="outset" w:sz="6" w:space="0" w:color="auto"/>
              <w:left w:val="outset" w:sz="6" w:space="0" w:color="auto"/>
              <w:bottom w:val="outset" w:sz="6" w:space="0" w:color="auto"/>
              <w:right w:val="outset" w:sz="6" w:space="0" w:color="auto"/>
            </w:tcBorders>
            <w:hideMark/>
          </w:tcPr>
          <w:p w:rsidR="003A73D3" w:rsidRPr="003A73D3" w:rsidRDefault="003A73D3" w:rsidP="003A73D3">
            <w:pPr>
              <w:ind w:left="126" w:right="52"/>
              <w:jc w:val="both"/>
              <w:rPr>
                <w:sz w:val="24"/>
                <w:szCs w:val="24"/>
              </w:rPr>
            </w:pPr>
            <w:r w:rsidRPr="003A73D3">
              <w:rPr>
                <w:sz w:val="24"/>
                <w:szCs w:val="24"/>
              </w:rPr>
              <w:t>Likumā „Par pievienotās vērtības nodokli” (turpmāk - likums) veikti    šādi grozījumi:</w:t>
            </w:r>
          </w:p>
          <w:p w:rsidR="003A73D3" w:rsidRPr="003A73D3" w:rsidRDefault="003A73D3" w:rsidP="003A73D3">
            <w:pPr>
              <w:ind w:left="126" w:right="52"/>
              <w:jc w:val="both"/>
              <w:rPr>
                <w:sz w:val="24"/>
                <w:szCs w:val="24"/>
              </w:rPr>
            </w:pPr>
            <w:r w:rsidRPr="003A73D3">
              <w:rPr>
                <w:sz w:val="24"/>
                <w:szCs w:val="24"/>
              </w:rPr>
              <w:t>1.</w:t>
            </w:r>
            <w:r w:rsidRPr="003A73D3">
              <w:rPr>
                <w:sz w:val="24"/>
                <w:szCs w:val="24"/>
              </w:rPr>
              <w:tab/>
              <w:t xml:space="preserve"> ieviests Padomes 2010.gada 27.septembra Īstenošanas lēmums</w:t>
            </w:r>
          </w:p>
          <w:p w:rsidR="003A73D3" w:rsidRPr="003A73D3" w:rsidRDefault="003A73D3" w:rsidP="003A73D3">
            <w:pPr>
              <w:ind w:left="126" w:right="52"/>
              <w:jc w:val="both"/>
              <w:rPr>
                <w:sz w:val="24"/>
                <w:szCs w:val="24"/>
              </w:rPr>
            </w:pPr>
            <w:r w:rsidRPr="003A73D3">
              <w:rPr>
                <w:sz w:val="24"/>
                <w:szCs w:val="24"/>
              </w:rPr>
              <w:t xml:space="preserve">2010/584/EC, ar ko Latvijas Republikai atļauj piemērot pasākumu, atkāpjoties no 287.panta Padomes 2006.gada 28.novembra direktīvā 2006/112/EK par kopējo pievienotās vērtības nodokļa sistēmu, lai paaugstinātu likumā noteikto summu 10 000 latu, kuru sasniedzot, personai ir jāreģistrējas Valsts ieņēmumu dienesta (turpmāk - VID) ar pievienotās vērtības nodokli (turpmāk – PVN) apliekamo personu reģistrā, līdz summai, kas nepārsniedz EUR 50 000 ekvivalentu latos, </w:t>
            </w:r>
            <w:proofErr w:type="spellStart"/>
            <w:r w:rsidRPr="003A73D3">
              <w:rPr>
                <w:sz w:val="24"/>
                <w:szCs w:val="24"/>
              </w:rPr>
              <w:t>t.i</w:t>
            </w:r>
            <w:proofErr w:type="spellEnd"/>
            <w:r w:rsidRPr="003A73D3">
              <w:rPr>
                <w:sz w:val="24"/>
                <w:szCs w:val="24"/>
              </w:rPr>
              <w:t>. 35 000 lati;</w:t>
            </w:r>
          </w:p>
          <w:p w:rsidR="003A73D3" w:rsidRPr="003A73D3" w:rsidRDefault="003A73D3" w:rsidP="003A73D3">
            <w:pPr>
              <w:ind w:left="126" w:right="52"/>
              <w:jc w:val="both"/>
              <w:rPr>
                <w:sz w:val="24"/>
                <w:szCs w:val="24"/>
              </w:rPr>
            </w:pPr>
            <w:r w:rsidRPr="003A73D3">
              <w:rPr>
                <w:sz w:val="24"/>
                <w:szCs w:val="24"/>
              </w:rPr>
              <w:t>2.</w:t>
            </w:r>
            <w:r w:rsidRPr="003A73D3">
              <w:rPr>
                <w:sz w:val="24"/>
                <w:szCs w:val="24"/>
              </w:rPr>
              <w:tab/>
              <w:t>pārņemta Padomes 2009.gada 25.jūnija direktīva 2009/69/EK ar ko Direktīvu 2006/112/EK par kopējo pievienotās vērtības nodokļa sistēmu groza attiecībā uz nodokļu nemaksāšanu, kas saistīta ar importu;</w:t>
            </w:r>
          </w:p>
          <w:p w:rsidR="003A73D3" w:rsidRPr="003A73D3" w:rsidRDefault="003A73D3" w:rsidP="003A73D3">
            <w:pPr>
              <w:ind w:left="126" w:right="52"/>
              <w:jc w:val="both"/>
              <w:rPr>
                <w:sz w:val="24"/>
                <w:szCs w:val="24"/>
              </w:rPr>
            </w:pPr>
            <w:r w:rsidRPr="003A73D3">
              <w:rPr>
                <w:sz w:val="24"/>
                <w:szCs w:val="24"/>
              </w:rPr>
              <w:t>3.</w:t>
            </w:r>
            <w:r w:rsidRPr="003A73D3">
              <w:rPr>
                <w:sz w:val="24"/>
                <w:szCs w:val="24"/>
              </w:rPr>
              <w:tab/>
              <w:t xml:space="preserve">pārņemta Padomes 2009.gada 22.decembra direktīva 2009/162/ES, ar ko groza vairākus noteikumus Direktīvā 2006/112/EK par kopējo pievienotās vērtības nodokļa sistēmu (turpmāk – Direktīva 2009/162/ES); </w:t>
            </w:r>
          </w:p>
          <w:p w:rsidR="003A73D3" w:rsidRPr="003A73D3" w:rsidRDefault="003A73D3" w:rsidP="003A73D3">
            <w:pPr>
              <w:ind w:left="126" w:right="52"/>
              <w:jc w:val="both"/>
              <w:rPr>
                <w:sz w:val="24"/>
                <w:szCs w:val="24"/>
              </w:rPr>
            </w:pPr>
            <w:r w:rsidRPr="003A73D3">
              <w:rPr>
                <w:sz w:val="24"/>
                <w:szCs w:val="24"/>
              </w:rPr>
              <w:t>4.</w:t>
            </w:r>
            <w:r w:rsidRPr="003A73D3">
              <w:rPr>
                <w:sz w:val="24"/>
                <w:szCs w:val="24"/>
              </w:rPr>
              <w:tab/>
              <w:t xml:space="preserve">iekļautas normas, kas nosaka, ka VID Ministru kabineta noteiktajā kārtībā pieņem lēmumu par fiskālā pārstāvja izslēgšanu no VID ar PVN apliekamo personu reģistra, ja fiskālā pārstāvja darbības laikā iestājas vismaz viens no likumā paredzētajiem apstākļiem. Likums paredz arī pilnvarojumu Ministru kabinetam noteikt preču īpašas uzskaites nosacījumus darījumos Eiropas Savienības teritorijā un fiskālā pārstāvja saņemto un nosūtīto preču uzskaites nosacījumus, kā arī noteikt īpašus fiskālā pārstāvja nodokļa rēķina izrakstīšanas nosacījumus; </w:t>
            </w:r>
          </w:p>
          <w:p w:rsidR="003A73D3" w:rsidRPr="003A73D3" w:rsidRDefault="003A73D3" w:rsidP="003A73D3">
            <w:pPr>
              <w:ind w:left="126" w:right="52"/>
              <w:jc w:val="both"/>
              <w:rPr>
                <w:sz w:val="24"/>
                <w:szCs w:val="24"/>
              </w:rPr>
            </w:pPr>
            <w:r w:rsidRPr="003A73D3">
              <w:rPr>
                <w:sz w:val="24"/>
                <w:szCs w:val="24"/>
              </w:rPr>
              <w:t>5.</w:t>
            </w:r>
            <w:r w:rsidRPr="003A73D3">
              <w:rPr>
                <w:sz w:val="24"/>
                <w:szCs w:val="24"/>
              </w:rPr>
              <w:tab/>
              <w:t xml:space="preserve">paredzēts paaugstināt PVN </w:t>
            </w:r>
            <w:proofErr w:type="spellStart"/>
            <w:r w:rsidRPr="003A73D3">
              <w:rPr>
                <w:sz w:val="24"/>
                <w:szCs w:val="24"/>
              </w:rPr>
              <w:t>standartlikmi</w:t>
            </w:r>
            <w:proofErr w:type="spellEnd"/>
            <w:r w:rsidRPr="003A73D3">
              <w:rPr>
                <w:sz w:val="24"/>
                <w:szCs w:val="24"/>
              </w:rPr>
              <w:t xml:space="preserve"> no 21 procenta uz 22 procentiem un PVN samazināto likmi no 10 procentiem uz 12 procentiem;</w:t>
            </w:r>
          </w:p>
          <w:p w:rsidR="003A73D3" w:rsidRPr="003A73D3" w:rsidRDefault="003A73D3" w:rsidP="003A73D3">
            <w:pPr>
              <w:ind w:left="126" w:right="52"/>
              <w:jc w:val="both"/>
              <w:rPr>
                <w:sz w:val="24"/>
                <w:szCs w:val="24"/>
              </w:rPr>
            </w:pPr>
            <w:r w:rsidRPr="003A73D3">
              <w:rPr>
                <w:sz w:val="24"/>
                <w:szCs w:val="24"/>
              </w:rPr>
              <w:t>6.</w:t>
            </w:r>
            <w:r w:rsidRPr="003A73D3">
              <w:rPr>
                <w:sz w:val="24"/>
                <w:szCs w:val="24"/>
              </w:rPr>
              <w:tab/>
              <w:t>noteikta PVN piemērošanas kārtība darījumiem, kas veikti maksātnespējas procesa administratoru un zvērinātu tiesu izpildītāju veiktajās īpašuma atsavināšanas izsolēs.</w:t>
            </w:r>
          </w:p>
          <w:p w:rsidR="003A73D3" w:rsidRPr="003A73D3" w:rsidRDefault="00A921A0" w:rsidP="003A73D3">
            <w:pPr>
              <w:ind w:left="126" w:right="52"/>
              <w:jc w:val="both"/>
              <w:rPr>
                <w:sz w:val="24"/>
                <w:szCs w:val="24"/>
              </w:rPr>
            </w:pPr>
            <w:r>
              <w:rPr>
                <w:sz w:val="24"/>
                <w:szCs w:val="24"/>
              </w:rPr>
              <w:t xml:space="preserve">Lai nodrošinātu Finanšu ministrijas kompetencē esošo </w:t>
            </w:r>
            <w:r>
              <w:rPr>
                <w:sz w:val="24"/>
                <w:szCs w:val="24"/>
              </w:rPr>
              <w:lastRenderedPageBreak/>
              <w:t>normatīvo aktu pārskatāmību</w:t>
            </w:r>
            <w:r w:rsidR="00493688">
              <w:rPr>
                <w:sz w:val="24"/>
                <w:szCs w:val="24"/>
              </w:rPr>
              <w:t xml:space="preserve"> un </w:t>
            </w:r>
            <w:r>
              <w:rPr>
                <w:sz w:val="24"/>
                <w:szCs w:val="24"/>
              </w:rPr>
              <w:t xml:space="preserve"> </w:t>
            </w:r>
            <w:r w:rsidR="00493688" w:rsidRPr="00493688">
              <w:rPr>
                <w:sz w:val="24"/>
                <w:szCs w:val="24"/>
              </w:rPr>
              <w:t>viengabalainību</w:t>
            </w:r>
            <w:r w:rsidR="00493688">
              <w:rPr>
                <w:sz w:val="24"/>
                <w:szCs w:val="24"/>
              </w:rPr>
              <w:t xml:space="preserve"> </w:t>
            </w:r>
            <w:r w:rsidR="003A73D3" w:rsidRPr="003A73D3">
              <w:rPr>
                <w:sz w:val="24"/>
                <w:szCs w:val="24"/>
              </w:rPr>
              <w:t xml:space="preserve">Ministru kabineta 2006.gada 14.novembra noteikumos Nr.933 „Likuma „Par pievienotās vērtības nodokli" normu piemērošanas kārtība”” (turpmāk – MK noteikumi) </w:t>
            </w:r>
            <w:r>
              <w:rPr>
                <w:sz w:val="24"/>
                <w:szCs w:val="24"/>
              </w:rPr>
              <w:t>ir</w:t>
            </w:r>
            <w:r w:rsidR="003A73D3" w:rsidRPr="003A73D3">
              <w:rPr>
                <w:sz w:val="24"/>
                <w:szCs w:val="24"/>
              </w:rPr>
              <w:t xml:space="preserve"> konsolidēt</w:t>
            </w:r>
            <w:r>
              <w:rPr>
                <w:sz w:val="24"/>
                <w:szCs w:val="24"/>
              </w:rPr>
              <w:t>as</w:t>
            </w:r>
            <w:r w:rsidR="003A73D3" w:rsidRPr="003A73D3">
              <w:rPr>
                <w:sz w:val="24"/>
                <w:szCs w:val="24"/>
              </w:rPr>
              <w:t xml:space="preserve"> Ministru kabineta 2006.gada 28.marta  noteikumu Nr.239 „Kārtība, kāda Valsts ieņēmumu dienests personu izslēdz no Valsts ieņēmumu dienesta ar pievienotās vērtības nodokli apliekamo personu reģistra” (</w:t>
            </w:r>
            <w:r w:rsidR="00414791">
              <w:rPr>
                <w:sz w:val="24"/>
                <w:szCs w:val="24"/>
              </w:rPr>
              <w:t xml:space="preserve">turpmāk - </w:t>
            </w:r>
            <w:r w:rsidR="003A73D3" w:rsidRPr="003A73D3">
              <w:rPr>
                <w:sz w:val="24"/>
                <w:szCs w:val="24"/>
              </w:rPr>
              <w:t xml:space="preserve">MK noteikumi Nr.239) normas. </w:t>
            </w:r>
          </w:p>
          <w:p w:rsidR="00063B95" w:rsidRPr="009865D6" w:rsidRDefault="003A73D3" w:rsidP="0009275F">
            <w:pPr>
              <w:pStyle w:val="ListParagraph"/>
              <w:tabs>
                <w:tab w:val="left" w:pos="693"/>
              </w:tabs>
              <w:spacing w:after="0" w:line="240" w:lineRule="auto"/>
              <w:ind w:left="126" w:right="52"/>
              <w:jc w:val="both"/>
              <w:rPr>
                <w:i/>
                <w:color w:val="1F497D" w:themeColor="text2"/>
                <w:sz w:val="24"/>
                <w:szCs w:val="24"/>
              </w:rPr>
            </w:pPr>
            <w:r w:rsidRPr="003A73D3">
              <w:rPr>
                <w:sz w:val="24"/>
                <w:szCs w:val="24"/>
              </w:rPr>
              <w:t>Tādējādi, ņemot vērā minēto, attiecīgi jā</w:t>
            </w:r>
            <w:r w:rsidR="0009275F">
              <w:rPr>
                <w:sz w:val="24"/>
                <w:szCs w:val="24"/>
              </w:rPr>
              <w:t>veic grozījumi MK noteikumos</w:t>
            </w:r>
            <w:r w:rsidRPr="003A73D3">
              <w:rPr>
                <w:sz w:val="24"/>
                <w:szCs w:val="24"/>
              </w:rPr>
              <w:t>.</w:t>
            </w:r>
          </w:p>
        </w:tc>
      </w:tr>
      <w:tr w:rsidR="005A039A" w:rsidRPr="005A039A" w:rsidTr="000B159B">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lastRenderedPageBreak/>
              <w:t> 3.</w:t>
            </w:r>
          </w:p>
        </w:tc>
        <w:tc>
          <w:tcPr>
            <w:tcW w:w="2308" w:type="dxa"/>
            <w:gridSpan w:val="3"/>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ind w:left="25"/>
              <w:rPr>
                <w:rFonts w:eastAsia="Times New Roman" w:cs="Times New Roman"/>
                <w:sz w:val="24"/>
                <w:szCs w:val="24"/>
                <w:lang w:eastAsia="lv-LV"/>
              </w:rPr>
            </w:pPr>
            <w:r w:rsidRPr="005A039A">
              <w:rPr>
                <w:rFonts w:eastAsia="Times New Roman" w:cs="Times New Roman"/>
                <w:sz w:val="24"/>
                <w:szCs w:val="24"/>
                <w:lang w:eastAsia="lv-LV"/>
              </w:rPr>
              <w:t xml:space="preserve"> Saistītie politikas </w:t>
            </w:r>
            <w:r w:rsidR="00563363">
              <w:rPr>
                <w:rFonts w:eastAsia="Times New Roman" w:cs="Times New Roman"/>
                <w:sz w:val="24"/>
                <w:szCs w:val="24"/>
                <w:lang w:eastAsia="lv-LV"/>
              </w:rPr>
              <w:t xml:space="preserve"> </w:t>
            </w:r>
            <w:r w:rsidRPr="005A039A">
              <w:rPr>
                <w:rFonts w:eastAsia="Times New Roman" w:cs="Times New Roman"/>
                <w:sz w:val="24"/>
                <w:szCs w:val="24"/>
                <w:lang w:eastAsia="lv-LV"/>
              </w:rPr>
              <w:t>ietekmes novērtējumi un pētījumi</w:t>
            </w:r>
          </w:p>
        </w:tc>
        <w:tc>
          <w:tcPr>
            <w:tcW w:w="6378" w:type="dxa"/>
            <w:gridSpan w:val="4"/>
            <w:tcBorders>
              <w:top w:val="outset" w:sz="6" w:space="0" w:color="auto"/>
              <w:left w:val="outset" w:sz="6" w:space="0" w:color="auto"/>
              <w:bottom w:val="outset" w:sz="6" w:space="0" w:color="auto"/>
              <w:right w:val="outset" w:sz="6" w:space="0" w:color="auto"/>
            </w:tcBorders>
            <w:hideMark/>
          </w:tcPr>
          <w:p w:rsidR="0070128C" w:rsidRPr="005A039A" w:rsidRDefault="00903433" w:rsidP="005F0EFE">
            <w:pPr>
              <w:ind w:left="126" w:right="52"/>
              <w:jc w:val="both"/>
              <w:rPr>
                <w:rFonts w:eastAsia="Times New Roman" w:cs="Times New Roman"/>
                <w:sz w:val="24"/>
                <w:szCs w:val="24"/>
                <w:lang w:eastAsia="lv-LV"/>
              </w:rPr>
            </w:pPr>
            <w:r>
              <w:rPr>
                <w:rFonts w:eastAsia="Times New Roman" w:cs="Times New Roman"/>
                <w:sz w:val="24"/>
                <w:szCs w:val="24"/>
                <w:lang w:eastAsia="lv-LV"/>
              </w:rPr>
              <w:t>Nav attiecināms</w:t>
            </w:r>
            <w:r w:rsidR="00845E11" w:rsidRPr="00845E11">
              <w:rPr>
                <w:sz w:val="24"/>
                <w:szCs w:val="24"/>
              </w:rPr>
              <w:t xml:space="preserve"> </w:t>
            </w:r>
          </w:p>
        </w:tc>
      </w:tr>
      <w:tr w:rsidR="005A039A" w:rsidRPr="005A039A" w:rsidTr="000B159B">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4.</w:t>
            </w:r>
          </w:p>
        </w:tc>
        <w:tc>
          <w:tcPr>
            <w:tcW w:w="2308" w:type="dxa"/>
            <w:gridSpan w:val="3"/>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ind w:left="25" w:hanging="25"/>
              <w:rPr>
                <w:rFonts w:eastAsia="Times New Roman" w:cs="Times New Roman"/>
                <w:sz w:val="24"/>
                <w:szCs w:val="24"/>
                <w:lang w:eastAsia="lv-LV"/>
              </w:rPr>
            </w:pPr>
            <w:r w:rsidRPr="005A039A">
              <w:rPr>
                <w:rFonts w:eastAsia="Times New Roman" w:cs="Times New Roman"/>
                <w:sz w:val="24"/>
                <w:szCs w:val="24"/>
                <w:lang w:eastAsia="lv-LV"/>
              </w:rPr>
              <w:t> Tiesiskā regulējuma mērķis un būtība</w:t>
            </w:r>
          </w:p>
        </w:tc>
        <w:tc>
          <w:tcPr>
            <w:tcW w:w="6378" w:type="dxa"/>
            <w:gridSpan w:val="4"/>
            <w:tcBorders>
              <w:top w:val="outset" w:sz="6" w:space="0" w:color="auto"/>
              <w:left w:val="outset" w:sz="6" w:space="0" w:color="auto"/>
              <w:bottom w:val="outset" w:sz="6" w:space="0" w:color="auto"/>
              <w:right w:val="outset" w:sz="6" w:space="0" w:color="auto"/>
            </w:tcBorders>
            <w:hideMark/>
          </w:tcPr>
          <w:p w:rsidR="003A73D3" w:rsidRPr="003A73D3" w:rsidRDefault="003A73D3" w:rsidP="003A73D3">
            <w:pPr>
              <w:ind w:left="126" w:right="71"/>
              <w:jc w:val="both"/>
              <w:rPr>
                <w:rStyle w:val="Strong"/>
                <w:b w:val="0"/>
                <w:sz w:val="24"/>
                <w:szCs w:val="24"/>
              </w:rPr>
            </w:pPr>
            <w:r w:rsidRPr="003A73D3">
              <w:rPr>
                <w:rStyle w:val="Strong"/>
                <w:b w:val="0"/>
                <w:sz w:val="24"/>
                <w:szCs w:val="24"/>
              </w:rPr>
              <w:t>Projekts ir izstrādāts, lai atbilstoši pieņemtajiem grozījumiem likumā, attiecīgi precizētu MK noteikumu normas, kā arī iekļaut tajos MK noteikumu Nr.239 normas attiecībā uz personu izslēgšanu no VID ar PVN apliekamo personu reģistra.</w:t>
            </w:r>
          </w:p>
          <w:p w:rsidR="003A73D3" w:rsidRPr="003A73D3" w:rsidRDefault="003B69B5" w:rsidP="003A73D3">
            <w:pPr>
              <w:ind w:left="126" w:right="71"/>
              <w:jc w:val="both"/>
              <w:rPr>
                <w:rStyle w:val="Strong"/>
                <w:b w:val="0"/>
                <w:sz w:val="24"/>
                <w:szCs w:val="24"/>
              </w:rPr>
            </w:pPr>
            <w:r>
              <w:rPr>
                <w:rStyle w:val="Strong"/>
                <w:b w:val="0"/>
                <w:sz w:val="24"/>
                <w:szCs w:val="24"/>
              </w:rPr>
              <w:t xml:space="preserve">1. </w:t>
            </w:r>
            <w:r w:rsidR="003A73D3" w:rsidRPr="003A73D3">
              <w:rPr>
                <w:rStyle w:val="Strong"/>
                <w:b w:val="0"/>
                <w:sz w:val="24"/>
                <w:szCs w:val="24"/>
              </w:rPr>
              <w:t>Noteikumu projektā ir skaidrots, ka ūdeni un dzesēšanas enerģiju arī uzskata par preci.</w:t>
            </w:r>
          </w:p>
          <w:p w:rsidR="003A73D3" w:rsidRPr="003A73D3" w:rsidRDefault="003B69B5" w:rsidP="003A73D3">
            <w:pPr>
              <w:ind w:left="126" w:right="71"/>
              <w:jc w:val="both"/>
              <w:rPr>
                <w:rStyle w:val="Strong"/>
                <w:b w:val="0"/>
                <w:sz w:val="24"/>
                <w:szCs w:val="24"/>
              </w:rPr>
            </w:pPr>
            <w:r>
              <w:rPr>
                <w:rStyle w:val="Strong"/>
                <w:b w:val="0"/>
                <w:sz w:val="24"/>
                <w:szCs w:val="24"/>
              </w:rPr>
              <w:t xml:space="preserve">2. </w:t>
            </w:r>
            <w:r w:rsidR="003A73D3" w:rsidRPr="003A73D3">
              <w:rPr>
                <w:rStyle w:val="Strong"/>
                <w:b w:val="0"/>
                <w:sz w:val="24"/>
                <w:szCs w:val="24"/>
              </w:rPr>
              <w:t>Lai ar PVN apliekamā persona (turpmāk – apliekamā persona) tiktu reģistrēta VID ar PVN apliekamo personu reģistrā kā fiskālais pārstāvis, tai jāiesniedz iesniegums reģistrācijai VID ar PVN apliekamo personu reģistrā. Tādējādi noteikumi ir papildināti ar 40.</w:t>
            </w:r>
            <w:r w:rsidR="003A73D3" w:rsidRPr="00956E71">
              <w:rPr>
                <w:rStyle w:val="Strong"/>
                <w:b w:val="0"/>
                <w:sz w:val="24"/>
                <w:szCs w:val="24"/>
                <w:vertAlign w:val="superscript"/>
              </w:rPr>
              <w:t>2</w:t>
            </w:r>
            <w:r w:rsidR="003A73D3" w:rsidRPr="003A73D3">
              <w:rPr>
                <w:rStyle w:val="Strong"/>
                <w:b w:val="0"/>
                <w:sz w:val="24"/>
                <w:szCs w:val="24"/>
              </w:rPr>
              <w:t xml:space="preserve"> punktu un attiecīgo iesnieguma formu reģistrācijai VID ar PVN apliekamo personu reģistrā (noteikumu 5.pielikums).</w:t>
            </w:r>
          </w:p>
          <w:p w:rsidR="003A73D3" w:rsidRPr="003A73D3" w:rsidRDefault="003B69B5" w:rsidP="003A73D3">
            <w:pPr>
              <w:ind w:left="126" w:right="71"/>
              <w:jc w:val="both"/>
              <w:rPr>
                <w:rStyle w:val="Strong"/>
                <w:b w:val="0"/>
                <w:sz w:val="24"/>
                <w:szCs w:val="24"/>
              </w:rPr>
            </w:pPr>
            <w:r>
              <w:rPr>
                <w:rStyle w:val="Strong"/>
                <w:b w:val="0"/>
                <w:sz w:val="24"/>
                <w:szCs w:val="24"/>
              </w:rPr>
              <w:t xml:space="preserve">3. </w:t>
            </w:r>
            <w:r w:rsidR="003A73D3" w:rsidRPr="003A73D3">
              <w:rPr>
                <w:rStyle w:val="Strong"/>
                <w:b w:val="0"/>
                <w:sz w:val="24"/>
                <w:szCs w:val="24"/>
              </w:rPr>
              <w:t>Noteikumu projektā ir precizēts noteikumu 48. un 51.</w:t>
            </w:r>
            <w:r w:rsidR="003A73D3" w:rsidRPr="00414791">
              <w:rPr>
                <w:rStyle w:val="Strong"/>
                <w:b w:val="0"/>
                <w:sz w:val="24"/>
                <w:szCs w:val="24"/>
                <w:vertAlign w:val="superscript"/>
              </w:rPr>
              <w:t>1</w:t>
            </w:r>
            <w:r w:rsidR="003A73D3" w:rsidRPr="003A73D3">
              <w:rPr>
                <w:rStyle w:val="Strong"/>
                <w:b w:val="0"/>
                <w:sz w:val="24"/>
                <w:szCs w:val="24"/>
              </w:rPr>
              <w:t xml:space="preserve"> punktā minētā reģistrācijas sliekšņa apmērs. </w:t>
            </w:r>
          </w:p>
          <w:p w:rsidR="003A73D3" w:rsidRPr="003A73D3" w:rsidRDefault="003B69B5" w:rsidP="003A73D3">
            <w:pPr>
              <w:ind w:left="126" w:right="71"/>
              <w:jc w:val="both"/>
              <w:rPr>
                <w:rStyle w:val="Strong"/>
                <w:b w:val="0"/>
                <w:sz w:val="24"/>
                <w:szCs w:val="24"/>
              </w:rPr>
            </w:pPr>
            <w:r>
              <w:rPr>
                <w:rStyle w:val="Strong"/>
                <w:b w:val="0"/>
                <w:sz w:val="24"/>
                <w:szCs w:val="24"/>
              </w:rPr>
              <w:t xml:space="preserve">4. </w:t>
            </w:r>
            <w:r w:rsidR="003A73D3" w:rsidRPr="003A73D3">
              <w:rPr>
                <w:rStyle w:val="Strong"/>
                <w:b w:val="0"/>
                <w:sz w:val="24"/>
                <w:szCs w:val="24"/>
              </w:rPr>
              <w:t>Noteikumi ir papildināti ar 52.</w:t>
            </w:r>
            <w:r w:rsidR="003A73D3" w:rsidRPr="00956E71">
              <w:rPr>
                <w:rStyle w:val="Strong"/>
                <w:b w:val="0"/>
                <w:sz w:val="24"/>
                <w:szCs w:val="24"/>
                <w:vertAlign w:val="superscript"/>
              </w:rPr>
              <w:t>1</w:t>
            </w:r>
            <w:r w:rsidR="003A73D3" w:rsidRPr="003A73D3">
              <w:rPr>
                <w:rStyle w:val="Strong"/>
                <w:b w:val="0"/>
                <w:sz w:val="24"/>
                <w:szCs w:val="24"/>
              </w:rPr>
              <w:t xml:space="preserve"> , 52.</w:t>
            </w:r>
            <w:r w:rsidR="003A73D3" w:rsidRPr="00956E71">
              <w:rPr>
                <w:rStyle w:val="Strong"/>
                <w:b w:val="0"/>
                <w:sz w:val="24"/>
                <w:szCs w:val="24"/>
                <w:vertAlign w:val="superscript"/>
              </w:rPr>
              <w:t>2</w:t>
            </w:r>
            <w:r w:rsidR="003A73D3" w:rsidRPr="003A73D3">
              <w:rPr>
                <w:rStyle w:val="Strong"/>
                <w:b w:val="0"/>
                <w:sz w:val="24"/>
                <w:szCs w:val="24"/>
              </w:rPr>
              <w:t>, 52.</w:t>
            </w:r>
            <w:r w:rsidR="003A73D3" w:rsidRPr="00956E71">
              <w:rPr>
                <w:rStyle w:val="Strong"/>
                <w:b w:val="0"/>
                <w:sz w:val="24"/>
                <w:szCs w:val="24"/>
                <w:vertAlign w:val="superscript"/>
              </w:rPr>
              <w:t>3</w:t>
            </w:r>
            <w:r w:rsidR="003A73D3" w:rsidRPr="003A73D3">
              <w:rPr>
                <w:rStyle w:val="Strong"/>
                <w:b w:val="0"/>
                <w:sz w:val="24"/>
                <w:szCs w:val="24"/>
              </w:rPr>
              <w:t>,</w:t>
            </w:r>
            <w:r w:rsidR="00414791">
              <w:rPr>
                <w:rStyle w:val="Strong"/>
                <w:b w:val="0"/>
                <w:sz w:val="24"/>
                <w:szCs w:val="24"/>
              </w:rPr>
              <w:t xml:space="preserve"> </w:t>
            </w:r>
            <w:r w:rsidR="003A73D3" w:rsidRPr="003A73D3">
              <w:rPr>
                <w:rStyle w:val="Strong"/>
                <w:b w:val="0"/>
                <w:sz w:val="24"/>
                <w:szCs w:val="24"/>
              </w:rPr>
              <w:t>52.</w:t>
            </w:r>
            <w:r w:rsidR="003A73D3" w:rsidRPr="00956E71">
              <w:rPr>
                <w:rStyle w:val="Strong"/>
                <w:b w:val="0"/>
                <w:sz w:val="24"/>
                <w:szCs w:val="24"/>
                <w:vertAlign w:val="superscript"/>
              </w:rPr>
              <w:t>4</w:t>
            </w:r>
            <w:r w:rsidR="003A73D3" w:rsidRPr="003A73D3">
              <w:rPr>
                <w:rStyle w:val="Strong"/>
                <w:b w:val="0"/>
                <w:sz w:val="24"/>
                <w:szCs w:val="24"/>
              </w:rPr>
              <w:t>, 52.</w:t>
            </w:r>
            <w:r w:rsidR="003A73D3" w:rsidRPr="00956E71">
              <w:rPr>
                <w:rStyle w:val="Strong"/>
                <w:b w:val="0"/>
                <w:sz w:val="24"/>
                <w:szCs w:val="24"/>
                <w:vertAlign w:val="superscript"/>
              </w:rPr>
              <w:t>5</w:t>
            </w:r>
            <w:r w:rsidR="003A73D3" w:rsidRPr="003A73D3">
              <w:rPr>
                <w:rStyle w:val="Strong"/>
                <w:b w:val="0"/>
                <w:sz w:val="24"/>
                <w:szCs w:val="24"/>
              </w:rPr>
              <w:t>,</w:t>
            </w:r>
            <w:r w:rsidR="00414791">
              <w:rPr>
                <w:rStyle w:val="Strong"/>
                <w:b w:val="0"/>
                <w:sz w:val="24"/>
                <w:szCs w:val="24"/>
              </w:rPr>
              <w:t xml:space="preserve"> </w:t>
            </w:r>
            <w:r w:rsidR="003A73D3" w:rsidRPr="003A73D3">
              <w:rPr>
                <w:rStyle w:val="Strong"/>
                <w:b w:val="0"/>
                <w:sz w:val="24"/>
                <w:szCs w:val="24"/>
              </w:rPr>
              <w:t>52.</w:t>
            </w:r>
            <w:r w:rsidR="003A73D3" w:rsidRPr="00956E71">
              <w:rPr>
                <w:rStyle w:val="Strong"/>
                <w:b w:val="0"/>
                <w:sz w:val="24"/>
                <w:szCs w:val="24"/>
                <w:vertAlign w:val="superscript"/>
              </w:rPr>
              <w:t>6</w:t>
            </w:r>
            <w:r w:rsidR="003A73D3" w:rsidRPr="003A73D3">
              <w:rPr>
                <w:rStyle w:val="Strong"/>
                <w:b w:val="0"/>
                <w:sz w:val="24"/>
                <w:szCs w:val="24"/>
              </w:rPr>
              <w:t>, 53.</w:t>
            </w:r>
            <w:r w:rsidR="003A73D3" w:rsidRPr="00956E71">
              <w:rPr>
                <w:rStyle w:val="Strong"/>
                <w:b w:val="0"/>
                <w:sz w:val="24"/>
                <w:szCs w:val="24"/>
                <w:vertAlign w:val="superscript"/>
              </w:rPr>
              <w:t>1</w:t>
            </w:r>
            <w:r w:rsidR="003A73D3" w:rsidRPr="003A73D3">
              <w:rPr>
                <w:rStyle w:val="Strong"/>
                <w:b w:val="0"/>
                <w:sz w:val="24"/>
                <w:szCs w:val="24"/>
              </w:rPr>
              <w:t>, 53.</w:t>
            </w:r>
            <w:r w:rsidR="003A73D3" w:rsidRPr="00956E71">
              <w:rPr>
                <w:rStyle w:val="Strong"/>
                <w:b w:val="0"/>
                <w:sz w:val="24"/>
                <w:szCs w:val="24"/>
                <w:vertAlign w:val="superscript"/>
              </w:rPr>
              <w:t>2</w:t>
            </w:r>
            <w:r w:rsidR="003A73D3" w:rsidRPr="003A73D3">
              <w:rPr>
                <w:rStyle w:val="Strong"/>
                <w:b w:val="0"/>
                <w:sz w:val="24"/>
                <w:szCs w:val="24"/>
              </w:rPr>
              <w:t>, 53.</w:t>
            </w:r>
            <w:r w:rsidR="003A73D3" w:rsidRPr="00956E71">
              <w:rPr>
                <w:rStyle w:val="Strong"/>
                <w:b w:val="0"/>
                <w:sz w:val="24"/>
                <w:szCs w:val="24"/>
                <w:vertAlign w:val="superscript"/>
              </w:rPr>
              <w:t>3</w:t>
            </w:r>
            <w:r w:rsidR="003A73D3" w:rsidRPr="003A73D3">
              <w:rPr>
                <w:rStyle w:val="Strong"/>
                <w:b w:val="0"/>
                <w:sz w:val="24"/>
                <w:szCs w:val="24"/>
              </w:rPr>
              <w:t>, 53.</w:t>
            </w:r>
            <w:r w:rsidR="003A73D3" w:rsidRPr="00956E71">
              <w:rPr>
                <w:rStyle w:val="Strong"/>
                <w:b w:val="0"/>
                <w:sz w:val="24"/>
                <w:szCs w:val="24"/>
                <w:vertAlign w:val="superscript"/>
              </w:rPr>
              <w:t>4</w:t>
            </w:r>
            <w:r w:rsidR="003A73D3" w:rsidRPr="003A73D3">
              <w:rPr>
                <w:rStyle w:val="Strong"/>
                <w:b w:val="0"/>
                <w:sz w:val="24"/>
                <w:szCs w:val="24"/>
              </w:rPr>
              <w:t>, 53.</w:t>
            </w:r>
            <w:r w:rsidR="003A73D3" w:rsidRPr="00956E71">
              <w:rPr>
                <w:rStyle w:val="Strong"/>
                <w:b w:val="0"/>
                <w:sz w:val="24"/>
                <w:szCs w:val="24"/>
                <w:vertAlign w:val="superscript"/>
              </w:rPr>
              <w:t>5</w:t>
            </w:r>
            <w:r w:rsidR="003A73D3" w:rsidRPr="003A73D3">
              <w:rPr>
                <w:rStyle w:val="Strong"/>
                <w:b w:val="0"/>
                <w:sz w:val="24"/>
                <w:szCs w:val="24"/>
              </w:rPr>
              <w:t>,53.</w:t>
            </w:r>
            <w:r w:rsidR="003A73D3" w:rsidRPr="00956E71">
              <w:rPr>
                <w:rStyle w:val="Strong"/>
                <w:b w:val="0"/>
                <w:sz w:val="24"/>
                <w:szCs w:val="24"/>
                <w:vertAlign w:val="superscript"/>
              </w:rPr>
              <w:t>6</w:t>
            </w:r>
            <w:r w:rsidR="003A73D3" w:rsidRPr="003A73D3">
              <w:rPr>
                <w:rStyle w:val="Strong"/>
                <w:b w:val="0"/>
                <w:sz w:val="24"/>
                <w:szCs w:val="24"/>
              </w:rPr>
              <w:t>, 54.</w:t>
            </w:r>
            <w:r w:rsidR="003A73D3" w:rsidRPr="00956E71">
              <w:rPr>
                <w:rStyle w:val="Strong"/>
                <w:b w:val="0"/>
                <w:sz w:val="24"/>
                <w:szCs w:val="24"/>
                <w:vertAlign w:val="superscript"/>
              </w:rPr>
              <w:t>1</w:t>
            </w:r>
            <w:r w:rsidR="003A73D3" w:rsidRPr="003A73D3">
              <w:rPr>
                <w:rStyle w:val="Strong"/>
                <w:b w:val="0"/>
                <w:sz w:val="24"/>
                <w:szCs w:val="24"/>
              </w:rPr>
              <w:t>, 54.</w:t>
            </w:r>
            <w:r w:rsidR="003A73D3" w:rsidRPr="00956E71">
              <w:rPr>
                <w:rStyle w:val="Strong"/>
                <w:b w:val="0"/>
                <w:sz w:val="24"/>
                <w:szCs w:val="24"/>
                <w:vertAlign w:val="superscript"/>
              </w:rPr>
              <w:t>2</w:t>
            </w:r>
            <w:r w:rsidR="003A73D3" w:rsidRPr="003A73D3">
              <w:rPr>
                <w:rStyle w:val="Strong"/>
                <w:b w:val="0"/>
                <w:sz w:val="24"/>
                <w:szCs w:val="24"/>
              </w:rPr>
              <w:t>, 54.</w:t>
            </w:r>
            <w:r w:rsidR="003A73D3" w:rsidRPr="00956E71">
              <w:rPr>
                <w:rStyle w:val="Strong"/>
                <w:b w:val="0"/>
                <w:sz w:val="24"/>
                <w:szCs w:val="24"/>
                <w:vertAlign w:val="superscript"/>
              </w:rPr>
              <w:t>3</w:t>
            </w:r>
            <w:r w:rsidR="003A73D3" w:rsidRPr="003A73D3">
              <w:rPr>
                <w:rStyle w:val="Strong"/>
                <w:b w:val="0"/>
                <w:sz w:val="24"/>
                <w:szCs w:val="24"/>
              </w:rPr>
              <w:t>, 54.</w:t>
            </w:r>
            <w:r w:rsidR="003A73D3" w:rsidRPr="00956E71">
              <w:rPr>
                <w:rStyle w:val="Strong"/>
                <w:b w:val="0"/>
                <w:sz w:val="24"/>
                <w:szCs w:val="24"/>
                <w:vertAlign w:val="superscript"/>
              </w:rPr>
              <w:t>4</w:t>
            </w:r>
            <w:r w:rsidR="003A73D3" w:rsidRPr="003A73D3">
              <w:rPr>
                <w:rStyle w:val="Strong"/>
                <w:b w:val="0"/>
                <w:sz w:val="24"/>
                <w:szCs w:val="24"/>
              </w:rPr>
              <w:t>, 54.</w:t>
            </w:r>
            <w:r w:rsidR="003A73D3" w:rsidRPr="00956E71">
              <w:rPr>
                <w:rStyle w:val="Strong"/>
                <w:b w:val="0"/>
                <w:sz w:val="24"/>
                <w:szCs w:val="24"/>
                <w:vertAlign w:val="superscript"/>
              </w:rPr>
              <w:t>5</w:t>
            </w:r>
            <w:r w:rsidR="003A73D3" w:rsidRPr="003A73D3">
              <w:rPr>
                <w:rStyle w:val="Strong"/>
                <w:b w:val="0"/>
                <w:sz w:val="24"/>
                <w:szCs w:val="24"/>
              </w:rPr>
              <w:t>, 54.</w:t>
            </w:r>
            <w:r w:rsidR="003A73D3" w:rsidRPr="00956E71">
              <w:rPr>
                <w:rStyle w:val="Strong"/>
                <w:b w:val="0"/>
                <w:sz w:val="24"/>
                <w:szCs w:val="24"/>
                <w:vertAlign w:val="superscript"/>
              </w:rPr>
              <w:t>6</w:t>
            </w:r>
            <w:r w:rsidR="00956E71">
              <w:rPr>
                <w:rStyle w:val="Strong"/>
                <w:b w:val="0"/>
                <w:sz w:val="24"/>
                <w:szCs w:val="24"/>
              </w:rPr>
              <w:t xml:space="preserve"> </w:t>
            </w:r>
            <w:r w:rsidR="003A73D3" w:rsidRPr="003A73D3">
              <w:rPr>
                <w:rStyle w:val="Strong"/>
                <w:b w:val="0"/>
                <w:sz w:val="24"/>
                <w:szCs w:val="24"/>
              </w:rPr>
              <w:t>un 54.</w:t>
            </w:r>
            <w:r w:rsidR="003A73D3" w:rsidRPr="00956E71">
              <w:rPr>
                <w:rStyle w:val="Strong"/>
                <w:b w:val="0"/>
                <w:sz w:val="24"/>
                <w:szCs w:val="24"/>
                <w:vertAlign w:val="superscript"/>
              </w:rPr>
              <w:t>7</w:t>
            </w:r>
            <w:r w:rsidR="003A73D3" w:rsidRPr="003A73D3">
              <w:rPr>
                <w:rStyle w:val="Strong"/>
                <w:b w:val="0"/>
                <w:sz w:val="24"/>
                <w:szCs w:val="24"/>
              </w:rPr>
              <w:t xml:space="preserve"> punktu, kas nosaka kārtību, kādā VID personu izslēdz no VID ar PVN apliekamo personu reģistra. Šie punkti iekļauti noteikumos, iestrādājot MK noteikumu Nr.239 normas, kā arī, atbilstoši likumā dotajam deleģējumam, nosakot fiskālā pārstāvja izslēgšanas kārtību no minētā reģistra.</w:t>
            </w:r>
          </w:p>
          <w:p w:rsidR="003A73D3" w:rsidRPr="003A73D3" w:rsidRDefault="003B69B5" w:rsidP="003A73D3">
            <w:pPr>
              <w:ind w:left="126" w:right="71"/>
              <w:jc w:val="both"/>
              <w:rPr>
                <w:rStyle w:val="Strong"/>
                <w:b w:val="0"/>
                <w:sz w:val="24"/>
                <w:szCs w:val="24"/>
              </w:rPr>
            </w:pPr>
            <w:r>
              <w:rPr>
                <w:rStyle w:val="Strong"/>
                <w:b w:val="0"/>
                <w:sz w:val="24"/>
                <w:szCs w:val="24"/>
              </w:rPr>
              <w:t xml:space="preserve">5. </w:t>
            </w:r>
            <w:r w:rsidR="003A73D3" w:rsidRPr="003A73D3">
              <w:rPr>
                <w:rStyle w:val="Strong"/>
                <w:b w:val="0"/>
                <w:sz w:val="24"/>
                <w:szCs w:val="24"/>
              </w:rPr>
              <w:t>Noteikumu projektā ir svītrots noteikumu 59.punkts, kas attiecas uz dabasgāzes vai elektroenerģijas piegādes vietas noteikšanas nosacījum</w:t>
            </w:r>
            <w:r w:rsidR="00414791">
              <w:rPr>
                <w:rStyle w:val="Strong"/>
                <w:b w:val="0"/>
                <w:sz w:val="24"/>
                <w:szCs w:val="24"/>
              </w:rPr>
              <w:t>iem, kā arī 60., 61.,138,, 139. un</w:t>
            </w:r>
            <w:r w:rsidR="003A73D3" w:rsidRPr="003A73D3">
              <w:rPr>
                <w:rStyle w:val="Strong"/>
                <w:b w:val="0"/>
                <w:sz w:val="24"/>
                <w:szCs w:val="24"/>
              </w:rPr>
              <w:t xml:space="preserve"> 140. punkts izteikts jaunā redakcijā sakarā ar Direktīvas 2009/162/ES pārņemšanu.</w:t>
            </w:r>
          </w:p>
          <w:p w:rsidR="003A73D3" w:rsidRPr="003A73D3" w:rsidRDefault="003B69B5" w:rsidP="003A73D3">
            <w:pPr>
              <w:ind w:left="126" w:right="71"/>
              <w:jc w:val="both"/>
              <w:rPr>
                <w:rStyle w:val="Strong"/>
                <w:b w:val="0"/>
                <w:sz w:val="24"/>
                <w:szCs w:val="24"/>
              </w:rPr>
            </w:pPr>
            <w:r>
              <w:rPr>
                <w:rStyle w:val="Strong"/>
                <w:b w:val="0"/>
                <w:sz w:val="24"/>
                <w:szCs w:val="24"/>
              </w:rPr>
              <w:t xml:space="preserve">6. </w:t>
            </w:r>
            <w:r w:rsidR="003A73D3" w:rsidRPr="003A73D3">
              <w:rPr>
                <w:rStyle w:val="Strong"/>
                <w:b w:val="0"/>
                <w:sz w:val="24"/>
                <w:szCs w:val="24"/>
              </w:rPr>
              <w:t xml:space="preserve">Noteikumu 137.punktā svītrota atsauce uz </w:t>
            </w:r>
            <w:r w:rsidR="00414791">
              <w:rPr>
                <w:rStyle w:val="Strong"/>
                <w:b w:val="0"/>
                <w:sz w:val="24"/>
                <w:szCs w:val="24"/>
              </w:rPr>
              <w:t>likuma 6.</w:t>
            </w:r>
            <w:r w:rsidR="00414791">
              <w:rPr>
                <w:rStyle w:val="Strong"/>
                <w:b w:val="0"/>
                <w:sz w:val="24"/>
                <w:szCs w:val="24"/>
                <w:vertAlign w:val="superscript"/>
              </w:rPr>
              <w:t xml:space="preserve">2 </w:t>
            </w:r>
            <w:r w:rsidR="00414791">
              <w:rPr>
                <w:rStyle w:val="Strong"/>
                <w:b w:val="0"/>
                <w:sz w:val="24"/>
                <w:szCs w:val="24"/>
              </w:rPr>
              <w:t>panta</w:t>
            </w:r>
            <w:r w:rsidR="003A73D3" w:rsidRPr="003A73D3">
              <w:rPr>
                <w:rStyle w:val="Strong"/>
                <w:b w:val="0"/>
                <w:sz w:val="24"/>
                <w:szCs w:val="24"/>
              </w:rPr>
              <w:t xml:space="preserve">16.apakšpunktu un vārds „elektroenerģiju”, jo, sākot ar 2011.gada 1.janvāri elektroenerģijas piegādēm iedzīvotajiem </w:t>
            </w:r>
            <w:r w:rsidR="005A2557">
              <w:rPr>
                <w:rStyle w:val="Strong"/>
                <w:b w:val="0"/>
                <w:sz w:val="24"/>
                <w:szCs w:val="24"/>
              </w:rPr>
              <w:t>tiks</w:t>
            </w:r>
            <w:r w:rsidR="003A73D3" w:rsidRPr="003A73D3">
              <w:rPr>
                <w:rStyle w:val="Strong"/>
                <w:b w:val="0"/>
                <w:sz w:val="24"/>
                <w:szCs w:val="24"/>
              </w:rPr>
              <w:t xml:space="preserve"> piemērot</w:t>
            </w:r>
            <w:r w:rsidR="005A2557">
              <w:rPr>
                <w:rStyle w:val="Strong"/>
                <w:b w:val="0"/>
                <w:sz w:val="24"/>
                <w:szCs w:val="24"/>
              </w:rPr>
              <w:t xml:space="preserve">a PVN </w:t>
            </w:r>
            <w:proofErr w:type="spellStart"/>
            <w:r w:rsidR="005A2557">
              <w:rPr>
                <w:rStyle w:val="Strong"/>
                <w:b w:val="0"/>
                <w:sz w:val="24"/>
                <w:szCs w:val="24"/>
              </w:rPr>
              <w:t>standartlikme</w:t>
            </w:r>
            <w:proofErr w:type="spellEnd"/>
            <w:r w:rsidR="003A73D3" w:rsidRPr="003A73D3">
              <w:rPr>
                <w:rStyle w:val="Strong"/>
                <w:b w:val="0"/>
                <w:sz w:val="24"/>
                <w:szCs w:val="24"/>
              </w:rPr>
              <w:t>;</w:t>
            </w:r>
          </w:p>
          <w:p w:rsidR="003A73D3" w:rsidRPr="003A73D3" w:rsidRDefault="003B69B5" w:rsidP="003A73D3">
            <w:pPr>
              <w:ind w:left="126" w:right="71"/>
              <w:jc w:val="both"/>
              <w:rPr>
                <w:rStyle w:val="Strong"/>
                <w:b w:val="0"/>
                <w:sz w:val="24"/>
                <w:szCs w:val="24"/>
              </w:rPr>
            </w:pPr>
            <w:r>
              <w:rPr>
                <w:rStyle w:val="Strong"/>
                <w:b w:val="0"/>
                <w:sz w:val="24"/>
                <w:szCs w:val="24"/>
              </w:rPr>
              <w:t xml:space="preserve">7. </w:t>
            </w:r>
            <w:r w:rsidR="003A73D3" w:rsidRPr="003A73D3">
              <w:rPr>
                <w:rStyle w:val="Strong"/>
                <w:b w:val="0"/>
                <w:sz w:val="24"/>
                <w:szCs w:val="24"/>
              </w:rPr>
              <w:t>Ir izslēgt</w:t>
            </w:r>
            <w:r w:rsidR="005A2557">
              <w:rPr>
                <w:rStyle w:val="Strong"/>
                <w:b w:val="0"/>
                <w:sz w:val="24"/>
                <w:szCs w:val="24"/>
              </w:rPr>
              <w:t>s</w:t>
            </w:r>
            <w:r w:rsidR="003A73D3" w:rsidRPr="003A73D3">
              <w:rPr>
                <w:rStyle w:val="Strong"/>
                <w:b w:val="0"/>
                <w:sz w:val="24"/>
                <w:szCs w:val="24"/>
              </w:rPr>
              <w:t xml:space="preserve"> likuma 6.</w:t>
            </w:r>
            <w:r w:rsidR="003A73D3" w:rsidRPr="00B77CBE">
              <w:rPr>
                <w:rStyle w:val="Strong"/>
                <w:b w:val="0"/>
                <w:sz w:val="24"/>
                <w:szCs w:val="24"/>
                <w:vertAlign w:val="superscript"/>
              </w:rPr>
              <w:t>2</w:t>
            </w:r>
            <w:r w:rsidR="003A73D3" w:rsidRPr="003A73D3">
              <w:rPr>
                <w:rStyle w:val="Strong"/>
                <w:b w:val="0"/>
                <w:sz w:val="24"/>
                <w:szCs w:val="24"/>
              </w:rPr>
              <w:t xml:space="preserve"> panta 16.punkt</w:t>
            </w:r>
            <w:r w:rsidR="005A2557">
              <w:rPr>
                <w:rStyle w:val="Strong"/>
                <w:b w:val="0"/>
                <w:sz w:val="24"/>
                <w:szCs w:val="24"/>
              </w:rPr>
              <w:t>s</w:t>
            </w:r>
            <w:r w:rsidR="003A73D3" w:rsidRPr="003A73D3">
              <w:rPr>
                <w:rStyle w:val="Strong"/>
                <w:b w:val="0"/>
                <w:sz w:val="24"/>
                <w:szCs w:val="24"/>
              </w:rPr>
              <w:t>, tādējādi ir svītrots noteikumu 141.punkts, kurš skaidro šīs likuma normas piemērošanu.</w:t>
            </w:r>
          </w:p>
          <w:p w:rsidR="003A73D3" w:rsidRPr="003A73D3" w:rsidRDefault="003B69B5" w:rsidP="003A73D3">
            <w:pPr>
              <w:ind w:left="126" w:right="71"/>
              <w:jc w:val="both"/>
              <w:rPr>
                <w:rStyle w:val="Strong"/>
                <w:b w:val="0"/>
                <w:sz w:val="24"/>
                <w:szCs w:val="24"/>
              </w:rPr>
            </w:pPr>
            <w:r>
              <w:rPr>
                <w:rStyle w:val="Strong"/>
                <w:b w:val="0"/>
                <w:sz w:val="24"/>
                <w:szCs w:val="24"/>
              </w:rPr>
              <w:t xml:space="preserve">8. </w:t>
            </w:r>
            <w:r w:rsidR="003A73D3" w:rsidRPr="003A73D3">
              <w:rPr>
                <w:rStyle w:val="Strong"/>
                <w:b w:val="0"/>
                <w:sz w:val="24"/>
                <w:szCs w:val="24"/>
              </w:rPr>
              <w:t>Noteikumi papildināti ar 152.</w:t>
            </w:r>
            <w:r w:rsidR="003A73D3" w:rsidRPr="00B77CBE">
              <w:rPr>
                <w:rStyle w:val="Strong"/>
                <w:b w:val="0"/>
                <w:sz w:val="24"/>
                <w:szCs w:val="24"/>
                <w:vertAlign w:val="superscript"/>
              </w:rPr>
              <w:t>2</w:t>
            </w:r>
            <w:r w:rsidR="003A73D3" w:rsidRPr="003A73D3">
              <w:rPr>
                <w:rStyle w:val="Strong"/>
                <w:b w:val="0"/>
                <w:sz w:val="24"/>
                <w:szCs w:val="24"/>
              </w:rPr>
              <w:t xml:space="preserve"> punktu, lai paskaidrotu, kādos gadījumos uzskata, ka  aviosabiedrība darbojas galvenokārt starptautiskajos maršrutos.</w:t>
            </w:r>
          </w:p>
          <w:p w:rsidR="003A73D3" w:rsidRPr="003A73D3" w:rsidRDefault="003B69B5" w:rsidP="003A73D3">
            <w:pPr>
              <w:ind w:left="126" w:right="71"/>
              <w:jc w:val="both"/>
              <w:rPr>
                <w:rStyle w:val="Strong"/>
                <w:b w:val="0"/>
                <w:sz w:val="24"/>
                <w:szCs w:val="24"/>
              </w:rPr>
            </w:pPr>
            <w:r>
              <w:rPr>
                <w:rStyle w:val="Strong"/>
                <w:b w:val="0"/>
                <w:sz w:val="24"/>
                <w:szCs w:val="24"/>
              </w:rPr>
              <w:lastRenderedPageBreak/>
              <w:t xml:space="preserve">9. </w:t>
            </w:r>
            <w:r w:rsidR="003A73D3" w:rsidRPr="003A73D3">
              <w:rPr>
                <w:rStyle w:val="Strong"/>
                <w:b w:val="0"/>
                <w:sz w:val="24"/>
                <w:szCs w:val="24"/>
              </w:rPr>
              <w:t>Noteikumi papildināti ar 153.</w:t>
            </w:r>
            <w:r w:rsidR="003A73D3" w:rsidRPr="00B77CBE">
              <w:rPr>
                <w:rStyle w:val="Strong"/>
                <w:b w:val="0"/>
                <w:sz w:val="24"/>
                <w:szCs w:val="24"/>
                <w:vertAlign w:val="superscript"/>
              </w:rPr>
              <w:t>1</w:t>
            </w:r>
            <w:r w:rsidR="003A73D3" w:rsidRPr="003A73D3">
              <w:rPr>
                <w:rStyle w:val="Strong"/>
                <w:b w:val="0"/>
                <w:sz w:val="24"/>
                <w:szCs w:val="24"/>
              </w:rPr>
              <w:t xml:space="preserve"> punktu, kurš skaidro, ka fiskālais pārstāvis, eksportējot preces, izvešanas muitas deklarācijā, norāda sevi kā preču nosūtītāju.  </w:t>
            </w:r>
          </w:p>
          <w:p w:rsidR="003A73D3" w:rsidRPr="003A73D3" w:rsidRDefault="003B69B5" w:rsidP="003B69B5">
            <w:pPr>
              <w:tabs>
                <w:tab w:val="left" w:pos="456"/>
              </w:tabs>
              <w:ind w:left="126" w:right="71"/>
              <w:jc w:val="both"/>
              <w:rPr>
                <w:rStyle w:val="Strong"/>
                <w:b w:val="0"/>
                <w:sz w:val="24"/>
                <w:szCs w:val="24"/>
              </w:rPr>
            </w:pPr>
            <w:r>
              <w:rPr>
                <w:rStyle w:val="Strong"/>
                <w:b w:val="0"/>
                <w:sz w:val="24"/>
                <w:szCs w:val="24"/>
              </w:rPr>
              <w:t xml:space="preserve">10. </w:t>
            </w:r>
            <w:r w:rsidR="003A73D3" w:rsidRPr="003A73D3">
              <w:rPr>
                <w:rStyle w:val="Strong"/>
                <w:b w:val="0"/>
                <w:sz w:val="24"/>
                <w:szCs w:val="24"/>
              </w:rPr>
              <w:t>Noteikumos redakcionāli precizēts 179. un 180.</w:t>
            </w:r>
            <w:r w:rsidR="003A73D3" w:rsidRPr="00B77CBE">
              <w:rPr>
                <w:rStyle w:val="Strong"/>
                <w:b w:val="0"/>
                <w:sz w:val="24"/>
                <w:szCs w:val="24"/>
                <w:vertAlign w:val="superscript"/>
              </w:rPr>
              <w:t>1</w:t>
            </w:r>
            <w:r w:rsidR="003A73D3" w:rsidRPr="003A73D3">
              <w:rPr>
                <w:rStyle w:val="Strong"/>
                <w:b w:val="0"/>
                <w:sz w:val="24"/>
                <w:szCs w:val="24"/>
              </w:rPr>
              <w:t xml:space="preserve"> punkts, kā arī noteikumi papildināti ar 180.</w:t>
            </w:r>
            <w:r w:rsidR="003A73D3" w:rsidRPr="00B77CBE">
              <w:rPr>
                <w:rStyle w:val="Strong"/>
                <w:b w:val="0"/>
                <w:sz w:val="24"/>
                <w:szCs w:val="24"/>
                <w:vertAlign w:val="superscript"/>
              </w:rPr>
              <w:t xml:space="preserve">2 </w:t>
            </w:r>
            <w:r w:rsidR="003A73D3" w:rsidRPr="003A73D3">
              <w:rPr>
                <w:rStyle w:val="Strong"/>
                <w:b w:val="0"/>
                <w:sz w:val="24"/>
                <w:szCs w:val="24"/>
              </w:rPr>
              <w:t>punktu, lai paskaidrotu PVN rēķina izrakstīšanu un noformēšanu saistībā ar apliekamās personas mantas pārdošanu</w:t>
            </w:r>
            <w:r w:rsidR="005A2557">
              <w:rPr>
                <w:rStyle w:val="Strong"/>
                <w:b w:val="0"/>
                <w:sz w:val="24"/>
                <w:szCs w:val="24"/>
              </w:rPr>
              <w:t xml:space="preserve"> tiesu izpildītāja rīkotā</w:t>
            </w:r>
            <w:r w:rsidR="003A73D3" w:rsidRPr="003A73D3">
              <w:rPr>
                <w:rStyle w:val="Strong"/>
                <w:b w:val="0"/>
                <w:sz w:val="24"/>
                <w:szCs w:val="24"/>
              </w:rPr>
              <w:t xml:space="preserve"> izsolē.</w:t>
            </w:r>
          </w:p>
          <w:p w:rsidR="003A73D3" w:rsidRPr="003A73D3" w:rsidRDefault="003B69B5" w:rsidP="003A73D3">
            <w:pPr>
              <w:ind w:left="126" w:right="71"/>
              <w:jc w:val="both"/>
              <w:rPr>
                <w:rStyle w:val="Strong"/>
                <w:b w:val="0"/>
                <w:sz w:val="24"/>
                <w:szCs w:val="24"/>
              </w:rPr>
            </w:pPr>
            <w:r>
              <w:rPr>
                <w:rStyle w:val="Strong"/>
                <w:b w:val="0"/>
                <w:sz w:val="24"/>
                <w:szCs w:val="24"/>
              </w:rPr>
              <w:t>11.</w:t>
            </w:r>
            <w:r w:rsidR="003A73D3" w:rsidRPr="003A73D3">
              <w:rPr>
                <w:rStyle w:val="Strong"/>
                <w:b w:val="0"/>
                <w:sz w:val="24"/>
                <w:szCs w:val="24"/>
              </w:rPr>
              <w:t>Noteikumi papildināti ar 185.</w:t>
            </w:r>
            <w:r w:rsidR="003A73D3" w:rsidRPr="00B77CBE">
              <w:rPr>
                <w:rStyle w:val="Strong"/>
                <w:b w:val="0"/>
                <w:sz w:val="24"/>
                <w:szCs w:val="24"/>
                <w:vertAlign w:val="superscript"/>
              </w:rPr>
              <w:t>1</w:t>
            </w:r>
            <w:r w:rsidR="003A73D3" w:rsidRPr="003A73D3">
              <w:rPr>
                <w:rStyle w:val="Strong"/>
                <w:b w:val="0"/>
                <w:sz w:val="24"/>
                <w:szCs w:val="24"/>
              </w:rPr>
              <w:t xml:space="preserve"> un 185.</w:t>
            </w:r>
            <w:r w:rsidR="003A73D3" w:rsidRPr="00B77CBE">
              <w:rPr>
                <w:rStyle w:val="Strong"/>
                <w:b w:val="0"/>
                <w:sz w:val="24"/>
                <w:szCs w:val="24"/>
                <w:vertAlign w:val="superscript"/>
              </w:rPr>
              <w:t>2</w:t>
            </w:r>
            <w:r w:rsidR="003A73D3" w:rsidRPr="003A73D3">
              <w:rPr>
                <w:rStyle w:val="Strong"/>
                <w:b w:val="0"/>
                <w:sz w:val="24"/>
                <w:szCs w:val="24"/>
              </w:rPr>
              <w:t xml:space="preserve"> punktu, paskaidrojot PVN rēķinā iekļaujamo informāciju, ja preces nosūta fiskālajam pārstāvim un, ja fiskālais pārstāvis eksportē tam nosūtītas preces.</w:t>
            </w:r>
          </w:p>
          <w:p w:rsidR="003A73D3" w:rsidRPr="003A73D3" w:rsidRDefault="003B69B5" w:rsidP="003A73D3">
            <w:pPr>
              <w:ind w:left="126" w:right="71"/>
              <w:jc w:val="both"/>
              <w:rPr>
                <w:rStyle w:val="Strong"/>
                <w:b w:val="0"/>
                <w:sz w:val="24"/>
                <w:szCs w:val="24"/>
              </w:rPr>
            </w:pPr>
            <w:r>
              <w:rPr>
                <w:rStyle w:val="Strong"/>
                <w:b w:val="0"/>
                <w:sz w:val="24"/>
                <w:szCs w:val="24"/>
              </w:rPr>
              <w:t xml:space="preserve">12. </w:t>
            </w:r>
            <w:r w:rsidR="003A73D3" w:rsidRPr="003A73D3">
              <w:rPr>
                <w:rStyle w:val="Strong"/>
                <w:b w:val="0"/>
                <w:sz w:val="24"/>
                <w:szCs w:val="24"/>
              </w:rPr>
              <w:t>Noteikumi papildināti ar 196.</w:t>
            </w:r>
            <w:r w:rsidR="003A73D3" w:rsidRPr="00B77CBE">
              <w:rPr>
                <w:rStyle w:val="Strong"/>
                <w:b w:val="0"/>
                <w:sz w:val="24"/>
                <w:szCs w:val="24"/>
                <w:vertAlign w:val="superscript"/>
              </w:rPr>
              <w:t>1</w:t>
            </w:r>
            <w:r w:rsidR="003A73D3" w:rsidRPr="003A73D3">
              <w:rPr>
                <w:rStyle w:val="Strong"/>
                <w:b w:val="0"/>
                <w:sz w:val="24"/>
                <w:szCs w:val="24"/>
              </w:rPr>
              <w:t xml:space="preserve"> punktu, lai paskaidrotu, ka priekšnodoklī nav atskaitāma PVN summa par transportlīdzekļa degvielas iegādes izdevumiem, kas, pamatojoties uz faktiski nobraukto kilometru skaitu, pārsniedz izgatavotājrūpnīcas norādīto pilsētas cikla degvielas patēriņa normu vairāk kā par 20 procentiem.</w:t>
            </w:r>
          </w:p>
          <w:p w:rsidR="00D65C2C" w:rsidRDefault="003B69B5" w:rsidP="003A73D3">
            <w:pPr>
              <w:ind w:left="126" w:right="71"/>
              <w:jc w:val="both"/>
              <w:rPr>
                <w:rStyle w:val="Strong"/>
                <w:b w:val="0"/>
                <w:sz w:val="24"/>
                <w:szCs w:val="24"/>
              </w:rPr>
            </w:pPr>
            <w:r>
              <w:rPr>
                <w:rStyle w:val="Strong"/>
                <w:b w:val="0"/>
                <w:sz w:val="24"/>
                <w:szCs w:val="24"/>
              </w:rPr>
              <w:t xml:space="preserve">13. </w:t>
            </w:r>
            <w:r w:rsidR="00D65C2C" w:rsidRPr="00D65C2C">
              <w:rPr>
                <w:rStyle w:val="Strong"/>
                <w:b w:val="0"/>
                <w:sz w:val="24"/>
                <w:szCs w:val="24"/>
              </w:rPr>
              <w:t>Noteikumi papildināti ar 207.2 punktu, lai paskaidrotu, kad PVN rēķinā par apliekamās personas mantas iegādi tiesu izpildītāja vai maksātnespējas procesa administratora rīkotā izsolē norādītā PVN summa ir atskaitāma kā priekšnodoklis.</w:t>
            </w:r>
            <w:r w:rsidR="00D65C2C">
              <w:rPr>
                <w:rStyle w:val="Strong"/>
                <w:b w:val="0"/>
                <w:sz w:val="24"/>
                <w:szCs w:val="24"/>
              </w:rPr>
              <w:t xml:space="preserve"> </w:t>
            </w:r>
            <w:r>
              <w:rPr>
                <w:rStyle w:val="Strong"/>
                <w:b w:val="0"/>
                <w:sz w:val="24"/>
                <w:szCs w:val="24"/>
              </w:rPr>
              <w:t xml:space="preserve">14.  </w:t>
            </w:r>
            <w:r w:rsidR="00D65C2C" w:rsidRPr="00D65C2C">
              <w:rPr>
                <w:rStyle w:val="Strong"/>
                <w:b w:val="0"/>
                <w:sz w:val="24"/>
                <w:szCs w:val="24"/>
              </w:rPr>
              <w:t>Noteikumu 218.2. un 218.3.apakšpunkts attiecībā uz atskaitīta un atskaitāma priekšnodokļa noteikšanu izteikts jaunā redakcijā, pārņemot Direktīvas 2009/162/ES prasības.</w:t>
            </w:r>
          </w:p>
          <w:p w:rsidR="003A73D3" w:rsidRPr="003A73D3" w:rsidRDefault="003B69B5" w:rsidP="003A73D3">
            <w:pPr>
              <w:ind w:left="126" w:right="71"/>
              <w:jc w:val="both"/>
              <w:rPr>
                <w:rStyle w:val="Strong"/>
                <w:b w:val="0"/>
                <w:sz w:val="24"/>
                <w:szCs w:val="24"/>
              </w:rPr>
            </w:pPr>
            <w:r>
              <w:rPr>
                <w:rStyle w:val="Strong"/>
                <w:b w:val="0"/>
                <w:sz w:val="24"/>
                <w:szCs w:val="24"/>
              </w:rPr>
              <w:t xml:space="preserve">15. </w:t>
            </w:r>
            <w:r w:rsidR="003A73D3" w:rsidRPr="003A73D3">
              <w:rPr>
                <w:rStyle w:val="Strong"/>
                <w:b w:val="0"/>
                <w:sz w:val="24"/>
                <w:szCs w:val="24"/>
              </w:rPr>
              <w:t>Noteikumu 221.punkts  attiecībā uz nekustamā īpašuma reģistrāciju VID izteikts jaunā redakcijā, sakarā ar  Direktīvas 2009/162/ES prasību pārņemšanu, kā arī precizēts 228., 229.punkts un 232.3.apakšpunkts izteikts jaunā redakcijā.</w:t>
            </w:r>
          </w:p>
          <w:p w:rsidR="003A73D3" w:rsidRPr="003A73D3" w:rsidRDefault="003B69B5" w:rsidP="003A73D3">
            <w:pPr>
              <w:ind w:left="126" w:right="71"/>
              <w:jc w:val="both"/>
              <w:rPr>
                <w:rStyle w:val="Strong"/>
                <w:b w:val="0"/>
                <w:sz w:val="24"/>
                <w:szCs w:val="24"/>
              </w:rPr>
            </w:pPr>
            <w:r>
              <w:rPr>
                <w:rStyle w:val="Strong"/>
                <w:b w:val="0"/>
                <w:sz w:val="24"/>
                <w:szCs w:val="24"/>
              </w:rPr>
              <w:t xml:space="preserve">16. </w:t>
            </w:r>
            <w:r w:rsidR="003A73D3" w:rsidRPr="003A73D3">
              <w:rPr>
                <w:rStyle w:val="Strong"/>
                <w:b w:val="0"/>
                <w:sz w:val="24"/>
                <w:szCs w:val="24"/>
              </w:rPr>
              <w:t>Noteikumi papildināti ar 241.2.</w:t>
            </w:r>
            <w:r w:rsidR="003A73D3" w:rsidRPr="00B77CBE">
              <w:rPr>
                <w:rStyle w:val="Strong"/>
                <w:b w:val="0"/>
                <w:sz w:val="24"/>
                <w:szCs w:val="24"/>
                <w:vertAlign w:val="superscript"/>
              </w:rPr>
              <w:t>1</w:t>
            </w:r>
            <w:r w:rsidR="003A73D3" w:rsidRPr="003A73D3">
              <w:rPr>
                <w:rStyle w:val="Strong"/>
                <w:b w:val="0"/>
                <w:sz w:val="24"/>
                <w:szCs w:val="24"/>
              </w:rPr>
              <w:t>, 241.4.</w:t>
            </w:r>
            <w:r w:rsidR="003A73D3" w:rsidRPr="00B77CBE">
              <w:rPr>
                <w:rStyle w:val="Strong"/>
                <w:b w:val="0"/>
                <w:sz w:val="24"/>
                <w:szCs w:val="24"/>
                <w:vertAlign w:val="superscript"/>
              </w:rPr>
              <w:t>1</w:t>
            </w:r>
            <w:r w:rsidR="003A73D3" w:rsidRPr="003A73D3">
              <w:rPr>
                <w:rStyle w:val="Strong"/>
                <w:b w:val="0"/>
                <w:sz w:val="24"/>
                <w:szCs w:val="24"/>
              </w:rPr>
              <w:t>, 242.</w:t>
            </w:r>
            <w:r w:rsidR="003A73D3" w:rsidRPr="00B77CBE">
              <w:rPr>
                <w:rStyle w:val="Strong"/>
                <w:b w:val="0"/>
                <w:sz w:val="24"/>
                <w:szCs w:val="24"/>
                <w:vertAlign w:val="superscript"/>
              </w:rPr>
              <w:t>1</w:t>
            </w:r>
            <w:r w:rsidR="003A73D3" w:rsidRPr="003A73D3">
              <w:rPr>
                <w:rStyle w:val="Strong"/>
                <w:b w:val="0"/>
                <w:sz w:val="24"/>
                <w:szCs w:val="24"/>
              </w:rPr>
              <w:t>, 243.</w:t>
            </w:r>
            <w:r w:rsidR="003A73D3" w:rsidRPr="00B77CBE">
              <w:rPr>
                <w:rStyle w:val="Strong"/>
                <w:b w:val="0"/>
                <w:sz w:val="24"/>
                <w:szCs w:val="24"/>
                <w:vertAlign w:val="superscript"/>
              </w:rPr>
              <w:t>1</w:t>
            </w:r>
            <w:r w:rsidR="003A73D3" w:rsidRPr="003A73D3">
              <w:rPr>
                <w:rStyle w:val="Strong"/>
                <w:b w:val="0"/>
                <w:sz w:val="24"/>
                <w:szCs w:val="24"/>
              </w:rPr>
              <w:t xml:space="preserve"> punktu attiecībā uz priekšnodokļa par nekustāmo īpašumu </w:t>
            </w:r>
            <w:r w:rsidR="005A2557" w:rsidRPr="003A73D3">
              <w:rPr>
                <w:rStyle w:val="Strong"/>
                <w:b w:val="0"/>
                <w:sz w:val="24"/>
                <w:szCs w:val="24"/>
              </w:rPr>
              <w:t xml:space="preserve">aprēķināšanu un </w:t>
            </w:r>
            <w:r w:rsidR="003A73D3" w:rsidRPr="003A73D3">
              <w:rPr>
                <w:rStyle w:val="Strong"/>
                <w:b w:val="0"/>
                <w:sz w:val="24"/>
                <w:szCs w:val="24"/>
              </w:rPr>
              <w:t xml:space="preserve">atskaitīšanu, sakarā ar Direktīvas 2009/162/ES prasību pārņemšanu.  </w:t>
            </w:r>
          </w:p>
          <w:p w:rsidR="003A73D3" w:rsidRPr="003A73D3" w:rsidRDefault="003B69B5" w:rsidP="003A73D3">
            <w:pPr>
              <w:ind w:left="126" w:right="71"/>
              <w:jc w:val="both"/>
              <w:rPr>
                <w:rStyle w:val="Strong"/>
                <w:b w:val="0"/>
                <w:sz w:val="24"/>
                <w:szCs w:val="24"/>
              </w:rPr>
            </w:pPr>
            <w:r>
              <w:rPr>
                <w:rStyle w:val="Strong"/>
                <w:b w:val="0"/>
                <w:sz w:val="24"/>
                <w:szCs w:val="24"/>
              </w:rPr>
              <w:t xml:space="preserve">17. </w:t>
            </w:r>
            <w:r w:rsidR="003A73D3" w:rsidRPr="003A73D3">
              <w:rPr>
                <w:rStyle w:val="Strong"/>
                <w:b w:val="0"/>
                <w:sz w:val="24"/>
                <w:szCs w:val="24"/>
              </w:rPr>
              <w:t>Noteikumi papildināti ar 252.</w:t>
            </w:r>
            <w:r w:rsidR="003A73D3" w:rsidRPr="00B77CBE">
              <w:rPr>
                <w:rStyle w:val="Strong"/>
                <w:b w:val="0"/>
                <w:sz w:val="24"/>
                <w:szCs w:val="24"/>
                <w:vertAlign w:val="superscript"/>
              </w:rPr>
              <w:t>1</w:t>
            </w:r>
            <w:r w:rsidR="00B77CBE">
              <w:rPr>
                <w:rStyle w:val="Strong"/>
                <w:b w:val="0"/>
                <w:sz w:val="24"/>
                <w:szCs w:val="24"/>
              </w:rPr>
              <w:t xml:space="preserve"> </w:t>
            </w:r>
            <w:r w:rsidR="003A73D3" w:rsidRPr="003A73D3">
              <w:rPr>
                <w:rStyle w:val="Strong"/>
                <w:b w:val="0"/>
                <w:sz w:val="24"/>
                <w:szCs w:val="24"/>
              </w:rPr>
              <w:t xml:space="preserve">punktu, lai paskaidrotu PVN aprēķināšanu un nomaksāšanu valsts budžetā gadījumā, ja apliekamās personas automašīna tiek izmantota ar saimniecisko darbību nesaistītajiem darījumiem, taču priekšnodoklis par šo automašīnu apliekamā persona bija atskaitījusi pilnā apmērā. </w:t>
            </w:r>
          </w:p>
          <w:p w:rsidR="003A73D3" w:rsidRPr="003A73D3" w:rsidRDefault="003B69B5" w:rsidP="003A73D3">
            <w:pPr>
              <w:ind w:left="126" w:right="71"/>
              <w:jc w:val="both"/>
              <w:rPr>
                <w:rStyle w:val="Strong"/>
                <w:b w:val="0"/>
                <w:sz w:val="24"/>
                <w:szCs w:val="24"/>
              </w:rPr>
            </w:pPr>
            <w:r>
              <w:rPr>
                <w:rStyle w:val="Strong"/>
                <w:b w:val="0"/>
                <w:sz w:val="24"/>
                <w:szCs w:val="24"/>
              </w:rPr>
              <w:t xml:space="preserve">18. </w:t>
            </w:r>
            <w:r w:rsidR="003A73D3" w:rsidRPr="003A73D3">
              <w:rPr>
                <w:rStyle w:val="Strong"/>
                <w:b w:val="0"/>
                <w:sz w:val="24"/>
                <w:szCs w:val="24"/>
              </w:rPr>
              <w:t>Noteikumi papildināti ar 262.</w:t>
            </w:r>
            <w:r w:rsidR="003A73D3" w:rsidRPr="007C5DD3">
              <w:rPr>
                <w:rStyle w:val="Strong"/>
                <w:b w:val="0"/>
                <w:sz w:val="24"/>
                <w:szCs w:val="24"/>
                <w:vertAlign w:val="superscript"/>
              </w:rPr>
              <w:t>1</w:t>
            </w:r>
            <w:r w:rsidR="003A73D3" w:rsidRPr="003A73D3">
              <w:rPr>
                <w:rStyle w:val="Strong"/>
                <w:b w:val="0"/>
                <w:sz w:val="24"/>
                <w:szCs w:val="24"/>
              </w:rPr>
              <w:t xml:space="preserve"> punktu, nosakot, ka fiskālajam pārstāvim jānodrošina detalizēta nosūtāmo vai saņemto preču grāmatvedības uzskaite, lai nodokļu administrācija varētu izsekot katrai preču kustībai. </w:t>
            </w:r>
          </w:p>
          <w:p w:rsidR="003A73D3" w:rsidRPr="003A73D3" w:rsidRDefault="003B69B5" w:rsidP="003A73D3">
            <w:pPr>
              <w:ind w:left="126" w:right="71"/>
              <w:jc w:val="both"/>
              <w:rPr>
                <w:rStyle w:val="Strong"/>
                <w:b w:val="0"/>
                <w:sz w:val="24"/>
                <w:szCs w:val="24"/>
              </w:rPr>
            </w:pPr>
            <w:r>
              <w:rPr>
                <w:rStyle w:val="Strong"/>
                <w:b w:val="0"/>
                <w:sz w:val="24"/>
                <w:szCs w:val="24"/>
              </w:rPr>
              <w:t xml:space="preserve">19. </w:t>
            </w:r>
            <w:r w:rsidR="003A73D3" w:rsidRPr="003A73D3">
              <w:rPr>
                <w:rStyle w:val="Strong"/>
                <w:b w:val="0"/>
                <w:sz w:val="24"/>
                <w:szCs w:val="24"/>
              </w:rPr>
              <w:t>Lai nodrošinātu informācijas apmaiņu par tiesu izpildītāja veikto PVN summas, kas aprēķināts par mantas pārdošanu tiesu izpildītāja rīkotā izsolē, iemaksu valsts budžetā, noteikumi tiek papildināti ar 280.</w:t>
            </w:r>
            <w:r w:rsidR="003A73D3" w:rsidRPr="003B69B5">
              <w:rPr>
                <w:rStyle w:val="Strong"/>
                <w:b w:val="0"/>
                <w:sz w:val="24"/>
                <w:szCs w:val="24"/>
                <w:vertAlign w:val="superscript"/>
              </w:rPr>
              <w:t>1</w:t>
            </w:r>
            <w:r w:rsidR="003A73D3" w:rsidRPr="003A73D3">
              <w:rPr>
                <w:rStyle w:val="Strong"/>
                <w:b w:val="0"/>
                <w:sz w:val="24"/>
                <w:szCs w:val="24"/>
              </w:rPr>
              <w:t xml:space="preserve"> </w:t>
            </w:r>
            <w:r w:rsidR="005A2557">
              <w:rPr>
                <w:rStyle w:val="Strong"/>
                <w:b w:val="0"/>
                <w:sz w:val="24"/>
                <w:szCs w:val="24"/>
              </w:rPr>
              <w:t>un 280.</w:t>
            </w:r>
            <w:r w:rsidR="005A2557">
              <w:rPr>
                <w:rStyle w:val="Strong"/>
                <w:b w:val="0"/>
                <w:sz w:val="24"/>
                <w:szCs w:val="24"/>
                <w:vertAlign w:val="superscript"/>
              </w:rPr>
              <w:t xml:space="preserve">2 </w:t>
            </w:r>
            <w:r w:rsidR="003A73D3" w:rsidRPr="003A73D3">
              <w:rPr>
                <w:rStyle w:val="Strong"/>
                <w:b w:val="0"/>
                <w:sz w:val="24"/>
                <w:szCs w:val="24"/>
              </w:rPr>
              <w:t>punktu, paredzot, ka tiesu izpildītājs iesniedz VID paziņojumu par PVN samaksu. Minētais paziņojums aizpildāms un iesniedzams VID arī tad, ja aprēķinātais nodoklis ir nulle.</w:t>
            </w:r>
          </w:p>
          <w:p w:rsidR="003A73D3" w:rsidRPr="003A73D3" w:rsidRDefault="003B69B5" w:rsidP="003A73D3">
            <w:pPr>
              <w:ind w:left="126" w:right="71"/>
              <w:jc w:val="both"/>
              <w:rPr>
                <w:rStyle w:val="Strong"/>
                <w:b w:val="0"/>
                <w:sz w:val="24"/>
                <w:szCs w:val="24"/>
              </w:rPr>
            </w:pPr>
            <w:r>
              <w:rPr>
                <w:rStyle w:val="Strong"/>
                <w:b w:val="0"/>
                <w:sz w:val="24"/>
                <w:szCs w:val="24"/>
              </w:rPr>
              <w:t xml:space="preserve">20. </w:t>
            </w:r>
            <w:r w:rsidR="003A73D3" w:rsidRPr="003A73D3">
              <w:rPr>
                <w:rStyle w:val="Strong"/>
                <w:b w:val="0"/>
                <w:sz w:val="24"/>
                <w:szCs w:val="24"/>
              </w:rPr>
              <w:t>Noteikumi papildināti ar 289.</w:t>
            </w:r>
            <w:r w:rsidR="003A73D3" w:rsidRPr="003B69B5">
              <w:rPr>
                <w:rStyle w:val="Strong"/>
                <w:b w:val="0"/>
                <w:sz w:val="24"/>
                <w:szCs w:val="24"/>
                <w:vertAlign w:val="superscript"/>
              </w:rPr>
              <w:t>1</w:t>
            </w:r>
            <w:r w:rsidR="003A73D3" w:rsidRPr="003A73D3">
              <w:rPr>
                <w:rStyle w:val="Strong"/>
                <w:b w:val="0"/>
                <w:sz w:val="24"/>
                <w:szCs w:val="24"/>
              </w:rPr>
              <w:t xml:space="preserve"> punktu, paredzot, ka apliekamā persona, kas piemēroja īpašo PVN režīmu preču </w:t>
            </w:r>
            <w:r w:rsidR="003A73D3" w:rsidRPr="003A73D3">
              <w:rPr>
                <w:rStyle w:val="Strong"/>
                <w:b w:val="0"/>
                <w:sz w:val="24"/>
                <w:szCs w:val="24"/>
              </w:rPr>
              <w:lastRenderedPageBreak/>
              <w:t xml:space="preserve">importa darījumos, izlaižot preces brīvam apgrozījumam, var šīs preces saimnieciskās darbības ietvaros nosūtīt uz citu dalībvalsti. </w:t>
            </w:r>
          </w:p>
          <w:p w:rsidR="003A73D3" w:rsidRDefault="003B69B5" w:rsidP="003A73D3">
            <w:pPr>
              <w:ind w:left="126" w:right="71"/>
              <w:jc w:val="both"/>
              <w:rPr>
                <w:rStyle w:val="Strong"/>
                <w:b w:val="0"/>
                <w:sz w:val="24"/>
                <w:szCs w:val="24"/>
              </w:rPr>
            </w:pPr>
            <w:r>
              <w:rPr>
                <w:rStyle w:val="Strong"/>
                <w:b w:val="0"/>
                <w:sz w:val="24"/>
                <w:szCs w:val="24"/>
              </w:rPr>
              <w:t xml:space="preserve">21. </w:t>
            </w:r>
            <w:r w:rsidR="003A73D3" w:rsidRPr="003A73D3">
              <w:rPr>
                <w:rStyle w:val="Strong"/>
                <w:b w:val="0"/>
                <w:sz w:val="24"/>
                <w:szCs w:val="24"/>
              </w:rPr>
              <w:t>Svītrots noteikumu 295.punkts, jo minētā punkta saturs tiek ietverts likumā 14.panta ceturtajā daļā.</w:t>
            </w:r>
          </w:p>
          <w:p w:rsidR="005A2557" w:rsidRPr="003A73D3" w:rsidRDefault="007F2850" w:rsidP="003A73D3">
            <w:pPr>
              <w:ind w:left="126" w:right="71"/>
              <w:jc w:val="both"/>
              <w:rPr>
                <w:rStyle w:val="Strong"/>
                <w:b w:val="0"/>
                <w:sz w:val="24"/>
                <w:szCs w:val="24"/>
              </w:rPr>
            </w:pPr>
            <w:r>
              <w:rPr>
                <w:rStyle w:val="Strong"/>
                <w:b w:val="0"/>
                <w:sz w:val="24"/>
                <w:szCs w:val="24"/>
              </w:rPr>
              <w:t>22. R</w:t>
            </w:r>
            <w:r w:rsidR="005A2557">
              <w:rPr>
                <w:rStyle w:val="Strong"/>
                <w:b w:val="0"/>
                <w:sz w:val="24"/>
                <w:szCs w:val="24"/>
              </w:rPr>
              <w:t xml:space="preserve">edakcionāli precizēts noteikumu </w:t>
            </w:r>
            <w:r>
              <w:rPr>
                <w:rStyle w:val="Strong"/>
                <w:b w:val="0"/>
                <w:sz w:val="24"/>
                <w:szCs w:val="24"/>
              </w:rPr>
              <w:t>330.punkts,</w:t>
            </w:r>
            <w:r>
              <w:t xml:space="preserve"> </w:t>
            </w:r>
            <w:r w:rsidRPr="007F2850">
              <w:rPr>
                <w:rStyle w:val="Strong"/>
                <w:b w:val="0"/>
                <w:sz w:val="24"/>
                <w:szCs w:val="24"/>
              </w:rPr>
              <w:t>sakarā ar Direktīvas 2009/162/ES prasību pārņemšanu.</w:t>
            </w:r>
          </w:p>
          <w:p w:rsidR="003A73D3" w:rsidRPr="003A73D3" w:rsidRDefault="003B69B5" w:rsidP="003A73D3">
            <w:pPr>
              <w:ind w:left="126" w:right="71"/>
              <w:jc w:val="both"/>
              <w:rPr>
                <w:rStyle w:val="Strong"/>
                <w:b w:val="0"/>
                <w:sz w:val="24"/>
                <w:szCs w:val="24"/>
              </w:rPr>
            </w:pPr>
            <w:r>
              <w:rPr>
                <w:rStyle w:val="Strong"/>
                <w:b w:val="0"/>
                <w:sz w:val="24"/>
                <w:szCs w:val="24"/>
              </w:rPr>
              <w:t>2</w:t>
            </w:r>
            <w:r w:rsidR="007F2850">
              <w:rPr>
                <w:rStyle w:val="Strong"/>
                <w:b w:val="0"/>
                <w:sz w:val="24"/>
                <w:szCs w:val="24"/>
              </w:rPr>
              <w:t>3</w:t>
            </w:r>
            <w:r>
              <w:rPr>
                <w:rStyle w:val="Strong"/>
                <w:b w:val="0"/>
                <w:sz w:val="24"/>
                <w:szCs w:val="24"/>
              </w:rPr>
              <w:t xml:space="preserve">. </w:t>
            </w:r>
            <w:r w:rsidR="00E94A79">
              <w:rPr>
                <w:rStyle w:val="Strong"/>
                <w:b w:val="0"/>
                <w:sz w:val="24"/>
                <w:szCs w:val="24"/>
              </w:rPr>
              <w:t>N</w:t>
            </w:r>
            <w:r w:rsidR="003A73D3" w:rsidRPr="003A73D3">
              <w:rPr>
                <w:rStyle w:val="Strong"/>
                <w:b w:val="0"/>
                <w:sz w:val="24"/>
                <w:szCs w:val="24"/>
              </w:rPr>
              <w:t>oteikumu</w:t>
            </w:r>
            <w:r w:rsidR="00E94A79">
              <w:rPr>
                <w:rStyle w:val="Strong"/>
                <w:b w:val="0"/>
                <w:sz w:val="24"/>
                <w:szCs w:val="24"/>
              </w:rPr>
              <w:t xml:space="preserve"> </w:t>
            </w:r>
            <w:r w:rsidR="003A73D3" w:rsidRPr="003A73D3">
              <w:rPr>
                <w:rStyle w:val="Strong"/>
                <w:b w:val="0"/>
                <w:sz w:val="24"/>
                <w:szCs w:val="24"/>
              </w:rPr>
              <w:t xml:space="preserve">339. </w:t>
            </w:r>
            <w:r w:rsidR="00E94A79">
              <w:rPr>
                <w:rStyle w:val="Strong"/>
                <w:b w:val="0"/>
                <w:sz w:val="24"/>
                <w:szCs w:val="24"/>
              </w:rPr>
              <w:t>p</w:t>
            </w:r>
            <w:r w:rsidR="003A73D3" w:rsidRPr="003A73D3">
              <w:rPr>
                <w:rStyle w:val="Strong"/>
                <w:b w:val="0"/>
                <w:sz w:val="24"/>
                <w:szCs w:val="24"/>
              </w:rPr>
              <w:t>unkts</w:t>
            </w:r>
            <w:r w:rsidR="00E94A79">
              <w:rPr>
                <w:rStyle w:val="Strong"/>
                <w:b w:val="0"/>
                <w:sz w:val="24"/>
                <w:szCs w:val="24"/>
              </w:rPr>
              <w:t xml:space="preserve"> izteikts jaunā redakcijā un</w:t>
            </w:r>
            <w:r w:rsidR="003A73D3" w:rsidRPr="003A73D3">
              <w:rPr>
                <w:rStyle w:val="Strong"/>
                <w:b w:val="0"/>
                <w:sz w:val="24"/>
                <w:szCs w:val="24"/>
              </w:rPr>
              <w:t xml:space="preserve"> 339.</w:t>
            </w:r>
            <w:r w:rsidR="003A73D3" w:rsidRPr="003B69B5">
              <w:rPr>
                <w:rStyle w:val="Strong"/>
                <w:b w:val="0"/>
                <w:sz w:val="24"/>
                <w:szCs w:val="24"/>
                <w:vertAlign w:val="superscript"/>
              </w:rPr>
              <w:t>2</w:t>
            </w:r>
            <w:r w:rsidR="00E94A79">
              <w:rPr>
                <w:rStyle w:val="Strong"/>
                <w:b w:val="0"/>
                <w:sz w:val="24"/>
                <w:szCs w:val="24"/>
              </w:rPr>
              <w:t>,</w:t>
            </w:r>
            <w:r w:rsidR="003A73D3" w:rsidRPr="003A73D3">
              <w:rPr>
                <w:rStyle w:val="Strong"/>
                <w:b w:val="0"/>
                <w:sz w:val="24"/>
                <w:szCs w:val="24"/>
              </w:rPr>
              <w:t xml:space="preserve"> </w:t>
            </w:r>
            <w:r w:rsidR="005866B9">
              <w:rPr>
                <w:rStyle w:val="Strong"/>
                <w:b w:val="0"/>
                <w:sz w:val="24"/>
                <w:szCs w:val="24"/>
              </w:rPr>
              <w:t>340.</w:t>
            </w:r>
            <w:r w:rsidR="005866B9">
              <w:rPr>
                <w:rStyle w:val="Strong"/>
                <w:b w:val="0"/>
                <w:sz w:val="24"/>
                <w:szCs w:val="24"/>
                <w:vertAlign w:val="superscript"/>
              </w:rPr>
              <w:t xml:space="preserve"> </w:t>
            </w:r>
            <w:r w:rsidR="00E94A79" w:rsidRPr="00E94A79">
              <w:rPr>
                <w:rStyle w:val="Strong"/>
                <w:b w:val="0"/>
                <w:sz w:val="24"/>
                <w:szCs w:val="24"/>
              </w:rPr>
              <w:t>un 340.</w:t>
            </w:r>
            <w:r w:rsidR="00E94A79" w:rsidRPr="00E94A79">
              <w:rPr>
                <w:rStyle w:val="Strong"/>
                <w:b w:val="0"/>
                <w:sz w:val="24"/>
                <w:szCs w:val="24"/>
                <w:vertAlign w:val="superscript"/>
              </w:rPr>
              <w:t>1</w:t>
            </w:r>
            <w:r w:rsidR="00E94A79">
              <w:rPr>
                <w:rStyle w:val="Strong"/>
                <w:b w:val="0"/>
                <w:sz w:val="24"/>
                <w:szCs w:val="24"/>
              </w:rPr>
              <w:t xml:space="preserve"> </w:t>
            </w:r>
            <w:r w:rsidR="007F2850">
              <w:rPr>
                <w:rStyle w:val="Strong"/>
                <w:b w:val="0"/>
                <w:sz w:val="24"/>
                <w:szCs w:val="24"/>
              </w:rPr>
              <w:t xml:space="preserve">punkts </w:t>
            </w:r>
            <w:r w:rsidR="00E94A79">
              <w:rPr>
                <w:rStyle w:val="Strong"/>
                <w:b w:val="0"/>
                <w:sz w:val="24"/>
                <w:szCs w:val="24"/>
              </w:rPr>
              <w:t>ir svītrots,</w:t>
            </w:r>
            <w:r w:rsidR="003A73D3" w:rsidRPr="003A73D3">
              <w:rPr>
                <w:rStyle w:val="Strong"/>
                <w:b w:val="0"/>
                <w:sz w:val="24"/>
                <w:szCs w:val="24"/>
              </w:rPr>
              <w:t xml:space="preserve"> jo ar veiktajiem grozījumiem likumā </w:t>
            </w:r>
            <w:r w:rsidR="00E94A79">
              <w:rPr>
                <w:rStyle w:val="Strong"/>
                <w:b w:val="0"/>
                <w:sz w:val="24"/>
                <w:szCs w:val="24"/>
              </w:rPr>
              <w:t>33.panta otrā daļa</w:t>
            </w:r>
            <w:r w:rsidR="00397F76">
              <w:rPr>
                <w:rStyle w:val="Strong"/>
                <w:b w:val="0"/>
                <w:sz w:val="24"/>
                <w:szCs w:val="24"/>
              </w:rPr>
              <w:t xml:space="preserve"> </w:t>
            </w:r>
            <w:r w:rsidR="00E94A79" w:rsidRPr="003A73D3">
              <w:rPr>
                <w:rStyle w:val="Strong"/>
                <w:b w:val="0"/>
                <w:sz w:val="24"/>
                <w:szCs w:val="24"/>
              </w:rPr>
              <w:t xml:space="preserve">ir </w:t>
            </w:r>
            <w:r w:rsidR="00E94A79">
              <w:rPr>
                <w:rStyle w:val="Strong"/>
                <w:b w:val="0"/>
                <w:sz w:val="24"/>
                <w:szCs w:val="24"/>
              </w:rPr>
              <w:t>izteikta jaunā redakcijā</w:t>
            </w:r>
            <w:r w:rsidR="00397F76">
              <w:rPr>
                <w:rStyle w:val="Strong"/>
                <w:b w:val="0"/>
                <w:sz w:val="24"/>
                <w:szCs w:val="24"/>
              </w:rPr>
              <w:t xml:space="preserve"> un </w:t>
            </w:r>
            <w:r w:rsidR="007F2850">
              <w:rPr>
                <w:rStyle w:val="Strong"/>
                <w:b w:val="0"/>
                <w:sz w:val="24"/>
                <w:szCs w:val="24"/>
              </w:rPr>
              <w:t xml:space="preserve">likums ir papildināts ar </w:t>
            </w:r>
            <w:r w:rsidR="00E94A79">
              <w:rPr>
                <w:rStyle w:val="Strong"/>
                <w:b w:val="0"/>
                <w:sz w:val="24"/>
                <w:szCs w:val="24"/>
              </w:rPr>
              <w:t>33.panta 2.</w:t>
            </w:r>
            <w:r w:rsidR="00E94A79">
              <w:rPr>
                <w:rStyle w:val="Strong"/>
                <w:b w:val="0"/>
                <w:sz w:val="24"/>
                <w:szCs w:val="24"/>
                <w:vertAlign w:val="superscript"/>
              </w:rPr>
              <w:t xml:space="preserve">1 </w:t>
            </w:r>
            <w:r w:rsidR="00E94A79">
              <w:rPr>
                <w:rStyle w:val="Strong"/>
                <w:b w:val="0"/>
                <w:sz w:val="24"/>
                <w:szCs w:val="24"/>
              </w:rPr>
              <w:t>daļu, nosākot, ka fiskālais</w:t>
            </w:r>
            <w:r w:rsidR="003A73D3" w:rsidRPr="003A73D3">
              <w:rPr>
                <w:rStyle w:val="Strong"/>
                <w:b w:val="0"/>
                <w:sz w:val="24"/>
                <w:szCs w:val="24"/>
              </w:rPr>
              <w:t xml:space="preserve"> pārstāvi</w:t>
            </w:r>
            <w:r w:rsidR="00E94A79">
              <w:rPr>
                <w:rStyle w:val="Strong"/>
                <w:b w:val="0"/>
                <w:sz w:val="24"/>
                <w:szCs w:val="24"/>
              </w:rPr>
              <w:t>s</w:t>
            </w:r>
            <w:r w:rsidR="007F2850">
              <w:rPr>
                <w:rStyle w:val="Strong"/>
                <w:b w:val="0"/>
                <w:sz w:val="24"/>
                <w:szCs w:val="24"/>
              </w:rPr>
              <w:t>,</w:t>
            </w:r>
            <w:r w:rsidR="00E94A79">
              <w:rPr>
                <w:rStyle w:val="Strong"/>
                <w:b w:val="0"/>
                <w:sz w:val="24"/>
                <w:szCs w:val="24"/>
              </w:rPr>
              <w:t xml:space="preserve"> laižot preces brīvam apgrozījumam</w:t>
            </w:r>
            <w:r w:rsidR="007F2850">
              <w:rPr>
                <w:rStyle w:val="Strong"/>
                <w:b w:val="0"/>
                <w:sz w:val="24"/>
                <w:szCs w:val="24"/>
              </w:rPr>
              <w:t>,</w:t>
            </w:r>
            <w:r w:rsidR="00E94A79">
              <w:rPr>
                <w:rStyle w:val="Strong"/>
                <w:b w:val="0"/>
                <w:sz w:val="24"/>
                <w:szCs w:val="24"/>
              </w:rPr>
              <w:t xml:space="preserve"> var piemērot PVN 0 procentu likmi.</w:t>
            </w:r>
            <w:r w:rsidR="003A73D3" w:rsidRPr="003A73D3">
              <w:rPr>
                <w:rStyle w:val="Strong"/>
                <w:b w:val="0"/>
                <w:sz w:val="24"/>
                <w:szCs w:val="24"/>
              </w:rPr>
              <w:t xml:space="preserve"> </w:t>
            </w:r>
          </w:p>
          <w:p w:rsidR="003A73D3" w:rsidRPr="003A73D3" w:rsidRDefault="003B69B5" w:rsidP="003A73D3">
            <w:pPr>
              <w:ind w:left="126" w:right="71"/>
              <w:jc w:val="both"/>
              <w:rPr>
                <w:rStyle w:val="Strong"/>
                <w:b w:val="0"/>
                <w:sz w:val="24"/>
                <w:szCs w:val="24"/>
              </w:rPr>
            </w:pPr>
            <w:r>
              <w:rPr>
                <w:rStyle w:val="Strong"/>
                <w:b w:val="0"/>
                <w:sz w:val="24"/>
                <w:szCs w:val="24"/>
              </w:rPr>
              <w:t xml:space="preserve">23. </w:t>
            </w:r>
            <w:r w:rsidR="003A73D3" w:rsidRPr="003A73D3">
              <w:rPr>
                <w:rStyle w:val="Strong"/>
                <w:b w:val="0"/>
                <w:sz w:val="24"/>
                <w:szCs w:val="24"/>
              </w:rPr>
              <w:t>Noteikumi papildināti ar 341.</w:t>
            </w:r>
            <w:r w:rsidR="003A73D3" w:rsidRPr="003B69B5">
              <w:rPr>
                <w:rStyle w:val="Strong"/>
                <w:b w:val="0"/>
                <w:sz w:val="24"/>
                <w:szCs w:val="24"/>
                <w:vertAlign w:val="superscript"/>
              </w:rPr>
              <w:t>1</w:t>
            </w:r>
            <w:r w:rsidR="003A73D3" w:rsidRPr="003A73D3">
              <w:rPr>
                <w:rStyle w:val="Strong"/>
                <w:b w:val="0"/>
                <w:sz w:val="24"/>
                <w:szCs w:val="24"/>
              </w:rPr>
              <w:t xml:space="preserve"> punktu, paredzot, kādus dokumentus drīkst izmantot, lai apliecinātu, ka </w:t>
            </w:r>
            <w:r w:rsidR="00397F76">
              <w:rPr>
                <w:rStyle w:val="Strong"/>
                <w:b w:val="0"/>
                <w:sz w:val="24"/>
                <w:szCs w:val="24"/>
              </w:rPr>
              <w:t xml:space="preserve">importētās </w:t>
            </w:r>
            <w:r w:rsidR="003A73D3" w:rsidRPr="003A73D3">
              <w:rPr>
                <w:rStyle w:val="Strong"/>
                <w:b w:val="0"/>
                <w:sz w:val="24"/>
                <w:szCs w:val="24"/>
              </w:rPr>
              <w:t>preces</w:t>
            </w:r>
            <w:r w:rsidR="00397F76">
              <w:rPr>
                <w:rStyle w:val="Strong"/>
                <w:b w:val="0"/>
                <w:sz w:val="24"/>
                <w:szCs w:val="24"/>
              </w:rPr>
              <w:t xml:space="preserve"> </w:t>
            </w:r>
            <w:r w:rsidR="003A73D3" w:rsidRPr="003A73D3">
              <w:rPr>
                <w:rStyle w:val="Strong"/>
                <w:b w:val="0"/>
                <w:sz w:val="24"/>
                <w:szCs w:val="24"/>
              </w:rPr>
              <w:t xml:space="preserve"> ir paredzēts </w:t>
            </w:r>
            <w:r w:rsidR="00397F76">
              <w:rPr>
                <w:rStyle w:val="Strong"/>
                <w:b w:val="0"/>
                <w:sz w:val="24"/>
                <w:szCs w:val="24"/>
              </w:rPr>
              <w:t>pār</w:t>
            </w:r>
            <w:r w:rsidR="003A73D3" w:rsidRPr="003A73D3">
              <w:rPr>
                <w:rStyle w:val="Strong"/>
                <w:b w:val="0"/>
                <w:sz w:val="24"/>
                <w:szCs w:val="24"/>
              </w:rPr>
              <w:t xml:space="preserve">sūtīt preču saņēmējam uz citu dalībvalsti. </w:t>
            </w:r>
          </w:p>
          <w:p w:rsidR="003A73D3" w:rsidRPr="003A73D3" w:rsidRDefault="003B69B5" w:rsidP="003A73D3">
            <w:pPr>
              <w:ind w:left="126" w:right="71"/>
              <w:jc w:val="both"/>
              <w:rPr>
                <w:rStyle w:val="Strong"/>
                <w:b w:val="0"/>
                <w:sz w:val="24"/>
                <w:szCs w:val="24"/>
              </w:rPr>
            </w:pPr>
            <w:r>
              <w:rPr>
                <w:rStyle w:val="Strong"/>
                <w:b w:val="0"/>
                <w:sz w:val="24"/>
                <w:szCs w:val="24"/>
              </w:rPr>
              <w:t xml:space="preserve">24. </w:t>
            </w:r>
            <w:r w:rsidR="003A73D3" w:rsidRPr="003A73D3">
              <w:rPr>
                <w:rStyle w:val="Strong"/>
                <w:b w:val="0"/>
                <w:sz w:val="24"/>
                <w:szCs w:val="24"/>
              </w:rPr>
              <w:t>Noteikumi papildināti ar 5.pielikumu, nosakot iesnieguma veidlapu, fiskālā pārstāvja reģistrēšanai VID ar PVN apliekamo personu reģistrā.</w:t>
            </w:r>
          </w:p>
          <w:p w:rsidR="00EB4EA8" w:rsidRPr="00EB4EA8" w:rsidRDefault="003A73D3" w:rsidP="003A73D3">
            <w:pPr>
              <w:ind w:left="150" w:right="71"/>
              <w:jc w:val="both"/>
              <w:rPr>
                <w:sz w:val="24"/>
                <w:szCs w:val="24"/>
              </w:rPr>
            </w:pPr>
            <w:r w:rsidRPr="003A73D3">
              <w:rPr>
                <w:rStyle w:val="Strong"/>
                <w:b w:val="0"/>
                <w:sz w:val="24"/>
                <w:szCs w:val="24"/>
              </w:rPr>
              <w:t>Noteikumu projektā ir veikti arī redakcionāli precizējumi.</w:t>
            </w:r>
          </w:p>
        </w:tc>
      </w:tr>
      <w:tr w:rsidR="005A039A" w:rsidRPr="005A039A" w:rsidTr="000B159B">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lastRenderedPageBreak/>
              <w:t> 5.</w:t>
            </w:r>
          </w:p>
        </w:tc>
        <w:tc>
          <w:tcPr>
            <w:tcW w:w="2308" w:type="dxa"/>
            <w:gridSpan w:val="3"/>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Projekta izstrādē iesaistītās institūcijas</w:t>
            </w:r>
          </w:p>
        </w:tc>
        <w:tc>
          <w:tcPr>
            <w:tcW w:w="6378" w:type="dxa"/>
            <w:gridSpan w:val="4"/>
            <w:tcBorders>
              <w:top w:val="outset" w:sz="6" w:space="0" w:color="auto"/>
              <w:left w:val="outset" w:sz="6" w:space="0" w:color="auto"/>
              <w:bottom w:val="outset" w:sz="6" w:space="0" w:color="auto"/>
              <w:right w:val="outset" w:sz="6" w:space="0" w:color="auto"/>
            </w:tcBorders>
            <w:hideMark/>
          </w:tcPr>
          <w:p w:rsidR="00E24E81" w:rsidRPr="00F93660" w:rsidRDefault="00C85F36" w:rsidP="003A73D3">
            <w:pPr>
              <w:ind w:left="126" w:hanging="126"/>
              <w:rPr>
                <w:sz w:val="24"/>
                <w:szCs w:val="24"/>
                <w:lang w:eastAsia="lv-LV"/>
              </w:rPr>
            </w:pPr>
            <w:r>
              <w:rPr>
                <w:sz w:val="24"/>
                <w:szCs w:val="24"/>
                <w:lang w:eastAsia="lv-LV"/>
              </w:rPr>
              <w:t xml:space="preserve"> </w:t>
            </w:r>
            <w:r w:rsidR="003A73D3">
              <w:rPr>
                <w:sz w:val="24"/>
                <w:szCs w:val="24"/>
                <w:lang w:eastAsia="lv-LV"/>
              </w:rPr>
              <w:t>VID</w:t>
            </w:r>
          </w:p>
        </w:tc>
      </w:tr>
      <w:tr w:rsidR="005A039A" w:rsidRPr="005A039A" w:rsidTr="000B159B">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6.</w:t>
            </w:r>
          </w:p>
        </w:tc>
        <w:tc>
          <w:tcPr>
            <w:tcW w:w="2308" w:type="dxa"/>
            <w:gridSpan w:val="3"/>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Iemesli, kādēļ netika nodrošināta sabiedrības līdzdalība</w:t>
            </w:r>
          </w:p>
        </w:tc>
        <w:tc>
          <w:tcPr>
            <w:tcW w:w="6378" w:type="dxa"/>
            <w:gridSpan w:val="4"/>
            <w:tcBorders>
              <w:top w:val="outset" w:sz="6" w:space="0" w:color="auto"/>
              <w:left w:val="outset" w:sz="6" w:space="0" w:color="auto"/>
              <w:bottom w:val="outset" w:sz="6" w:space="0" w:color="auto"/>
              <w:right w:val="outset" w:sz="6" w:space="0" w:color="auto"/>
            </w:tcBorders>
            <w:hideMark/>
          </w:tcPr>
          <w:p w:rsidR="005A039A" w:rsidRPr="00EA4790" w:rsidRDefault="00C85F36" w:rsidP="007F2850">
            <w:pPr>
              <w:ind w:left="126" w:hanging="126"/>
              <w:jc w:val="both"/>
              <w:rPr>
                <w:rFonts w:eastAsia="Times New Roman" w:cs="Times New Roman"/>
                <w:sz w:val="24"/>
                <w:szCs w:val="24"/>
                <w:lang w:eastAsia="lv-LV"/>
              </w:rPr>
            </w:pPr>
            <w:r>
              <w:rPr>
                <w:color w:val="000000"/>
                <w:sz w:val="24"/>
                <w:szCs w:val="24"/>
              </w:rPr>
              <w:t xml:space="preserve"> </w:t>
            </w:r>
            <w:r w:rsidR="003A73D3" w:rsidRPr="003A73D3">
              <w:rPr>
                <w:color w:val="000000"/>
                <w:sz w:val="24"/>
                <w:szCs w:val="24"/>
              </w:rPr>
              <w:t xml:space="preserve">Sabiedrības līdzdalība netika nodrošināta, jo noteikumu projekts ir izstrādāts, lai atbilstoši grozījumiem likumā, skaidrotu likuma normu piemērošanu. Atsevišķas izmaiņas ir tehniskā rakstura grozījumi.    </w:t>
            </w:r>
          </w:p>
        </w:tc>
      </w:tr>
      <w:tr w:rsidR="005A039A" w:rsidRPr="005A039A" w:rsidTr="00797FA6">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7.</w:t>
            </w:r>
          </w:p>
        </w:tc>
        <w:tc>
          <w:tcPr>
            <w:tcW w:w="2308" w:type="dxa"/>
            <w:gridSpan w:val="3"/>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Cita informācija</w:t>
            </w:r>
          </w:p>
        </w:tc>
        <w:tc>
          <w:tcPr>
            <w:tcW w:w="6378" w:type="dxa"/>
            <w:gridSpan w:val="4"/>
            <w:tcBorders>
              <w:top w:val="outset" w:sz="6" w:space="0" w:color="auto"/>
              <w:left w:val="outset" w:sz="6" w:space="0" w:color="auto"/>
              <w:bottom w:val="outset" w:sz="6" w:space="0" w:color="auto"/>
              <w:right w:val="outset" w:sz="6" w:space="0" w:color="auto"/>
            </w:tcBorders>
            <w:hideMark/>
          </w:tcPr>
          <w:p w:rsid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Nav</w:t>
            </w:r>
          </w:p>
          <w:p w:rsidR="00912059" w:rsidRPr="005A039A" w:rsidRDefault="00912059" w:rsidP="005F0EFE">
            <w:pPr>
              <w:rPr>
                <w:rFonts w:eastAsia="Times New Roman" w:cs="Times New Roman"/>
                <w:sz w:val="24"/>
                <w:szCs w:val="24"/>
                <w:lang w:eastAsia="lv-LV"/>
              </w:rPr>
            </w:pPr>
          </w:p>
        </w:tc>
      </w:tr>
      <w:tr w:rsidR="005A039A" w:rsidRPr="005A039A" w:rsidTr="00797FA6">
        <w:trPr>
          <w:tblCellSpacing w:w="0" w:type="dxa"/>
        </w:trPr>
        <w:tc>
          <w:tcPr>
            <w:tcW w:w="9214" w:type="dxa"/>
            <w:gridSpan w:val="8"/>
            <w:tcBorders>
              <w:top w:val="outset" w:sz="6" w:space="0" w:color="auto"/>
              <w:left w:val="outset" w:sz="6" w:space="0" w:color="auto"/>
              <w:bottom w:val="outset" w:sz="6" w:space="0" w:color="auto"/>
              <w:right w:val="outset" w:sz="6" w:space="0" w:color="auto"/>
            </w:tcBorders>
            <w:vAlign w:val="center"/>
            <w:hideMark/>
          </w:tcPr>
          <w:p w:rsidR="00912059" w:rsidRPr="001119FE" w:rsidRDefault="005A039A" w:rsidP="00912059">
            <w:pPr>
              <w:jc w:val="center"/>
              <w:rPr>
                <w:rFonts w:eastAsia="Times New Roman" w:cs="Times New Roman"/>
                <w:b/>
                <w:sz w:val="24"/>
                <w:szCs w:val="24"/>
                <w:lang w:eastAsia="lv-LV"/>
              </w:rPr>
            </w:pPr>
            <w:r w:rsidRPr="001119FE">
              <w:rPr>
                <w:rFonts w:eastAsia="Times New Roman" w:cs="Times New Roman"/>
                <w:b/>
                <w:sz w:val="24"/>
                <w:szCs w:val="24"/>
                <w:lang w:eastAsia="lv-LV"/>
              </w:rPr>
              <w:t>II. Tiesību akta projekta ietekme uz sabiedrību</w:t>
            </w:r>
          </w:p>
        </w:tc>
      </w:tr>
      <w:tr w:rsidR="005A039A" w:rsidRPr="005A039A" w:rsidTr="000B159B">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1.</w:t>
            </w:r>
          </w:p>
        </w:tc>
        <w:tc>
          <w:tcPr>
            <w:tcW w:w="2875" w:type="dxa"/>
            <w:gridSpan w:val="4"/>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Sabiedrības mērķgrupa</w:t>
            </w:r>
          </w:p>
        </w:tc>
        <w:tc>
          <w:tcPr>
            <w:tcW w:w="5811" w:type="dxa"/>
            <w:gridSpan w:val="3"/>
            <w:tcBorders>
              <w:top w:val="outset" w:sz="6" w:space="0" w:color="auto"/>
              <w:left w:val="outset" w:sz="6" w:space="0" w:color="auto"/>
              <w:bottom w:val="outset" w:sz="6" w:space="0" w:color="auto"/>
              <w:right w:val="outset" w:sz="6" w:space="0" w:color="auto"/>
            </w:tcBorders>
            <w:hideMark/>
          </w:tcPr>
          <w:p w:rsidR="003A73D3" w:rsidRPr="003A73D3" w:rsidRDefault="003A73D3" w:rsidP="003A73D3">
            <w:pPr>
              <w:ind w:left="126" w:right="52"/>
              <w:jc w:val="both"/>
              <w:rPr>
                <w:sz w:val="24"/>
                <w:szCs w:val="24"/>
              </w:rPr>
            </w:pPr>
            <w:r w:rsidRPr="003A73D3">
              <w:rPr>
                <w:sz w:val="24"/>
                <w:szCs w:val="24"/>
              </w:rPr>
              <w:t>Projekta tiesiskais regulējums ir attiecināms uz apliekamām personām.</w:t>
            </w:r>
          </w:p>
          <w:p w:rsidR="004E667B" w:rsidRPr="005A039A" w:rsidRDefault="003A73D3" w:rsidP="003A73D3">
            <w:pPr>
              <w:ind w:left="126" w:right="111"/>
              <w:jc w:val="both"/>
              <w:rPr>
                <w:rFonts w:eastAsia="Times New Roman" w:cs="Times New Roman"/>
                <w:sz w:val="24"/>
                <w:szCs w:val="24"/>
                <w:lang w:eastAsia="lv-LV"/>
              </w:rPr>
            </w:pPr>
            <w:r w:rsidRPr="003A73D3">
              <w:rPr>
                <w:sz w:val="24"/>
                <w:szCs w:val="24"/>
              </w:rPr>
              <w:t>Pēc VID statistikas datiem 2010.gada 1.decembrī VID ar PVN apliekamo personu reģistrā  reģistrētas 83 610 personas.</w:t>
            </w:r>
          </w:p>
        </w:tc>
      </w:tr>
      <w:tr w:rsidR="005A039A" w:rsidRPr="005A039A" w:rsidTr="000B159B">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2.</w:t>
            </w:r>
          </w:p>
        </w:tc>
        <w:tc>
          <w:tcPr>
            <w:tcW w:w="2875" w:type="dxa"/>
            <w:gridSpan w:val="4"/>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Citas sabiedrības grupas (bez mērķgrupas), kuras tiesiskais regulējums arī ietekmē vai varētu ietekmēt</w:t>
            </w:r>
          </w:p>
        </w:tc>
        <w:tc>
          <w:tcPr>
            <w:tcW w:w="5811" w:type="dxa"/>
            <w:gridSpan w:val="3"/>
            <w:tcBorders>
              <w:top w:val="outset" w:sz="6" w:space="0" w:color="auto"/>
              <w:left w:val="outset" w:sz="6" w:space="0" w:color="auto"/>
              <w:bottom w:val="outset" w:sz="6" w:space="0" w:color="auto"/>
              <w:right w:val="outset" w:sz="6" w:space="0" w:color="auto"/>
            </w:tcBorders>
            <w:hideMark/>
          </w:tcPr>
          <w:p w:rsidR="003A73D3" w:rsidRPr="003A73D3" w:rsidRDefault="003A73D3" w:rsidP="003A73D3">
            <w:pPr>
              <w:tabs>
                <w:tab w:val="left" w:pos="190"/>
              </w:tabs>
              <w:snapToGrid w:val="0"/>
              <w:ind w:left="118"/>
              <w:jc w:val="both"/>
              <w:rPr>
                <w:rFonts w:eastAsia="Times New Roman" w:cs="Times New Roman"/>
                <w:sz w:val="24"/>
                <w:szCs w:val="24"/>
                <w:lang w:eastAsia="lv-LV"/>
              </w:rPr>
            </w:pPr>
            <w:r w:rsidRPr="003A73D3">
              <w:rPr>
                <w:rFonts w:eastAsia="Times New Roman" w:cs="Times New Roman"/>
                <w:sz w:val="24"/>
                <w:szCs w:val="24"/>
                <w:lang w:eastAsia="lv-LV"/>
              </w:rPr>
              <w:t>Netieši tiesiskais regulējums ietekmē VID.</w:t>
            </w:r>
          </w:p>
          <w:p w:rsidR="005A039A" w:rsidRPr="00544942" w:rsidRDefault="003A73D3" w:rsidP="003A73D3">
            <w:pPr>
              <w:tabs>
                <w:tab w:val="left" w:pos="190"/>
              </w:tabs>
              <w:snapToGrid w:val="0"/>
              <w:ind w:left="118" w:right="52"/>
              <w:jc w:val="both"/>
              <w:rPr>
                <w:rFonts w:eastAsia="Times New Roman" w:cs="Times New Roman"/>
                <w:sz w:val="24"/>
                <w:szCs w:val="24"/>
                <w:lang w:eastAsia="lv-LV"/>
              </w:rPr>
            </w:pPr>
            <w:r w:rsidRPr="003A73D3">
              <w:rPr>
                <w:rFonts w:eastAsia="Times New Roman" w:cs="Times New Roman"/>
                <w:sz w:val="24"/>
                <w:szCs w:val="24"/>
                <w:lang w:eastAsia="lv-LV"/>
              </w:rPr>
              <w:t xml:space="preserve">Nav iespējams noteikt to VID speciālistu skaitu, kuriem darba pienākumu veikšanai nepieciešams pārzināt noteikumu būtību.   </w:t>
            </w:r>
          </w:p>
        </w:tc>
      </w:tr>
      <w:tr w:rsidR="005A039A" w:rsidRPr="005A039A" w:rsidTr="000B159B">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3.</w:t>
            </w:r>
          </w:p>
        </w:tc>
        <w:tc>
          <w:tcPr>
            <w:tcW w:w="2875" w:type="dxa"/>
            <w:gridSpan w:val="4"/>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Tiesiskā regulējuma finansiālā ietekme</w:t>
            </w:r>
          </w:p>
        </w:tc>
        <w:tc>
          <w:tcPr>
            <w:tcW w:w="5811" w:type="dxa"/>
            <w:gridSpan w:val="3"/>
            <w:tcBorders>
              <w:top w:val="outset" w:sz="6" w:space="0" w:color="auto"/>
              <w:left w:val="outset" w:sz="6" w:space="0" w:color="auto"/>
              <w:bottom w:val="outset" w:sz="6" w:space="0" w:color="auto"/>
              <w:right w:val="outset" w:sz="6" w:space="0" w:color="auto"/>
            </w:tcBorders>
            <w:hideMark/>
          </w:tcPr>
          <w:p w:rsidR="005A039A" w:rsidRPr="009231B6"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w:t>
            </w:r>
            <w:r w:rsidR="00B60C0D">
              <w:rPr>
                <w:rFonts w:eastAsia="Times New Roman" w:cs="Times New Roman"/>
                <w:sz w:val="24"/>
                <w:szCs w:val="24"/>
                <w:lang w:eastAsia="lv-LV"/>
              </w:rPr>
              <w:t xml:space="preserve"> </w:t>
            </w:r>
            <w:r w:rsidR="009231B6" w:rsidRPr="009231B6">
              <w:rPr>
                <w:color w:val="000000"/>
                <w:sz w:val="24"/>
                <w:szCs w:val="24"/>
              </w:rPr>
              <w:t>Nav attiecināms</w:t>
            </w:r>
          </w:p>
        </w:tc>
      </w:tr>
      <w:tr w:rsidR="003A73D3" w:rsidRPr="005A039A" w:rsidTr="000B159B">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3A73D3" w:rsidRPr="005A039A" w:rsidRDefault="003A73D3" w:rsidP="005F0EFE">
            <w:pPr>
              <w:rPr>
                <w:rFonts w:eastAsia="Times New Roman" w:cs="Times New Roman"/>
                <w:sz w:val="24"/>
                <w:szCs w:val="24"/>
                <w:lang w:eastAsia="lv-LV"/>
              </w:rPr>
            </w:pPr>
            <w:r w:rsidRPr="005A039A">
              <w:rPr>
                <w:rFonts w:eastAsia="Times New Roman" w:cs="Times New Roman"/>
                <w:sz w:val="24"/>
                <w:szCs w:val="24"/>
                <w:lang w:eastAsia="lv-LV"/>
              </w:rPr>
              <w:t> 4.</w:t>
            </w:r>
          </w:p>
        </w:tc>
        <w:tc>
          <w:tcPr>
            <w:tcW w:w="2875" w:type="dxa"/>
            <w:gridSpan w:val="4"/>
            <w:tcBorders>
              <w:top w:val="outset" w:sz="6" w:space="0" w:color="auto"/>
              <w:left w:val="outset" w:sz="6" w:space="0" w:color="auto"/>
              <w:bottom w:val="outset" w:sz="6" w:space="0" w:color="auto"/>
              <w:right w:val="outset" w:sz="6" w:space="0" w:color="auto"/>
            </w:tcBorders>
            <w:hideMark/>
          </w:tcPr>
          <w:p w:rsidR="003A73D3" w:rsidRPr="005A039A" w:rsidRDefault="003A73D3" w:rsidP="005F0EFE">
            <w:pPr>
              <w:rPr>
                <w:rFonts w:eastAsia="Times New Roman" w:cs="Times New Roman"/>
                <w:sz w:val="24"/>
                <w:szCs w:val="24"/>
                <w:lang w:eastAsia="lv-LV"/>
              </w:rPr>
            </w:pPr>
            <w:r w:rsidRPr="005A039A">
              <w:rPr>
                <w:rFonts w:eastAsia="Times New Roman" w:cs="Times New Roman"/>
                <w:sz w:val="24"/>
                <w:szCs w:val="24"/>
                <w:lang w:eastAsia="lv-LV"/>
              </w:rPr>
              <w:t> Tiesiskā regulējuma nefinansiālā ietekme</w:t>
            </w:r>
          </w:p>
        </w:tc>
        <w:tc>
          <w:tcPr>
            <w:tcW w:w="5811" w:type="dxa"/>
            <w:gridSpan w:val="3"/>
            <w:tcBorders>
              <w:top w:val="outset" w:sz="6" w:space="0" w:color="auto"/>
              <w:left w:val="outset" w:sz="6" w:space="0" w:color="auto"/>
              <w:bottom w:val="outset" w:sz="6" w:space="0" w:color="auto"/>
              <w:right w:val="outset" w:sz="6" w:space="0" w:color="auto"/>
            </w:tcBorders>
            <w:hideMark/>
          </w:tcPr>
          <w:p w:rsidR="003A73D3" w:rsidRPr="003A73D3" w:rsidRDefault="003A73D3" w:rsidP="003A73D3">
            <w:pPr>
              <w:ind w:left="126"/>
              <w:jc w:val="both"/>
              <w:rPr>
                <w:sz w:val="24"/>
                <w:szCs w:val="24"/>
              </w:rPr>
            </w:pPr>
            <w:r w:rsidRPr="003A73D3">
              <w:rPr>
                <w:sz w:val="24"/>
                <w:szCs w:val="24"/>
              </w:rPr>
              <w:t>Noteikumu projekts nodrošinās vienotu izpratni par atsevišķu likuma normu piemērošanu un novērsīs to dažādas interpretēšanas iespējas.</w:t>
            </w:r>
          </w:p>
        </w:tc>
      </w:tr>
      <w:tr w:rsidR="003A73D3" w:rsidRPr="005A039A" w:rsidTr="000B159B">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3A73D3" w:rsidRPr="005A039A" w:rsidRDefault="003A73D3" w:rsidP="005F0EFE">
            <w:pPr>
              <w:rPr>
                <w:rFonts w:eastAsia="Times New Roman" w:cs="Times New Roman"/>
                <w:sz w:val="24"/>
                <w:szCs w:val="24"/>
                <w:lang w:eastAsia="lv-LV"/>
              </w:rPr>
            </w:pPr>
            <w:r w:rsidRPr="005A039A">
              <w:rPr>
                <w:rFonts w:eastAsia="Times New Roman" w:cs="Times New Roman"/>
                <w:sz w:val="24"/>
                <w:szCs w:val="24"/>
                <w:lang w:eastAsia="lv-LV"/>
              </w:rPr>
              <w:t> 5.</w:t>
            </w:r>
          </w:p>
        </w:tc>
        <w:tc>
          <w:tcPr>
            <w:tcW w:w="2875" w:type="dxa"/>
            <w:gridSpan w:val="4"/>
            <w:tcBorders>
              <w:top w:val="outset" w:sz="6" w:space="0" w:color="auto"/>
              <w:left w:val="outset" w:sz="6" w:space="0" w:color="auto"/>
              <w:bottom w:val="outset" w:sz="6" w:space="0" w:color="auto"/>
              <w:right w:val="outset" w:sz="6" w:space="0" w:color="auto"/>
            </w:tcBorders>
            <w:hideMark/>
          </w:tcPr>
          <w:p w:rsidR="003A73D3" w:rsidRPr="005A039A" w:rsidRDefault="003A73D3" w:rsidP="005F0EFE">
            <w:pPr>
              <w:rPr>
                <w:rFonts w:eastAsia="Times New Roman" w:cs="Times New Roman"/>
                <w:sz w:val="24"/>
                <w:szCs w:val="24"/>
                <w:lang w:eastAsia="lv-LV"/>
              </w:rPr>
            </w:pPr>
            <w:r w:rsidRPr="005A039A">
              <w:rPr>
                <w:rFonts w:eastAsia="Times New Roman" w:cs="Times New Roman"/>
                <w:sz w:val="24"/>
                <w:szCs w:val="24"/>
                <w:lang w:eastAsia="lv-LV"/>
              </w:rPr>
              <w:t> Administratīvās procedūras raksturojums</w:t>
            </w:r>
          </w:p>
        </w:tc>
        <w:tc>
          <w:tcPr>
            <w:tcW w:w="5811" w:type="dxa"/>
            <w:gridSpan w:val="3"/>
            <w:tcBorders>
              <w:top w:val="outset" w:sz="6" w:space="0" w:color="auto"/>
              <w:left w:val="outset" w:sz="6" w:space="0" w:color="auto"/>
              <w:bottom w:val="outset" w:sz="6" w:space="0" w:color="auto"/>
              <w:right w:val="outset" w:sz="6" w:space="0" w:color="auto"/>
            </w:tcBorders>
            <w:hideMark/>
          </w:tcPr>
          <w:p w:rsidR="003A73D3" w:rsidRDefault="003A73D3" w:rsidP="003A73D3">
            <w:pPr>
              <w:ind w:left="126"/>
              <w:jc w:val="both"/>
              <w:rPr>
                <w:sz w:val="24"/>
                <w:szCs w:val="24"/>
              </w:rPr>
            </w:pPr>
            <w:r w:rsidRPr="003A73D3">
              <w:rPr>
                <w:sz w:val="24"/>
                <w:szCs w:val="24"/>
              </w:rPr>
              <w:t xml:space="preserve">Personai, kura vēlēsies darboties kā fiskālais  pārstāvis, jāreģistrējas VID ar PVN apliekamo personu reģistrā un jāiesniedz iesniegums reģistrācijai VID ar PVN apliekamo personu reģistrā. Ar noteikumu projektu netiek paredzētas izmaiņas personu reģistrācijas kārtībā VID ar PVN </w:t>
            </w:r>
            <w:r w:rsidRPr="003A73D3">
              <w:rPr>
                <w:sz w:val="24"/>
                <w:szCs w:val="24"/>
              </w:rPr>
              <w:lastRenderedPageBreak/>
              <w:t>apliekamo personu reģistrā.</w:t>
            </w:r>
          </w:p>
          <w:p w:rsidR="003A73D3" w:rsidRPr="003A73D3" w:rsidRDefault="003A73D3" w:rsidP="003A73D3">
            <w:pPr>
              <w:ind w:left="126"/>
              <w:jc w:val="both"/>
              <w:rPr>
                <w:sz w:val="24"/>
                <w:szCs w:val="24"/>
              </w:rPr>
            </w:pPr>
            <w:r w:rsidRPr="003A73D3">
              <w:rPr>
                <w:sz w:val="24"/>
                <w:szCs w:val="24"/>
              </w:rPr>
              <w:t xml:space="preserve">Minēto iesniegumu VID iespējams nosūtīt elektroniski.  </w:t>
            </w:r>
          </w:p>
          <w:p w:rsidR="003A73D3" w:rsidRPr="003A73D3" w:rsidRDefault="003A73D3" w:rsidP="003A73D3">
            <w:pPr>
              <w:ind w:left="126"/>
              <w:jc w:val="both"/>
              <w:rPr>
                <w:sz w:val="24"/>
                <w:szCs w:val="24"/>
              </w:rPr>
            </w:pPr>
            <w:r w:rsidRPr="003A73D3">
              <w:rPr>
                <w:sz w:val="24"/>
                <w:szCs w:val="24"/>
              </w:rPr>
              <w:t>Iesniedzamā informācija nav iegūstama no citām institūcijām.</w:t>
            </w:r>
          </w:p>
          <w:p w:rsidR="003A73D3" w:rsidRPr="003A73D3" w:rsidRDefault="003A73D3" w:rsidP="003A73D3">
            <w:pPr>
              <w:ind w:left="126"/>
              <w:jc w:val="both"/>
              <w:rPr>
                <w:sz w:val="24"/>
                <w:szCs w:val="24"/>
              </w:rPr>
            </w:pPr>
            <w:r w:rsidRPr="003A73D3">
              <w:rPr>
                <w:sz w:val="24"/>
                <w:szCs w:val="24"/>
              </w:rPr>
              <w:t>Saņemtā</w:t>
            </w:r>
            <w:r>
              <w:rPr>
                <w:sz w:val="24"/>
                <w:szCs w:val="24"/>
              </w:rPr>
              <w:t xml:space="preserve"> informācija tiks uzglabāta VID datu bāzē.</w:t>
            </w:r>
          </w:p>
        </w:tc>
      </w:tr>
      <w:tr w:rsidR="005A039A" w:rsidRPr="005A039A" w:rsidTr="000B159B">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lastRenderedPageBreak/>
              <w:t> 6.</w:t>
            </w:r>
          </w:p>
        </w:tc>
        <w:tc>
          <w:tcPr>
            <w:tcW w:w="2875" w:type="dxa"/>
            <w:gridSpan w:val="4"/>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Administratīvo izmaksu monetārs novērtējums</w:t>
            </w:r>
          </w:p>
        </w:tc>
        <w:tc>
          <w:tcPr>
            <w:tcW w:w="5811" w:type="dxa"/>
            <w:gridSpan w:val="3"/>
            <w:tcBorders>
              <w:top w:val="outset" w:sz="6" w:space="0" w:color="auto"/>
              <w:left w:val="outset" w:sz="6" w:space="0" w:color="auto"/>
              <w:bottom w:val="outset" w:sz="6" w:space="0" w:color="auto"/>
              <w:right w:val="outset" w:sz="6" w:space="0" w:color="auto"/>
            </w:tcBorders>
            <w:hideMark/>
          </w:tcPr>
          <w:p w:rsidR="00912059" w:rsidRDefault="005A039A" w:rsidP="005F0EFE">
            <w:pPr>
              <w:rPr>
                <w:color w:val="000000"/>
                <w:sz w:val="24"/>
                <w:szCs w:val="24"/>
              </w:rPr>
            </w:pPr>
            <w:r w:rsidRPr="005A039A">
              <w:rPr>
                <w:rFonts w:eastAsia="Times New Roman" w:cs="Times New Roman"/>
                <w:sz w:val="24"/>
                <w:szCs w:val="24"/>
                <w:lang w:eastAsia="lv-LV"/>
              </w:rPr>
              <w:t> </w:t>
            </w:r>
            <w:r w:rsidR="00B60C0D">
              <w:rPr>
                <w:rFonts w:eastAsia="Times New Roman" w:cs="Times New Roman"/>
                <w:sz w:val="24"/>
                <w:szCs w:val="24"/>
                <w:lang w:eastAsia="lv-LV"/>
              </w:rPr>
              <w:t xml:space="preserve"> </w:t>
            </w:r>
            <w:r w:rsidR="00B60C0D" w:rsidRPr="009231B6">
              <w:rPr>
                <w:color w:val="000000"/>
                <w:sz w:val="24"/>
                <w:szCs w:val="24"/>
              </w:rPr>
              <w:t>Nav attiecināms</w:t>
            </w:r>
          </w:p>
          <w:p w:rsidR="00912059" w:rsidRPr="005A039A" w:rsidRDefault="00912059" w:rsidP="005F0EFE">
            <w:pPr>
              <w:rPr>
                <w:rFonts w:eastAsia="Times New Roman" w:cs="Times New Roman"/>
                <w:sz w:val="24"/>
                <w:szCs w:val="24"/>
                <w:lang w:eastAsia="lv-LV"/>
              </w:rPr>
            </w:pPr>
          </w:p>
        </w:tc>
      </w:tr>
      <w:tr w:rsidR="005A039A" w:rsidRPr="005A039A" w:rsidTr="00797FA6">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7.</w:t>
            </w:r>
          </w:p>
        </w:tc>
        <w:tc>
          <w:tcPr>
            <w:tcW w:w="2875" w:type="dxa"/>
            <w:gridSpan w:val="4"/>
            <w:tcBorders>
              <w:top w:val="outset" w:sz="6" w:space="0" w:color="auto"/>
              <w:left w:val="outset" w:sz="6" w:space="0" w:color="auto"/>
              <w:bottom w:val="outset" w:sz="6" w:space="0" w:color="auto"/>
              <w:right w:val="outset" w:sz="6" w:space="0" w:color="auto"/>
            </w:tcBorders>
            <w:hideMark/>
          </w:tcPr>
          <w:p w:rsidR="00912059" w:rsidRPr="005A039A" w:rsidRDefault="005A039A" w:rsidP="00CD537F">
            <w:pPr>
              <w:rPr>
                <w:rFonts w:eastAsia="Times New Roman" w:cs="Times New Roman"/>
                <w:sz w:val="24"/>
                <w:szCs w:val="24"/>
                <w:lang w:eastAsia="lv-LV"/>
              </w:rPr>
            </w:pPr>
            <w:r w:rsidRPr="005A039A">
              <w:rPr>
                <w:rFonts w:eastAsia="Times New Roman" w:cs="Times New Roman"/>
                <w:sz w:val="24"/>
                <w:szCs w:val="24"/>
                <w:lang w:eastAsia="lv-LV"/>
              </w:rPr>
              <w:t> Cita informācija</w:t>
            </w:r>
          </w:p>
        </w:tc>
        <w:tc>
          <w:tcPr>
            <w:tcW w:w="5811" w:type="dxa"/>
            <w:gridSpan w:val="3"/>
            <w:tcBorders>
              <w:top w:val="outset" w:sz="6" w:space="0" w:color="auto"/>
              <w:left w:val="outset" w:sz="6" w:space="0" w:color="auto"/>
              <w:bottom w:val="outset" w:sz="6" w:space="0" w:color="auto"/>
              <w:right w:val="outset" w:sz="6" w:space="0" w:color="auto"/>
            </w:tcBorders>
            <w:hideMark/>
          </w:tcPr>
          <w:p w:rsidR="00CA4DC4" w:rsidRPr="00CA4DC4" w:rsidRDefault="00004CCF" w:rsidP="005F0EFE">
            <w:pPr>
              <w:ind w:left="126"/>
              <w:jc w:val="both"/>
              <w:rPr>
                <w:rFonts w:eastAsia="Times New Roman" w:cs="Times New Roman"/>
                <w:sz w:val="24"/>
                <w:szCs w:val="24"/>
                <w:lang w:eastAsia="lv-LV"/>
              </w:rPr>
            </w:pPr>
            <w:r>
              <w:rPr>
                <w:rFonts w:eastAsia="Times New Roman" w:cs="Times New Roman"/>
                <w:sz w:val="24"/>
                <w:szCs w:val="24"/>
                <w:lang w:eastAsia="lv-LV"/>
              </w:rPr>
              <w:t>Nav</w:t>
            </w:r>
          </w:p>
        </w:tc>
      </w:tr>
      <w:tr w:rsidR="00797FA6" w:rsidRPr="005A039A" w:rsidTr="000B159B">
        <w:trPr>
          <w:tblCellSpacing w:w="0" w:type="dxa"/>
        </w:trPr>
        <w:tc>
          <w:tcPr>
            <w:tcW w:w="9214" w:type="dxa"/>
            <w:gridSpan w:val="8"/>
            <w:tcBorders>
              <w:top w:val="outset" w:sz="6" w:space="0" w:color="auto"/>
              <w:left w:val="outset" w:sz="6" w:space="0" w:color="auto"/>
              <w:bottom w:val="outset" w:sz="6" w:space="0" w:color="auto"/>
              <w:right w:val="outset" w:sz="6" w:space="0" w:color="auto"/>
            </w:tcBorders>
            <w:hideMark/>
          </w:tcPr>
          <w:p w:rsidR="00797FA6" w:rsidRPr="001119FE" w:rsidRDefault="00797FA6" w:rsidP="001119FE">
            <w:pPr>
              <w:jc w:val="center"/>
              <w:rPr>
                <w:rFonts w:eastAsia="Times New Roman" w:cs="Times New Roman"/>
                <w:b/>
                <w:sz w:val="24"/>
                <w:szCs w:val="24"/>
                <w:lang w:eastAsia="lv-LV"/>
              </w:rPr>
            </w:pPr>
            <w:r w:rsidRPr="001119FE">
              <w:rPr>
                <w:rFonts w:eastAsia="Times New Roman" w:cs="Times New Roman"/>
                <w:b/>
                <w:sz w:val="24"/>
                <w:szCs w:val="24"/>
                <w:lang w:eastAsia="lv-LV"/>
              </w:rPr>
              <w:t>IV. Tiesību akta projekta ietekme uz spēkā esošo tiesību normu sistēmu</w:t>
            </w:r>
          </w:p>
        </w:tc>
      </w:tr>
      <w:tr w:rsidR="00797FA6" w:rsidRPr="005A039A" w:rsidTr="000B159B">
        <w:trPr>
          <w:tblCellSpacing w:w="0" w:type="dxa"/>
        </w:trPr>
        <w:tc>
          <w:tcPr>
            <w:tcW w:w="1185" w:type="dxa"/>
            <w:gridSpan w:val="3"/>
            <w:tcBorders>
              <w:top w:val="outset" w:sz="6" w:space="0" w:color="auto"/>
              <w:left w:val="outset" w:sz="6" w:space="0" w:color="auto"/>
              <w:bottom w:val="outset" w:sz="6" w:space="0" w:color="auto"/>
              <w:right w:val="outset" w:sz="6" w:space="0" w:color="auto"/>
            </w:tcBorders>
            <w:hideMark/>
          </w:tcPr>
          <w:p w:rsidR="00797FA6" w:rsidRPr="005A039A" w:rsidRDefault="00797FA6" w:rsidP="005F0EFE">
            <w:pPr>
              <w:rPr>
                <w:rFonts w:eastAsia="Times New Roman" w:cs="Times New Roman"/>
                <w:sz w:val="24"/>
                <w:szCs w:val="24"/>
                <w:lang w:eastAsia="lv-LV"/>
              </w:rPr>
            </w:pPr>
            <w:r w:rsidRPr="005A039A">
              <w:rPr>
                <w:rFonts w:eastAsia="Times New Roman" w:cs="Times New Roman"/>
                <w:sz w:val="24"/>
                <w:szCs w:val="24"/>
                <w:lang w:eastAsia="lv-LV"/>
              </w:rPr>
              <w:t> 1.</w:t>
            </w:r>
          </w:p>
        </w:tc>
        <w:tc>
          <w:tcPr>
            <w:tcW w:w="3327" w:type="dxa"/>
            <w:gridSpan w:val="4"/>
            <w:tcBorders>
              <w:top w:val="outset" w:sz="6" w:space="0" w:color="auto"/>
              <w:left w:val="outset" w:sz="6" w:space="0" w:color="auto"/>
              <w:bottom w:val="outset" w:sz="6" w:space="0" w:color="auto"/>
              <w:right w:val="outset" w:sz="6" w:space="0" w:color="auto"/>
            </w:tcBorders>
            <w:hideMark/>
          </w:tcPr>
          <w:p w:rsidR="00797FA6" w:rsidRPr="005A039A" w:rsidRDefault="00797FA6" w:rsidP="005F0EFE">
            <w:pPr>
              <w:rPr>
                <w:rFonts w:eastAsia="Times New Roman" w:cs="Times New Roman"/>
                <w:sz w:val="24"/>
                <w:szCs w:val="24"/>
                <w:lang w:eastAsia="lv-LV"/>
              </w:rPr>
            </w:pPr>
            <w:r w:rsidRPr="005A039A">
              <w:rPr>
                <w:rFonts w:eastAsia="Times New Roman" w:cs="Times New Roman"/>
                <w:sz w:val="24"/>
                <w:szCs w:val="24"/>
                <w:lang w:eastAsia="lv-LV"/>
              </w:rPr>
              <w:t> Nepieciešamie saistītie tiesību aktu projekti</w:t>
            </w:r>
          </w:p>
        </w:tc>
        <w:tc>
          <w:tcPr>
            <w:tcW w:w="4702" w:type="dxa"/>
            <w:tcBorders>
              <w:top w:val="outset" w:sz="6" w:space="0" w:color="auto"/>
              <w:left w:val="outset" w:sz="6" w:space="0" w:color="auto"/>
              <w:bottom w:val="outset" w:sz="6" w:space="0" w:color="auto"/>
              <w:right w:val="outset" w:sz="6" w:space="0" w:color="auto"/>
            </w:tcBorders>
            <w:hideMark/>
          </w:tcPr>
          <w:p w:rsidR="00797FA6" w:rsidRPr="005A039A" w:rsidRDefault="003A73D3" w:rsidP="005F0EFE">
            <w:pPr>
              <w:autoSpaceDE w:val="0"/>
              <w:autoSpaceDN w:val="0"/>
              <w:adjustRightInd w:val="0"/>
              <w:ind w:left="151" w:right="127"/>
              <w:jc w:val="both"/>
              <w:rPr>
                <w:rFonts w:eastAsia="Times New Roman" w:cs="Times New Roman"/>
                <w:sz w:val="24"/>
                <w:szCs w:val="24"/>
                <w:lang w:eastAsia="lv-LV"/>
              </w:rPr>
            </w:pPr>
            <w:r>
              <w:rPr>
                <w:rFonts w:eastAsia="Times New Roman" w:cs="Times New Roman"/>
                <w:sz w:val="24"/>
                <w:szCs w:val="24"/>
                <w:lang w:eastAsia="lv-LV"/>
              </w:rPr>
              <w:t xml:space="preserve">Ar noteikumu projektu spēkā stāšanos spēku zaudēs </w:t>
            </w:r>
            <w:r w:rsidRPr="003A73D3">
              <w:rPr>
                <w:rFonts w:eastAsia="Times New Roman" w:cs="Times New Roman"/>
                <w:sz w:val="24"/>
                <w:szCs w:val="24"/>
                <w:lang w:eastAsia="lv-LV"/>
              </w:rPr>
              <w:t>Ministru kabine</w:t>
            </w:r>
            <w:r>
              <w:rPr>
                <w:rFonts w:eastAsia="Times New Roman" w:cs="Times New Roman"/>
                <w:sz w:val="24"/>
                <w:szCs w:val="24"/>
                <w:lang w:eastAsia="lv-LV"/>
              </w:rPr>
              <w:t>ta 2006.gada 28.marta noteikumi</w:t>
            </w:r>
            <w:r w:rsidRPr="003A73D3">
              <w:rPr>
                <w:rFonts w:eastAsia="Times New Roman" w:cs="Times New Roman"/>
                <w:sz w:val="24"/>
                <w:szCs w:val="24"/>
                <w:lang w:eastAsia="lv-LV"/>
              </w:rPr>
              <w:t xml:space="preserve"> Nr.239 „Kārtība, kādā Valsts ieņēmumu dienests personu izslēdz no Valsts ieņēmumu dienesta ar pievienotās vērtības nodokli apliekamo personu reģistra”</w:t>
            </w:r>
            <w:r w:rsidR="00D55898">
              <w:rPr>
                <w:rFonts w:eastAsia="Times New Roman" w:cs="Times New Roman"/>
                <w:sz w:val="24"/>
                <w:szCs w:val="24"/>
                <w:lang w:eastAsia="lv-LV"/>
              </w:rPr>
              <w:t>.</w:t>
            </w:r>
          </w:p>
        </w:tc>
      </w:tr>
      <w:tr w:rsidR="001B0345" w:rsidRPr="005A039A" w:rsidTr="000B159B">
        <w:trPr>
          <w:tblCellSpacing w:w="0" w:type="dxa"/>
        </w:trPr>
        <w:tc>
          <w:tcPr>
            <w:tcW w:w="1185" w:type="dxa"/>
            <w:gridSpan w:val="3"/>
            <w:tcBorders>
              <w:top w:val="outset" w:sz="6" w:space="0" w:color="auto"/>
              <w:left w:val="outset" w:sz="6" w:space="0" w:color="auto"/>
              <w:bottom w:val="outset" w:sz="6" w:space="0" w:color="auto"/>
              <w:right w:val="outset" w:sz="6" w:space="0" w:color="auto"/>
            </w:tcBorders>
            <w:hideMark/>
          </w:tcPr>
          <w:p w:rsidR="001B0345" w:rsidRPr="005A039A" w:rsidRDefault="001B0345" w:rsidP="005F0EFE">
            <w:pPr>
              <w:rPr>
                <w:rFonts w:eastAsia="Times New Roman" w:cs="Times New Roman"/>
                <w:sz w:val="24"/>
                <w:szCs w:val="24"/>
                <w:lang w:eastAsia="lv-LV"/>
              </w:rPr>
            </w:pPr>
            <w:r w:rsidRPr="005A039A">
              <w:rPr>
                <w:rFonts w:eastAsia="Times New Roman" w:cs="Times New Roman"/>
                <w:sz w:val="24"/>
                <w:szCs w:val="24"/>
                <w:lang w:eastAsia="lv-LV"/>
              </w:rPr>
              <w:t> 2.</w:t>
            </w:r>
          </w:p>
        </w:tc>
        <w:tc>
          <w:tcPr>
            <w:tcW w:w="3327" w:type="dxa"/>
            <w:gridSpan w:val="4"/>
            <w:tcBorders>
              <w:top w:val="outset" w:sz="6" w:space="0" w:color="auto"/>
              <w:left w:val="outset" w:sz="6" w:space="0" w:color="auto"/>
              <w:bottom w:val="outset" w:sz="6" w:space="0" w:color="auto"/>
              <w:right w:val="outset" w:sz="6" w:space="0" w:color="auto"/>
            </w:tcBorders>
            <w:hideMark/>
          </w:tcPr>
          <w:p w:rsidR="001B0345" w:rsidRPr="005A039A" w:rsidRDefault="001B0345" w:rsidP="005F0EFE">
            <w:pPr>
              <w:rPr>
                <w:rFonts w:eastAsia="Times New Roman" w:cs="Times New Roman"/>
                <w:sz w:val="24"/>
                <w:szCs w:val="24"/>
                <w:lang w:eastAsia="lv-LV"/>
              </w:rPr>
            </w:pPr>
            <w:r w:rsidRPr="005A039A">
              <w:rPr>
                <w:rFonts w:eastAsia="Times New Roman" w:cs="Times New Roman"/>
                <w:sz w:val="24"/>
                <w:szCs w:val="24"/>
                <w:lang w:eastAsia="lv-LV"/>
              </w:rPr>
              <w:t> Cita informācija</w:t>
            </w:r>
          </w:p>
        </w:tc>
        <w:tc>
          <w:tcPr>
            <w:tcW w:w="4702" w:type="dxa"/>
            <w:tcBorders>
              <w:top w:val="outset" w:sz="6" w:space="0" w:color="auto"/>
              <w:left w:val="outset" w:sz="6" w:space="0" w:color="auto"/>
              <w:bottom w:val="outset" w:sz="6" w:space="0" w:color="auto"/>
              <w:right w:val="outset" w:sz="6" w:space="0" w:color="auto"/>
            </w:tcBorders>
            <w:hideMark/>
          </w:tcPr>
          <w:p w:rsidR="001B0345" w:rsidRPr="005A039A" w:rsidRDefault="001B0345" w:rsidP="005F0EFE">
            <w:pPr>
              <w:rPr>
                <w:rFonts w:eastAsia="Times New Roman" w:cs="Times New Roman"/>
                <w:sz w:val="24"/>
                <w:szCs w:val="24"/>
                <w:lang w:eastAsia="lv-LV"/>
              </w:rPr>
            </w:pPr>
            <w:r w:rsidRPr="005A039A">
              <w:rPr>
                <w:rFonts w:eastAsia="Times New Roman" w:cs="Times New Roman"/>
                <w:sz w:val="24"/>
                <w:szCs w:val="24"/>
                <w:lang w:eastAsia="lv-LV"/>
              </w:rPr>
              <w:t> Nav</w:t>
            </w:r>
          </w:p>
        </w:tc>
      </w:tr>
      <w:tr w:rsidR="00797FA6" w:rsidRPr="005A039A" w:rsidTr="000B159B">
        <w:trPr>
          <w:tblCellSpacing w:w="0" w:type="dxa"/>
        </w:trPr>
        <w:tc>
          <w:tcPr>
            <w:tcW w:w="9214" w:type="dxa"/>
            <w:gridSpan w:val="8"/>
            <w:tcBorders>
              <w:top w:val="outset" w:sz="6" w:space="0" w:color="auto"/>
              <w:left w:val="outset" w:sz="6" w:space="0" w:color="auto"/>
              <w:bottom w:val="outset" w:sz="6" w:space="0" w:color="auto"/>
              <w:right w:val="outset" w:sz="6" w:space="0" w:color="auto"/>
            </w:tcBorders>
            <w:hideMark/>
          </w:tcPr>
          <w:p w:rsidR="00797FA6" w:rsidRPr="005A039A" w:rsidRDefault="00797FA6" w:rsidP="001119FE">
            <w:pPr>
              <w:jc w:val="center"/>
              <w:rPr>
                <w:rFonts w:eastAsia="Times New Roman" w:cs="Times New Roman"/>
                <w:sz w:val="24"/>
                <w:szCs w:val="24"/>
                <w:lang w:eastAsia="lv-LV"/>
              </w:rPr>
            </w:pPr>
            <w:r w:rsidRPr="005A039A">
              <w:rPr>
                <w:rFonts w:eastAsia="Times New Roman" w:cs="Times New Roman"/>
                <w:b/>
                <w:bCs/>
                <w:sz w:val="24"/>
                <w:szCs w:val="24"/>
                <w:lang w:eastAsia="lv-LV"/>
              </w:rPr>
              <w:t>VII. Tiesību akta projekta izpildes nodrošināšana un tās ietekme uz institūcijām</w:t>
            </w:r>
          </w:p>
        </w:tc>
      </w:tr>
      <w:tr w:rsidR="00797FA6" w:rsidRPr="005A039A" w:rsidTr="000B159B">
        <w:trPr>
          <w:tblCellSpacing w:w="0" w:type="dxa"/>
        </w:trPr>
        <w:tc>
          <w:tcPr>
            <w:tcW w:w="633" w:type="dxa"/>
            <w:gridSpan w:val="2"/>
            <w:tcBorders>
              <w:top w:val="outset" w:sz="6" w:space="0" w:color="auto"/>
              <w:left w:val="outset" w:sz="6" w:space="0" w:color="auto"/>
              <w:bottom w:val="outset" w:sz="6" w:space="0" w:color="auto"/>
              <w:right w:val="outset" w:sz="6" w:space="0" w:color="auto"/>
            </w:tcBorders>
            <w:hideMark/>
          </w:tcPr>
          <w:p w:rsidR="00797FA6" w:rsidRPr="005A039A" w:rsidRDefault="00797FA6" w:rsidP="005F0EFE">
            <w:pPr>
              <w:rPr>
                <w:rFonts w:eastAsia="Times New Roman" w:cs="Times New Roman"/>
                <w:sz w:val="24"/>
                <w:szCs w:val="24"/>
                <w:lang w:eastAsia="lv-LV"/>
              </w:rPr>
            </w:pPr>
            <w:r w:rsidRPr="005A039A">
              <w:rPr>
                <w:rFonts w:eastAsia="Times New Roman" w:cs="Times New Roman"/>
                <w:sz w:val="24"/>
                <w:szCs w:val="24"/>
                <w:lang w:eastAsia="lv-LV"/>
              </w:rPr>
              <w:t> 1.</w:t>
            </w:r>
          </w:p>
        </w:tc>
        <w:tc>
          <w:tcPr>
            <w:tcW w:w="3620" w:type="dxa"/>
            <w:gridSpan w:val="4"/>
            <w:tcBorders>
              <w:top w:val="outset" w:sz="6" w:space="0" w:color="auto"/>
              <w:left w:val="outset" w:sz="6" w:space="0" w:color="auto"/>
              <w:bottom w:val="outset" w:sz="6" w:space="0" w:color="auto"/>
              <w:right w:val="outset" w:sz="6" w:space="0" w:color="auto"/>
            </w:tcBorders>
            <w:hideMark/>
          </w:tcPr>
          <w:p w:rsidR="00797FA6" w:rsidRPr="005A039A" w:rsidRDefault="00797FA6" w:rsidP="005F0EFE">
            <w:pPr>
              <w:rPr>
                <w:rFonts w:eastAsia="Times New Roman" w:cs="Times New Roman"/>
                <w:sz w:val="24"/>
                <w:szCs w:val="24"/>
                <w:lang w:eastAsia="lv-LV"/>
              </w:rPr>
            </w:pPr>
            <w:r w:rsidRPr="005A039A">
              <w:rPr>
                <w:rFonts w:eastAsia="Times New Roman" w:cs="Times New Roman"/>
                <w:sz w:val="24"/>
                <w:szCs w:val="24"/>
                <w:lang w:eastAsia="lv-LV"/>
              </w:rPr>
              <w:t> Projekta izpildē iesaistītās institūcijas</w:t>
            </w:r>
          </w:p>
        </w:tc>
        <w:tc>
          <w:tcPr>
            <w:tcW w:w="4961" w:type="dxa"/>
            <w:gridSpan w:val="2"/>
            <w:tcBorders>
              <w:top w:val="outset" w:sz="6" w:space="0" w:color="auto"/>
              <w:left w:val="outset" w:sz="6" w:space="0" w:color="auto"/>
              <w:bottom w:val="outset" w:sz="6" w:space="0" w:color="auto"/>
              <w:right w:val="outset" w:sz="6" w:space="0" w:color="auto"/>
            </w:tcBorders>
            <w:hideMark/>
          </w:tcPr>
          <w:p w:rsidR="00797FA6" w:rsidRDefault="00797FA6" w:rsidP="005F0EFE">
            <w:pPr>
              <w:ind w:left="126" w:hanging="126"/>
              <w:rPr>
                <w:sz w:val="24"/>
                <w:szCs w:val="24"/>
                <w:lang w:eastAsia="lv-LV"/>
              </w:rPr>
            </w:pPr>
            <w:r w:rsidRPr="005A039A">
              <w:rPr>
                <w:rFonts w:eastAsia="Times New Roman" w:cs="Times New Roman"/>
                <w:sz w:val="24"/>
                <w:szCs w:val="24"/>
                <w:lang w:eastAsia="lv-LV"/>
              </w:rPr>
              <w:t> </w:t>
            </w:r>
            <w:r>
              <w:rPr>
                <w:sz w:val="24"/>
                <w:szCs w:val="24"/>
                <w:lang w:eastAsia="lv-LV"/>
              </w:rPr>
              <w:t xml:space="preserve"> VID</w:t>
            </w:r>
          </w:p>
          <w:p w:rsidR="00797FA6" w:rsidRPr="005A039A" w:rsidRDefault="00797FA6" w:rsidP="005F0EFE">
            <w:pPr>
              <w:rPr>
                <w:rFonts w:eastAsia="Times New Roman" w:cs="Times New Roman"/>
                <w:sz w:val="24"/>
                <w:szCs w:val="24"/>
                <w:lang w:eastAsia="lv-LV"/>
              </w:rPr>
            </w:pPr>
          </w:p>
        </w:tc>
      </w:tr>
      <w:tr w:rsidR="00797FA6" w:rsidRPr="005A039A" w:rsidTr="000B159B">
        <w:trPr>
          <w:tblCellSpacing w:w="0" w:type="dxa"/>
        </w:trPr>
        <w:tc>
          <w:tcPr>
            <w:tcW w:w="633" w:type="dxa"/>
            <w:gridSpan w:val="2"/>
            <w:tcBorders>
              <w:top w:val="outset" w:sz="6" w:space="0" w:color="auto"/>
              <w:left w:val="outset" w:sz="6" w:space="0" w:color="auto"/>
              <w:bottom w:val="outset" w:sz="6" w:space="0" w:color="auto"/>
              <w:right w:val="outset" w:sz="6" w:space="0" w:color="auto"/>
            </w:tcBorders>
            <w:hideMark/>
          </w:tcPr>
          <w:p w:rsidR="00797FA6" w:rsidRPr="005A039A" w:rsidRDefault="00797FA6" w:rsidP="005F0EFE">
            <w:pPr>
              <w:rPr>
                <w:rFonts w:eastAsia="Times New Roman" w:cs="Times New Roman"/>
                <w:sz w:val="24"/>
                <w:szCs w:val="24"/>
                <w:lang w:eastAsia="lv-LV"/>
              </w:rPr>
            </w:pPr>
            <w:r w:rsidRPr="005A039A">
              <w:rPr>
                <w:rFonts w:eastAsia="Times New Roman" w:cs="Times New Roman"/>
                <w:sz w:val="24"/>
                <w:szCs w:val="24"/>
                <w:lang w:eastAsia="lv-LV"/>
              </w:rPr>
              <w:t> 2.</w:t>
            </w:r>
          </w:p>
        </w:tc>
        <w:tc>
          <w:tcPr>
            <w:tcW w:w="3620" w:type="dxa"/>
            <w:gridSpan w:val="4"/>
            <w:tcBorders>
              <w:top w:val="outset" w:sz="6" w:space="0" w:color="auto"/>
              <w:left w:val="outset" w:sz="6" w:space="0" w:color="auto"/>
              <w:bottom w:val="outset" w:sz="6" w:space="0" w:color="auto"/>
              <w:right w:val="outset" w:sz="6" w:space="0" w:color="auto"/>
            </w:tcBorders>
            <w:hideMark/>
          </w:tcPr>
          <w:p w:rsidR="00797FA6" w:rsidRPr="005A039A" w:rsidRDefault="00797FA6" w:rsidP="005F0EFE">
            <w:pPr>
              <w:rPr>
                <w:rFonts w:eastAsia="Times New Roman" w:cs="Times New Roman"/>
                <w:sz w:val="24"/>
                <w:szCs w:val="24"/>
                <w:lang w:eastAsia="lv-LV"/>
              </w:rPr>
            </w:pPr>
            <w:r w:rsidRPr="005A039A">
              <w:rPr>
                <w:rFonts w:eastAsia="Times New Roman" w:cs="Times New Roman"/>
                <w:sz w:val="24"/>
                <w:szCs w:val="24"/>
                <w:lang w:eastAsia="lv-LV"/>
              </w:rPr>
              <w:t> Projekta izpildes ietekme uz pārvaldes funkcijām</w:t>
            </w:r>
          </w:p>
        </w:tc>
        <w:tc>
          <w:tcPr>
            <w:tcW w:w="4961" w:type="dxa"/>
            <w:gridSpan w:val="2"/>
            <w:tcBorders>
              <w:top w:val="outset" w:sz="6" w:space="0" w:color="auto"/>
              <w:left w:val="outset" w:sz="6" w:space="0" w:color="auto"/>
              <w:bottom w:val="outset" w:sz="6" w:space="0" w:color="auto"/>
              <w:right w:val="outset" w:sz="6" w:space="0" w:color="auto"/>
            </w:tcBorders>
            <w:hideMark/>
          </w:tcPr>
          <w:p w:rsidR="00797FA6" w:rsidRPr="00CC2272" w:rsidRDefault="00797FA6" w:rsidP="005F0EFE">
            <w:pPr>
              <w:rPr>
                <w:rFonts w:eastAsia="Times New Roman" w:cs="Times New Roman"/>
                <w:sz w:val="24"/>
                <w:szCs w:val="24"/>
                <w:lang w:eastAsia="lv-LV"/>
              </w:rPr>
            </w:pPr>
            <w:r w:rsidRPr="005A039A">
              <w:rPr>
                <w:rFonts w:eastAsia="Times New Roman" w:cs="Times New Roman"/>
                <w:sz w:val="24"/>
                <w:szCs w:val="24"/>
                <w:lang w:eastAsia="lv-LV"/>
              </w:rPr>
              <w:t> </w:t>
            </w:r>
            <w:r>
              <w:rPr>
                <w:rFonts w:eastAsia="Times New Roman" w:cs="Times New Roman"/>
                <w:sz w:val="24"/>
                <w:szCs w:val="24"/>
                <w:lang w:eastAsia="lv-LV"/>
              </w:rPr>
              <w:t>Nav attiecināms</w:t>
            </w:r>
          </w:p>
        </w:tc>
      </w:tr>
      <w:tr w:rsidR="00797FA6" w:rsidRPr="005A039A" w:rsidTr="000B159B">
        <w:trPr>
          <w:tblCellSpacing w:w="0" w:type="dxa"/>
        </w:trPr>
        <w:tc>
          <w:tcPr>
            <w:tcW w:w="633" w:type="dxa"/>
            <w:gridSpan w:val="2"/>
            <w:tcBorders>
              <w:top w:val="outset" w:sz="6" w:space="0" w:color="auto"/>
              <w:left w:val="outset" w:sz="6" w:space="0" w:color="auto"/>
              <w:bottom w:val="outset" w:sz="6" w:space="0" w:color="auto"/>
              <w:right w:val="outset" w:sz="6" w:space="0" w:color="auto"/>
            </w:tcBorders>
            <w:hideMark/>
          </w:tcPr>
          <w:p w:rsidR="00797FA6" w:rsidRPr="005A039A" w:rsidRDefault="00797FA6" w:rsidP="005F0EFE">
            <w:pPr>
              <w:rPr>
                <w:rFonts w:eastAsia="Times New Roman" w:cs="Times New Roman"/>
                <w:sz w:val="24"/>
                <w:szCs w:val="24"/>
                <w:lang w:eastAsia="lv-LV"/>
              </w:rPr>
            </w:pPr>
            <w:r w:rsidRPr="005A039A">
              <w:rPr>
                <w:rFonts w:eastAsia="Times New Roman" w:cs="Times New Roman"/>
                <w:sz w:val="24"/>
                <w:szCs w:val="24"/>
                <w:lang w:eastAsia="lv-LV"/>
              </w:rPr>
              <w:t> 3.</w:t>
            </w:r>
          </w:p>
        </w:tc>
        <w:tc>
          <w:tcPr>
            <w:tcW w:w="3620" w:type="dxa"/>
            <w:gridSpan w:val="4"/>
            <w:tcBorders>
              <w:top w:val="outset" w:sz="6" w:space="0" w:color="auto"/>
              <w:left w:val="outset" w:sz="6" w:space="0" w:color="auto"/>
              <w:bottom w:val="outset" w:sz="6" w:space="0" w:color="auto"/>
              <w:right w:val="outset" w:sz="6" w:space="0" w:color="auto"/>
            </w:tcBorders>
            <w:hideMark/>
          </w:tcPr>
          <w:p w:rsidR="00797FA6" w:rsidRPr="005A039A" w:rsidRDefault="00797FA6" w:rsidP="005F0EFE">
            <w:pPr>
              <w:rPr>
                <w:rFonts w:eastAsia="Times New Roman" w:cs="Times New Roman"/>
                <w:sz w:val="24"/>
                <w:szCs w:val="24"/>
                <w:lang w:eastAsia="lv-LV"/>
              </w:rPr>
            </w:pPr>
            <w:r w:rsidRPr="005A039A">
              <w:rPr>
                <w:rFonts w:eastAsia="Times New Roman" w:cs="Times New Roman"/>
                <w:sz w:val="24"/>
                <w:szCs w:val="24"/>
                <w:lang w:eastAsia="lv-LV"/>
              </w:rPr>
              <w:t> Projekta izpildes ietekme uz pārvaldes institucionālo struktūru.</w:t>
            </w:r>
          </w:p>
          <w:p w:rsidR="00797FA6" w:rsidRPr="005A039A" w:rsidRDefault="00797FA6" w:rsidP="005F0EFE">
            <w:pPr>
              <w:rPr>
                <w:rFonts w:eastAsia="Times New Roman" w:cs="Times New Roman"/>
                <w:sz w:val="24"/>
                <w:szCs w:val="24"/>
                <w:lang w:eastAsia="lv-LV"/>
              </w:rPr>
            </w:pPr>
            <w:r w:rsidRPr="005A039A">
              <w:rPr>
                <w:rFonts w:eastAsia="Times New Roman" w:cs="Times New Roman"/>
                <w:sz w:val="24"/>
                <w:szCs w:val="24"/>
                <w:lang w:eastAsia="lv-LV"/>
              </w:rPr>
              <w:t>Jaunu institūciju izveide</w:t>
            </w:r>
          </w:p>
        </w:tc>
        <w:tc>
          <w:tcPr>
            <w:tcW w:w="4961" w:type="dxa"/>
            <w:gridSpan w:val="2"/>
            <w:tcBorders>
              <w:top w:val="outset" w:sz="6" w:space="0" w:color="auto"/>
              <w:left w:val="outset" w:sz="6" w:space="0" w:color="auto"/>
              <w:bottom w:val="outset" w:sz="6" w:space="0" w:color="auto"/>
              <w:right w:val="outset" w:sz="6" w:space="0" w:color="auto"/>
            </w:tcBorders>
            <w:hideMark/>
          </w:tcPr>
          <w:p w:rsidR="00797FA6" w:rsidRPr="00CC2272" w:rsidRDefault="00797FA6" w:rsidP="005F0EFE">
            <w:pPr>
              <w:rPr>
                <w:rFonts w:eastAsia="Times New Roman" w:cs="Times New Roman"/>
                <w:sz w:val="24"/>
                <w:szCs w:val="24"/>
                <w:lang w:eastAsia="lv-LV"/>
              </w:rPr>
            </w:pPr>
            <w:r w:rsidRPr="005A039A">
              <w:rPr>
                <w:rFonts w:eastAsia="Times New Roman" w:cs="Times New Roman"/>
                <w:sz w:val="24"/>
                <w:szCs w:val="24"/>
                <w:lang w:eastAsia="lv-LV"/>
              </w:rPr>
              <w:t> </w:t>
            </w:r>
            <w:r>
              <w:rPr>
                <w:rFonts w:eastAsia="Times New Roman" w:cs="Times New Roman"/>
                <w:sz w:val="24"/>
                <w:szCs w:val="24"/>
                <w:lang w:eastAsia="lv-LV"/>
              </w:rPr>
              <w:t>Nav attiecināms</w:t>
            </w:r>
          </w:p>
        </w:tc>
      </w:tr>
      <w:tr w:rsidR="00797FA6" w:rsidRPr="005A039A" w:rsidTr="000B159B">
        <w:trPr>
          <w:tblCellSpacing w:w="0" w:type="dxa"/>
        </w:trPr>
        <w:tc>
          <w:tcPr>
            <w:tcW w:w="633" w:type="dxa"/>
            <w:gridSpan w:val="2"/>
            <w:tcBorders>
              <w:top w:val="outset" w:sz="6" w:space="0" w:color="auto"/>
              <w:left w:val="outset" w:sz="6" w:space="0" w:color="auto"/>
              <w:bottom w:val="outset" w:sz="6" w:space="0" w:color="auto"/>
              <w:right w:val="outset" w:sz="6" w:space="0" w:color="auto"/>
            </w:tcBorders>
            <w:hideMark/>
          </w:tcPr>
          <w:p w:rsidR="00797FA6" w:rsidRPr="005A039A" w:rsidRDefault="00797FA6" w:rsidP="005F0EFE">
            <w:pPr>
              <w:rPr>
                <w:rFonts w:eastAsia="Times New Roman" w:cs="Times New Roman"/>
                <w:sz w:val="24"/>
                <w:szCs w:val="24"/>
                <w:lang w:eastAsia="lv-LV"/>
              </w:rPr>
            </w:pPr>
            <w:r w:rsidRPr="005A039A">
              <w:rPr>
                <w:rFonts w:eastAsia="Times New Roman" w:cs="Times New Roman"/>
                <w:sz w:val="24"/>
                <w:szCs w:val="24"/>
                <w:lang w:eastAsia="lv-LV"/>
              </w:rPr>
              <w:t> 4.</w:t>
            </w:r>
          </w:p>
        </w:tc>
        <w:tc>
          <w:tcPr>
            <w:tcW w:w="3620" w:type="dxa"/>
            <w:gridSpan w:val="4"/>
            <w:tcBorders>
              <w:top w:val="outset" w:sz="6" w:space="0" w:color="auto"/>
              <w:left w:val="outset" w:sz="6" w:space="0" w:color="auto"/>
              <w:bottom w:val="outset" w:sz="6" w:space="0" w:color="auto"/>
              <w:right w:val="outset" w:sz="6" w:space="0" w:color="auto"/>
            </w:tcBorders>
            <w:hideMark/>
          </w:tcPr>
          <w:p w:rsidR="00797FA6" w:rsidRPr="005A039A" w:rsidRDefault="00797FA6" w:rsidP="005F0EFE">
            <w:pPr>
              <w:rPr>
                <w:rFonts w:eastAsia="Times New Roman" w:cs="Times New Roman"/>
                <w:sz w:val="24"/>
                <w:szCs w:val="24"/>
                <w:lang w:eastAsia="lv-LV"/>
              </w:rPr>
            </w:pPr>
            <w:r w:rsidRPr="005A039A">
              <w:rPr>
                <w:rFonts w:eastAsia="Times New Roman" w:cs="Times New Roman"/>
                <w:sz w:val="24"/>
                <w:szCs w:val="24"/>
                <w:lang w:eastAsia="lv-LV"/>
              </w:rPr>
              <w:t> Projekta izpildes ietekme uz pārvaldes institucionālo struktūru.</w:t>
            </w:r>
          </w:p>
          <w:p w:rsidR="00797FA6" w:rsidRPr="005A039A" w:rsidRDefault="00797FA6" w:rsidP="005F0EFE">
            <w:pPr>
              <w:rPr>
                <w:rFonts w:eastAsia="Times New Roman" w:cs="Times New Roman"/>
                <w:sz w:val="24"/>
                <w:szCs w:val="24"/>
                <w:lang w:eastAsia="lv-LV"/>
              </w:rPr>
            </w:pPr>
            <w:r w:rsidRPr="005A039A">
              <w:rPr>
                <w:rFonts w:eastAsia="Times New Roman" w:cs="Times New Roman"/>
                <w:sz w:val="24"/>
                <w:szCs w:val="24"/>
                <w:lang w:eastAsia="lv-LV"/>
              </w:rPr>
              <w:t>Esošu institūciju likvidācija</w:t>
            </w:r>
          </w:p>
        </w:tc>
        <w:tc>
          <w:tcPr>
            <w:tcW w:w="4961" w:type="dxa"/>
            <w:gridSpan w:val="2"/>
            <w:tcBorders>
              <w:top w:val="outset" w:sz="6" w:space="0" w:color="auto"/>
              <w:left w:val="outset" w:sz="6" w:space="0" w:color="auto"/>
              <w:bottom w:val="outset" w:sz="6" w:space="0" w:color="auto"/>
              <w:right w:val="outset" w:sz="6" w:space="0" w:color="auto"/>
            </w:tcBorders>
            <w:hideMark/>
          </w:tcPr>
          <w:p w:rsidR="00797FA6" w:rsidRPr="005A039A" w:rsidRDefault="00797FA6" w:rsidP="005F0EFE">
            <w:pPr>
              <w:rPr>
                <w:rFonts w:eastAsia="Times New Roman" w:cs="Times New Roman"/>
                <w:sz w:val="24"/>
                <w:szCs w:val="24"/>
                <w:lang w:eastAsia="lv-LV"/>
              </w:rPr>
            </w:pPr>
            <w:r w:rsidRPr="005A039A">
              <w:rPr>
                <w:rFonts w:eastAsia="Times New Roman" w:cs="Times New Roman"/>
                <w:sz w:val="24"/>
                <w:szCs w:val="24"/>
                <w:lang w:eastAsia="lv-LV"/>
              </w:rPr>
              <w:t> </w:t>
            </w:r>
            <w:r>
              <w:rPr>
                <w:rFonts w:eastAsia="Times New Roman" w:cs="Times New Roman"/>
                <w:sz w:val="24"/>
                <w:szCs w:val="24"/>
                <w:lang w:eastAsia="lv-LV"/>
              </w:rPr>
              <w:t>Nav attiecināms</w:t>
            </w:r>
          </w:p>
        </w:tc>
      </w:tr>
      <w:tr w:rsidR="00797FA6" w:rsidRPr="005A039A" w:rsidTr="000B159B">
        <w:trPr>
          <w:tblCellSpacing w:w="0" w:type="dxa"/>
        </w:trPr>
        <w:tc>
          <w:tcPr>
            <w:tcW w:w="633" w:type="dxa"/>
            <w:gridSpan w:val="2"/>
            <w:tcBorders>
              <w:top w:val="outset" w:sz="6" w:space="0" w:color="auto"/>
              <w:left w:val="outset" w:sz="6" w:space="0" w:color="auto"/>
              <w:bottom w:val="outset" w:sz="6" w:space="0" w:color="auto"/>
              <w:right w:val="outset" w:sz="6" w:space="0" w:color="auto"/>
            </w:tcBorders>
            <w:hideMark/>
          </w:tcPr>
          <w:p w:rsidR="00797FA6" w:rsidRPr="005A039A" w:rsidRDefault="00797FA6" w:rsidP="005F0EFE">
            <w:pPr>
              <w:rPr>
                <w:rFonts w:eastAsia="Times New Roman" w:cs="Times New Roman"/>
                <w:sz w:val="24"/>
                <w:szCs w:val="24"/>
                <w:lang w:eastAsia="lv-LV"/>
              </w:rPr>
            </w:pPr>
            <w:r w:rsidRPr="005A039A">
              <w:rPr>
                <w:rFonts w:eastAsia="Times New Roman" w:cs="Times New Roman"/>
                <w:sz w:val="24"/>
                <w:szCs w:val="24"/>
                <w:lang w:eastAsia="lv-LV"/>
              </w:rPr>
              <w:t> 5.</w:t>
            </w:r>
          </w:p>
        </w:tc>
        <w:tc>
          <w:tcPr>
            <w:tcW w:w="3620" w:type="dxa"/>
            <w:gridSpan w:val="4"/>
            <w:tcBorders>
              <w:top w:val="outset" w:sz="6" w:space="0" w:color="auto"/>
              <w:left w:val="outset" w:sz="6" w:space="0" w:color="auto"/>
              <w:bottom w:val="outset" w:sz="6" w:space="0" w:color="auto"/>
              <w:right w:val="outset" w:sz="6" w:space="0" w:color="auto"/>
            </w:tcBorders>
            <w:hideMark/>
          </w:tcPr>
          <w:p w:rsidR="00797FA6" w:rsidRPr="005A039A" w:rsidRDefault="00797FA6" w:rsidP="005F0EFE">
            <w:pPr>
              <w:rPr>
                <w:rFonts w:eastAsia="Times New Roman" w:cs="Times New Roman"/>
                <w:sz w:val="24"/>
                <w:szCs w:val="24"/>
                <w:lang w:eastAsia="lv-LV"/>
              </w:rPr>
            </w:pPr>
            <w:r w:rsidRPr="005A039A">
              <w:rPr>
                <w:rFonts w:eastAsia="Times New Roman" w:cs="Times New Roman"/>
                <w:sz w:val="24"/>
                <w:szCs w:val="24"/>
                <w:lang w:eastAsia="lv-LV"/>
              </w:rPr>
              <w:t> Projekta izpildes ietekme uz pārvaldes institucionālo struktūru.</w:t>
            </w:r>
          </w:p>
          <w:p w:rsidR="00797FA6" w:rsidRPr="005A039A" w:rsidRDefault="00797FA6" w:rsidP="005F0EFE">
            <w:pPr>
              <w:rPr>
                <w:rFonts w:eastAsia="Times New Roman" w:cs="Times New Roman"/>
                <w:sz w:val="24"/>
                <w:szCs w:val="24"/>
                <w:lang w:eastAsia="lv-LV"/>
              </w:rPr>
            </w:pPr>
            <w:r w:rsidRPr="005A039A">
              <w:rPr>
                <w:rFonts w:eastAsia="Times New Roman" w:cs="Times New Roman"/>
                <w:sz w:val="24"/>
                <w:szCs w:val="24"/>
                <w:lang w:eastAsia="lv-LV"/>
              </w:rPr>
              <w:t>Esošu institūciju reorganizācija</w:t>
            </w:r>
          </w:p>
        </w:tc>
        <w:tc>
          <w:tcPr>
            <w:tcW w:w="4961" w:type="dxa"/>
            <w:gridSpan w:val="2"/>
            <w:tcBorders>
              <w:top w:val="outset" w:sz="6" w:space="0" w:color="auto"/>
              <w:left w:val="outset" w:sz="6" w:space="0" w:color="auto"/>
              <w:bottom w:val="outset" w:sz="6" w:space="0" w:color="auto"/>
              <w:right w:val="outset" w:sz="6" w:space="0" w:color="auto"/>
            </w:tcBorders>
            <w:hideMark/>
          </w:tcPr>
          <w:p w:rsidR="00797FA6" w:rsidRPr="005A039A" w:rsidRDefault="00797FA6" w:rsidP="005F0EFE">
            <w:pPr>
              <w:rPr>
                <w:rFonts w:eastAsia="Times New Roman" w:cs="Times New Roman"/>
                <w:sz w:val="24"/>
                <w:szCs w:val="24"/>
                <w:lang w:eastAsia="lv-LV"/>
              </w:rPr>
            </w:pPr>
            <w:r w:rsidRPr="005A039A">
              <w:rPr>
                <w:rFonts w:eastAsia="Times New Roman" w:cs="Times New Roman"/>
                <w:sz w:val="24"/>
                <w:szCs w:val="24"/>
                <w:lang w:eastAsia="lv-LV"/>
              </w:rPr>
              <w:t> </w:t>
            </w:r>
            <w:r>
              <w:rPr>
                <w:rFonts w:eastAsia="Times New Roman" w:cs="Times New Roman"/>
                <w:sz w:val="24"/>
                <w:szCs w:val="24"/>
                <w:lang w:eastAsia="lv-LV"/>
              </w:rPr>
              <w:t>Nav attiecināms</w:t>
            </w:r>
          </w:p>
        </w:tc>
      </w:tr>
      <w:tr w:rsidR="00797FA6" w:rsidRPr="005A039A" w:rsidTr="000B159B">
        <w:trPr>
          <w:tblCellSpacing w:w="0" w:type="dxa"/>
        </w:trPr>
        <w:tc>
          <w:tcPr>
            <w:tcW w:w="633" w:type="dxa"/>
            <w:gridSpan w:val="2"/>
            <w:tcBorders>
              <w:top w:val="outset" w:sz="6" w:space="0" w:color="auto"/>
              <w:left w:val="outset" w:sz="6" w:space="0" w:color="auto"/>
              <w:bottom w:val="outset" w:sz="6" w:space="0" w:color="auto"/>
              <w:right w:val="outset" w:sz="6" w:space="0" w:color="auto"/>
            </w:tcBorders>
            <w:hideMark/>
          </w:tcPr>
          <w:p w:rsidR="00797FA6" w:rsidRPr="005A039A" w:rsidRDefault="00797FA6" w:rsidP="005F0EFE">
            <w:pPr>
              <w:rPr>
                <w:rFonts w:eastAsia="Times New Roman" w:cs="Times New Roman"/>
                <w:sz w:val="24"/>
                <w:szCs w:val="24"/>
                <w:lang w:eastAsia="lv-LV"/>
              </w:rPr>
            </w:pPr>
            <w:r w:rsidRPr="005A039A">
              <w:rPr>
                <w:rFonts w:eastAsia="Times New Roman" w:cs="Times New Roman"/>
                <w:sz w:val="24"/>
                <w:szCs w:val="24"/>
                <w:lang w:eastAsia="lv-LV"/>
              </w:rPr>
              <w:t> 6.</w:t>
            </w:r>
          </w:p>
        </w:tc>
        <w:tc>
          <w:tcPr>
            <w:tcW w:w="3620" w:type="dxa"/>
            <w:gridSpan w:val="4"/>
            <w:tcBorders>
              <w:top w:val="outset" w:sz="6" w:space="0" w:color="auto"/>
              <w:left w:val="outset" w:sz="6" w:space="0" w:color="auto"/>
              <w:bottom w:val="outset" w:sz="6" w:space="0" w:color="auto"/>
              <w:right w:val="outset" w:sz="6" w:space="0" w:color="auto"/>
            </w:tcBorders>
            <w:hideMark/>
          </w:tcPr>
          <w:p w:rsidR="00797FA6" w:rsidRPr="005A039A" w:rsidRDefault="00797FA6" w:rsidP="005F0EFE">
            <w:pPr>
              <w:rPr>
                <w:rFonts w:eastAsia="Times New Roman" w:cs="Times New Roman"/>
                <w:sz w:val="24"/>
                <w:szCs w:val="24"/>
                <w:lang w:eastAsia="lv-LV"/>
              </w:rPr>
            </w:pPr>
            <w:r w:rsidRPr="005A039A">
              <w:rPr>
                <w:rFonts w:eastAsia="Times New Roman" w:cs="Times New Roman"/>
                <w:sz w:val="24"/>
                <w:szCs w:val="24"/>
                <w:lang w:eastAsia="lv-LV"/>
              </w:rPr>
              <w:t> Cita informācija</w:t>
            </w:r>
          </w:p>
        </w:tc>
        <w:tc>
          <w:tcPr>
            <w:tcW w:w="4961" w:type="dxa"/>
            <w:gridSpan w:val="2"/>
            <w:tcBorders>
              <w:top w:val="outset" w:sz="6" w:space="0" w:color="auto"/>
              <w:left w:val="outset" w:sz="6" w:space="0" w:color="auto"/>
              <w:bottom w:val="outset" w:sz="6" w:space="0" w:color="auto"/>
              <w:right w:val="outset" w:sz="6" w:space="0" w:color="auto"/>
            </w:tcBorders>
            <w:hideMark/>
          </w:tcPr>
          <w:p w:rsidR="00797FA6" w:rsidRPr="005A039A" w:rsidRDefault="00797FA6" w:rsidP="005F0EFE">
            <w:pPr>
              <w:rPr>
                <w:rFonts w:eastAsia="Times New Roman" w:cs="Times New Roman"/>
                <w:sz w:val="24"/>
                <w:szCs w:val="24"/>
                <w:lang w:eastAsia="lv-LV"/>
              </w:rPr>
            </w:pPr>
            <w:r w:rsidRPr="005A039A">
              <w:rPr>
                <w:rFonts w:eastAsia="Times New Roman" w:cs="Times New Roman"/>
                <w:sz w:val="24"/>
                <w:szCs w:val="24"/>
                <w:lang w:eastAsia="lv-LV"/>
              </w:rPr>
              <w:t> Na</w:t>
            </w:r>
            <w:r>
              <w:rPr>
                <w:rFonts w:eastAsia="Times New Roman" w:cs="Times New Roman"/>
                <w:sz w:val="24"/>
                <w:szCs w:val="24"/>
                <w:lang w:eastAsia="lv-LV"/>
              </w:rPr>
              <w:t>v</w:t>
            </w:r>
          </w:p>
        </w:tc>
      </w:tr>
    </w:tbl>
    <w:p w:rsidR="001706FB" w:rsidRDefault="001706FB" w:rsidP="005F0EFE">
      <w:pPr>
        <w:pStyle w:val="BodyTextIndent"/>
        <w:ind w:firstLine="0"/>
        <w:rPr>
          <w:sz w:val="24"/>
          <w:lang w:eastAsia="lv-LV"/>
        </w:rPr>
      </w:pPr>
    </w:p>
    <w:p w:rsidR="00843980" w:rsidRPr="00843980" w:rsidRDefault="00843980" w:rsidP="005F0EFE">
      <w:pPr>
        <w:pStyle w:val="Heading5"/>
        <w:tabs>
          <w:tab w:val="left" w:pos="142"/>
          <w:tab w:val="left" w:pos="7200"/>
        </w:tabs>
        <w:spacing w:before="0" w:after="0"/>
        <w:rPr>
          <w:b w:val="0"/>
          <w:i w:val="0"/>
          <w:sz w:val="24"/>
          <w:szCs w:val="24"/>
        </w:rPr>
      </w:pPr>
      <w:r>
        <w:rPr>
          <w:b w:val="0"/>
          <w:i w:val="0"/>
          <w:sz w:val="24"/>
          <w:szCs w:val="24"/>
        </w:rPr>
        <w:t xml:space="preserve">Anotācijas III, </w:t>
      </w:r>
      <w:r w:rsidRPr="00843980">
        <w:rPr>
          <w:b w:val="0"/>
          <w:i w:val="0"/>
          <w:sz w:val="24"/>
          <w:szCs w:val="24"/>
        </w:rPr>
        <w:t xml:space="preserve"> V un VI sadaļa – nav attiecināms.</w:t>
      </w:r>
    </w:p>
    <w:p w:rsidR="00843980" w:rsidRDefault="00843980" w:rsidP="005F0EFE">
      <w:pPr>
        <w:pStyle w:val="Heading5"/>
        <w:tabs>
          <w:tab w:val="left" w:pos="142"/>
          <w:tab w:val="left" w:pos="7200"/>
        </w:tabs>
        <w:spacing w:before="0" w:after="0"/>
        <w:rPr>
          <w:b w:val="0"/>
          <w:i w:val="0"/>
          <w:sz w:val="28"/>
          <w:szCs w:val="28"/>
        </w:rPr>
      </w:pPr>
    </w:p>
    <w:p w:rsidR="00843980" w:rsidRDefault="00843980" w:rsidP="005F0EFE">
      <w:pPr>
        <w:pStyle w:val="Heading5"/>
        <w:tabs>
          <w:tab w:val="left" w:pos="142"/>
          <w:tab w:val="left" w:pos="7200"/>
        </w:tabs>
        <w:spacing w:before="0" w:after="0"/>
        <w:rPr>
          <w:b w:val="0"/>
          <w:i w:val="0"/>
          <w:sz w:val="28"/>
          <w:szCs w:val="28"/>
        </w:rPr>
      </w:pPr>
    </w:p>
    <w:p w:rsidR="00843980" w:rsidRDefault="00843980" w:rsidP="005F0EFE">
      <w:pPr>
        <w:pStyle w:val="Heading5"/>
        <w:tabs>
          <w:tab w:val="left" w:pos="142"/>
          <w:tab w:val="left" w:pos="7200"/>
        </w:tabs>
        <w:spacing w:before="0" w:after="0"/>
        <w:rPr>
          <w:b w:val="0"/>
          <w:i w:val="0"/>
          <w:sz w:val="28"/>
          <w:szCs w:val="28"/>
        </w:rPr>
      </w:pPr>
    </w:p>
    <w:p w:rsidR="00843980" w:rsidRDefault="00843980" w:rsidP="005F0EFE">
      <w:pPr>
        <w:pStyle w:val="Heading5"/>
        <w:tabs>
          <w:tab w:val="left" w:pos="142"/>
          <w:tab w:val="left" w:pos="7200"/>
        </w:tabs>
        <w:spacing w:before="0" w:after="0"/>
        <w:rPr>
          <w:b w:val="0"/>
          <w:i w:val="0"/>
          <w:sz w:val="28"/>
          <w:szCs w:val="28"/>
        </w:rPr>
      </w:pPr>
    </w:p>
    <w:p w:rsidR="00843980" w:rsidRDefault="00843980" w:rsidP="00843980">
      <w:pPr>
        <w:pStyle w:val="Heading5"/>
        <w:tabs>
          <w:tab w:val="left" w:pos="142"/>
          <w:tab w:val="left" w:pos="7200"/>
        </w:tabs>
        <w:rPr>
          <w:b w:val="0"/>
          <w:i w:val="0"/>
          <w:sz w:val="28"/>
          <w:szCs w:val="28"/>
        </w:rPr>
      </w:pPr>
      <w:r w:rsidRPr="00843980">
        <w:rPr>
          <w:b w:val="0"/>
          <w:i w:val="0"/>
          <w:sz w:val="28"/>
          <w:szCs w:val="28"/>
        </w:rPr>
        <w:t>Finanšu ministrs</w:t>
      </w:r>
      <w:r w:rsidRPr="00843980">
        <w:rPr>
          <w:b w:val="0"/>
          <w:i w:val="0"/>
          <w:sz w:val="28"/>
          <w:szCs w:val="28"/>
        </w:rPr>
        <w:tab/>
        <w:t xml:space="preserve">            A.Vilks</w:t>
      </w:r>
    </w:p>
    <w:p w:rsidR="00843980" w:rsidRDefault="00843980" w:rsidP="00843980">
      <w:pPr>
        <w:rPr>
          <w:lang w:eastAsia="ar-SA"/>
        </w:rPr>
      </w:pPr>
    </w:p>
    <w:p w:rsidR="00843980" w:rsidRDefault="00843980" w:rsidP="00843980">
      <w:pPr>
        <w:rPr>
          <w:lang w:eastAsia="ar-SA"/>
        </w:rPr>
      </w:pPr>
    </w:p>
    <w:p w:rsidR="00843980" w:rsidRPr="00843980" w:rsidRDefault="00843980" w:rsidP="00843980">
      <w:pPr>
        <w:rPr>
          <w:sz w:val="20"/>
          <w:szCs w:val="20"/>
          <w:lang w:eastAsia="ar-SA"/>
        </w:rPr>
      </w:pPr>
      <w:r w:rsidRPr="00843980">
        <w:rPr>
          <w:sz w:val="20"/>
          <w:szCs w:val="20"/>
          <w:lang w:eastAsia="ar-SA"/>
        </w:rPr>
        <w:t>2</w:t>
      </w:r>
      <w:r w:rsidR="00DD45A3">
        <w:rPr>
          <w:sz w:val="20"/>
          <w:szCs w:val="20"/>
          <w:lang w:eastAsia="ar-SA"/>
        </w:rPr>
        <w:t>8</w:t>
      </w:r>
      <w:r w:rsidRPr="00843980">
        <w:rPr>
          <w:sz w:val="20"/>
          <w:szCs w:val="20"/>
          <w:lang w:eastAsia="ar-SA"/>
        </w:rPr>
        <w:t>.12.2010. 10:27</w:t>
      </w:r>
    </w:p>
    <w:p w:rsidR="00843980" w:rsidRPr="00843980" w:rsidRDefault="007F2850" w:rsidP="00843980">
      <w:pPr>
        <w:rPr>
          <w:sz w:val="20"/>
          <w:szCs w:val="20"/>
          <w:lang w:eastAsia="ar-SA"/>
        </w:rPr>
      </w:pPr>
      <w:r>
        <w:rPr>
          <w:sz w:val="20"/>
          <w:szCs w:val="20"/>
          <w:lang w:eastAsia="ar-SA"/>
        </w:rPr>
        <w:t>1499</w:t>
      </w:r>
    </w:p>
    <w:p w:rsidR="00843980" w:rsidRPr="00843980" w:rsidRDefault="00843980" w:rsidP="00843980">
      <w:pPr>
        <w:rPr>
          <w:sz w:val="20"/>
          <w:szCs w:val="20"/>
          <w:lang w:eastAsia="ar-SA"/>
        </w:rPr>
      </w:pPr>
      <w:r w:rsidRPr="00843980">
        <w:rPr>
          <w:sz w:val="20"/>
          <w:szCs w:val="20"/>
          <w:lang w:eastAsia="ar-SA"/>
        </w:rPr>
        <w:t>T.Jacuka</w:t>
      </w:r>
    </w:p>
    <w:p w:rsidR="00843980" w:rsidRPr="00843980" w:rsidRDefault="00843980" w:rsidP="00843980">
      <w:pPr>
        <w:rPr>
          <w:sz w:val="20"/>
          <w:szCs w:val="20"/>
          <w:lang w:eastAsia="ar-SA"/>
        </w:rPr>
      </w:pPr>
      <w:r w:rsidRPr="00843980">
        <w:rPr>
          <w:sz w:val="20"/>
          <w:szCs w:val="20"/>
          <w:lang w:eastAsia="ar-SA"/>
        </w:rPr>
        <w:t>67095514, Tatjana.Jacuka@fm.gov.lv</w:t>
      </w:r>
    </w:p>
    <w:sectPr w:rsidR="00843980" w:rsidRPr="00843980" w:rsidSect="00797FA6">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557" w:rsidRDefault="005A2557" w:rsidP="008125DD">
      <w:r>
        <w:separator/>
      </w:r>
    </w:p>
  </w:endnote>
  <w:endnote w:type="continuationSeparator" w:id="0">
    <w:p w:rsidR="005A2557" w:rsidRDefault="005A2557" w:rsidP="00812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E22" w:rsidRDefault="00974E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557" w:rsidRPr="003C0970" w:rsidRDefault="005A2557" w:rsidP="00F954A5">
    <w:pPr>
      <w:jc w:val="both"/>
      <w:rPr>
        <w:sz w:val="20"/>
        <w:szCs w:val="20"/>
        <w:lang w:eastAsia="lv-LV"/>
      </w:rPr>
    </w:pPr>
    <w:r>
      <w:rPr>
        <w:sz w:val="20"/>
        <w:szCs w:val="20"/>
        <w:lang w:eastAsia="lv-LV"/>
      </w:rPr>
      <w:t>FMAnot_2</w:t>
    </w:r>
    <w:r w:rsidR="00CD798A">
      <w:rPr>
        <w:sz w:val="20"/>
        <w:szCs w:val="20"/>
        <w:lang w:eastAsia="lv-LV"/>
      </w:rPr>
      <w:t>8</w:t>
    </w:r>
    <w:r w:rsidRPr="00956E71">
      <w:rPr>
        <w:sz w:val="20"/>
        <w:szCs w:val="20"/>
        <w:lang w:eastAsia="lv-LV"/>
      </w:rPr>
      <w:t>1210_MKfisk; Ministru kabineta noteikumu projekta „Grozījumi Ministru kabineta 2006.gada 14.novembra noteikumos Nr.933 „Likuma „Par pievienotās vērtības nodokli" normu piemērošanas kārtība””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557" w:rsidRPr="00974E22" w:rsidRDefault="00974E22" w:rsidP="00974E22">
    <w:pPr>
      <w:pStyle w:val="Footer"/>
    </w:pPr>
    <w:r w:rsidRPr="00974E22">
      <w:rPr>
        <w:sz w:val="20"/>
        <w:szCs w:val="20"/>
      </w:rPr>
      <w:t>FMAnot_281210_MKfisk; Ministru kabineta noteikumu projekta „Grozījumi Ministru kabineta 2006.gada 14.novembra noteikumos Nr.933 „Likuma „Par pievienotās vērtības nodokli" normu piemērošanas kārtība”” sākotnējās ietekmes novērtējuma ziņojums (anotācija)</w:t>
    </w:r>
    <w:bookmarkStart w:id="2" w:name="_GoBack"/>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557" w:rsidRDefault="005A2557" w:rsidP="008125DD">
      <w:r>
        <w:separator/>
      </w:r>
    </w:p>
  </w:footnote>
  <w:footnote w:type="continuationSeparator" w:id="0">
    <w:p w:rsidR="005A2557" w:rsidRDefault="005A2557" w:rsidP="00812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E22" w:rsidRDefault="00974E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4844"/>
      <w:docPartObj>
        <w:docPartGallery w:val="Page Numbers (Top of Page)"/>
        <w:docPartUnique/>
      </w:docPartObj>
    </w:sdtPr>
    <w:sdtEndPr/>
    <w:sdtContent>
      <w:p w:rsidR="005A2557" w:rsidRDefault="005A2557">
        <w:pPr>
          <w:pStyle w:val="Header"/>
          <w:jc w:val="center"/>
        </w:pPr>
        <w:r w:rsidRPr="009C62E1">
          <w:rPr>
            <w:sz w:val="20"/>
            <w:szCs w:val="20"/>
          </w:rPr>
          <w:fldChar w:fldCharType="begin"/>
        </w:r>
        <w:r w:rsidRPr="009C62E1">
          <w:rPr>
            <w:sz w:val="20"/>
            <w:szCs w:val="20"/>
          </w:rPr>
          <w:instrText xml:space="preserve"> PAGE   \* MERGEFORMAT </w:instrText>
        </w:r>
        <w:r w:rsidRPr="009C62E1">
          <w:rPr>
            <w:sz w:val="20"/>
            <w:szCs w:val="20"/>
          </w:rPr>
          <w:fldChar w:fldCharType="separate"/>
        </w:r>
        <w:r w:rsidR="00974E22">
          <w:rPr>
            <w:noProof/>
            <w:sz w:val="20"/>
            <w:szCs w:val="20"/>
          </w:rPr>
          <w:t>5</w:t>
        </w:r>
        <w:r w:rsidRPr="009C62E1">
          <w:rPr>
            <w:sz w:val="20"/>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E22" w:rsidRDefault="00974E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088"/>
    <w:multiLevelType w:val="hybridMultilevel"/>
    <w:tmpl w:val="56708D44"/>
    <w:lvl w:ilvl="0" w:tplc="8174CB5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C96338A"/>
    <w:multiLevelType w:val="hybridMultilevel"/>
    <w:tmpl w:val="CB503270"/>
    <w:lvl w:ilvl="0" w:tplc="3AE4B50A">
      <w:start w:val="1"/>
      <w:numFmt w:val="decimal"/>
      <w:lvlText w:val="%1."/>
      <w:lvlJc w:val="left"/>
      <w:pPr>
        <w:ind w:left="1650" w:hanging="93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01E29F9"/>
    <w:multiLevelType w:val="hybridMultilevel"/>
    <w:tmpl w:val="E708D6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A087A52"/>
    <w:multiLevelType w:val="hybridMultilevel"/>
    <w:tmpl w:val="39F240A2"/>
    <w:lvl w:ilvl="0" w:tplc="CE9CDD66">
      <w:start w:val="1"/>
      <w:numFmt w:val="decimal"/>
      <w:lvlText w:val="%1."/>
      <w:lvlJc w:val="left"/>
      <w:pPr>
        <w:ind w:left="486" w:hanging="360"/>
      </w:pPr>
      <w:rPr>
        <w:rFonts w:hint="default"/>
        <w:i w:val="0"/>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4">
    <w:nsid w:val="4918696F"/>
    <w:multiLevelType w:val="hybridMultilevel"/>
    <w:tmpl w:val="8FAA0700"/>
    <w:lvl w:ilvl="0" w:tplc="82C2E6A2">
      <w:start w:val="7"/>
      <w:numFmt w:val="bullet"/>
      <w:lvlText w:val="-"/>
      <w:lvlJc w:val="left"/>
      <w:pPr>
        <w:ind w:left="486" w:hanging="360"/>
      </w:pPr>
      <w:rPr>
        <w:rFonts w:ascii="Times New Roman" w:eastAsiaTheme="minorHAnsi" w:hAnsi="Times New Roman" w:cs="Times New Roman" w:hint="default"/>
      </w:rPr>
    </w:lvl>
    <w:lvl w:ilvl="1" w:tplc="04260003" w:tentative="1">
      <w:start w:val="1"/>
      <w:numFmt w:val="bullet"/>
      <w:lvlText w:val="o"/>
      <w:lvlJc w:val="left"/>
      <w:pPr>
        <w:ind w:left="1206" w:hanging="360"/>
      </w:pPr>
      <w:rPr>
        <w:rFonts w:ascii="Courier New" w:hAnsi="Courier New" w:cs="Courier New" w:hint="default"/>
      </w:rPr>
    </w:lvl>
    <w:lvl w:ilvl="2" w:tplc="04260005" w:tentative="1">
      <w:start w:val="1"/>
      <w:numFmt w:val="bullet"/>
      <w:lvlText w:val=""/>
      <w:lvlJc w:val="left"/>
      <w:pPr>
        <w:ind w:left="1926" w:hanging="360"/>
      </w:pPr>
      <w:rPr>
        <w:rFonts w:ascii="Wingdings" w:hAnsi="Wingdings" w:hint="default"/>
      </w:rPr>
    </w:lvl>
    <w:lvl w:ilvl="3" w:tplc="04260001" w:tentative="1">
      <w:start w:val="1"/>
      <w:numFmt w:val="bullet"/>
      <w:lvlText w:val=""/>
      <w:lvlJc w:val="left"/>
      <w:pPr>
        <w:ind w:left="2646" w:hanging="360"/>
      </w:pPr>
      <w:rPr>
        <w:rFonts w:ascii="Symbol" w:hAnsi="Symbol" w:hint="default"/>
      </w:rPr>
    </w:lvl>
    <w:lvl w:ilvl="4" w:tplc="04260003" w:tentative="1">
      <w:start w:val="1"/>
      <w:numFmt w:val="bullet"/>
      <w:lvlText w:val="o"/>
      <w:lvlJc w:val="left"/>
      <w:pPr>
        <w:ind w:left="3366" w:hanging="360"/>
      </w:pPr>
      <w:rPr>
        <w:rFonts w:ascii="Courier New" w:hAnsi="Courier New" w:cs="Courier New" w:hint="default"/>
      </w:rPr>
    </w:lvl>
    <w:lvl w:ilvl="5" w:tplc="04260005" w:tentative="1">
      <w:start w:val="1"/>
      <w:numFmt w:val="bullet"/>
      <w:lvlText w:val=""/>
      <w:lvlJc w:val="left"/>
      <w:pPr>
        <w:ind w:left="4086" w:hanging="360"/>
      </w:pPr>
      <w:rPr>
        <w:rFonts w:ascii="Wingdings" w:hAnsi="Wingdings" w:hint="default"/>
      </w:rPr>
    </w:lvl>
    <w:lvl w:ilvl="6" w:tplc="04260001" w:tentative="1">
      <w:start w:val="1"/>
      <w:numFmt w:val="bullet"/>
      <w:lvlText w:val=""/>
      <w:lvlJc w:val="left"/>
      <w:pPr>
        <w:ind w:left="4806" w:hanging="360"/>
      </w:pPr>
      <w:rPr>
        <w:rFonts w:ascii="Symbol" w:hAnsi="Symbol" w:hint="default"/>
      </w:rPr>
    </w:lvl>
    <w:lvl w:ilvl="7" w:tplc="04260003" w:tentative="1">
      <w:start w:val="1"/>
      <w:numFmt w:val="bullet"/>
      <w:lvlText w:val="o"/>
      <w:lvlJc w:val="left"/>
      <w:pPr>
        <w:ind w:left="5526" w:hanging="360"/>
      </w:pPr>
      <w:rPr>
        <w:rFonts w:ascii="Courier New" w:hAnsi="Courier New" w:cs="Courier New" w:hint="default"/>
      </w:rPr>
    </w:lvl>
    <w:lvl w:ilvl="8" w:tplc="04260005" w:tentative="1">
      <w:start w:val="1"/>
      <w:numFmt w:val="bullet"/>
      <w:lvlText w:val=""/>
      <w:lvlJc w:val="left"/>
      <w:pPr>
        <w:ind w:left="6246" w:hanging="360"/>
      </w:pPr>
      <w:rPr>
        <w:rFonts w:ascii="Wingdings" w:hAnsi="Wingdings" w:hint="default"/>
      </w:rPr>
    </w:lvl>
  </w:abstractNum>
  <w:abstractNum w:abstractNumId="5">
    <w:nsid w:val="55597163"/>
    <w:multiLevelType w:val="hybridMultilevel"/>
    <w:tmpl w:val="7884FCAA"/>
    <w:lvl w:ilvl="0" w:tplc="E3723B5C">
      <w:start w:val="2"/>
      <w:numFmt w:val="bullet"/>
      <w:lvlText w:val="-"/>
      <w:lvlJc w:val="left"/>
      <w:pPr>
        <w:ind w:left="486" w:hanging="360"/>
      </w:pPr>
      <w:rPr>
        <w:rFonts w:ascii="Times New Roman" w:eastAsia="Times New Roman" w:hAnsi="Times New Roman" w:cs="Times New Roman" w:hint="default"/>
      </w:rPr>
    </w:lvl>
    <w:lvl w:ilvl="1" w:tplc="04260003" w:tentative="1">
      <w:start w:val="1"/>
      <w:numFmt w:val="bullet"/>
      <w:lvlText w:val="o"/>
      <w:lvlJc w:val="left"/>
      <w:pPr>
        <w:ind w:left="1206" w:hanging="360"/>
      </w:pPr>
      <w:rPr>
        <w:rFonts w:ascii="Courier New" w:hAnsi="Courier New" w:cs="Courier New" w:hint="default"/>
      </w:rPr>
    </w:lvl>
    <w:lvl w:ilvl="2" w:tplc="04260005" w:tentative="1">
      <w:start w:val="1"/>
      <w:numFmt w:val="bullet"/>
      <w:lvlText w:val=""/>
      <w:lvlJc w:val="left"/>
      <w:pPr>
        <w:ind w:left="1926" w:hanging="360"/>
      </w:pPr>
      <w:rPr>
        <w:rFonts w:ascii="Wingdings" w:hAnsi="Wingdings" w:hint="default"/>
      </w:rPr>
    </w:lvl>
    <w:lvl w:ilvl="3" w:tplc="04260001" w:tentative="1">
      <w:start w:val="1"/>
      <w:numFmt w:val="bullet"/>
      <w:lvlText w:val=""/>
      <w:lvlJc w:val="left"/>
      <w:pPr>
        <w:ind w:left="2646" w:hanging="360"/>
      </w:pPr>
      <w:rPr>
        <w:rFonts w:ascii="Symbol" w:hAnsi="Symbol" w:hint="default"/>
      </w:rPr>
    </w:lvl>
    <w:lvl w:ilvl="4" w:tplc="04260003" w:tentative="1">
      <w:start w:val="1"/>
      <w:numFmt w:val="bullet"/>
      <w:lvlText w:val="o"/>
      <w:lvlJc w:val="left"/>
      <w:pPr>
        <w:ind w:left="3366" w:hanging="360"/>
      </w:pPr>
      <w:rPr>
        <w:rFonts w:ascii="Courier New" w:hAnsi="Courier New" w:cs="Courier New" w:hint="default"/>
      </w:rPr>
    </w:lvl>
    <w:lvl w:ilvl="5" w:tplc="04260005" w:tentative="1">
      <w:start w:val="1"/>
      <w:numFmt w:val="bullet"/>
      <w:lvlText w:val=""/>
      <w:lvlJc w:val="left"/>
      <w:pPr>
        <w:ind w:left="4086" w:hanging="360"/>
      </w:pPr>
      <w:rPr>
        <w:rFonts w:ascii="Wingdings" w:hAnsi="Wingdings" w:hint="default"/>
      </w:rPr>
    </w:lvl>
    <w:lvl w:ilvl="6" w:tplc="04260001" w:tentative="1">
      <w:start w:val="1"/>
      <w:numFmt w:val="bullet"/>
      <w:lvlText w:val=""/>
      <w:lvlJc w:val="left"/>
      <w:pPr>
        <w:ind w:left="4806" w:hanging="360"/>
      </w:pPr>
      <w:rPr>
        <w:rFonts w:ascii="Symbol" w:hAnsi="Symbol" w:hint="default"/>
      </w:rPr>
    </w:lvl>
    <w:lvl w:ilvl="7" w:tplc="04260003" w:tentative="1">
      <w:start w:val="1"/>
      <w:numFmt w:val="bullet"/>
      <w:lvlText w:val="o"/>
      <w:lvlJc w:val="left"/>
      <w:pPr>
        <w:ind w:left="5526" w:hanging="360"/>
      </w:pPr>
      <w:rPr>
        <w:rFonts w:ascii="Courier New" w:hAnsi="Courier New" w:cs="Courier New" w:hint="default"/>
      </w:rPr>
    </w:lvl>
    <w:lvl w:ilvl="8" w:tplc="04260005" w:tentative="1">
      <w:start w:val="1"/>
      <w:numFmt w:val="bullet"/>
      <w:lvlText w:val=""/>
      <w:lvlJc w:val="left"/>
      <w:pPr>
        <w:ind w:left="6246" w:hanging="360"/>
      </w:pPr>
      <w:rPr>
        <w:rFonts w:ascii="Wingdings" w:hAnsi="Wingdings" w:hint="default"/>
      </w:rPr>
    </w:lvl>
  </w:abstractNum>
  <w:abstractNum w:abstractNumId="6">
    <w:nsid w:val="55E92386"/>
    <w:multiLevelType w:val="hybridMultilevel"/>
    <w:tmpl w:val="C392729A"/>
    <w:lvl w:ilvl="0" w:tplc="C2C23C5A">
      <w:numFmt w:val="bullet"/>
      <w:lvlText w:val="-"/>
      <w:lvlJc w:val="left"/>
      <w:pPr>
        <w:ind w:left="486" w:hanging="360"/>
      </w:pPr>
      <w:rPr>
        <w:rFonts w:ascii="Times New Roman" w:eastAsiaTheme="minorHAnsi" w:hAnsi="Times New Roman" w:cs="Times New Roman" w:hint="default"/>
      </w:rPr>
    </w:lvl>
    <w:lvl w:ilvl="1" w:tplc="04260003" w:tentative="1">
      <w:start w:val="1"/>
      <w:numFmt w:val="bullet"/>
      <w:lvlText w:val="o"/>
      <w:lvlJc w:val="left"/>
      <w:pPr>
        <w:ind w:left="1206" w:hanging="360"/>
      </w:pPr>
      <w:rPr>
        <w:rFonts w:ascii="Courier New" w:hAnsi="Courier New" w:cs="Courier New" w:hint="default"/>
      </w:rPr>
    </w:lvl>
    <w:lvl w:ilvl="2" w:tplc="04260005" w:tentative="1">
      <w:start w:val="1"/>
      <w:numFmt w:val="bullet"/>
      <w:lvlText w:val=""/>
      <w:lvlJc w:val="left"/>
      <w:pPr>
        <w:ind w:left="1926" w:hanging="360"/>
      </w:pPr>
      <w:rPr>
        <w:rFonts w:ascii="Wingdings" w:hAnsi="Wingdings" w:hint="default"/>
      </w:rPr>
    </w:lvl>
    <w:lvl w:ilvl="3" w:tplc="04260001" w:tentative="1">
      <w:start w:val="1"/>
      <w:numFmt w:val="bullet"/>
      <w:lvlText w:val=""/>
      <w:lvlJc w:val="left"/>
      <w:pPr>
        <w:ind w:left="2646" w:hanging="360"/>
      </w:pPr>
      <w:rPr>
        <w:rFonts w:ascii="Symbol" w:hAnsi="Symbol" w:hint="default"/>
      </w:rPr>
    </w:lvl>
    <w:lvl w:ilvl="4" w:tplc="04260003" w:tentative="1">
      <w:start w:val="1"/>
      <w:numFmt w:val="bullet"/>
      <w:lvlText w:val="o"/>
      <w:lvlJc w:val="left"/>
      <w:pPr>
        <w:ind w:left="3366" w:hanging="360"/>
      </w:pPr>
      <w:rPr>
        <w:rFonts w:ascii="Courier New" w:hAnsi="Courier New" w:cs="Courier New" w:hint="default"/>
      </w:rPr>
    </w:lvl>
    <w:lvl w:ilvl="5" w:tplc="04260005" w:tentative="1">
      <w:start w:val="1"/>
      <w:numFmt w:val="bullet"/>
      <w:lvlText w:val=""/>
      <w:lvlJc w:val="left"/>
      <w:pPr>
        <w:ind w:left="4086" w:hanging="360"/>
      </w:pPr>
      <w:rPr>
        <w:rFonts w:ascii="Wingdings" w:hAnsi="Wingdings" w:hint="default"/>
      </w:rPr>
    </w:lvl>
    <w:lvl w:ilvl="6" w:tplc="04260001" w:tentative="1">
      <w:start w:val="1"/>
      <w:numFmt w:val="bullet"/>
      <w:lvlText w:val=""/>
      <w:lvlJc w:val="left"/>
      <w:pPr>
        <w:ind w:left="4806" w:hanging="360"/>
      </w:pPr>
      <w:rPr>
        <w:rFonts w:ascii="Symbol" w:hAnsi="Symbol" w:hint="default"/>
      </w:rPr>
    </w:lvl>
    <w:lvl w:ilvl="7" w:tplc="04260003" w:tentative="1">
      <w:start w:val="1"/>
      <w:numFmt w:val="bullet"/>
      <w:lvlText w:val="o"/>
      <w:lvlJc w:val="left"/>
      <w:pPr>
        <w:ind w:left="5526" w:hanging="360"/>
      </w:pPr>
      <w:rPr>
        <w:rFonts w:ascii="Courier New" w:hAnsi="Courier New" w:cs="Courier New" w:hint="default"/>
      </w:rPr>
    </w:lvl>
    <w:lvl w:ilvl="8" w:tplc="04260005" w:tentative="1">
      <w:start w:val="1"/>
      <w:numFmt w:val="bullet"/>
      <w:lvlText w:val=""/>
      <w:lvlJc w:val="left"/>
      <w:pPr>
        <w:ind w:left="6246" w:hanging="360"/>
      </w:pPr>
      <w:rPr>
        <w:rFonts w:ascii="Wingdings" w:hAnsi="Wingdings" w:hint="default"/>
      </w:rPr>
    </w:lvl>
  </w:abstractNum>
  <w:abstractNum w:abstractNumId="7">
    <w:nsid w:val="5F47729F"/>
    <w:multiLevelType w:val="hybridMultilevel"/>
    <w:tmpl w:val="DC64892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652C1129"/>
    <w:multiLevelType w:val="hybridMultilevel"/>
    <w:tmpl w:val="4ED83FA8"/>
    <w:lvl w:ilvl="0" w:tplc="DC58C68A">
      <w:start w:val="6"/>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9">
    <w:nsid w:val="67AF7CD0"/>
    <w:multiLevelType w:val="hybridMultilevel"/>
    <w:tmpl w:val="E9FE68C8"/>
    <w:lvl w:ilvl="0" w:tplc="B756F8E4">
      <w:numFmt w:val="bullet"/>
      <w:lvlText w:val="-"/>
      <w:lvlJc w:val="left"/>
      <w:pPr>
        <w:ind w:left="486" w:hanging="360"/>
      </w:pPr>
      <w:rPr>
        <w:rFonts w:ascii="Times New Roman" w:eastAsiaTheme="minorHAnsi" w:hAnsi="Times New Roman" w:cs="Times New Roman" w:hint="default"/>
      </w:rPr>
    </w:lvl>
    <w:lvl w:ilvl="1" w:tplc="04260003" w:tentative="1">
      <w:start w:val="1"/>
      <w:numFmt w:val="bullet"/>
      <w:lvlText w:val="o"/>
      <w:lvlJc w:val="left"/>
      <w:pPr>
        <w:ind w:left="1206" w:hanging="360"/>
      </w:pPr>
      <w:rPr>
        <w:rFonts w:ascii="Courier New" w:hAnsi="Courier New" w:cs="Courier New" w:hint="default"/>
      </w:rPr>
    </w:lvl>
    <w:lvl w:ilvl="2" w:tplc="04260005" w:tentative="1">
      <w:start w:val="1"/>
      <w:numFmt w:val="bullet"/>
      <w:lvlText w:val=""/>
      <w:lvlJc w:val="left"/>
      <w:pPr>
        <w:ind w:left="1926" w:hanging="360"/>
      </w:pPr>
      <w:rPr>
        <w:rFonts w:ascii="Wingdings" w:hAnsi="Wingdings" w:hint="default"/>
      </w:rPr>
    </w:lvl>
    <w:lvl w:ilvl="3" w:tplc="04260001" w:tentative="1">
      <w:start w:val="1"/>
      <w:numFmt w:val="bullet"/>
      <w:lvlText w:val=""/>
      <w:lvlJc w:val="left"/>
      <w:pPr>
        <w:ind w:left="2646" w:hanging="360"/>
      </w:pPr>
      <w:rPr>
        <w:rFonts w:ascii="Symbol" w:hAnsi="Symbol" w:hint="default"/>
      </w:rPr>
    </w:lvl>
    <w:lvl w:ilvl="4" w:tplc="04260003" w:tentative="1">
      <w:start w:val="1"/>
      <w:numFmt w:val="bullet"/>
      <w:lvlText w:val="o"/>
      <w:lvlJc w:val="left"/>
      <w:pPr>
        <w:ind w:left="3366" w:hanging="360"/>
      </w:pPr>
      <w:rPr>
        <w:rFonts w:ascii="Courier New" w:hAnsi="Courier New" w:cs="Courier New" w:hint="default"/>
      </w:rPr>
    </w:lvl>
    <w:lvl w:ilvl="5" w:tplc="04260005" w:tentative="1">
      <w:start w:val="1"/>
      <w:numFmt w:val="bullet"/>
      <w:lvlText w:val=""/>
      <w:lvlJc w:val="left"/>
      <w:pPr>
        <w:ind w:left="4086" w:hanging="360"/>
      </w:pPr>
      <w:rPr>
        <w:rFonts w:ascii="Wingdings" w:hAnsi="Wingdings" w:hint="default"/>
      </w:rPr>
    </w:lvl>
    <w:lvl w:ilvl="6" w:tplc="04260001" w:tentative="1">
      <w:start w:val="1"/>
      <w:numFmt w:val="bullet"/>
      <w:lvlText w:val=""/>
      <w:lvlJc w:val="left"/>
      <w:pPr>
        <w:ind w:left="4806" w:hanging="360"/>
      </w:pPr>
      <w:rPr>
        <w:rFonts w:ascii="Symbol" w:hAnsi="Symbol" w:hint="default"/>
      </w:rPr>
    </w:lvl>
    <w:lvl w:ilvl="7" w:tplc="04260003" w:tentative="1">
      <w:start w:val="1"/>
      <w:numFmt w:val="bullet"/>
      <w:lvlText w:val="o"/>
      <w:lvlJc w:val="left"/>
      <w:pPr>
        <w:ind w:left="5526" w:hanging="360"/>
      </w:pPr>
      <w:rPr>
        <w:rFonts w:ascii="Courier New" w:hAnsi="Courier New" w:cs="Courier New" w:hint="default"/>
      </w:rPr>
    </w:lvl>
    <w:lvl w:ilvl="8" w:tplc="04260005" w:tentative="1">
      <w:start w:val="1"/>
      <w:numFmt w:val="bullet"/>
      <w:lvlText w:val=""/>
      <w:lvlJc w:val="left"/>
      <w:pPr>
        <w:ind w:left="6246" w:hanging="360"/>
      </w:pPr>
      <w:rPr>
        <w:rFonts w:ascii="Wingdings" w:hAnsi="Wingdings" w:hint="default"/>
      </w:rPr>
    </w:lvl>
  </w:abstractNum>
  <w:abstractNum w:abstractNumId="10">
    <w:nsid w:val="686E06DF"/>
    <w:multiLevelType w:val="hybridMultilevel"/>
    <w:tmpl w:val="9426FDB2"/>
    <w:lvl w:ilvl="0" w:tplc="04260001">
      <w:start w:val="1"/>
      <w:numFmt w:val="bullet"/>
      <w:lvlText w:val=""/>
      <w:lvlJc w:val="left"/>
      <w:pPr>
        <w:ind w:left="825" w:hanging="360"/>
      </w:pPr>
      <w:rPr>
        <w:rFonts w:ascii="Symbol" w:hAnsi="Symbol" w:hint="default"/>
      </w:rPr>
    </w:lvl>
    <w:lvl w:ilvl="1" w:tplc="04260003" w:tentative="1">
      <w:start w:val="1"/>
      <w:numFmt w:val="bullet"/>
      <w:lvlText w:val="o"/>
      <w:lvlJc w:val="left"/>
      <w:pPr>
        <w:ind w:left="1545" w:hanging="360"/>
      </w:pPr>
      <w:rPr>
        <w:rFonts w:ascii="Courier New" w:hAnsi="Courier New" w:cs="Courier New" w:hint="default"/>
      </w:rPr>
    </w:lvl>
    <w:lvl w:ilvl="2" w:tplc="04260005" w:tentative="1">
      <w:start w:val="1"/>
      <w:numFmt w:val="bullet"/>
      <w:lvlText w:val=""/>
      <w:lvlJc w:val="left"/>
      <w:pPr>
        <w:ind w:left="2265" w:hanging="360"/>
      </w:pPr>
      <w:rPr>
        <w:rFonts w:ascii="Wingdings" w:hAnsi="Wingdings" w:hint="default"/>
      </w:rPr>
    </w:lvl>
    <w:lvl w:ilvl="3" w:tplc="04260001" w:tentative="1">
      <w:start w:val="1"/>
      <w:numFmt w:val="bullet"/>
      <w:lvlText w:val=""/>
      <w:lvlJc w:val="left"/>
      <w:pPr>
        <w:ind w:left="2985" w:hanging="360"/>
      </w:pPr>
      <w:rPr>
        <w:rFonts w:ascii="Symbol" w:hAnsi="Symbol" w:hint="default"/>
      </w:rPr>
    </w:lvl>
    <w:lvl w:ilvl="4" w:tplc="04260003" w:tentative="1">
      <w:start w:val="1"/>
      <w:numFmt w:val="bullet"/>
      <w:lvlText w:val="o"/>
      <w:lvlJc w:val="left"/>
      <w:pPr>
        <w:ind w:left="3705" w:hanging="360"/>
      </w:pPr>
      <w:rPr>
        <w:rFonts w:ascii="Courier New" w:hAnsi="Courier New" w:cs="Courier New" w:hint="default"/>
      </w:rPr>
    </w:lvl>
    <w:lvl w:ilvl="5" w:tplc="04260005" w:tentative="1">
      <w:start w:val="1"/>
      <w:numFmt w:val="bullet"/>
      <w:lvlText w:val=""/>
      <w:lvlJc w:val="left"/>
      <w:pPr>
        <w:ind w:left="4425" w:hanging="360"/>
      </w:pPr>
      <w:rPr>
        <w:rFonts w:ascii="Wingdings" w:hAnsi="Wingdings" w:hint="default"/>
      </w:rPr>
    </w:lvl>
    <w:lvl w:ilvl="6" w:tplc="04260001" w:tentative="1">
      <w:start w:val="1"/>
      <w:numFmt w:val="bullet"/>
      <w:lvlText w:val=""/>
      <w:lvlJc w:val="left"/>
      <w:pPr>
        <w:ind w:left="5145" w:hanging="360"/>
      </w:pPr>
      <w:rPr>
        <w:rFonts w:ascii="Symbol" w:hAnsi="Symbol" w:hint="default"/>
      </w:rPr>
    </w:lvl>
    <w:lvl w:ilvl="7" w:tplc="04260003" w:tentative="1">
      <w:start w:val="1"/>
      <w:numFmt w:val="bullet"/>
      <w:lvlText w:val="o"/>
      <w:lvlJc w:val="left"/>
      <w:pPr>
        <w:ind w:left="5865" w:hanging="360"/>
      </w:pPr>
      <w:rPr>
        <w:rFonts w:ascii="Courier New" w:hAnsi="Courier New" w:cs="Courier New" w:hint="default"/>
      </w:rPr>
    </w:lvl>
    <w:lvl w:ilvl="8" w:tplc="04260005" w:tentative="1">
      <w:start w:val="1"/>
      <w:numFmt w:val="bullet"/>
      <w:lvlText w:val=""/>
      <w:lvlJc w:val="left"/>
      <w:pPr>
        <w:ind w:left="6585" w:hanging="360"/>
      </w:pPr>
      <w:rPr>
        <w:rFonts w:ascii="Wingdings" w:hAnsi="Wingdings" w:hint="default"/>
      </w:rPr>
    </w:lvl>
  </w:abstractNum>
  <w:abstractNum w:abstractNumId="11">
    <w:nsid w:val="7F983C6D"/>
    <w:multiLevelType w:val="hybridMultilevel"/>
    <w:tmpl w:val="BAAE2282"/>
    <w:lvl w:ilvl="0" w:tplc="8174CB5E">
      <w:numFmt w:val="bullet"/>
      <w:lvlText w:val="-"/>
      <w:lvlJc w:val="left"/>
      <w:pPr>
        <w:ind w:left="825" w:hanging="360"/>
      </w:pPr>
      <w:rPr>
        <w:rFonts w:ascii="Times New Roman" w:eastAsiaTheme="minorHAnsi" w:hAnsi="Times New Roman" w:cs="Times New Roman" w:hint="default"/>
      </w:rPr>
    </w:lvl>
    <w:lvl w:ilvl="1" w:tplc="04260003" w:tentative="1">
      <w:start w:val="1"/>
      <w:numFmt w:val="bullet"/>
      <w:lvlText w:val="o"/>
      <w:lvlJc w:val="left"/>
      <w:pPr>
        <w:ind w:left="1545" w:hanging="360"/>
      </w:pPr>
      <w:rPr>
        <w:rFonts w:ascii="Courier New" w:hAnsi="Courier New" w:cs="Courier New" w:hint="default"/>
      </w:rPr>
    </w:lvl>
    <w:lvl w:ilvl="2" w:tplc="04260005" w:tentative="1">
      <w:start w:val="1"/>
      <w:numFmt w:val="bullet"/>
      <w:lvlText w:val=""/>
      <w:lvlJc w:val="left"/>
      <w:pPr>
        <w:ind w:left="2265" w:hanging="360"/>
      </w:pPr>
      <w:rPr>
        <w:rFonts w:ascii="Wingdings" w:hAnsi="Wingdings" w:hint="default"/>
      </w:rPr>
    </w:lvl>
    <w:lvl w:ilvl="3" w:tplc="04260001" w:tentative="1">
      <w:start w:val="1"/>
      <w:numFmt w:val="bullet"/>
      <w:lvlText w:val=""/>
      <w:lvlJc w:val="left"/>
      <w:pPr>
        <w:ind w:left="2985" w:hanging="360"/>
      </w:pPr>
      <w:rPr>
        <w:rFonts w:ascii="Symbol" w:hAnsi="Symbol" w:hint="default"/>
      </w:rPr>
    </w:lvl>
    <w:lvl w:ilvl="4" w:tplc="04260003" w:tentative="1">
      <w:start w:val="1"/>
      <w:numFmt w:val="bullet"/>
      <w:lvlText w:val="o"/>
      <w:lvlJc w:val="left"/>
      <w:pPr>
        <w:ind w:left="3705" w:hanging="360"/>
      </w:pPr>
      <w:rPr>
        <w:rFonts w:ascii="Courier New" w:hAnsi="Courier New" w:cs="Courier New" w:hint="default"/>
      </w:rPr>
    </w:lvl>
    <w:lvl w:ilvl="5" w:tplc="04260005" w:tentative="1">
      <w:start w:val="1"/>
      <w:numFmt w:val="bullet"/>
      <w:lvlText w:val=""/>
      <w:lvlJc w:val="left"/>
      <w:pPr>
        <w:ind w:left="4425" w:hanging="360"/>
      </w:pPr>
      <w:rPr>
        <w:rFonts w:ascii="Wingdings" w:hAnsi="Wingdings" w:hint="default"/>
      </w:rPr>
    </w:lvl>
    <w:lvl w:ilvl="6" w:tplc="04260001" w:tentative="1">
      <w:start w:val="1"/>
      <w:numFmt w:val="bullet"/>
      <w:lvlText w:val=""/>
      <w:lvlJc w:val="left"/>
      <w:pPr>
        <w:ind w:left="5145" w:hanging="360"/>
      </w:pPr>
      <w:rPr>
        <w:rFonts w:ascii="Symbol" w:hAnsi="Symbol" w:hint="default"/>
      </w:rPr>
    </w:lvl>
    <w:lvl w:ilvl="7" w:tplc="04260003" w:tentative="1">
      <w:start w:val="1"/>
      <w:numFmt w:val="bullet"/>
      <w:lvlText w:val="o"/>
      <w:lvlJc w:val="left"/>
      <w:pPr>
        <w:ind w:left="5865" w:hanging="360"/>
      </w:pPr>
      <w:rPr>
        <w:rFonts w:ascii="Courier New" w:hAnsi="Courier New" w:cs="Courier New" w:hint="default"/>
      </w:rPr>
    </w:lvl>
    <w:lvl w:ilvl="8" w:tplc="04260005" w:tentative="1">
      <w:start w:val="1"/>
      <w:numFmt w:val="bullet"/>
      <w:lvlText w:val=""/>
      <w:lvlJc w:val="left"/>
      <w:pPr>
        <w:ind w:left="6585" w:hanging="360"/>
      </w:pPr>
      <w:rPr>
        <w:rFonts w:ascii="Wingdings" w:hAnsi="Wingdings" w:hint="default"/>
      </w:rPr>
    </w:lvl>
  </w:abstractNum>
  <w:num w:numId="1">
    <w:abstractNumId w:val="6"/>
  </w:num>
  <w:num w:numId="2">
    <w:abstractNumId w:val="9"/>
  </w:num>
  <w:num w:numId="3">
    <w:abstractNumId w:val="5"/>
  </w:num>
  <w:num w:numId="4">
    <w:abstractNumId w:val="0"/>
  </w:num>
  <w:num w:numId="5">
    <w:abstractNumId w:val="2"/>
  </w:num>
  <w:num w:numId="6">
    <w:abstractNumId w:val="1"/>
  </w:num>
  <w:num w:numId="7">
    <w:abstractNumId w:val="11"/>
  </w:num>
  <w:num w:numId="8">
    <w:abstractNumId w:val="7"/>
  </w:num>
  <w:num w:numId="9">
    <w:abstractNumId w:val="10"/>
  </w:num>
  <w:num w:numId="10">
    <w:abstractNumId w:val="3"/>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A039A"/>
    <w:rsid w:val="0000262E"/>
    <w:rsid w:val="00002E15"/>
    <w:rsid w:val="00003D04"/>
    <w:rsid w:val="00004CCF"/>
    <w:rsid w:val="00007B75"/>
    <w:rsid w:val="000132B9"/>
    <w:rsid w:val="00016B08"/>
    <w:rsid w:val="0001788E"/>
    <w:rsid w:val="000209F0"/>
    <w:rsid w:val="00024038"/>
    <w:rsid w:val="00031494"/>
    <w:rsid w:val="00032F60"/>
    <w:rsid w:val="00036550"/>
    <w:rsid w:val="00037085"/>
    <w:rsid w:val="000404D7"/>
    <w:rsid w:val="000425C1"/>
    <w:rsid w:val="00050172"/>
    <w:rsid w:val="00050266"/>
    <w:rsid w:val="0005162C"/>
    <w:rsid w:val="00057293"/>
    <w:rsid w:val="0006321F"/>
    <w:rsid w:val="00063B95"/>
    <w:rsid w:val="00065FE8"/>
    <w:rsid w:val="00070478"/>
    <w:rsid w:val="00077A57"/>
    <w:rsid w:val="000840FE"/>
    <w:rsid w:val="000854FF"/>
    <w:rsid w:val="00085EA4"/>
    <w:rsid w:val="00090087"/>
    <w:rsid w:val="0009095D"/>
    <w:rsid w:val="0009275F"/>
    <w:rsid w:val="00092FE6"/>
    <w:rsid w:val="0009506C"/>
    <w:rsid w:val="00096919"/>
    <w:rsid w:val="000A0242"/>
    <w:rsid w:val="000A2B67"/>
    <w:rsid w:val="000A44DF"/>
    <w:rsid w:val="000A7AA1"/>
    <w:rsid w:val="000B020B"/>
    <w:rsid w:val="000B0B57"/>
    <w:rsid w:val="000B1405"/>
    <w:rsid w:val="000B159B"/>
    <w:rsid w:val="000B2535"/>
    <w:rsid w:val="000C052C"/>
    <w:rsid w:val="000C2F4D"/>
    <w:rsid w:val="000C6693"/>
    <w:rsid w:val="000D256F"/>
    <w:rsid w:val="000D2749"/>
    <w:rsid w:val="000D58ED"/>
    <w:rsid w:val="000D66D2"/>
    <w:rsid w:val="000E2411"/>
    <w:rsid w:val="000F312B"/>
    <w:rsid w:val="000F3AD2"/>
    <w:rsid w:val="000F6EA7"/>
    <w:rsid w:val="00101FB9"/>
    <w:rsid w:val="00110200"/>
    <w:rsid w:val="00110A46"/>
    <w:rsid w:val="001119FE"/>
    <w:rsid w:val="0011363F"/>
    <w:rsid w:val="00114A07"/>
    <w:rsid w:val="0012301B"/>
    <w:rsid w:val="00123828"/>
    <w:rsid w:val="00124A50"/>
    <w:rsid w:val="00126C90"/>
    <w:rsid w:val="0013416C"/>
    <w:rsid w:val="001370A0"/>
    <w:rsid w:val="00140714"/>
    <w:rsid w:val="00143D5C"/>
    <w:rsid w:val="0014607F"/>
    <w:rsid w:val="001477AA"/>
    <w:rsid w:val="00147DB1"/>
    <w:rsid w:val="001510FA"/>
    <w:rsid w:val="00151F2F"/>
    <w:rsid w:val="00152700"/>
    <w:rsid w:val="00162DAD"/>
    <w:rsid w:val="001633B9"/>
    <w:rsid w:val="00163732"/>
    <w:rsid w:val="00164732"/>
    <w:rsid w:val="001656E1"/>
    <w:rsid w:val="001706FB"/>
    <w:rsid w:val="00172364"/>
    <w:rsid w:val="00181002"/>
    <w:rsid w:val="00190450"/>
    <w:rsid w:val="00190A4A"/>
    <w:rsid w:val="001926B5"/>
    <w:rsid w:val="00196683"/>
    <w:rsid w:val="001A6533"/>
    <w:rsid w:val="001A6FB4"/>
    <w:rsid w:val="001B0197"/>
    <w:rsid w:val="001B0345"/>
    <w:rsid w:val="001B3B62"/>
    <w:rsid w:val="001D1825"/>
    <w:rsid w:val="001D3D28"/>
    <w:rsid w:val="001E0C8C"/>
    <w:rsid w:val="001E0DD3"/>
    <w:rsid w:val="001E17B2"/>
    <w:rsid w:val="001F40CC"/>
    <w:rsid w:val="001F44A1"/>
    <w:rsid w:val="001F52FC"/>
    <w:rsid w:val="00201F69"/>
    <w:rsid w:val="0021238C"/>
    <w:rsid w:val="00214C86"/>
    <w:rsid w:val="0021690C"/>
    <w:rsid w:val="00220650"/>
    <w:rsid w:val="00221D45"/>
    <w:rsid w:val="002220D8"/>
    <w:rsid w:val="00225C70"/>
    <w:rsid w:val="002266A8"/>
    <w:rsid w:val="00226B40"/>
    <w:rsid w:val="0023096D"/>
    <w:rsid w:val="00233B09"/>
    <w:rsid w:val="00234EE0"/>
    <w:rsid w:val="00235CFB"/>
    <w:rsid w:val="00242F9F"/>
    <w:rsid w:val="002558AA"/>
    <w:rsid w:val="002606D7"/>
    <w:rsid w:val="00262B68"/>
    <w:rsid w:val="002649CA"/>
    <w:rsid w:val="002674F8"/>
    <w:rsid w:val="00275C84"/>
    <w:rsid w:val="002761CC"/>
    <w:rsid w:val="002778BE"/>
    <w:rsid w:val="002854EE"/>
    <w:rsid w:val="0029068A"/>
    <w:rsid w:val="002925F9"/>
    <w:rsid w:val="002A1149"/>
    <w:rsid w:val="002A321A"/>
    <w:rsid w:val="002A3EE5"/>
    <w:rsid w:val="002B11A9"/>
    <w:rsid w:val="002B21B0"/>
    <w:rsid w:val="002B21E8"/>
    <w:rsid w:val="002C44AA"/>
    <w:rsid w:val="002C764E"/>
    <w:rsid w:val="002D0453"/>
    <w:rsid w:val="002D097C"/>
    <w:rsid w:val="002D10F2"/>
    <w:rsid w:val="002D5252"/>
    <w:rsid w:val="002D7462"/>
    <w:rsid w:val="002D7AD9"/>
    <w:rsid w:val="002F0702"/>
    <w:rsid w:val="002F170C"/>
    <w:rsid w:val="002F231C"/>
    <w:rsid w:val="002F398B"/>
    <w:rsid w:val="00300A08"/>
    <w:rsid w:val="00301498"/>
    <w:rsid w:val="00301778"/>
    <w:rsid w:val="00305ACB"/>
    <w:rsid w:val="00307DD0"/>
    <w:rsid w:val="003132B0"/>
    <w:rsid w:val="003134CF"/>
    <w:rsid w:val="00317933"/>
    <w:rsid w:val="003221E0"/>
    <w:rsid w:val="003237CA"/>
    <w:rsid w:val="00330AED"/>
    <w:rsid w:val="00330C74"/>
    <w:rsid w:val="003363CC"/>
    <w:rsid w:val="00337FD0"/>
    <w:rsid w:val="00343349"/>
    <w:rsid w:val="003455D0"/>
    <w:rsid w:val="0035049F"/>
    <w:rsid w:val="00350C3D"/>
    <w:rsid w:val="00356153"/>
    <w:rsid w:val="00356240"/>
    <w:rsid w:val="00360BDA"/>
    <w:rsid w:val="003621E2"/>
    <w:rsid w:val="00362948"/>
    <w:rsid w:val="00374369"/>
    <w:rsid w:val="00382232"/>
    <w:rsid w:val="00382900"/>
    <w:rsid w:val="003864B9"/>
    <w:rsid w:val="00392507"/>
    <w:rsid w:val="00395A4C"/>
    <w:rsid w:val="00395CBC"/>
    <w:rsid w:val="0039636F"/>
    <w:rsid w:val="00397F76"/>
    <w:rsid w:val="003A5FA4"/>
    <w:rsid w:val="003A73D3"/>
    <w:rsid w:val="003A75C1"/>
    <w:rsid w:val="003A7DC4"/>
    <w:rsid w:val="003B0028"/>
    <w:rsid w:val="003B0673"/>
    <w:rsid w:val="003B35F4"/>
    <w:rsid w:val="003B3E52"/>
    <w:rsid w:val="003B69B5"/>
    <w:rsid w:val="003C0970"/>
    <w:rsid w:val="003C6FDD"/>
    <w:rsid w:val="003D1338"/>
    <w:rsid w:val="003D2391"/>
    <w:rsid w:val="003D31F8"/>
    <w:rsid w:val="003E162A"/>
    <w:rsid w:val="003E3D28"/>
    <w:rsid w:val="003E3DBD"/>
    <w:rsid w:val="003E7020"/>
    <w:rsid w:val="003F3538"/>
    <w:rsid w:val="003F58F8"/>
    <w:rsid w:val="003F5C07"/>
    <w:rsid w:val="00402452"/>
    <w:rsid w:val="00403AC6"/>
    <w:rsid w:val="004106C1"/>
    <w:rsid w:val="00414791"/>
    <w:rsid w:val="00420082"/>
    <w:rsid w:val="004342E0"/>
    <w:rsid w:val="00443600"/>
    <w:rsid w:val="00445CA5"/>
    <w:rsid w:val="00451BC5"/>
    <w:rsid w:val="00453C57"/>
    <w:rsid w:val="00461A2A"/>
    <w:rsid w:val="00463BE7"/>
    <w:rsid w:val="004675C3"/>
    <w:rsid w:val="004675C8"/>
    <w:rsid w:val="004737E1"/>
    <w:rsid w:val="0047441F"/>
    <w:rsid w:val="00493688"/>
    <w:rsid w:val="004973D9"/>
    <w:rsid w:val="004A0433"/>
    <w:rsid w:val="004A1A60"/>
    <w:rsid w:val="004B08EE"/>
    <w:rsid w:val="004B0FE9"/>
    <w:rsid w:val="004B3E89"/>
    <w:rsid w:val="004B501F"/>
    <w:rsid w:val="004B544E"/>
    <w:rsid w:val="004B7B23"/>
    <w:rsid w:val="004C1FC4"/>
    <w:rsid w:val="004C2148"/>
    <w:rsid w:val="004C4DBE"/>
    <w:rsid w:val="004C5F52"/>
    <w:rsid w:val="004D14A0"/>
    <w:rsid w:val="004D1859"/>
    <w:rsid w:val="004D21E1"/>
    <w:rsid w:val="004D29F0"/>
    <w:rsid w:val="004D4DEF"/>
    <w:rsid w:val="004D6A39"/>
    <w:rsid w:val="004E0147"/>
    <w:rsid w:val="004E1BDF"/>
    <w:rsid w:val="004E2CD8"/>
    <w:rsid w:val="004E667B"/>
    <w:rsid w:val="004E714F"/>
    <w:rsid w:val="004E756C"/>
    <w:rsid w:val="004F28BA"/>
    <w:rsid w:val="004F485C"/>
    <w:rsid w:val="004F5515"/>
    <w:rsid w:val="004F7F51"/>
    <w:rsid w:val="00502969"/>
    <w:rsid w:val="00510ED3"/>
    <w:rsid w:val="00514322"/>
    <w:rsid w:val="00514CEE"/>
    <w:rsid w:val="00521532"/>
    <w:rsid w:val="00524E1B"/>
    <w:rsid w:val="0053430F"/>
    <w:rsid w:val="00534EC3"/>
    <w:rsid w:val="005376A4"/>
    <w:rsid w:val="0054450E"/>
    <w:rsid w:val="00544942"/>
    <w:rsid w:val="005457B1"/>
    <w:rsid w:val="005562EE"/>
    <w:rsid w:val="00561078"/>
    <w:rsid w:val="005616C8"/>
    <w:rsid w:val="0056247D"/>
    <w:rsid w:val="00562F81"/>
    <w:rsid w:val="00563363"/>
    <w:rsid w:val="00567A64"/>
    <w:rsid w:val="00570F90"/>
    <w:rsid w:val="00571F52"/>
    <w:rsid w:val="00573A1F"/>
    <w:rsid w:val="005762B0"/>
    <w:rsid w:val="00577061"/>
    <w:rsid w:val="00583EB9"/>
    <w:rsid w:val="005866B9"/>
    <w:rsid w:val="00590849"/>
    <w:rsid w:val="0059331A"/>
    <w:rsid w:val="005946AC"/>
    <w:rsid w:val="005954B4"/>
    <w:rsid w:val="0059679B"/>
    <w:rsid w:val="00597BD0"/>
    <w:rsid w:val="005A039A"/>
    <w:rsid w:val="005A2557"/>
    <w:rsid w:val="005B2D51"/>
    <w:rsid w:val="005B74DA"/>
    <w:rsid w:val="005C1E93"/>
    <w:rsid w:val="005D4AD8"/>
    <w:rsid w:val="005D559D"/>
    <w:rsid w:val="005F0EFE"/>
    <w:rsid w:val="005F674E"/>
    <w:rsid w:val="00605A3E"/>
    <w:rsid w:val="0060685C"/>
    <w:rsid w:val="006135DF"/>
    <w:rsid w:val="00621AA4"/>
    <w:rsid w:val="00625B72"/>
    <w:rsid w:val="0062726E"/>
    <w:rsid w:val="00631202"/>
    <w:rsid w:val="00632A29"/>
    <w:rsid w:val="006367A8"/>
    <w:rsid w:val="0064469C"/>
    <w:rsid w:val="00644E7F"/>
    <w:rsid w:val="0065091E"/>
    <w:rsid w:val="00650E32"/>
    <w:rsid w:val="006536D3"/>
    <w:rsid w:val="0065746F"/>
    <w:rsid w:val="00662672"/>
    <w:rsid w:val="00672768"/>
    <w:rsid w:val="00675FC9"/>
    <w:rsid w:val="006766C6"/>
    <w:rsid w:val="0068020A"/>
    <w:rsid w:val="006821F2"/>
    <w:rsid w:val="00683A49"/>
    <w:rsid w:val="00683C25"/>
    <w:rsid w:val="00687E23"/>
    <w:rsid w:val="00691138"/>
    <w:rsid w:val="0069406A"/>
    <w:rsid w:val="006A62FD"/>
    <w:rsid w:val="006A777C"/>
    <w:rsid w:val="006B0409"/>
    <w:rsid w:val="006B1D13"/>
    <w:rsid w:val="006C18BC"/>
    <w:rsid w:val="006C22C6"/>
    <w:rsid w:val="006C3439"/>
    <w:rsid w:val="006C3B45"/>
    <w:rsid w:val="006C6120"/>
    <w:rsid w:val="006D0007"/>
    <w:rsid w:val="006D0FCD"/>
    <w:rsid w:val="006E658B"/>
    <w:rsid w:val="006E6EA6"/>
    <w:rsid w:val="006F6289"/>
    <w:rsid w:val="006F7CBA"/>
    <w:rsid w:val="0070128C"/>
    <w:rsid w:val="007027CE"/>
    <w:rsid w:val="00702FDC"/>
    <w:rsid w:val="00706247"/>
    <w:rsid w:val="007074DB"/>
    <w:rsid w:val="00710AF5"/>
    <w:rsid w:val="00711EE5"/>
    <w:rsid w:val="0071238D"/>
    <w:rsid w:val="0071754B"/>
    <w:rsid w:val="00720C6D"/>
    <w:rsid w:val="007250B0"/>
    <w:rsid w:val="0072757E"/>
    <w:rsid w:val="00730454"/>
    <w:rsid w:val="00731075"/>
    <w:rsid w:val="00732E0A"/>
    <w:rsid w:val="0073354E"/>
    <w:rsid w:val="00733B66"/>
    <w:rsid w:val="007346C3"/>
    <w:rsid w:val="00734D73"/>
    <w:rsid w:val="00745407"/>
    <w:rsid w:val="00745EAA"/>
    <w:rsid w:val="00746E89"/>
    <w:rsid w:val="00747E39"/>
    <w:rsid w:val="00752F08"/>
    <w:rsid w:val="00753EC0"/>
    <w:rsid w:val="00763064"/>
    <w:rsid w:val="00765810"/>
    <w:rsid w:val="00766FB9"/>
    <w:rsid w:val="00771AF9"/>
    <w:rsid w:val="00772D65"/>
    <w:rsid w:val="00775E60"/>
    <w:rsid w:val="00784117"/>
    <w:rsid w:val="00793EE1"/>
    <w:rsid w:val="0079410D"/>
    <w:rsid w:val="00794849"/>
    <w:rsid w:val="00794B39"/>
    <w:rsid w:val="00796BEB"/>
    <w:rsid w:val="00797FA6"/>
    <w:rsid w:val="007A0C42"/>
    <w:rsid w:val="007A1225"/>
    <w:rsid w:val="007A4BB7"/>
    <w:rsid w:val="007A7D95"/>
    <w:rsid w:val="007B1B05"/>
    <w:rsid w:val="007B2F0F"/>
    <w:rsid w:val="007B3C3E"/>
    <w:rsid w:val="007B4202"/>
    <w:rsid w:val="007C2428"/>
    <w:rsid w:val="007C5DD3"/>
    <w:rsid w:val="007C6213"/>
    <w:rsid w:val="007D09E6"/>
    <w:rsid w:val="007D1D03"/>
    <w:rsid w:val="007D26FE"/>
    <w:rsid w:val="007D4392"/>
    <w:rsid w:val="007D4BB3"/>
    <w:rsid w:val="007D4BE2"/>
    <w:rsid w:val="007D6062"/>
    <w:rsid w:val="007E150D"/>
    <w:rsid w:val="007E238B"/>
    <w:rsid w:val="007E4D50"/>
    <w:rsid w:val="007F2850"/>
    <w:rsid w:val="007F4FA2"/>
    <w:rsid w:val="00805D61"/>
    <w:rsid w:val="008071A6"/>
    <w:rsid w:val="00807D08"/>
    <w:rsid w:val="008125DD"/>
    <w:rsid w:val="00813430"/>
    <w:rsid w:val="00817A10"/>
    <w:rsid w:val="008237C1"/>
    <w:rsid w:val="00825484"/>
    <w:rsid w:val="00826652"/>
    <w:rsid w:val="008305D5"/>
    <w:rsid w:val="0084021F"/>
    <w:rsid w:val="00840668"/>
    <w:rsid w:val="00841696"/>
    <w:rsid w:val="00841D7F"/>
    <w:rsid w:val="00843980"/>
    <w:rsid w:val="0084563F"/>
    <w:rsid w:val="00845E11"/>
    <w:rsid w:val="008506B9"/>
    <w:rsid w:val="0086528D"/>
    <w:rsid w:val="0086614A"/>
    <w:rsid w:val="00867A87"/>
    <w:rsid w:val="00867C74"/>
    <w:rsid w:val="00874871"/>
    <w:rsid w:val="008768DC"/>
    <w:rsid w:val="00881F21"/>
    <w:rsid w:val="00882009"/>
    <w:rsid w:val="00895D1B"/>
    <w:rsid w:val="00896708"/>
    <w:rsid w:val="00897E19"/>
    <w:rsid w:val="008A21CA"/>
    <w:rsid w:val="008A238C"/>
    <w:rsid w:val="008A331C"/>
    <w:rsid w:val="008B15F2"/>
    <w:rsid w:val="008B29CC"/>
    <w:rsid w:val="008B2A46"/>
    <w:rsid w:val="008B37C8"/>
    <w:rsid w:val="008B4CC6"/>
    <w:rsid w:val="008B4E81"/>
    <w:rsid w:val="008C2DDA"/>
    <w:rsid w:val="008C6613"/>
    <w:rsid w:val="008C6964"/>
    <w:rsid w:val="008D0E91"/>
    <w:rsid w:val="008D59BC"/>
    <w:rsid w:val="008D7237"/>
    <w:rsid w:val="008F284A"/>
    <w:rsid w:val="009006C3"/>
    <w:rsid w:val="00900FF8"/>
    <w:rsid w:val="00901620"/>
    <w:rsid w:val="00903433"/>
    <w:rsid w:val="0090355F"/>
    <w:rsid w:val="00904AF7"/>
    <w:rsid w:val="009075F2"/>
    <w:rsid w:val="00907CFD"/>
    <w:rsid w:val="00912059"/>
    <w:rsid w:val="00913BA8"/>
    <w:rsid w:val="0091453D"/>
    <w:rsid w:val="0091718C"/>
    <w:rsid w:val="00922500"/>
    <w:rsid w:val="009231B6"/>
    <w:rsid w:val="00923933"/>
    <w:rsid w:val="009252B8"/>
    <w:rsid w:val="00926B88"/>
    <w:rsid w:val="00931088"/>
    <w:rsid w:val="00936730"/>
    <w:rsid w:val="00937BC4"/>
    <w:rsid w:val="00944B3D"/>
    <w:rsid w:val="00947A94"/>
    <w:rsid w:val="00951DD5"/>
    <w:rsid w:val="00956672"/>
    <w:rsid w:val="00956A18"/>
    <w:rsid w:val="00956E71"/>
    <w:rsid w:val="00960403"/>
    <w:rsid w:val="00960EEF"/>
    <w:rsid w:val="0096121A"/>
    <w:rsid w:val="00963F93"/>
    <w:rsid w:val="0097122D"/>
    <w:rsid w:val="00974A4C"/>
    <w:rsid w:val="00974E22"/>
    <w:rsid w:val="009777DD"/>
    <w:rsid w:val="0098388A"/>
    <w:rsid w:val="00984712"/>
    <w:rsid w:val="00985CE2"/>
    <w:rsid w:val="009865D6"/>
    <w:rsid w:val="00993A36"/>
    <w:rsid w:val="009966EA"/>
    <w:rsid w:val="00996FC2"/>
    <w:rsid w:val="00997674"/>
    <w:rsid w:val="009A52C5"/>
    <w:rsid w:val="009A679C"/>
    <w:rsid w:val="009A6886"/>
    <w:rsid w:val="009A6B60"/>
    <w:rsid w:val="009B2A3B"/>
    <w:rsid w:val="009B7EC2"/>
    <w:rsid w:val="009C62E1"/>
    <w:rsid w:val="009C797D"/>
    <w:rsid w:val="009D0DA7"/>
    <w:rsid w:val="009D1ACE"/>
    <w:rsid w:val="009D28DC"/>
    <w:rsid w:val="009D7122"/>
    <w:rsid w:val="009D7FED"/>
    <w:rsid w:val="009E297B"/>
    <w:rsid w:val="009E588D"/>
    <w:rsid w:val="009F3BF9"/>
    <w:rsid w:val="009F5006"/>
    <w:rsid w:val="009F645B"/>
    <w:rsid w:val="009F682A"/>
    <w:rsid w:val="009F72D5"/>
    <w:rsid w:val="00A0342F"/>
    <w:rsid w:val="00A041E3"/>
    <w:rsid w:val="00A066AE"/>
    <w:rsid w:val="00A120FA"/>
    <w:rsid w:val="00A125B3"/>
    <w:rsid w:val="00A130C0"/>
    <w:rsid w:val="00A14C6C"/>
    <w:rsid w:val="00A163CE"/>
    <w:rsid w:val="00A175A1"/>
    <w:rsid w:val="00A17B1C"/>
    <w:rsid w:val="00A214CD"/>
    <w:rsid w:val="00A24A5E"/>
    <w:rsid w:val="00A25E07"/>
    <w:rsid w:val="00A2645B"/>
    <w:rsid w:val="00A32AAB"/>
    <w:rsid w:val="00A420E2"/>
    <w:rsid w:val="00A43EE3"/>
    <w:rsid w:val="00A51070"/>
    <w:rsid w:val="00A5529D"/>
    <w:rsid w:val="00A625DB"/>
    <w:rsid w:val="00A6260E"/>
    <w:rsid w:val="00A7388D"/>
    <w:rsid w:val="00A775AB"/>
    <w:rsid w:val="00A775BC"/>
    <w:rsid w:val="00A80043"/>
    <w:rsid w:val="00A80124"/>
    <w:rsid w:val="00A82C41"/>
    <w:rsid w:val="00A8403B"/>
    <w:rsid w:val="00A86F30"/>
    <w:rsid w:val="00A921A0"/>
    <w:rsid w:val="00A92B15"/>
    <w:rsid w:val="00A93C56"/>
    <w:rsid w:val="00A9638C"/>
    <w:rsid w:val="00AA70B6"/>
    <w:rsid w:val="00AA7138"/>
    <w:rsid w:val="00AB1FDA"/>
    <w:rsid w:val="00AB4CD7"/>
    <w:rsid w:val="00AB5FC6"/>
    <w:rsid w:val="00AC006E"/>
    <w:rsid w:val="00AC1462"/>
    <w:rsid w:val="00AC31B9"/>
    <w:rsid w:val="00AC4D94"/>
    <w:rsid w:val="00AC5CFD"/>
    <w:rsid w:val="00AC7D8E"/>
    <w:rsid w:val="00AD12EB"/>
    <w:rsid w:val="00AE031B"/>
    <w:rsid w:val="00AE06FD"/>
    <w:rsid w:val="00AE46DC"/>
    <w:rsid w:val="00AE4A9A"/>
    <w:rsid w:val="00AF282E"/>
    <w:rsid w:val="00AF67CE"/>
    <w:rsid w:val="00B008F0"/>
    <w:rsid w:val="00B01684"/>
    <w:rsid w:val="00B03EDD"/>
    <w:rsid w:val="00B04852"/>
    <w:rsid w:val="00B05654"/>
    <w:rsid w:val="00B137C6"/>
    <w:rsid w:val="00B16B83"/>
    <w:rsid w:val="00B16C2A"/>
    <w:rsid w:val="00B17C59"/>
    <w:rsid w:val="00B203D4"/>
    <w:rsid w:val="00B24E2C"/>
    <w:rsid w:val="00B2735F"/>
    <w:rsid w:val="00B32310"/>
    <w:rsid w:val="00B32F95"/>
    <w:rsid w:val="00B33565"/>
    <w:rsid w:val="00B3531E"/>
    <w:rsid w:val="00B35691"/>
    <w:rsid w:val="00B40B8F"/>
    <w:rsid w:val="00B410D5"/>
    <w:rsid w:val="00B441CE"/>
    <w:rsid w:val="00B53E21"/>
    <w:rsid w:val="00B54CA8"/>
    <w:rsid w:val="00B566EF"/>
    <w:rsid w:val="00B570FE"/>
    <w:rsid w:val="00B607EE"/>
    <w:rsid w:val="00B60C0D"/>
    <w:rsid w:val="00B6630A"/>
    <w:rsid w:val="00B6673B"/>
    <w:rsid w:val="00B70BC1"/>
    <w:rsid w:val="00B70E7F"/>
    <w:rsid w:val="00B7178E"/>
    <w:rsid w:val="00B74912"/>
    <w:rsid w:val="00B75465"/>
    <w:rsid w:val="00B77CBE"/>
    <w:rsid w:val="00B801F5"/>
    <w:rsid w:val="00B81BEC"/>
    <w:rsid w:val="00B91CC9"/>
    <w:rsid w:val="00B91E6D"/>
    <w:rsid w:val="00B94029"/>
    <w:rsid w:val="00B95F22"/>
    <w:rsid w:val="00B96F69"/>
    <w:rsid w:val="00BA040B"/>
    <w:rsid w:val="00BA0A5B"/>
    <w:rsid w:val="00BA243F"/>
    <w:rsid w:val="00BB1E0F"/>
    <w:rsid w:val="00BB21D3"/>
    <w:rsid w:val="00BB3F9E"/>
    <w:rsid w:val="00BB58DD"/>
    <w:rsid w:val="00BC0992"/>
    <w:rsid w:val="00BC495A"/>
    <w:rsid w:val="00BD0F83"/>
    <w:rsid w:val="00BD3E5A"/>
    <w:rsid w:val="00BD40C8"/>
    <w:rsid w:val="00BD68C2"/>
    <w:rsid w:val="00BD78F2"/>
    <w:rsid w:val="00BE174A"/>
    <w:rsid w:val="00BE2AD5"/>
    <w:rsid w:val="00BE57CB"/>
    <w:rsid w:val="00BF0C43"/>
    <w:rsid w:val="00BF4D21"/>
    <w:rsid w:val="00BF5183"/>
    <w:rsid w:val="00BF65F5"/>
    <w:rsid w:val="00C018C7"/>
    <w:rsid w:val="00C028BE"/>
    <w:rsid w:val="00C04A99"/>
    <w:rsid w:val="00C057FE"/>
    <w:rsid w:val="00C14A49"/>
    <w:rsid w:val="00C15BD3"/>
    <w:rsid w:val="00C16E7F"/>
    <w:rsid w:val="00C2070B"/>
    <w:rsid w:val="00C21952"/>
    <w:rsid w:val="00C22CB0"/>
    <w:rsid w:val="00C33C87"/>
    <w:rsid w:val="00C37372"/>
    <w:rsid w:val="00C426F6"/>
    <w:rsid w:val="00C43E07"/>
    <w:rsid w:val="00C4622C"/>
    <w:rsid w:val="00C534E4"/>
    <w:rsid w:val="00C5374E"/>
    <w:rsid w:val="00C5414A"/>
    <w:rsid w:val="00C65D2D"/>
    <w:rsid w:val="00C83318"/>
    <w:rsid w:val="00C85F36"/>
    <w:rsid w:val="00C87E9B"/>
    <w:rsid w:val="00C94448"/>
    <w:rsid w:val="00C97598"/>
    <w:rsid w:val="00CA474A"/>
    <w:rsid w:val="00CA4DC4"/>
    <w:rsid w:val="00CB518B"/>
    <w:rsid w:val="00CB5C27"/>
    <w:rsid w:val="00CC062F"/>
    <w:rsid w:val="00CC2272"/>
    <w:rsid w:val="00CC3432"/>
    <w:rsid w:val="00CC35F4"/>
    <w:rsid w:val="00CC49B4"/>
    <w:rsid w:val="00CD065B"/>
    <w:rsid w:val="00CD537F"/>
    <w:rsid w:val="00CD791E"/>
    <w:rsid w:val="00CD798A"/>
    <w:rsid w:val="00CE514A"/>
    <w:rsid w:val="00CF17D1"/>
    <w:rsid w:val="00CF1F63"/>
    <w:rsid w:val="00CF203A"/>
    <w:rsid w:val="00CF3B2C"/>
    <w:rsid w:val="00CF6DC8"/>
    <w:rsid w:val="00D014D1"/>
    <w:rsid w:val="00D0363B"/>
    <w:rsid w:val="00D054F6"/>
    <w:rsid w:val="00D150EA"/>
    <w:rsid w:val="00D154DB"/>
    <w:rsid w:val="00D20611"/>
    <w:rsid w:val="00D20CB0"/>
    <w:rsid w:val="00D22ECC"/>
    <w:rsid w:val="00D268A0"/>
    <w:rsid w:val="00D27E07"/>
    <w:rsid w:val="00D32FA8"/>
    <w:rsid w:val="00D4239C"/>
    <w:rsid w:val="00D42918"/>
    <w:rsid w:val="00D429FE"/>
    <w:rsid w:val="00D46E9F"/>
    <w:rsid w:val="00D53766"/>
    <w:rsid w:val="00D54B1D"/>
    <w:rsid w:val="00D55898"/>
    <w:rsid w:val="00D568B9"/>
    <w:rsid w:val="00D62132"/>
    <w:rsid w:val="00D65C2C"/>
    <w:rsid w:val="00D669BD"/>
    <w:rsid w:val="00D745E6"/>
    <w:rsid w:val="00D74A98"/>
    <w:rsid w:val="00D7741C"/>
    <w:rsid w:val="00D77E81"/>
    <w:rsid w:val="00D806F0"/>
    <w:rsid w:val="00D865D3"/>
    <w:rsid w:val="00D91C2D"/>
    <w:rsid w:val="00D97F44"/>
    <w:rsid w:val="00DA240F"/>
    <w:rsid w:val="00DA7FA8"/>
    <w:rsid w:val="00DB63FB"/>
    <w:rsid w:val="00DB7728"/>
    <w:rsid w:val="00DC1D8E"/>
    <w:rsid w:val="00DC3CBE"/>
    <w:rsid w:val="00DC52F0"/>
    <w:rsid w:val="00DD1D2C"/>
    <w:rsid w:val="00DD2E2D"/>
    <w:rsid w:val="00DD45A3"/>
    <w:rsid w:val="00DD6D34"/>
    <w:rsid w:val="00DD7846"/>
    <w:rsid w:val="00DE1C37"/>
    <w:rsid w:val="00DE452C"/>
    <w:rsid w:val="00DE5920"/>
    <w:rsid w:val="00DE5BFD"/>
    <w:rsid w:val="00DE5D16"/>
    <w:rsid w:val="00DE676A"/>
    <w:rsid w:val="00DF0727"/>
    <w:rsid w:val="00DF5944"/>
    <w:rsid w:val="00E00B95"/>
    <w:rsid w:val="00E00C4F"/>
    <w:rsid w:val="00E01859"/>
    <w:rsid w:val="00E03F32"/>
    <w:rsid w:val="00E06393"/>
    <w:rsid w:val="00E068BA"/>
    <w:rsid w:val="00E136E3"/>
    <w:rsid w:val="00E211F4"/>
    <w:rsid w:val="00E21D71"/>
    <w:rsid w:val="00E22C46"/>
    <w:rsid w:val="00E24E81"/>
    <w:rsid w:val="00E25553"/>
    <w:rsid w:val="00E31C07"/>
    <w:rsid w:val="00E332BD"/>
    <w:rsid w:val="00E3734B"/>
    <w:rsid w:val="00E45208"/>
    <w:rsid w:val="00E4781A"/>
    <w:rsid w:val="00E54F33"/>
    <w:rsid w:val="00E62AEF"/>
    <w:rsid w:val="00E63F5E"/>
    <w:rsid w:val="00E64B2B"/>
    <w:rsid w:val="00E653A6"/>
    <w:rsid w:val="00E84864"/>
    <w:rsid w:val="00E85E64"/>
    <w:rsid w:val="00E93117"/>
    <w:rsid w:val="00E93BAB"/>
    <w:rsid w:val="00E949EC"/>
    <w:rsid w:val="00E94A74"/>
    <w:rsid w:val="00E94A79"/>
    <w:rsid w:val="00E95027"/>
    <w:rsid w:val="00E9731B"/>
    <w:rsid w:val="00EA3201"/>
    <w:rsid w:val="00EA3BB3"/>
    <w:rsid w:val="00EA4790"/>
    <w:rsid w:val="00EB0A59"/>
    <w:rsid w:val="00EB1C65"/>
    <w:rsid w:val="00EB4EA8"/>
    <w:rsid w:val="00EB50CD"/>
    <w:rsid w:val="00EC03A8"/>
    <w:rsid w:val="00EC3371"/>
    <w:rsid w:val="00ED6726"/>
    <w:rsid w:val="00ED6C1A"/>
    <w:rsid w:val="00EE177F"/>
    <w:rsid w:val="00EE385C"/>
    <w:rsid w:val="00F044A5"/>
    <w:rsid w:val="00F07C07"/>
    <w:rsid w:val="00F07CC7"/>
    <w:rsid w:val="00F10CCC"/>
    <w:rsid w:val="00F11780"/>
    <w:rsid w:val="00F13FC5"/>
    <w:rsid w:val="00F21B81"/>
    <w:rsid w:val="00F229FB"/>
    <w:rsid w:val="00F25DF3"/>
    <w:rsid w:val="00F26EAB"/>
    <w:rsid w:val="00F27DE0"/>
    <w:rsid w:val="00F354E8"/>
    <w:rsid w:val="00F37EF5"/>
    <w:rsid w:val="00F44151"/>
    <w:rsid w:val="00F47275"/>
    <w:rsid w:val="00F516E8"/>
    <w:rsid w:val="00F53F7E"/>
    <w:rsid w:val="00F565D8"/>
    <w:rsid w:val="00F643C2"/>
    <w:rsid w:val="00F646B0"/>
    <w:rsid w:val="00F64C5D"/>
    <w:rsid w:val="00F67A91"/>
    <w:rsid w:val="00F73A57"/>
    <w:rsid w:val="00F80AAD"/>
    <w:rsid w:val="00F81748"/>
    <w:rsid w:val="00F8287B"/>
    <w:rsid w:val="00F85657"/>
    <w:rsid w:val="00F85D72"/>
    <w:rsid w:val="00F907E2"/>
    <w:rsid w:val="00F9215A"/>
    <w:rsid w:val="00F93660"/>
    <w:rsid w:val="00F954A5"/>
    <w:rsid w:val="00F968F0"/>
    <w:rsid w:val="00F970B8"/>
    <w:rsid w:val="00FA3631"/>
    <w:rsid w:val="00FA6CFB"/>
    <w:rsid w:val="00FA70AE"/>
    <w:rsid w:val="00FB0252"/>
    <w:rsid w:val="00FB287F"/>
    <w:rsid w:val="00FB646B"/>
    <w:rsid w:val="00FC170C"/>
    <w:rsid w:val="00FC3F9F"/>
    <w:rsid w:val="00FC45CF"/>
    <w:rsid w:val="00FC69F0"/>
    <w:rsid w:val="00FC717F"/>
    <w:rsid w:val="00FC77EB"/>
    <w:rsid w:val="00FD0971"/>
    <w:rsid w:val="00FD0BA1"/>
    <w:rsid w:val="00FD4781"/>
    <w:rsid w:val="00FE007C"/>
    <w:rsid w:val="00FE354D"/>
    <w:rsid w:val="00FE36B6"/>
    <w:rsid w:val="00FF0A44"/>
    <w:rsid w:val="00FF44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DBD"/>
  </w:style>
  <w:style w:type="paragraph" w:styleId="Heading1">
    <w:name w:val="heading 1"/>
    <w:basedOn w:val="Normal"/>
    <w:next w:val="Normal"/>
    <w:link w:val="Heading1Char"/>
    <w:uiPriority w:val="9"/>
    <w:qFormat/>
    <w:rsid w:val="00A130C0"/>
    <w:pPr>
      <w:keepNext/>
      <w:keepLines/>
      <w:outlineLvl w:val="0"/>
    </w:pPr>
    <w:rPr>
      <w:rFonts w:eastAsiaTheme="majorEastAsia" w:cstheme="majorBidi"/>
      <w:b/>
      <w:bCs/>
      <w:sz w:val="32"/>
      <w:szCs w:val="28"/>
    </w:rPr>
  </w:style>
  <w:style w:type="paragraph" w:styleId="Heading5">
    <w:name w:val="heading 5"/>
    <w:basedOn w:val="Normal"/>
    <w:next w:val="Normal"/>
    <w:link w:val="Heading5Char"/>
    <w:qFormat/>
    <w:rsid w:val="00BB1E0F"/>
    <w:pPr>
      <w:suppressAutoHyphens/>
      <w:spacing w:before="240" w:after="60"/>
      <w:outlineLvl w:val="4"/>
    </w:pPr>
    <w:rPr>
      <w:rFonts w:eastAsia="Times New Roman" w:cs="Times New Roman"/>
      <w:b/>
      <w:bCs/>
      <w:i/>
      <w:iCs/>
      <w:kern w:val="1"/>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5A039A"/>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5A039A"/>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5A039A"/>
    <w:pPr>
      <w:spacing w:before="100" w:beforeAutospacing="1" w:after="100" w:afterAutospacing="1"/>
    </w:pPr>
    <w:rPr>
      <w:rFonts w:eastAsia="Times New Roman" w:cs="Times New Roman"/>
      <w:sz w:val="24"/>
      <w:szCs w:val="24"/>
      <w:lang w:eastAsia="lv-LV"/>
    </w:rPr>
  </w:style>
  <w:style w:type="paragraph" w:customStyle="1" w:styleId="naislab">
    <w:name w:val="naislab"/>
    <w:basedOn w:val="Normal"/>
    <w:rsid w:val="005A039A"/>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5A039A"/>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34"/>
    <w:qFormat/>
    <w:rsid w:val="00A130C0"/>
    <w:pPr>
      <w:spacing w:after="200" w:line="276" w:lineRule="auto"/>
      <w:ind w:left="720"/>
      <w:contextualSpacing/>
    </w:pPr>
  </w:style>
  <w:style w:type="character" w:customStyle="1" w:styleId="Heading1Char">
    <w:name w:val="Heading 1 Char"/>
    <w:basedOn w:val="DefaultParagraphFont"/>
    <w:link w:val="Heading1"/>
    <w:uiPriority w:val="9"/>
    <w:rsid w:val="00A130C0"/>
    <w:rPr>
      <w:rFonts w:eastAsiaTheme="majorEastAsia" w:cstheme="majorBidi"/>
      <w:b/>
      <w:bCs/>
      <w:sz w:val="32"/>
      <w:szCs w:val="28"/>
    </w:rPr>
  </w:style>
  <w:style w:type="character" w:customStyle="1" w:styleId="spelle">
    <w:name w:val="spelle"/>
    <w:basedOn w:val="DefaultParagraphFont"/>
    <w:rsid w:val="00A130C0"/>
  </w:style>
  <w:style w:type="character" w:styleId="Hyperlink">
    <w:name w:val="Hyperlink"/>
    <w:basedOn w:val="DefaultParagraphFont"/>
    <w:uiPriority w:val="99"/>
    <w:rsid w:val="0070128C"/>
    <w:rPr>
      <w:color w:val="0000FF"/>
      <w:u w:val="single"/>
    </w:rPr>
  </w:style>
  <w:style w:type="character" w:styleId="Strong">
    <w:name w:val="Strong"/>
    <w:basedOn w:val="DefaultParagraphFont"/>
    <w:uiPriority w:val="99"/>
    <w:qFormat/>
    <w:rsid w:val="0070128C"/>
    <w:rPr>
      <w:b/>
      <w:bCs/>
    </w:rPr>
  </w:style>
  <w:style w:type="character" w:styleId="CommentReference">
    <w:name w:val="annotation reference"/>
    <w:basedOn w:val="DefaultParagraphFont"/>
    <w:uiPriority w:val="99"/>
    <w:semiHidden/>
    <w:unhideWhenUsed/>
    <w:rsid w:val="009D7FED"/>
    <w:rPr>
      <w:sz w:val="16"/>
      <w:szCs w:val="16"/>
    </w:rPr>
  </w:style>
  <w:style w:type="paragraph" w:styleId="CommentText">
    <w:name w:val="annotation text"/>
    <w:basedOn w:val="Normal"/>
    <w:link w:val="CommentTextChar"/>
    <w:uiPriority w:val="99"/>
    <w:semiHidden/>
    <w:unhideWhenUsed/>
    <w:rsid w:val="009D7FED"/>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9D7FE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D7FED"/>
    <w:rPr>
      <w:rFonts w:ascii="Tahoma" w:hAnsi="Tahoma" w:cs="Tahoma"/>
      <w:sz w:val="16"/>
      <w:szCs w:val="16"/>
    </w:rPr>
  </w:style>
  <w:style w:type="character" w:customStyle="1" w:styleId="BalloonTextChar">
    <w:name w:val="Balloon Text Char"/>
    <w:basedOn w:val="DefaultParagraphFont"/>
    <w:link w:val="BalloonText"/>
    <w:uiPriority w:val="99"/>
    <w:semiHidden/>
    <w:rsid w:val="009D7FED"/>
    <w:rPr>
      <w:rFonts w:ascii="Tahoma" w:hAnsi="Tahoma" w:cs="Tahoma"/>
      <w:sz w:val="16"/>
      <w:szCs w:val="16"/>
    </w:rPr>
  </w:style>
  <w:style w:type="paragraph" w:styleId="NoSpacing">
    <w:name w:val="No Spacing"/>
    <w:uiPriority w:val="1"/>
    <w:qFormat/>
    <w:rsid w:val="0013416C"/>
  </w:style>
  <w:style w:type="paragraph" w:styleId="BodyTextIndent">
    <w:name w:val="Body Text Indent"/>
    <w:basedOn w:val="Normal"/>
    <w:link w:val="BodyTextIndentChar"/>
    <w:uiPriority w:val="99"/>
    <w:rsid w:val="00BB1E0F"/>
    <w:pPr>
      <w:ind w:firstLine="700"/>
      <w:jc w:val="both"/>
    </w:pPr>
    <w:rPr>
      <w:rFonts w:eastAsia="Times New Roman" w:cs="Times New Roman"/>
      <w:szCs w:val="24"/>
    </w:rPr>
  </w:style>
  <w:style w:type="character" w:customStyle="1" w:styleId="BodyTextIndentChar">
    <w:name w:val="Body Text Indent Char"/>
    <w:basedOn w:val="DefaultParagraphFont"/>
    <w:link w:val="BodyTextIndent"/>
    <w:uiPriority w:val="99"/>
    <w:rsid w:val="00BB1E0F"/>
    <w:rPr>
      <w:rFonts w:eastAsia="Times New Roman" w:cs="Times New Roman"/>
      <w:szCs w:val="24"/>
    </w:rPr>
  </w:style>
  <w:style w:type="character" w:customStyle="1" w:styleId="Heading5Char">
    <w:name w:val="Heading 5 Char"/>
    <w:basedOn w:val="DefaultParagraphFont"/>
    <w:link w:val="Heading5"/>
    <w:rsid w:val="00BB1E0F"/>
    <w:rPr>
      <w:rFonts w:eastAsia="Times New Roman" w:cs="Times New Roman"/>
      <w:b/>
      <w:bCs/>
      <w:i/>
      <w:iCs/>
      <w:kern w:val="1"/>
      <w:sz w:val="26"/>
      <w:szCs w:val="26"/>
      <w:lang w:eastAsia="ar-SA"/>
    </w:rPr>
  </w:style>
  <w:style w:type="paragraph" w:styleId="Header">
    <w:name w:val="header"/>
    <w:basedOn w:val="Normal"/>
    <w:link w:val="HeaderChar"/>
    <w:uiPriority w:val="99"/>
    <w:unhideWhenUsed/>
    <w:rsid w:val="008125DD"/>
    <w:pPr>
      <w:tabs>
        <w:tab w:val="center" w:pos="4153"/>
        <w:tab w:val="right" w:pos="8306"/>
      </w:tabs>
    </w:pPr>
  </w:style>
  <w:style w:type="character" w:customStyle="1" w:styleId="HeaderChar">
    <w:name w:val="Header Char"/>
    <w:basedOn w:val="DefaultParagraphFont"/>
    <w:link w:val="Header"/>
    <w:uiPriority w:val="99"/>
    <w:rsid w:val="008125DD"/>
  </w:style>
  <w:style w:type="paragraph" w:styleId="Footer">
    <w:name w:val="footer"/>
    <w:basedOn w:val="Normal"/>
    <w:link w:val="FooterChar"/>
    <w:uiPriority w:val="99"/>
    <w:unhideWhenUsed/>
    <w:rsid w:val="008125DD"/>
    <w:pPr>
      <w:tabs>
        <w:tab w:val="center" w:pos="4153"/>
        <w:tab w:val="right" w:pos="8306"/>
      </w:tabs>
    </w:pPr>
  </w:style>
  <w:style w:type="character" w:customStyle="1" w:styleId="FooterChar">
    <w:name w:val="Footer Char"/>
    <w:basedOn w:val="DefaultParagraphFont"/>
    <w:link w:val="Footer"/>
    <w:uiPriority w:val="99"/>
    <w:rsid w:val="00812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907921">
      <w:bodyDiv w:val="1"/>
      <w:marLeft w:val="0"/>
      <w:marRight w:val="0"/>
      <w:marTop w:val="0"/>
      <w:marBottom w:val="0"/>
      <w:divBdr>
        <w:top w:val="none" w:sz="0" w:space="0" w:color="auto"/>
        <w:left w:val="none" w:sz="0" w:space="0" w:color="auto"/>
        <w:bottom w:val="none" w:sz="0" w:space="0" w:color="auto"/>
        <w:right w:val="none" w:sz="0" w:space="0" w:color="auto"/>
      </w:divBdr>
    </w:div>
    <w:div w:id="1654137214">
      <w:bodyDiv w:val="1"/>
      <w:marLeft w:val="0"/>
      <w:marRight w:val="0"/>
      <w:marTop w:val="0"/>
      <w:marBottom w:val="0"/>
      <w:divBdr>
        <w:top w:val="none" w:sz="0" w:space="0" w:color="auto"/>
        <w:left w:val="none" w:sz="0" w:space="0" w:color="auto"/>
        <w:bottom w:val="none" w:sz="0" w:space="0" w:color="auto"/>
        <w:right w:val="none" w:sz="0" w:space="0" w:color="auto"/>
      </w:divBdr>
    </w:div>
    <w:div w:id="1715231078">
      <w:bodyDiv w:val="1"/>
      <w:marLeft w:val="0"/>
      <w:marRight w:val="0"/>
      <w:marTop w:val="0"/>
      <w:marBottom w:val="0"/>
      <w:divBdr>
        <w:top w:val="none" w:sz="0" w:space="0" w:color="auto"/>
        <w:left w:val="none" w:sz="0" w:space="0" w:color="auto"/>
        <w:bottom w:val="none" w:sz="0" w:space="0" w:color="auto"/>
        <w:right w:val="none" w:sz="0" w:space="0" w:color="auto"/>
      </w:divBdr>
      <w:divsChild>
        <w:div w:id="69646319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40E37-DA01-4019-BCB6-54146DB25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5</Pages>
  <Words>7631</Words>
  <Characters>4351</Characters>
  <Application>Microsoft Office Word</Application>
  <DocSecurity>0</DocSecurity>
  <Lines>36</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2006.gada 14.novembra noteikumos Nr.933 „Likuma „Par pievienotās vērtības nodokli" normu piemērošanas kārtība”</vt:lpstr>
      <vt:lpstr>Anotācija likumprojektam "Grozījumi likumā "Par pievienotās vērtības nodokli""</vt:lpstr>
    </vt:vector>
  </TitlesOfParts>
  <Company> </Company>
  <LinksUpToDate>false</LinksUpToDate>
  <CharactersWithSpaces>11959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14.novembra noteikumos Nr.933 „Likuma „Par pievienotās vērtības nodokli" normu piemērošanas kārtība”</dc:title>
  <dc:subject>Tiesību akta projekta sākotnējās ietekmes novērtējuma ziņojums (anotācija) </dc:subject>
  <dc:creator>Tatjana Jacuka</dc:creator>
  <cp:keywords/>
  <dc:description>Tatjana.Jacuka@fm.gov.lv,
 tālr.67095514
fakss 67095497</dc:description>
  <cp:lastModifiedBy>nd-jacuk</cp:lastModifiedBy>
  <cp:revision>196</cp:revision>
  <cp:lastPrinted>2010-12-29T11:57:00Z</cp:lastPrinted>
  <dcterms:created xsi:type="dcterms:W3CDTF">2010-08-06T14:04:00Z</dcterms:created>
  <dcterms:modified xsi:type="dcterms:W3CDTF">2010-12-29T12:09:00Z</dcterms:modified>
</cp:coreProperties>
</file>