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DB486" w14:textId="77777777" w:rsidR="006E7F01" w:rsidRPr="006E7F01" w:rsidRDefault="006E7F01" w:rsidP="006E7F0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E7F0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Ministru kabineta noteikumu projekta „Grozījum</w:t>
      </w:r>
      <w:r w:rsidR="0065454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s </w:t>
      </w:r>
      <w:r w:rsidRPr="006E7F0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Ministru kabineta 2005.gada 27.decembra noteikumos Nr.1032 „</w:t>
      </w:r>
      <w:r w:rsidRPr="006D648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Noteikumi par budžetu ieņēmumu klasifikāciju”</w:t>
      </w:r>
      <w:r w:rsidRPr="006E7F0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sākotnējās ietekmes novērtējuma ziņojums (anotācija)</w:t>
      </w:r>
    </w:p>
    <w:p w14:paraId="1F2DB487" w14:textId="77777777" w:rsidR="006E7F01" w:rsidRPr="006E7F01" w:rsidRDefault="006E7F01" w:rsidP="006E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XSpec="center" w:tblpY="149"/>
        <w:tblW w:w="9082" w:type="dxa"/>
        <w:tblCellSpacing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2980"/>
        <w:gridCol w:w="5808"/>
      </w:tblGrid>
      <w:tr w:rsidR="006E7F01" w:rsidRPr="006E7F01" w14:paraId="1F2DB489" w14:textId="77777777" w:rsidTr="003F3693">
        <w:trPr>
          <w:tblCellSpacing w:w="0" w:type="dxa"/>
        </w:trPr>
        <w:tc>
          <w:tcPr>
            <w:tcW w:w="9082" w:type="dxa"/>
            <w:gridSpan w:val="3"/>
            <w:vAlign w:val="center"/>
          </w:tcPr>
          <w:p w14:paraId="1F2DB488" w14:textId="77777777" w:rsidR="006E7F01" w:rsidRPr="006E7F01" w:rsidRDefault="006E7F01" w:rsidP="006E7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E7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I Tiesību akta projekta izstrādes nepieciešamība</w:t>
            </w:r>
          </w:p>
        </w:tc>
      </w:tr>
      <w:tr w:rsidR="006E7F01" w:rsidRPr="006E7F01" w14:paraId="1F2DB48D" w14:textId="77777777" w:rsidTr="009E709D">
        <w:trPr>
          <w:trHeight w:val="630"/>
          <w:tblCellSpacing w:w="0" w:type="dxa"/>
        </w:trPr>
        <w:tc>
          <w:tcPr>
            <w:tcW w:w="294" w:type="dxa"/>
            <w:vAlign w:val="center"/>
          </w:tcPr>
          <w:p w14:paraId="1F2DB48A" w14:textId="77777777" w:rsidR="006E7F01" w:rsidRPr="006E7F01" w:rsidRDefault="006E7F01" w:rsidP="006E7F01">
            <w:pPr>
              <w:spacing w:before="75" w:after="75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7F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980" w:type="dxa"/>
            <w:vAlign w:val="center"/>
          </w:tcPr>
          <w:p w14:paraId="1F2DB48B" w14:textId="77777777" w:rsidR="006E7F01" w:rsidRPr="006E7F01" w:rsidRDefault="006E7F01" w:rsidP="006E7F01">
            <w:pPr>
              <w:spacing w:before="75" w:after="75" w:line="240" w:lineRule="auto"/>
              <w:ind w:left="18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7F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5808" w:type="dxa"/>
            <w:vAlign w:val="center"/>
          </w:tcPr>
          <w:p w14:paraId="1F2DB48C" w14:textId="77777777" w:rsidR="006E7F01" w:rsidRPr="006E7F01" w:rsidRDefault="00FD70CB" w:rsidP="00654540">
            <w:pPr>
              <w:pStyle w:val="Header"/>
              <w:ind w:left="132" w:right="131" w:firstLine="709"/>
              <w:jc w:val="both"/>
              <w:rPr>
                <w:lang w:eastAsia="lv-LV"/>
              </w:rPr>
            </w:pPr>
            <w:r w:rsidRPr="006D6481">
              <w:rPr>
                <w:lang w:val="lv-LV" w:eastAsia="lv-LV"/>
              </w:rPr>
              <w:t xml:space="preserve">Nepieciešams veikt </w:t>
            </w:r>
            <w:r w:rsidRPr="006D6481">
              <w:rPr>
                <w:lang w:eastAsia="lv-LV"/>
              </w:rPr>
              <w:t>grozījumu</w:t>
            </w:r>
            <w:r w:rsidR="00105F39" w:rsidRPr="006D6481">
              <w:rPr>
                <w:lang w:eastAsia="lv-LV"/>
              </w:rPr>
              <w:t xml:space="preserve"> Ministru kabineta</w:t>
            </w:r>
            <w:r w:rsidR="00105F39" w:rsidRPr="006D6481">
              <w:rPr>
                <w:lang w:val="lv-LV" w:eastAsia="lv-LV"/>
              </w:rPr>
              <w:t xml:space="preserve"> </w:t>
            </w:r>
            <w:r w:rsidR="006E7F01" w:rsidRPr="006D6481">
              <w:rPr>
                <w:lang w:eastAsia="lv-LV"/>
              </w:rPr>
              <w:t>2005.gada 27.decembra</w:t>
            </w:r>
            <w:r w:rsidR="006E7F01" w:rsidRPr="006D6481">
              <w:rPr>
                <w:bCs/>
              </w:rPr>
              <w:t xml:space="preserve"> </w:t>
            </w:r>
            <w:r w:rsidR="006E7F01" w:rsidRPr="006D6481">
              <w:rPr>
                <w:lang w:eastAsia="lv-LV"/>
              </w:rPr>
              <w:t>noteikumos Nr.1032 „Noteikumi par budžetu ieņēmumu klasifikāciju”</w:t>
            </w:r>
            <w:r w:rsidR="008A6DF8" w:rsidRPr="006D6481">
              <w:rPr>
                <w:lang w:val="lv-LV" w:eastAsia="lv-LV"/>
              </w:rPr>
              <w:t xml:space="preserve"> (turpmāk – MK noteikumi)</w:t>
            </w:r>
            <w:r w:rsidR="006E7F01" w:rsidRPr="006D6481">
              <w:rPr>
                <w:lang w:eastAsia="lv-LV"/>
              </w:rPr>
              <w:t xml:space="preserve">, lai precizētu </w:t>
            </w:r>
            <w:r w:rsidR="009E709D">
              <w:rPr>
                <w:lang w:val="lv-LV" w:eastAsia="lv-LV"/>
              </w:rPr>
              <w:t>grupas numuru</w:t>
            </w:r>
            <w:r w:rsidR="009E709D">
              <w:rPr>
                <w:lang w:val="lv-LV"/>
              </w:rPr>
              <w:t xml:space="preserve"> </w:t>
            </w:r>
            <w:r w:rsidR="00105F39" w:rsidRPr="006D6481">
              <w:t xml:space="preserve">kodiem 20.7.0.0., 20.7.1.0. un </w:t>
            </w:r>
            <w:r w:rsidR="008A6355">
              <w:rPr>
                <w:lang w:val="lv-LV"/>
              </w:rPr>
              <w:t xml:space="preserve"> </w:t>
            </w:r>
            <w:r w:rsidR="00105F39" w:rsidRPr="006D6481">
              <w:t>20.7.2.0.</w:t>
            </w:r>
            <w:r w:rsidR="00105F39" w:rsidRPr="006D6481">
              <w:rPr>
                <w:lang w:val="lv-LV"/>
              </w:rPr>
              <w:t>, aizstājot</w:t>
            </w:r>
            <w:r w:rsidR="00105F39" w:rsidRPr="006D6481">
              <w:t xml:space="preserve"> grupu „5.0</w:t>
            </w:r>
            <w:r w:rsidR="00654540">
              <w:rPr>
                <w:lang w:val="lv-LV"/>
              </w:rPr>
              <w:t>.</w:t>
            </w:r>
            <w:r w:rsidR="00105F39" w:rsidRPr="006D6481">
              <w:t>” ar apakšgrupu „4.1</w:t>
            </w:r>
            <w:r w:rsidR="00654540">
              <w:rPr>
                <w:lang w:val="lv-LV"/>
              </w:rPr>
              <w:t>.</w:t>
            </w:r>
            <w:r w:rsidR="00105F39" w:rsidRPr="006D6481">
              <w:t>”</w:t>
            </w:r>
            <w:r w:rsidR="00105F39" w:rsidRPr="006D6481">
              <w:rPr>
                <w:lang w:val="lv-LV"/>
              </w:rPr>
              <w:t xml:space="preserve">, lai nodrošinātu minēto budžeta ieņēmumu </w:t>
            </w:r>
            <w:r w:rsidR="006E7F01" w:rsidRPr="006D6481">
              <w:rPr>
                <w:lang w:eastAsia="lv-LV"/>
              </w:rPr>
              <w:t>klasifikācijas</w:t>
            </w:r>
            <w:r w:rsidR="00105F39" w:rsidRPr="006D6481">
              <w:rPr>
                <w:lang w:val="lv-LV" w:eastAsia="lv-LV"/>
              </w:rPr>
              <w:t xml:space="preserve"> kodu atbilstību budžeta ieņēmumu klasifikācijas grupai</w:t>
            </w:r>
            <w:r w:rsidR="006E7F01" w:rsidRPr="006D6481">
              <w:rPr>
                <w:lang w:eastAsia="lv-LV"/>
              </w:rPr>
              <w:t xml:space="preserve"> pēc </w:t>
            </w:r>
            <w:r w:rsidR="008A6DF8" w:rsidRPr="006D6481">
              <w:rPr>
                <w:lang w:val="lv-LV" w:eastAsia="lv-LV"/>
              </w:rPr>
              <w:t xml:space="preserve">to </w:t>
            </w:r>
            <w:r w:rsidR="006E7F01" w:rsidRPr="006D6481">
              <w:rPr>
                <w:lang w:eastAsia="lv-LV"/>
              </w:rPr>
              <w:t>ekonomiskās būtības.</w:t>
            </w:r>
          </w:p>
        </w:tc>
      </w:tr>
      <w:tr w:rsidR="006E7F01" w:rsidRPr="006E7F01" w14:paraId="1F2DB491" w14:textId="77777777" w:rsidTr="009E709D">
        <w:trPr>
          <w:trHeight w:val="706"/>
          <w:tblCellSpacing w:w="0" w:type="dxa"/>
        </w:trPr>
        <w:tc>
          <w:tcPr>
            <w:tcW w:w="294" w:type="dxa"/>
            <w:vAlign w:val="center"/>
          </w:tcPr>
          <w:p w14:paraId="1F2DB48E" w14:textId="77777777" w:rsidR="006E7F01" w:rsidRPr="006E7F01" w:rsidRDefault="006E7F01" w:rsidP="006E7F0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7F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980" w:type="dxa"/>
            <w:vAlign w:val="center"/>
          </w:tcPr>
          <w:p w14:paraId="1F2DB48F" w14:textId="77777777" w:rsidR="006E7F01" w:rsidRPr="006E7F01" w:rsidRDefault="006E7F01" w:rsidP="006E7F01">
            <w:pPr>
              <w:spacing w:before="75" w:after="75" w:line="240" w:lineRule="auto"/>
              <w:ind w:left="132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7F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</w:t>
            </w:r>
          </w:p>
        </w:tc>
        <w:tc>
          <w:tcPr>
            <w:tcW w:w="5808" w:type="dxa"/>
          </w:tcPr>
          <w:p w14:paraId="1F2DB490" w14:textId="77777777" w:rsidR="006E7F01" w:rsidRPr="006E7F01" w:rsidRDefault="008A6DF8" w:rsidP="008A6355">
            <w:pPr>
              <w:spacing w:after="0" w:line="240" w:lineRule="auto"/>
              <w:ind w:left="132" w:right="13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64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Šobrīd MK noteikumi nosaka, ka budžeta </w:t>
            </w:r>
            <w:r w:rsidRPr="006D6481">
              <w:rPr>
                <w:rFonts w:ascii="Times New Roman" w:hAnsi="Times New Roman" w:cs="Times New Roman"/>
                <w:bCs/>
                <w:sz w:val="24"/>
                <w:szCs w:val="24"/>
              </w:rPr>
              <w:t>ieņēmumu klasifikācijas kodi 2</w:t>
            </w:r>
            <w:r w:rsidR="006545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23C53">
              <w:rPr>
                <w:rFonts w:ascii="Times New Roman" w:hAnsi="Times New Roman" w:cs="Times New Roman"/>
                <w:bCs/>
                <w:sz w:val="24"/>
                <w:szCs w:val="24"/>
              </w:rPr>
              <w:t>.7.0.0.,</w:t>
            </w:r>
            <w:r w:rsidRPr="006D6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  <w:r w:rsidR="006545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6D6481">
              <w:rPr>
                <w:rFonts w:ascii="Times New Roman" w:hAnsi="Times New Roman" w:cs="Times New Roman"/>
                <w:bCs/>
                <w:sz w:val="24"/>
                <w:szCs w:val="24"/>
              </w:rPr>
              <w:t>.7.1.0.</w:t>
            </w:r>
            <w:r w:rsidR="00023C53">
              <w:rPr>
                <w:rFonts w:ascii="Times New Roman" w:hAnsi="Times New Roman" w:cs="Times New Roman"/>
                <w:bCs/>
                <w:sz w:val="24"/>
                <w:szCs w:val="24"/>
              </w:rPr>
              <w:t>, un</w:t>
            </w:r>
            <w:r w:rsidRPr="006D6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  <w:r w:rsidR="006545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6D6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.7.2.0. </w:t>
            </w:r>
            <w:r w:rsidR="008658DE">
              <w:rPr>
                <w:rFonts w:ascii="Times New Roman" w:hAnsi="Times New Roman" w:cs="Times New Roman"/>
                <w:bCs/>
                <w:sz w:val="24"/>
                <w:szCs w:val="24"/>
              </w:rPr>
              <w:t>ir 5.0.grupā, ko piemēro transfertiem</w:t>
            </w:r>
            <w:r w:rsidRPr="006D6481">
              <w:rPr>
                <w:rFonts w:ascii="Times New Roman" w:hAnsi="Times New Roman" w:cs="Times New Roman"/>
                <w:bCs/>
                <w:sz w:val="24"/>
                <w:szCs w:val="24"/>
              </w:rPr>
              <w:t>, bet minētie kodi pēc savas ekonomisk</w:t>
            </w:r>
            <w:r w:rsidR="00654540">
              <w:rPr>
                <w:rFonts w:ascii="Times New Roman" w:hAnsi="Times New Roman" w:cs="Times New Roman"/>
                <w:bCs/>
                <w:sz w:val="24"/>
                <w:szCs w:val="24"/>
              </w:rPr>
              <w:t>ās būtības</w:t>
            </w:r>
            <w:r w:rsidR="00266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būtu jāizmanto </w:t>
            </w:r>
            <w:r w:rsidR="00654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4.1.</w:t>
            </w:r>
            <w:r w:rsidRPr="006D6481">
              <w:rPr>
                <w:rFonts w:ascii="Times New Roman" w:hAnsi="Times New Roman" w:cs="Times New Roman"/>
                <w:bCs/>
                <w:sz w:val="24"/>
                <w:szCs w:val="24"/>
              </w:rPr>
              <w:t>apakšgrupai</w:t>
            </w:r>
            <w:r w:rsidR="008658DE">
              <w:rPr>
                <w:rFonts w:ascii="Times New Roman" w:hAnsi="Times New Roman" w:cs="Times New Roman"/>
                <w:bCs/>
                <w:sz w:val="24"/>
                <w:szCs w:val="24"/>
              </w:rPr>
              <w:t>, ko piemēro ā</w:t>
            </w:r>
            <w:r w:rsidRPr="006D6481">
              <w:rPr>
                <w:rFonts w:ascii="Times New Roman" w:hAnsi="Times New Roman" w:cs="Times New Roman"/>
                <w:bCs/>
                <w:sz w:val="24"/>
                <w:szCs w:val="24"/>
              </w:rPr>
              <w:t>rvalstu finanšu palīdzība</w:t>
            </w:r>
            <w:r w:rsidR="008658DE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6D6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budžetam. Ņem</w:t>
            </w:r>
            <w:r w:rsidR="00654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ot vērā minēto, lai nodrošinātu </w:t>
            </w:r>
            <w:r w:rsidRPr="006D6481">
              <w:rPr>
                <w:rFonts w:ascii="Times New Roman" w:hAnsi="Times New Roman" w:cs="Times New Roman"/>
                <w:sz w:val="24"/>
                <w:szCs w:val="24"/>
              </w:rPr>
              <w:t xml:space="preserve">budžeta ieņēmumu </w:t>
            </w:r>
            <w:r w:rsidRPr="006D64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klasifikācijas</w:t>
            </w:r>
            <w:r w:rsidRPr="006D648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kodu atbilstību budžeta ieņēmumu klasifikācijas grupai</w:t>
            </w:r>
            <w:r w:rsidRPr="006D64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pēc </w:t>
            </w:r>
            <w:r w:rsidRPr="006D648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to </w:t>
            </w:r>
            <w:r w:rsidRPr="006D64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ekonomiskās būtības</w:t>
            </w:r>
            <w:r w:rsidR="006545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D64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nepieciešams veikt tehnisku precizējumu</w:t>
            </w:r>
            <w:r w:rsidRPr="006D6481">
              <w:rPr>
                <w:rFonts w:ascii="Times New Roman" w:hAnsi="Times New Roman" w:cs="Times New Roman"/>
                <w:bCs/>
                <w:sz w:val="24"/>
                <w:szCs w:val="24"/>
              </w:rPr>
              <w:t>. Turklāt</w:t>
            </w:r>
            <w:r w:rsidR="0065454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D6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jautājums šobrīd ir ļoti aktuāls</w:t>
            </w:r>
            <w:r w:rsidR="0065454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D6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1758">
              <w:rPr>
                <w:rFonts w:ascii="Times New Roman" w:hAnsi="Times New Roman" w:cs="Times New Roman"/>
                <w:bCs/>
                <w:sz w:val="24"/>
                <w:szCs w:val="24"/>
              </w:rPr>
              <w:t>ņemot vērā, ka valsts budžeta iestādēm</w:t>
            </w:r>
            <w:r w:rsidR="0065454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D175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D1758" w:rsidRPr="008D26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 valsts budžeta daļēji </w:t>
            </w:r>
            <w:r w:rsidR="004D1758" w:rsidRPr="004D1758">
              <w:rPr>
                <w:rFonts w:ascii="Times New Roman" w:hAnsi="Times New Roman" w:cs="Times New Roman"/>
                <w:bCs/>
                <w:sz w:val="24"/>
                <w:szCs w:val="24"/>
              </w:rPr>
              <w:t>finansēt</w:t>
            </w:r>
            <w:r w:rsidR="00654540">
              <w:rPr>
                <w:rFonts w:ascii="Times New Roman" w:hAnsi="Times New Roman" w:cs="Times New Roman"/>
                <w:bCs/>
                <w:sz w:val="24"/>
                <w:szCs w:val="24"/>
              </w:rPr>
              <w:t>ām</w:t>
            </w:r>
            <w:r w:rsidR="004D1758" w:rsidRPr="004D1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atvasināt</w:t>
            </w:r>
            <w:r w:rsidR="00654540">
              <w:rPr>
                <w:rFonts w:ascii="Times New Roman" w:hAnsi="Times New Roman" w:cs="Times New Roman"/>
                <w:bCs/>
                <w:sz w:val="24"/>
                <w:szCs w:val="24"/>
              </w:rPr>
              <w:t>ām</w:t>
            </w:r>
            <w:r w:rsidR="004D1758" w:rsidRPr="004D1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publisk</w:t>
            </w:r>
            <w:r w:rsidR="00654540">
              <w:rPr>
                <w:rFonts w:ascii="Times New Roman" w:hAnsi="Times New Roman" w:cs="Times New Roman"/>
                <w:bCs/>
                <w:sz w:val="24"/>
                <w:szCs w:val="24"/>
              </w:rPr>
              <w:t>ām</w:t>
            </w:r>
            <w:r w:rsidR="004D1758" w:rsidRPr="004D1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person</w:t>
            </w:r>
            <w:r w:rsidR="00654540">
              <w:rPr>
                <w:rFonts w:ascii="Times New Roman" w:hAnsi="Times New Roman" w:cs="Times New Roman"/>
                <w:bCs/>
                <w:sz w:val="24"/>
                <w:szCs w:val="24"/>
              </w:rPr>
              <w:t>ām</w:t>
            </w:r>
            <w:r w:rsidR="004D1758" w:rsidRPr="004D1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 budžeta nefinansēt</w:t>
            </w:r>
            <w:r w:rsidR="00654540">
              <w:rPr>
                <w:rFonts w:ascii="Times New Roman" w:hAnsi="Times New Roman" w:cs="Times New Roman"/>
                <w:bCs/>
                <w:sz w:val="24"/>
                <w:szCs w:val="24"/>
              </w:rPr>
              <w:t>ām</w:t>
            </w:r>
            <w:r w:rsidR="004D1758" w:rsidRPr="004D1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iestād</w:t>
            </w:r>
            <w:r w:rsidR="00654540">
              <w:rPr>
                <w:rFonts w:ascii="Times New Roman" w:hAnsi="Times New Roman" w:cs="Times New Roman"/>
                <w:bCs/>
                <w:sz w:val="24"/>
                <w:szCs w:val="24"/>
              </w:rPr>
              <w:t>ēm</w:t>
            </w:r>
            <w:r w:rsidR="004D1758" w:rsidRPr="004D1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jāsagatavo un jāiesniedz Valsts kasē </w:t>
            </w:r>
            <w:r w:rsidRPr="006D6481">
              <w:rPr>
                <w:rFonts w:ascii="Times New Roman" w:hAnsi="Times New Roman" w:cs="Times New Roman"/>
                <w:bCs/>
                <w:sz w:val="24"/>
                <w:szCs w:val="24"/>
              </w:rPr>
              <w:t>budžeta izpildes pārskat</w:t>
            </w:r>
            <w:r w:rsidR="00654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i, kur pie ekonomiskās klasifikācijas kodiem ir jānorāda atbilstošā </w:t>
            </w:r>
            <w:r w:rsidR="008A6355">
              <w:rPr>
                <w:rFonts w:ascii="Times New Roman" w:hAnsi="Times New Roman" w:cs="Times New Roman"/>
                <w:bCs/>
                <w:sz w:val="24"/>
                <w:szCs w:val="24"/>
              </w:rPr>
              <w:t>apakš</w:t>
            </w:r>
            <w:r w:rsidR="00654540">
              <w:rPr>
                <w:rFonts w:ascii="Times New Roman" w:hAnsi="Times New Roman" w:cs="Times New Roman"/>
                <w:bCs/>
                <w:sz w:val="24"/>
                <w:szCs w:val="24"/>
              </w:rPr>
              <w:t>grupa.</w:t>
            </w:r>
          </w:p>
        </w:tc>
      </w:tr>
      <w:tr w:rsidR="006E7F01" w:rsidRPr="006E7F01" w14:paraId="1F2DB495" w14:textId="77777777" w:rsidTr="009E709D">
        <w:trPr>
          <w:trHeight w:val="519"/>
          <w:tblCellSpacing w:w="0" w:type="dxa"/>
        </w:trPr>
        <w:tc>
          <w:tcPr>
            <w:tcW w:w="294" w:type="dxa"/>
            <w:vAlign w:val="center"/>
          </w:tcPr>
          <w:p w14:paraId="1F2DB492" w14:textId="77777777" w:rsidR="006E7F01" w:rsidRPr="006E7F01" w:rsidRDefault="006E7F01" w:rsidP="006E7F0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7F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980" w:type="dxa"/>
            <w:vAlign w:val="center"/>
          </w:tcPr>
          <w:p w14:paraId="1F2DB493" w14:textId="77777777" w:rsidR="006E7F01" w:rsidRPr="006E7F01" w:rsidRDefault="006E7F01" w:rsidP="006E7F01">
            <w:pPr>
              <w:spacing w:after="0" w:line="240" w:lineRule="auto"/>
              <w:ind w:left="132" w:right="113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7F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Saistītie politikas ietekmes novērtējumi un pētījumi</w:t>
            </w:r>
          </w:p>
        </w:tc>
        <w:tc>
          <w:tcPr>
            <w:tcW w:w="5808" w:type="dxa"/>
            <w:vAlign w:val="center"/>
          </w:tcPr>
          <w:p w14:paraId="1F2DB494" w14:textId="77777777" w:rsidR="006E7F01" w:rsidRPr="006E7F01" w:rsidRDefault="006E7F01" w:rsidP="00654540">
            <w:pPr>
              <w:spacing w:after="0" w:line="240" w:lineRule="auto"/>
              <w:ind w:firstLine="84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7F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E7F01">
              <w:rPr>
                <w:rFonts w:ascii="Times New Roman" w:hAnsi="Times New Roman" w:cs="Times New Roman"/>
                <w:bCs/>
                <w:sz w:val="24"/>
                <w:szCs w:val="24"/>
              </w:rPr>
              <w:t>Projekts šo jomu neskar</w:t>
            </w:r>
            <w:r w:rsidR="00FD70CB" w:rsidRPr="006D64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E7F01" w:rsidRPr="006E7F01" w14:paraId="1F2DB49A" w14:textId="77777777" w:rsidTr="009E709D">
        <w:trPr>
          <w:trHeight w:val="541"/>
          <w:tblCellSpacing w:w="0" w:type="dxa"/>
        </w:trPr>
        <w:tc>
          <w:tcPr>
            <w:tcW w:w="294" w:type="dxa"/>
            <w:vAlign w:val="center"/>
          </w:tcPr>
          <w:p w14:paraId="1F2DB496" w14:textId="77777777" w:rsidR="006E7F01" w:rsidRPr="006E7F01" w:rsidRDefault="006E7F01" w:rsidP="006E7F0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7F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980" w:type="dxa"/>
            <w:vAlign w:val="center"/>
          </w:tcPr>
          <w:p w14:paraId="1F2DB497" w14:textId="77777777" w:rsidR="006E7F01" w:rsidRPr="006E7F01" w:rsidRDefault="006E7F01" w:rsidP="006E7F01">
            <w:pPr>
              <w:spacing w:after="0" w:line="240" w:lineRule="auto"/>
              <w:ind w:left="132" w:right="113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7F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mērķis un būtība</w:t>
            </w:r>
          </w:p>
          <w:p w14:paraId="1F2DB498" w14:textId="77777777" w:rsidR="006E7F01" w:rsidRPr="006E7F01" w:rsidRDefault="006E7F01" w:rsidP="006E7F01">
            <w:pPr>
              <w:spacing w:after="0" w:line="240" w:lineRule="auto"/>
              <w:ind w:left="132" w:right="113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808" w:type="dxa"/>
            <w:vAlign w:val="center"/>
          </w:tcPr>
          <w:p w14:paraId="1F2DB499" w14:textId="77777777" w:rsidR="006E7F01" w:rsidRPr="006E7F01" w:rsidRDefault="00FD70CB" w:rsidP="008A6355">
            <w:pPr>
              <w:spacing w:after="120" w:line="240" w:lineRule="auto"/>
              <w:ind w:left="132" w:right="13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7F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lv-LV"/>
              </w:rPr>
              <w:t>Ministru kabineta noteikumu projekta „Grozījum</w:t>
            </w:r>
            <w:r w:rsidR="006545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6E7F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lv-LV"/>
              </w:rPr>
              <w:t xml:space="preserve"> Ministru kabineta 2005.gada 27.decembra noteikumos Nr.1032 „</w:t>
            </w:r>
            <w:r w:rsidRPr="006D648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lv-LV"/>
              </w:rPr>
              <w:t>Noteikumi par budžetu ieņēmumu klasifikāciju</w:t>
            </w:r>
            <w:r w:rsidRPr="006D6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”</w:t>
            </w:r>
            <w:r w:rsidRPr="006D6481">
              <w:rPr>
                <w:b/>
                <w:sz w:val="24"/>
                <w:szCs w:val="24"/>
              </w:rPr>
              <w:t xml:space="preserve"> </w:t>
            </w:r>
            <w:r w:rsidRPr="006D648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lv-LV"/>
              </w:rPr>
              <w:t xml:space="preserve">(turpmāk – MK noteikumu projekts) izstrādāts, </w:t>
            </w:r>
            <w:r w:rsidRPr="006D64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 </w:t>
            </w:r>
            <w:r w:rsidR="00F33589" w:rsidRPr="006D6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nodrošinātu </w:t>
            </w:r>
            <w:r w:rsidR="00654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3589" w:rsidRPr="006D6481">
              <w:rPr>
                <w:rFonts w:ascii="Times New Roman" w:hAnsi="Times New Roman" w:cs="Times New Roman"/>
                <w:sz w:val="24"/>
                <w:szCs w:val="24"/>
              </w:rPr>
              <w:t xml:space="preserve">budžeta ieņēmumu </w:t>
            </w:r>
            <w:r w:rsidR="00F33589" w:rsidRPr="006D64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klasifikācijas</w:t>
            </w:r>
            <w:r w:rsidR="00F33589" w:rsidRPr="006D648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kodu atbilstību budžeta ieņēmumu klasifikācijas grupai</w:t>
            </w:r>
            <w:r w:rsidR="00F33589" w:rsidRPr="006D64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pēc </w:t>
            </w:r>
            <w:r w:rsidR="00F33589" w:rsidRPr="006D648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to </w:t>
            </w:r>
            <w:r w:rsidR="00F33589" w:rsidRPr="006D64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ekonomiskās būtības</w:t>
            </w:r>
            <w:r w:rsidR="006545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Grozījumiem ir tehnisks raksturs.</w:t>
            </w:r>
          </w:p>
        </w:tc>
      </w:tr>
      <w:tr w:rsidR="006E7F01" w:rsidRPr="006E7F01" w14:paraId="1F2DB49E" w14:textId="77777777" w:rsidTr="009E709D">
        <w:trPr>
          <w:trHeight w:val="476"/>
          <w:tblCellSpacing w:w="0" w:type="dxa"/>
        </w:trPr>
        <w:tc>
          <w:tcPr>
            <w:tcW w:w="294" w:type="dxa"/>
            <w:vAlign w:val="center"/>
          </w:tcPr>
          <w:p w14:paraId="1F2DB49B" w14:textId="77777777" w:rsidR="006E7F01" w:rsidRPr="006E7F01" w:rsidRDefault="006E7F01" w:rsidP="006E7F0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7F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980" w:type="dxa"/>
            <w:vAlign w:val="center"/>
          </w:tcPr>
          <w:p w14:paraId="1F2DB49C" w14:textId="77777777" w:rsidR="006E7F01" w:rsidRPr="006E7F01" w:rsidRDefault="006E7F01" w:rsidP="006E7F01">
            <w:pPr>
              <w:spacing w:after="0" w:line="240" w:lineRule="auto"/>
              <w:ind w:left="132" w:right="113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7F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5808" w:type="dxa"/>
            <w:vAlign w:val="center"/>
          </w:tcPr>
          <w:p w14:paraId="1F2DB49D" w14:textId="77777777" w:rsidR="006E7F01" w:rsidRPr="006E7F01" w:rsidRDefault="00F33589" w:rsidP="00654540">
            <w:pPr>
              <w:spacing w:after="0" w:line="240" w:lineRule="auto"/>
              <w:ind w:right="131" w:firstLine="84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64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kase.</w:t>
            </w:r>
          </w:p>
        </w:tc>
      </w:tr>
      <w:tr w:rsidR="006E7F01" w:rsidRPr="006E7F01" w14:paraId="1F2DB4A2" w14:textId="77777777" w:rsidTr="009E709D">
        <w:trPr>
          <w:trHeight w:val="942"/>
          <w:tblCellSpacing w:w="0" w:type="dxa"/>
        </w:trPr>
        <w:tc>
          <w:tcPr>
            <w:tcW w:w="294" w:type="dxa"/>
            <w:vAlign w:val="center"/>
          </w:tcPr>
          <w:p w14:paraId="1F2DB49F" w14:textId="77777777" w:rsidR="006E7F01" w:rsidRPr="006E7F01" w:rsidRDefault="006E7F01" w:rsidP="006E7F0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7F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980" w:type="dxa"/>
            <w:vAlign w:val="center"/>
          </w:tcPr>
          <w:p w14:paraId="1F2DB4A0" w14:textId="77777777" w:rsidR="006E7F01" w:rsidRPr="006E7F01" w:rsidRDefault="006E7F01" w:rsidP="006E7F01">
            <w:pPr>
              <w:spacing w:after="0" w:line="240" w:lineRule="auto"/>
              <w:ind w:left="132" w:right="113" w:firstLine="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6E7F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Iemesli, kādēļ netika nodrošināta sabiedrības līdzdalība</w:t>
            </w:r>
          </w:p>
        </w:tc>
        <w:tc>
          <w:tcPr>
            <w:tcW w:w="5808" w:type="dxa"/>
            <w:vAlign w:val="center"/>
          </w:tcPr>
          <w:p w14:paraId="1F2DB4A1" w14:textId="77777777" w:rsidR="006E7F01" w:rsidRPr="006E7F01" w:rsidRDefault="00F33589" w:rsidP="00023C53">
            <w:pPr>
              <w:spacing w:after="0" w:line="240" w:lineRule="auto"/>
              <w:ind w:left="128" w:right="13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64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neskar sabiedrību vai atsevišķas tās grupas.</w:t>
            </w:r>
          </w:p>
        </w:tc>
      </w:tr>
      <w:tr w:rsidR="006E7F01" w:rsidRPr="006E7F01" w14:paraId="1F2DB4A6" w14:textId="77777777" w:rsidTr="009E709D">
        <w:trPr>
          <w:trHeight w:val="768"/>
          <w:tblCellSpacing w:w="0" w:type="dxa"/>
        </w:trPr>
        <w:tc>
          <w:tcPr>
            <w:tcW w:w="294" w:type="dxa"/>
            <w:vAlign w:val="center"/>
          </w:tcPr>
          <w:p w14:paraId="1F2DB4A3" w14:textId="77777777" w:rsidR="006E7F01" w:rsidRPr="006E7F01" w:rsidRDefault="006E7F01" w:rsidP="006E7F0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7F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980" w:type="dxa"/>
            <w:vAlign w:val="center"/>
          </w:tcPr>
          <w:p w14:paraId="1F2DB4A4" w14:textId="77777777" w:rsidR="006E7F01" w:rsidRPr="006E7F01" w:rsidRDefault="006E7F01" w:rsidP="006E7F01">
            <w:pPr>
              <w:spacing w:after="0" w:line="240" w:lineRule="auto"/>
              <w:ind w:left="132" w:right="113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7F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808" w:type="dxa"/>
            <w:vAlign w:val="center"/>
          </w:tcPr>
          <w:p w14:paraId="1F2DB4A5" w14:textId="77777777" w:rsidR="006E7F01" w:rsidRPr="006E7F01" w:rsidRDefault="00F33589" w:rsidP="00654540">
            <w:pPr>
              <w:spacing w:after="0" w:line="240" w:lineRule="auto"/>
              <w:ind w:right="131" w:firstLine="8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64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1F2DB4A7" w14:textId="77777777" w:rsidR="006D6481" w:rsidRDefault="006E7F01" w:rsidP="006E7F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6E7F0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</w:t>
      </w:r>
    </w:p>
    <w:p w14:paraId="1F2DB4A8" w14:textId="77777777" w:rsidR="006D6481" w:rsidRPr="006E7F01" w:rsidRDefault="006D6481" w:rsidP="006E7F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W w:w="9072" w:type="dxa"/>
        <w:tblCellSpacing w:w="0" w:type="dxa"/>
        <w:tblInd w:w="15" w:type="dxa"/>
        <w:tblBorders>
          <w:top w:val="outset" w:sz="6" w:space="0" w:color="A6A6A6"/>
          <w:left w:val="outset" w:sz="6" w:space="0" w:color="A6A6A6"/>
          <w:bottom w:val="outset" w:sz="6" w:space="0" w:color="A6A6A6"/>
          <w:right w:val="outset" w:sz="6" w:space="0" w:color="A6A6A6"/>
          <w:insideH w:val="outset" w:sz="6" w:space="0" w:color="A6A6A6"/>
          <w:insideV w:val="outset" w:sz="6" w:space="0" w:color="A6A6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4394"/>
      </w:tblGrid>
      <w:tr w:rsidR="006E7F01" w:rsidRPr="006E7F01" w14:paraId="1F2DB4AA" w14:textId="77777777" w:rsidTr="003F3693">
        <w:trPr>
          <w:tblCellSpacing w:w="0" w:type="dxa"/>
        </w:trPr>
        <w:tc>
          <w:tcPr>
            <w:tcW w:w="9072" w:type="dxa"/>
            <w:gridSpan w:val="3"/>
          </w:tcPr>
          <w:p w14:paraId="1F2DB4A9" w14:textId="77777777" w:rsidR="006E7F01" w:rsidRPr="006E7F01" w:rsidRDefault="006E7F01" w:rsidP="003F3693">
            <w:pPr>
              <w:spacing w:before="75" w:after="75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7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 VII. Tiesību akta projekta izpildes nodrošināšana un tās ietekme uz institūcijām</w:t>
            </w:r>
          </w:p>
        </w:tc>
      </w:tr>
      <w:tr w:rsidR="006E7F01" w:rsidRPr="006E7F01" w14:paraId="1F2DB4AE" w14:textId="77777777" w:rsidTr="003F3693">
        <w:trPr>
          <w:trHeight w:val="427"/>
          <w:tblCellSpacing w:w="0" w:type="dxa"/>
        </w:trPr>
        <w:tc>
          <w:tcPr>
            <w:tcW w:w="851" w:type="dxa"/>
          </w:tcPr>
          <w:p w14:paraId="1F2DB4AB" w14:textId="77777777" w:rsidR="006E7F01" w:rsidRPr="006E7F01" w:rsidRDefault="006E7F01" w:rsidP="006E7F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27" w:type="dxa"/>
            <w:hideMark/>
          </w:tcPr>
          <w:p w14:paraId="1F2DB4AC" w14:textId="77777777" w:rsidR="006E7F01" w:rsidRPr="006E7F01" w:rsidRDefault="006E7F01" w:rsidP="009E709D">
            <w:pPr>
              <w:spacing w:after="0" w:line="240" w:lineRule="auto"/>
              <w:ind w:left="127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7F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4394" w:type="dxa"/>
            <w:hideMark/>
          </w:tcPr>
          <w:p w14:paraId="1F2DB4AD" w14:textId="77777777" w:rsidR="006E7F01" w:rsidRPr="006E7F01" w:rsidRDefault="006E7F01" w:rsidP="00654540">
            <w:pPr>
              <w:spacing w:after="0" w:line="240" w:lineRule="auto"/>
              <w:ind w:left="127" w:right="12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7F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Budžeta ieņēmumu klasifikāciju lieto valsts un pašvaldību budžetu iestādes, no valsts budžeta daļēji finansētās atvasinātās publiskās personas un budžeta nefinansētās iestādes budžetu plānošanā, uzskaitē  un pārskatu sagatavošanā.</w:t>
            </w:r>
          </w:p>
        </w:tc>
      </w:tr>
      <w:tr w:rsidR="006E7F01" w:rsidRPr="006E7F01" w14:paraId="1F2DB4B2" w14:textId="77777777" w:rsidTr="003F3693">
        <w:trPr>
          <w:trHeight w:val="463"/>
          <w:tblCellSpacing w:w="0" w:type="dxa"/>
        </w:trPr>
        <w:tc>
          <w:tcPr>
            <w:tcW w:w="851" w:type="dxa"/>
          </w:tcPr>
          <w:p w14:paraId="1F2DB4AF" w14:textId="77777777" w:rsidR="006E7F01" w:rsidRPr="006E7F01" w:rsidRDefault="006E7F01" w:rsidP="006E7F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27" w:type="dxa"/>
            <w:hideMark/>
          </w:tcPr>
          <w:p w14:paraId="1F2DB4B0" w14:textId="77777777" w:rsidR="006E7F01" w:rsidRPr="006E7F01" w:rsidRDefault="006E7F01" w:rsidP="009E709D">
            <w:pPr>
              <w:spacing w:after="0" w:line="240" w:lineRule="auto"/>
              <w:ind w:left="127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7F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</w:t>
            </w:r>
          </w:p>
        </w:tc>
        <w:tc>
          <w:tcPr>
            <w:tcW w:w="4394" w:type="dxa"/>
            <w:hideMark/>
          </w:tcPr>
          <w:p w14:paraId="1F2DB4B1" w14:textId="77777777" w:rsidR="006E7F01" w:rsidRPr="006E7F01" w:rsidRDefault="006E7F01" w:rsidP="00654540">
            <w:pPr>
              <w:spacing w:after="0" w:line="240" w:lineRule="auto"/>
              <w:ind w:left="127" w:right="12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7F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Esošo institūciju funkcijas nepaplašinās.</w:t>
            </w:r>
          </w:p>
        </w:tc>
      </w:tr>
      <w:tr w:rsidR="006E7F01" w:rsidRPr="006E7F01" w14:paraId="1F2DB4B7" w14:textId="77777777" w:rsidTr="003F3693">
        <w:trPr>
          <w:trHeight w:val="725"/>
          <w:tblCellSpacing w:w="0" w:type="dxa"/>
        </w:trPr>
        <w:tc>
          <w:tcPr>
            <w:tcW w:w="851" w:type="dxa"/>
          </w:tcPr>
          <w:p w14:paraId="1F2DB4B3" w14:textId="77777777" w:rsidR="006E7F01" w:rsidRPr="006E7F01" w:rsidRDefault="006E7F01" w:rsidP="006E7F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27" w:type="dxa"/>
            <w:hideMark/>
          </w:tcPr>
          <w:p w14:paraId="1F2DB4B4" w14:textId="77777777" w:rsidR="006E7F01" w:rsidRPr="006E7F01" w:rsidRDefault="006E7F01" w:rsidP="009E709D">
            <w:pPr>
              <w:spacing w:after="0" w:line="240" w:lineRule="auto"/>
              <w:ind w:left="127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7F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institucionālo struktūru.</w:t>
            </w:r>
          </w:p>
          <w:p w14:paraId="1F2DB4B5" w14:textId="77777777" w:rsidR="006E7F01" w:rsidRPr="006E7F01" w:rsidRDefault="006E7F01" w:rsidP="009E709D">
            <w:pPr>
              <w:spacing w:after="0" w:line="240" w:lineRule="auto"/>
              <w:ind w:left="127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7F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</w:t>
            </w:r>
          </w:p>
        </w:tc>
        <w:tc>
          <w:tcPr>
            <w:tcW w:w="4394" w:type="dxa"/>
            <w:hideMark/>
          </w:tcPr>
          <w:p w14:paraId="1F2DB4B6" w14:textId="77777777" w:rsidR="006E7F01" w:rsidRPr="006E7F01" w:rsidRDefault="006E7F01" w:rsidP="00654540">
            <w:pPr>
              <w:spacing w:after="0" w:line="240" w:lineRule="auto"/>
              <w:ind w:left="149" w:right="12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7F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Jaunas valsts institūcijas netiek radītas.</w:t>
            </w:r>
          </w:p>
        </w:tc>
      </w:tr>
      <w:tr w:rsidR="006E7F01" w:rsidRPr="006E7F01" w14:paraId="1F2DB4BC" w14:textId="77777777" w:rsidTr="003F3693">
        <w:trPr>
          <w:trHeight w:val="780"/>
          <w:tblCellSpacing w:w="0" w:type="dxa"/>
        </w:trPr>
        <w:tc>
          <w:tcPr>
            <w:tcW w:w="851" w:type="dxa"/>
          </w:tcPr>
          <w:p w14:paraId="1F2DB4B8" w14:textId="77777777" w:rsidR="006E7F01" w:rsidRPr="006E7F01" w:rsidRDefault="006E7F01" w:rsidP="006E7F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27" w:type="dxa"/>
            <w:hideMark/>
          </w:tcPr>
          <w:p w14:paraId="1F2DB4B9" w14:textId="77777777" w:rsidR="006E7F01" w:rsidRPr="006E7F01" w:rsidRDefault="006E7F01" w:rsidP="009E709D">
            <w:pPr>
              <w:spacing w:after="0" w:line="240" w:lineRule="auto"/>
              <w:ind w:left="127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7F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institucionālo struktūru.</w:t>
            </w:r>
          </w:p>
          <w:p w14:paraId="1F2DB4BA" w14:textId="77777777" w:rsidR="006E7F01" w:rsidRPr="006E7F01" w:rsidRDefault="006E7F01" w:rsidP="009E709D">
            <w:pPr>
              <w:spacing w:after="0" w:line="240" w:lineRule="auto"/>
              <w:ind w:left="127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7F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Esošu institūciju likvidācija</w:t>
            </w:r>
          </w:p>
        </w:tc>
        <w:tc>
          <w:tcPr>
            <w:tcW w:w="4394" w:type="dxa"/>
            <w:hideMark/>
          </w:tcPr>
          <w:p w14:paraId="1F2DB4BB" w14:textId="77777777" w:rsidR="006E7F01" w:rsidRPr="006E7F01" w:rsidRDefault="006E7F01" w:rsidP="00654540">
            <w:pPr>
              <w:spacing w:after="0" w:line="240" w:lineRule="auto"/>
              <w:ind w:left="127" w:right="127" w:firstLine="567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lv-LV"/>
              </w:rPr>
            </w:pPr>
            <w:r w:rsidRPr="006E7F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Projekts šo jomu neskar</w:t>
            </w:r>
            <w:r w:rsidR="000263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6E7F01" w:rsidRPr="006E7F01" w14:paraId="1F2DB4C1" w14:textId="77777777" w:rsidTr="003F3693">
        <w:trPr>
          <w:trHeight w:val="703"/>
          <w:tblCellSpacing w:w="0" w:type="dxa"/>
        </w:trPr>
        <w:tc>
          <w:tcPr>
            <w:tcW w:w="851" w:type="dxa"/>
          </w:tcPr>
          <w:p w14:paraId="1F2DB4BD" w14:textId="77777777" w:rsidR="006E7F01" w:rsidRPr="006E7F01" w:rsidRDefault="006E7F01" w:rsidP="006E7F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27" w:type="dxa"/>
            <w:hideMark/>
          </w:tcPr>
          <w:p w14:paraId="1F2DB4BE" w14:textId="77777777" w:rsidR="006E7F01" w:rsidRPr="006E7F01" w:rsidRDefault="006E7F01" w:rsidP="009E709D">
            <w:pPr>
              <w:spacing w:after="0" w:line="240" w:lineRule="auto"/>
              <w:ind w:left="127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7F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institucionālo struktūru.</w:t>
            </w:r>
          </w:p>
          <w:p w14:paraId="1F2DB4BF" w14:textId="77777777" w:rsidR="006E7F01" w:rsidRPr="006E7F01" w:rsidRDefault="006E7F01" w:rsidP="009E709D">
            <w:pPr>
              <w:spacing w:after="0" w:line="240" w:lineRule="auto"/>
              <w:ind w:left="127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7F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Esošu institūciju reorganizācija</w:t>
            </w:r>
          </w:p>
        </w:tc>
        <w:tc>
          <w:tcPr>
            <w:tcW w:w="4394" w:type="dxa"/>
            <w:hideMark/>
          </w:tcPr>
          <w:p w14:paraId="1F2DB4C0" w14:textId="77777777" w:rsidR="006E7F01" w:rsidRPr="006E7F01" w:rsidRDefault="006E7F01" w:rsidP="00654540">
            <w:pPr>
              <w:spacing w:after="0" w:line="240" w:lineRule="auto"/>
              <w:ind w:left="127" w:right="12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7F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Projekts šo jomu neskar</w:t>
            </w:r>
            <w:r w:rsidR="000263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6E7F01" w:rsidRPr="006E7F01" w14:paraId="1F2DB4C5" w14:textId="77777777" w:rsidTr="003F3693">
        <w:trPr>
          <w:trHeight w:val="267"/>
          <w:tblCellSpacing w:w="0" w:type="dxa"/>
        </w:trPr>
        <w:tc>
          <w:tcPr>
            <w:tcW w:w="851" w:type="dxa"/>
          </w:tcPr>
          <w:p w14:paraId="1F2DB4C2" w14:textId="77777777" w:rsidR="006E7F01" w:rsidRPr="006E7F01" w:rsidRDefault="006E7F01" w:rsidP="006E7F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27" w:type="dxa"/>
            <w:hideMark/>
          </w:tcPr>
          <w:p w14:paraId="1F2DB4C3" w14:textId="77777777" w:rsidR="006E7F01" w:rsidRPr="006E7F01" w:rsidRDefault="006E7F01" w:rsidP="009E709D">
            <w:pPr>
              <w:spacing w:after="0" w:line="240" w:lineRule="auto"/>
              <w:ind w:left="127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7F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4394" w:type="dxa"/>
            <w:hideMark/>
          </w:tcPr>
          <w:p w14:paraId="1F2DB4C4" w14:textId="77777777" w:rsidR="006E7F01" w:rsidRPr="006E7F01" w:rsidRDefault="006E7F01" w:rsidP="00654540">
            <w:pPr>
              <w:spacing w:after="0" w:line="240" w:lineRule="auto"/>
              <w:ind w:left="127" w:right="12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7F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Nav</w:t>
            </w:r>
            <w:r w:rsidR="000263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1F2DB4C6" w14:textId="77777777" w:rsidR="006E7F01" w:rsidRPr="006E7F01" w:rsidRDefault="006E7F01" w:rsidP="006E7F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1F2DB4C7" w14:textId="77777777" w:rsidR="00F33589" w:rsidRPr="00F33589" w:rsidRDefault="00F33589" w:rsidP="00F335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F33589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Anotācijas </w:t>
      </w:r>
      <w:r w:rsidRPr="006D6481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II, </w:t>
      </w:r>
      <w:r w:rsidRPr="00F33589">
        <w:rPr>
          <w:rFonts w:ascii="Times New Roman" w:eastAsia="Calibri" w:hAnsi="Times New Roman" w:cs="Times New Roman"/>
          <w:sz w:val="24"/>
          <w:szCs w:val="24"/>
          <w:lang w:eastAsia="lv-LV"/>
        </w:rPr>
        <w:t>III, IV, V un VI sadaļa – Projekts šīs jomas neskar.</w:t>
      </w:r>
    </w:p>
    <w:p w14:paraId="1F2DB4C8" w14:textId="77777777" w:rsidR="006E7F01" w:rsidRPr="006E7F01" w:rsidRDefault="006E7F01" w:rsidP="006E7F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1F2DB4C9" w14:textId="77777777" w:rsidR="006E7F01" w:rsidRDefault="006E7F01" w:rsidP="006E7F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1F2DB4CA" w14:textId="77777777" w:rsidR="006D6481" w:rsidRPr="006E7F01" w:rsidRDefault="006D6481" w:rsidP="006E7F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1F2DB4CB" w14:textId="77777777" w:rsidR="006E7F01" w:rsidRPr="006E7F01" w:rsidRDefault="006E7F01" w:rsidP="006E7F01">
      <w:pPr>
        <w:tabs>
          <w:tab w:val="center" w:pos="0"/>
          <w:tab w:val="right" w:pos="142"/>
        </w:tabs>
        <w:spacing w:after="120" w:line="240" w:lineRule="auto"/>
        <w:ind w:right="-15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7F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Finanšu ministrs</w:t>
      </w:r>
      <w:r w:rsidRPr="006E7F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6E7F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6E7F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6E7F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6E7F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6E7F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6E7F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6E7F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 A.Vilks</w:t>
      </w:r>
    </w:p>
    <w:p w14:paraId="1F2DB4CC" w14:textId="77777777" w:rsidR="006E7F01" w:rsidRPr="006E7F01" w:rsidRDefault="006E7F01" w:rsidP="006E7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F2DB4CD" w14:textId="77777777" w:rsidR="006E7F01" w:rsidRPr="006E7F01" w:rsidRDefault="006E7F01" w:rsidP="006E7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F2DB4CE" w14:textId="77777777" w:rsidR="006E7F01" w:rsidRPr="006E7F01" w:rsidRDefault="006E7F01" w:rsidP="006E7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F2DB4CF" w14:textId="77777777" w:rsidR="006E7F01" w:rsidRPr="006E7F01" w:rsidRDefault="006E7F01" w:rsidP="006E7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F2DB4D0" w14:textId="77777777" w:rsidR="006E7F01" w:rsidRPr="006E7F01" w:rsidRDefault="006E7F01" w:rsidP="006E7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F2DB4D1" w14:textId="77777777" w:rsidR="006E7F01" w:rsidRPr="006E7F01" w:rsidRDefault="006E7F01" w:rsidP="006E7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F2DB4D2" w14:textId="77777777" w:rsidR="006E7F01" w:rsidRPr="006E7F01" w:rsidRDefault="006E7F01" w:rsidP="006E7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F2DB4D3" w14:textId="77777777" w:rsidR="006E7F01" w:rsidRPr="006E7F01" w:rsidRDefault="006E7F01" w:rsidP="006E7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F2DB4D4" w14:textId="77777777" w:rsidR="006E7F01" w:rsidRDefault="006E7F01" w:rsidP="006E7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F2DB4D5" w14:textId="77777777" w:rsidR="00F81CD4" w:rsidRDefault="00F81CD4" w:rsidP="006E7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F2DB4D6" w14:textId="77777777" w:rsidR="00F81CD4" w:rsidRDefault="00F81CD4" w:rsidP="006E7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F2DB4D7" w14:textId="77777777" w:rsidR="00F81CD4" w:rsidRDefault="00F81CD4" w:rsidP="006E7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F2DB4D8" w14:textId="77777777" w:rsidR="00F81CD4" w:rsidRDefault="00F81CD4" w:rsidP="006E7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F2DB4D9" w14:textId="77777777" w:rsidR="00F81CD4" w:rsidRDefault="00F81CD4" w:rsidP="006E7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F2DB4DA" w14:textId="77777777" w:rsidR="00F81CD4" w:rsidRPr="0002633F" w:rsidRDefault="00F81CD4" w:rsidP="006E7F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416EA72D" w14:textId="77777777" w:rsidR="00E2390F" w:rsidRDefault="00E2390F" w:rsidP="006E7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DATE  \@ "dd.MM.yyyy H:mm"  \* MERGEFORMAT </w:instrTex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17.02.2012 16:37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</w:p>
    <w:bookmarkStart w:id="0" w:name="_GoBack"/>
    <w:bookmarkEnd w:id="0"/>
    <w:p w14:paraId="1F2DB4DC" w14:textId="4D103028" w:rsidR="006E7F01" w:rsidRPr="0002633F" w:rsidRDefault="005D0FCF" w:rsidP="006E7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389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</w:p>
    <w:p w14:paraId="1F2DB4DD" w14:textId="77777777" w:rsidR="006E7F01" w:rsidRPr="0002633F" w:rsidRDefault="0002633F" w:rsidP="006E7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02633F">
        <w:rPr>
          <w:rFonts w:ascii="Times New Roman" w:eastAsia="Times New Roman" w:hAnsi="Times New Roman" w:cs="Times New Roman"/>
          <w:sz w:val="20"/>
          <w:szCs w:val="20"/>
          <w:lang w:eastAsia="lv-LV"/>
        </w:rPr>
        <w:t>L. Jevčuka</w:t>
      </w:r>
    </w:p>
    <w:p w14:paraId="1F2DB4DE" w14:textId="77777777" w:rsidR="00F33589" w:rsidRPr="0002633F" w:rsidRDefault="00F33589" w:rsidP="006E7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02633F">
        <w:rPr>
          <w:rFonts w:ascii="Times New Roman" w:eastAsia="Times New Roman" w:hAnsi="Times New Roman" w:cs="Times New Roman"/>
          <w:sz w:val="20"/>
          <w:szCs w:val="20"/>
          <w:lang w:eastAsia="lv-LV"/>
        </w:rPr>
        <w:t>670954</w:t>
      </w:r>
      <w:r w:rsidR="0002633F" w:rsidRPr="0002633F">
        <w:rPr>
          <w:rFonts w:ascii="Times New Roman" w:eastAsia="Times New Roman" w:hAnsi="Times New Roman" w:cs="Times New Roman"/>
          <w:sz w:val="20"/>
          <w:szCs w:val="20"/>
          <w:lang w:eastAsia="lv-LV"/>
        </w:rPr>
        <w:t>42</w:t>
      </w:r>
    </w:p>
    <w:p w14:paraId="1F2DB4DF" w14:textId="77777777" w:rsidR="00606BB9" w:rsidRPr="006D6481" w:rsidRDefault="0002633F">
      <w:pPr>
        <w:rPr>
          <w:sz w:val="24"/>
          <w:szCs w:val="24"/>
        </w:rPr>
      </w:pPr>
      <w:bookmarkStart w:id="1" w:name="OLE_LINK7"/>
      <w:bookmarkStart w:id="2" w:name="OLE_LINK8"/>
      <w:r w:rsidRPr="0002633F">
        <w:rPr>
          <w:rFonts w:ascii="Times New Roman" w:eastAsia="Times New Roman" w:hAnsi="Times New Roman" w:cs="Times New Roman"/>
          <w:sz w:val="20"/>
          <w:szCs w:val="20"/>
          <w:lang w:eastAsia="lv-LV"/>
        </w:rPr>
        <w:t>Ludmila.Jevcuka</w:t>
      </w:r>
      <w:r w:rsidR="00132765" w:rsidRPr="0002633F">
        <w:rPr>
          <w:rFonts w:ascii="Times New Roman" w:eastAsia="Times New Roman" w:hAnsi="Times New Roman" w:cs="Times New Roman"/>
          <w:sz w:val="20"/>
          <w:szCs w:val="20"/>
          <w:lang w:eastAsia="lv-LV"/>
        </w:rPr>
        <w:t>@fm.gov.lv</w:t>
      </w:r>
      <w:bookmarkEnd w:id="1"/>
      <w:bookmarkEnd w:id="2"/>
    </w:p>
    <w:sectPr w:rsidR="00606BB9" w:rsidRPr="006D6481" w:rsidSect="003F3693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418" w:right="1134" w:bottom="1134" w:left="1701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DB4E2" w14:textId="77777777" w:rsidR="005F0346" w:rsidRDefault="005F0346" w:rsidP="00132765">
      <w:pPr>
        <w:spacing w:after="0" w:line="240" w:lineRule="auto"/>
      </w:pPr>
      <w:r>
        <w:separator/>
      </w:r>
    </w:p>
  </w:endnote>
  <w:endnote w:type="continuationSeparator" w:id="0">
    <w:p w14:paraId="1F2DB4E3" w14:textId="77777777" w:rsidR="005F0346" w:rsidRDefault="005F0346" w:rsidP="0013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DB4E8" w14:textId="77777777" w:rsidR="003F3437" w:rsidRPr="002C0E78" w:rsidRDefault="005D0FCF" w:rsidP="003F3437">
    <w:pPr>
      <w:pStyle w:val="Footer"/>
      <w:jc w:val="both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FMAnot_300112</w:t>
    </w:r>
    <w:r>
      <w:rPr>
        <w:sz w:val="18"/>
        <w:szCs w:val="18"/>
      </w:rPr>
      <w:fldChar w:fldCharType="end"/>
    </w:r>
    <w:r w:rsidR="00AB5627" w:rsidRPr="002C0E78">
      <w:rPr>
        <w:sz w:val="18"/>
        <w:szCs w:val="18"/>
      </w:rPr>
      <w:t>; Ministru kabine</w:t>
    </w:r>
    <w:r w:rsidR="0002633F">
      <w:rPr>
        <w:sz w:val="18"/>
        <w:szCs w:val="18"/>
      </w:rPr>
      <w:t>ta noteikumu projekta „Grozījums</w:t>
    </w:r>
    <w:r w:rsidR="00AB5627" w:rsidRPr="002C0E78">
      <w:rPr>
        <w:sz w:val="18"/>
        <w:szCs w:val="18"/>
      </w:rPr>
      <w:t xml:space="preserve"> Ministru kabineta 2005.gada </w:t>
    </w:r>
    <w:r w:rsidR="00AB5627">
      <w:rPr>
        <w:sz w:val="18"/>
        <w:szCs w:val="18"/>
      </w:rPr>
      <w:t>27.decembra</w:t>
    </w:r>
    <w:r w:rsidR="00AB5627" w:rsidRPr="002C0E78">
      <w:rPr>
        <w:sz w:val="18"/>
        <w:szCs w:val="18"/>
      </w:rPr>
      <w:t xml:space="preserve"> noteikumos Nr.</w:t>
    </w:r>
    <w:r w:rsidR="00AB5627">
      <w:rPr>
        <w:sz w:val="18"/>
        <w:szCs w:val="18"/>
      </w:rPr>
      <w:t>1032</w:t>
    </w:r>
    <w:r w:rsidR="00AB5627" w:rsidRPr="002C0E78">
      <w:rPr>
        <w:color w:val="083064"/>
        <w:sz w:val="18"/>
        <w:szCs w:val="18"/>
      </w:rPr>
      <w:t xml:space="preserve"> </w:t>
    </w:r>
    <w:r w:rsidR="00AB5627" w:rsidRPr="002C0E78">
      <w:rPr>
        <w:sz w:val="18"/>
        <w:szCs w:val="18"/>
      </w:rPr>
      <w:t>„</w:t>
    </w:r>
    <w:r w:rsidR="00AB5627" w:rsidRPr="002C0E78">
      <w:rPr>
        <w:rStyle w:val="Strong"/>
        <w:b w:val="0"/>
        <w:sz w:val="18"/>
        <w:szCs w:val="18"/>
      </w:rPr>
      <w:t xml:space="preserve">Noteikumi par </w:t>
    </w:r>
    <w:r w:rsidR="00AB5627">
      <w:rPr>
        <w:rStyle w:val="Strong"/>
        <w:b w:val="0"/>
        <w:sz w:val="18"/>
        <w:szCs w:val="18"/>
      </w:rPr>
      <w:t>budžetu ieņēmumu</w:t>
    </w:r>
    <w:r w:rsidR="00AB5627" w:rsidRPr="002C0E78">
      <w:rPr>
        <w:rStyle w:val="Strong"/>
        <w:b w:val="0"/>
        <w:sz w:val="18"/>
        <w:szCs w:val="18"/>
      </w:rPr>
      <w:t xml:space="preserve"> klasifikāciju”</w:t>
    </w:r>
    <w:r w:rsidR="00AB5627" w:rsidRPr="002C0E78">
      <w:rPr>
        <w:sz w:val="18"/>
        <w:szCs w:val="18"/>
      </w:rPr>
      <w:t>”</w:t>
    </w:r>
    <w:r w:rsidR="00AB5627">
      <w:rPr>
        <w:sz w:val="18"/>
        <w:szCs w:val="18"/>
      </w:rPr>
      <w:t xml:space="preserve"> </w:t>
    </w:r>
    <w:r w:rsidR="00AB5627" w:rsidRPr="002C0E78">
      <w:rPr>
        <w:sz w:val="18"/>
        <w:szCs w:val="18"/>
      </w:rPr>
      <w:t>anotācija</w:t>
    </w:r>
  </w:p>
  <w:p w14:paraId="1F2DB4E9" w14:textId="77777777" w:rsidR="00405A00" w:rsidRPr="00E20C46" w:rsidRDefault="00E2390F" w:rsidP="00E20C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DB4EA" w14:textId="77777777" w:rsidR="00405A00" w:rsidRPr="002C0E78" w:rsidRDefault="005D0FCF" w:rsidP="009635B7">
    <w:pPr>
      <w:pStyle w:val="Footer"/>
      <w:jc w:val="both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FMAnot_300112</w:t>
    </w:r>
    <w:r>
      <w:rPr>
        <w:sz w:val="18"/>
        <w:szCs w:val="18"/>
      </w:rPr>
      <w:fldChar w:fldCharType="end"/>
    </w:r>
    <w:r w:rsidR="00AB5627" w:rsidRPr="002C0E78">
      <w:rPr>
        <w:sz w:val="18"/>
        <w:szCs w:val="18"/>
      </w:rPr>
      <w:t>; Ministru kabineta noteikumu projekta „Grozījum</w:t>
    </w:r>
    <w:r w:rsidR="00654540">
      <w:rPr>
        <w:sz w:val="18"/>
        <w:szCs w:val="18"/>
      </w:rPr>
      <w:t>s</w:t>
    </w:r>
    <w:r w:rsidR="00AB5627" w:rsidRPr="002C0E78">
      <w:rPr>
        <w:sz w:val="18"/>
        <w:szCs w:val="18"/>
      </w:rPr>
      <w:t xml:space="preserve"> Ministru kabineta 2005.gada </w:t>
    </w:r>
    <w:r w:rsidR="00AB5627">
      <w:rPr>
        <w:sz w:val="18"/>
        <w:szCs w:val="18"/>
      </w:rPr>
      <w:t>27.decembra</w:t>
    </w:r>
    <w:r w:rsidR="00AB5627" w:rsidRPr="002C0E78">
      <w:rPr>
        <w:sz w:val="18"/>
        <w:szCs w:val="18"/>
      </w:rPr>
      <w:t xml:space="preserve"> noteikumos Nr.</w:t>
    </w:r>
    <w:r w:rsidR="00AB5627">
      <w:rPr>
        <w:sz w:val="18"/>
        <w:szCs w:val="18"/>
      </w:rPr>
      <w:t>1032</w:t>
    </w:r>
    <w:r w:rsidR="00AB5627" w:rsidRPr="002C0E78">
      <w:rPr>
        <w:color w:val="083064"/>
        <w:sz w:val="18"/>
        <w:szCs w:val="18"/>
      </w:rPr>
      <w:t xml:space="preserve"> </w:t>
    </w:r>
    <w:r w:rsidR="00AB5627" w:rsidRPr="002C0E78">
      <w:rPr>
        <w:sz w:val="18"/>
        <w:szCs w:val="18"/>
      </w:rPr>
      <w:t>„</w:t>
    </w:r>
    <w:r w:rsidR="00AB5627" w:rsidRPr="002C0E78">
      <w:rPr>
        <w:rStyle w:val="Strong"/>
        <w:b w:val="0"/>
        <w:sz w:val="18"/>
        <w:szCs w:val="18"/>
      </w:rPr>
      <w:t xml:space="preserve">Noteikumi par </w:t>
    </w:r>
    <w:r w:rsidR="00AB5627">
      <w:rPr>
        <w:rStyle w:val="Strong"/>
        <w:b w:val="0"/>
        <w:sz w:val="18"/>
        <w:szCs w:val="18"/>
      </w:rPr>
      <w:t>budžetu ieņēmumu</w:t>
    </w:r>
    <w:r w:rsidR="00AB5627" w:rsidRPr="002C0E78">
      <w:rPr>
        <w:rStyle w:val="Strong"/>
        <w:b w:val="0"/>
        <w:sz w:val="18"/>
        <w:szCs w:val="18"/>
      </w:rPr>
      <w:t xml:space="preserve"> klasifikāciju”</w:t>
    </w:r>
    <w:r w:rsidR="00AB5627" w:rsidRPr="002C0E78">
      <w:rPr>
        <w:sz w:val="18"/>
        <w:szCs w:val="18"/>
      </w:rPr>
      <w:t>”</w:t>
    </w:r>
    <w:r w:rsidR="00AB5627">
      <w:rPr>
        <w:sz w:val="18"/>
        <w:szCs w:val="18"/>
      </w:rPr>
      <w:t xml:space="preserve"> </w:t>
    </w:r>
    <w:r w:rsidR="00AB5627" w:rsidRPr="002C0E78">
      <w:rPr>
        <w:sz w:val="18"/>
        <w:szCs w:val="18"/>
      </w:rPr>
      <w:t>anotācija</w:t>
    </w:r>
  </w:p>
  <w:p w14:paraId="1F2DB4EB" w14:textId="77777777" w:rsidR="00405A00" w:rsidRPr="002C0E78" w:rsidRDefault="00E239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DB4E0" w14:textId="77777777" w:rsidR="005F0346" w:rsidRDefault="005F0346" w:rsidP="00132765">
      <w:pPr>
        <w:spacing w:after="0" w:line="240" w:lineRule="auto"/>
      </w:pPr>
      <w:r>
        <w:separator/>
      </w:r>
    </w:p>
  </w:footnote>
  <w:footnote w:type="continuationSeparator" w:id="0">
    <w:p w14:paraId="1F2DB4E1" w14:textId="77777777" w:rsidR="005F0346" w:rsidRDefault="005F0346" w:rsidP="0013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DB4E4" w14:textId="77777777" w:rsidR="00405A00" w:rsidRDefault="00AB5627" w:rsidP="00190F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2DB4E5" w14:textId="77777777" w:rsidR="00405A00" w:rsidRDefault="00E239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DB4E6" w14:textId="77777777" w:rsidR="00405A00" w:rsidRPr="00DB073B" w:rsidRDefault="00AB5627" w:rsidP="00190F88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DB073B">
      <w:rPr>
        <w:rStyle w:val="PageNumber"/>
        <w:sz w:val="20"/>
        <w:szCs w:val="20"/>
      </w:rPr>
      <w:fldChar w:fldCharType="begin"/>
    </w:r>
    <w:r w:rsidRPr="00DB073B">
      <w:rPr>
        <w:rStyle w:val="PageNumber"/>
        <w:sz w:val="20"/>
        <w:szCs w:val="20"/>
      </w:rPr>
      <w:instrText xml:space="preserve">PAGE  </w:instrText>
    </w:r>
    <w:r w:rsidRPr="00DB073B">
      <w:rPr>
        <w:rStyle w:val="PageNumber"/>
        <w:sz w:val="20"/>
        <w:szCs w:val="20"/>
      </w:rPr>
      <w:fldChar w:fldCharType="separate"/>
    </w:r>
    <w:r w:rsidR="00E2390F">
      <w:rPr>
        <w:rStyle w:val="PageNumber"/>
        <w:noProof/>
        <w:sz w:val="20"/>
        <w:szCs w:val="20"/>
      </w:rPr>
      <w:t>2</w:t>
    </w:r>
    <w:r w:rsidRPr="00DB073B">
      <w:rPr>
        <w:rStyle w:val="PageNumber"/>
        <w:sz w:val="20"/>
        <w:szCs w:val="20"/>
      </w:rPr>
      <w:fldChar w:fldCharType="end"/>
    </w:r>
  </w:p>
  <w:p w14:paraId="1F2DB4E7" w14:textId="77777777" w:rsidR="00405A00" w:rsidRDefault="00E2390F" w:rsidP="009635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5A89"/>
    <w:multiLevelType w:val="hybridMultilevel"/>
    <w:tmpl w:val="C95ED8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01"/>
    <w:rsid w:val="00023C53"/>
    <w:rsid w:val="0002633F"/>
    <w:rsid w:val="00105F39"/>
    <w:rsid w:val="00132765"/>
    <w:rsid w:val="001D2E7F"/>
    <w:rsid w:val="00201645"/>
    <w:rsid w:val="00266A68"/>
    <w:rsid w:val="003F3693"/>
    <w:rsid w:val="00403D7D"/>
    <w:rsid w:val="004151DF"/>
    <w:rsid w:val="004D1758"/>
    <w:rsid w:val="004D5274"/>
    <w:rsid w:val="00535A12"/>
    <w:rsid w:val="005C616C"/>
    <w:rsid w:val="005D0FCF"/>
    <w:rsid w:val="005F0346"/>
    <w:rsid w:val="00606BB9"/>
    <w:rsid w:val="00654540"/>
    <w:rsid w:val="006D6481"/>
    <w:rsid w:val="006E7F01"/>
    <w:rsid w:val="008560C2"/>
    <w:rsid w:val="008658DE"/>
    <w:rsid w:val="008A6355"/>
    <w:rsid w:val="008A6DF8"/>
    <w:rsid w:val="008D2688"/>
    <w:rsid w:val="009E709D"/>
    <w:rsid w:val="00AB5627"/>
    <w:rsid w:val="00B02ADC"/>
    <w:rsid w:val="00E2390F"/>
    <w:rsid w:val="00F33589"/>
    <w:rsid w:val="00F81CD4"/>
    <w:rsid w:val="00FD70CB"/>
    <w:rsid w:val="00FD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B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7F0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E7F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6E7F01"/>
  </w:style>
  <w:style w:type="paragraph" w:styleId="Footer">
    <w:name w:val="footer"/>
    <w:basedOn w:val="Normal"/>
    <w:link w:val="FooterChar"/>
    <w:rsid w:val="006E7F0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6E7F0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qFormat/>
    <w:rsid w:val="006E7F0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D7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0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0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0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7F0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E7F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6E7F01"/>
  </w:style>
  <w:style w:type="paragraph" w:styleId="Footer">
    <w:name w:val="footer"/>
    <w:basedOn w:val="Normal"/>
    <w:link w:val="FooterChar"/>
    <w:rsid w:val="006E7F0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6E7F0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qFormat/>
    <w:rsid w:val="006E7F0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D7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0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0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0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990F27D2D272441AA8BDAE99769EA4C" ma:contentTypeVersion="5" ma:contentTypeDescription="Izveidot jaunu dokumentu." ma:contentTypeScope="" ma:versionID="d780cec5b4544b12e643cf21b2d359e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40e3d481ede969392390a0f96e9dbf0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79D73D21-997D-40D6-8E8F-28E2C0C7B203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D.Gulbe</Vad_x012b_t_x0101_js>
    <Kategorija xmlns="2e5bb04e-596e-45bd-9003-43ca78b1ba16">Anotācija</Kategorija>
    <DKP xmlns="2e5bb04e-596e-45bd-9003-43ca78b1ba16">25</DK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9647C-B63D-44AA-A967-158E13FEF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AF1EA80-A73B-4461-8CF2-8D58D059D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42B2F-D42A-4245-9DDC-B464C77EB22C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2e5bb04e-596e-45bd-9003-43ca78b1ba16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D5F2B64-6E17-43C2-BA72-FECC37B8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2947</Characters>
  <Application>Microsoft Office Word</Application>
  <DocSecurity>0</DocSecurity>
  <Lines>173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2005.gada 27.decembra noteikumos Nr.1032 „Noteikumi par budžetu ieņēmumu klasifikāciju” sākotnējās ietekmes novērtējuma ziņojums (anotācija)</vt:lpstr>
    </vt:vector>
  </TitlesOfParts>
  <Company>Finanšu ministrija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2005.gada 27.decembra noteikumos Nr.1032 „Noteikumi par budžetu ieņēmumu klasifikāciju” sākotnējās ietekmes novērtējuma ziņojums (anotācija)</dc:title>
  <dc:subject>Anotācija</dc:subject>
  <dc:creator>L.Jevčuka</dc:creator>
  <dc:description>67095442
Ludmila.Jevcuka@fm.gov.lv;</dc:description>
  <cp:lastModifiedBy>Windows User</cp:lastModifiedBy>
  <cp:revision>3</cp:revision>
  <cp:lastPrinted>2012-02-02T10:41:00Z</cp:lastPrinted>
  <dcterms:created xsi:type="dcterms:W3CDTF">2012-02-03T09:48:00Z</dcterms:created>
  <dcterms:modified xsi:type="dcterms:W3CDTF">2012-02-17T14:37:00Z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0x0101007990F27D2D272441AA8BDAE99769EA4C</vt:lpwstr>
  </property>
</Properties>
</file>