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23" w:rsidRPr="003A411A" w:rsidRDefault="008F0123" w:rsidP="008F0123">
      <w:pPr>
        <w:spacing w:after="0" w:line="240" w:lineRule="auto"/>
        <w:jc w:val="center"/>
        <w:rPr>
          <w:rFonts w:ascii="Times New Roman" w:hAnsi="Times New Roman"/>
          <w:b/>
          <w:sz w:val="26"/>
          <w:szCs w:val="26"/>
        </w:rPr>
      </w:pPr>
      <w:r w:rsidRPr="003A411A">
        <w:rPr>
          <w:rFonts w:ascii="Times New Roman" w:hAnsi="Times New Roman"/>
          <w:b/>
          <w:sz w:val="26"/>
          <w:szCs w:val="26"/>
        </w:rPr>
        <w:t xml:space="preserve">Ministru kabineta rīkojuma </w:t>
      </w:r>
      <w:r w:rsidR="00BC393D">
        <w:rPr>
          <w:rFonts w:ascii="Times New Roman" w:hAnsi="Times New Roman"/>
          <w:b/>
          <w:sz w:val="26"/>
          <w:szCs w:val="26"/>
        </w:rPr>
        <w:t>projekta</w:t>
      </w:r>
      <w:r w:rsidR="00D6452E">
        <w:rPr>
          <w:rFonts w:ascii="Times New Roman" w:hAnsi="Times New Roman"/>
          <w:b/>
          <w:sz w:val="26"/>
          <w:szCs w:val="26"/>
        </w:rPr>
        <w:t xml:space="preserve"> </w:t>
      </w:r>
    </w:p>
    <w:p w:rsidR="00BC393D" w:rsidRPr="00BC393D" w:rsidRDefault="00BC393D" w:rsidP="00BC393D">
      <w:pPr>
        <w:spacing w:after="0" w:line="240" w:lineRule="auto"/>
        <w:jc w:val="center"/>
        <w:rPr>
          <w:rFonts w:ascii="Times New Roman" w:hAnsi="Times New Roman"/>
          <w:b/>
          <w:sz w:val="26"/>
          <w:szCs w:val="26"/>
        </w:rPr>
      </w:pPr>
      <w:r>
        <w:rPr>
          <w:rFonts w:ascii="Times New Roman" w:hAnsi="Times New Roman"/>
          <w:b/>
          <w:sz w:val="26"/>
          <w:szCs w:val="26"/>
        </w:rPr>
        <w:t>„</w:t>
      </w:r>
      <w:r w:rsidRPr="00BC393D">
        <w:rPr>
          <w:rFonts w:ascii="Times New Roman" w:hAnsi="Times New Roman"/>
          <w:b/>
          <w:sz w:val="26"/>
          <w:szCs w:val="26"/>
        </w:rPr>
        <w:t xml:space="preserve">Grozījums Ministru kabineta 2012.gada 13.februāra rīkojumā Nr.72 </w:t>
      </w:r>
    </w:p>
    <w:p w:rsidR="008F0123" w:rsidRPr="003A411A" w:rsidRDefault="00BC393D" w:rsidP="008F0123">
      <w:pPr>
        <w:spacing w:after="0" w:line="240" w:lineRule="auto"/>
        <w:jc w:val="center"/>
        <w:rPr>
          <w:rFonts w:ascii="Times New Roman" w:hAnsi="Times New Roman"/>
          <w:b/>
          <w:sz w:val="26"/>
          <w:szCs w:val="26"/>
        </w:rPr>
      </w:pPr>
      <w:r>
        <w:rPr>
          <w:rFonts w:ascii="Times New Roman" w:hAnsi="Times New Roman"/>
          <w:b/>
          <w:sz w:val="26"/>
          <w:szCs w:val="26"/>
        </w:rPr>
        <w:t>„</w:t>
      </w:r>
      <w:r w:rsidRPr="00BC393D">
        <w:rPr>
          <w:rFonts w:ascii="Times New Roman" w:hAnsi="Times New Roman"/>
          <w:b/>
          <w:sz w:val="26"/>
          <w:szCs w:val="26"/>
        </w:rPr>
        <w:t>Par Koncepciju par korupcijas risku samazināšanu valsts pā</w:t>
      </w:r>
      <w:r>
        <w:rPr>
          <w:rFonts w:ascii="Times New Roman" w:hAnsi="Times New Roman"/>
          <w:b/>
          <w:sz w:val="26"/>
          <w:szCs w:val="26"/>
        </w:rPr>
        <w:t xml:space="preserve">rvaldes iestādēs un pašvaldībās”” </w:t>
      </w:r>
      <w:r w:rsidR="008F0123" w:rsidRPr="003A411A">
        <w:rPr>
          <w:rFonts w:ascii="Times New Roman" w:eastAsia="Times New Roman" w:hAnsi="Times New Roman"/>
          <w:b/>
          <w:bCs/>
          <w:sz w:val="26"/>
          <w:szCs w:val="26"/>
          <w:lang w:eastAsia="lv-LV"/>
        </w:rPr>
        <w:t>sākotnējās ietekmes novērtējuma ziņojums (anotācija)</w:t>
      </w:r>
    </w:p>
    <w:p w:rsidR="008F0123" w:rsidRDefault="008F0123" w:rsidP="008F0123">
      <w:pPr>
        <w:spacing w:after="0" w:line="240" w:lineRule="auto"/>
        <w:rPr>
          <w:rFonts w:ascii="Times New Roman" w:eastAsia="Times New Roman" w:hAnsi="Times New Roman"/>
          <w:sz w:val="24"/>
          <w:szCs w:val="24"/>
          <w:lang w:eastAsia="lv-LV"/>
        </w:rPr>
      </w:pPr>
    </w:p>
    <w:p w:rsidR="000D5F21" w:rsidRPr="005D5A7E" w:rsidRDefault="000D5F21" w:rsidP="008F0123">
      <w:pPr>
        <w:spacing w:after="0" w:line="240" w:lineRule="auto"/>
        <w:rPr>
          <w:rFonts w:ascii="Times New Roman" w:eastAsia="Times New Roman" w:hAnsi="Times New Roman"/>
          <w:sz w:val="24"/>
          <w:szCs w:val="24"/>
          <w:lang w:eastAsia="lv-LV"/>
        </w:rPr>
      </w:pPr>
    </w:p>
    <w:tbl>
      <w:tblPr>
        <w:tblW w:w="5114" w:type="pct"/>
        <w:tblInd w:w="-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2"/>
        <w:gridCol w:w="2013"/>
        <w:gridCol w:w="6886"/>
      </w:tblGrid>
      <w:tr w:rsidR="008F0123" w:rsidRPr="005D5A7E" w:rsidTr="007C0640">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8F0123" w:rsidRPr="005D5A7E" w:rsidRDefault="008F0123" w:rsidP="007C0640">
            <w:pPr>
              <w:pStyle w:val="NormalWeb"/>
              <w:spacing w:before="0" w:beforeAutospacing="0" w:after="0" w:afterAutospacing="0"/>
              <w:jc w:val="center"/>
              <w:rPr>
                <w:rFonts w:ascii="Times New Roman" w:hAnsi="Times New Roman" w:cs="Times New Roman"/>
                <w:b/>
                <w:bCs/>
                <w:lang w:val="lv-LV"/>
              </w:rPr>
            </w:pPr>
            <w:r w:rsidRPr="005D5A7E">
              <w:rPr>
                <w:rFonts w:ascii="Times New Roman" w:hAnsi="Times New Roman" w:cs="Times New Roman"/>
                <w:b/>
                <w:bCs/>
                <w:lang w:val="lv-LV"/>
              </w:rPr>
              <w:t>I. Tiesību akta projekta izstrādes nepieciešamība</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1.</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Pamatojums</w:t>
            </w:r>
          </w:p>
        </w:tc>
        <w:tc>
          <w:tcPr>
            <w:tcW w:w="3718" w:type="pct"/>
            <w:tcBorders>
              <w:top w:val="outset" w:sz="6" w:space="0" w:color="000000"/>
              <w:left w:val="outset" w:sz="6" w:space="0" w:color="000000"/>
              <w:bottom w:val="outset" w:sz="6" w:space="0" w:color="000000"/>
              <w:right w:val="outset" w:sz="6" w:space="0" w:color="000000"/>
            </w:tcBorders>
          </w:tcPr>
          <w:p w:rsidR="008F0123" w:rsidRPr="0026304C" w:rsidRDefault="00B27114" w:rsidP="00B27114">
            <w:pPr>
              <w:spacing w:after="0" w:line="240" w:lineRule="auto"/>
              <w:jc w:val="both"/>
              <w:rPr>
                <w:rFonts w:ascii="Times New Roman" w:hAnsi="Times New Roman"/>
                <w:sz w:val="24"/>
                <w:szCs w:val="24"/>
                <w:highlight w:val="yellow"/>
              </w:rPr>
            </w:pPr>
            <w:r w:rsidRPr="00B27114">
              <w:rPr>
                <w:rFonts w:ascii="Times New Roman" w:hAnsi="Times New Roman"/>
                <w:sz w:val="24"/>
                <w:szCs w:val="24"/>
              </w:rPr>
              <w:t>Ministru kabineta 2012.gada 13.februāra rīkojuma Nr.72 „Par Koncepciju par korupcijas risku samazināšanu valsts pārvaldes ie</w:t>
            </w:r>
            <w:r>
              <w:rPr>
                <w:rFonts w:ascii="Times New Roman" w:hAnsi="Times New Roman"/>
                <w:sz w:val="24"/>
                <w:szCs w:val="24"/>
              </w:rPr>
              <w:t>stādēs un pašvaldībās” 9.punkts.</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2.</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Pašreizējā situācija un problēmas</w:t>
            </w:r>
          </w:p>
        </w:tc>
        <w:tc>
          <w:tcPr>
            <w:tcW w:w="3718" w:type="pct"/>
            <w:tcBorders>
              <w:top w:val="outset" w:sz="6" w:space="0" w:color="000000"/>
              <w:left w:val="outset" w:sz="6" w:space="0" w:color="000000"/>
              <w:bottom w:val="outset" w:sz="6" w:space="0" w:color="000000"/>
              <w:right w:val="outset" w:sz="6" w:space="0" w:color="000000"/>
            </w:tcBorders>
          </w:tcPr>
          <w:p w:rsidR="00BC393D" w:rsidRDefault="00824D6D" w:rsidP="00B27114">
            <w:pPr>
              <w:tabs>
                <w:tab w:val="left" w:pos="6521"/>
              </w:tabs>
              <w:spacing w:after="0" w:line="240" w:lineRule="auto"/>
              <w:jc w:val="both"/>
              <w:rPr>
                <w:rFonts w:ascii="Times New Roman" w:hAnsi="Times New Roman"/>
                <w:sz w:val="24"/>
                <w:szCs w:val="24"/>
              </w:rPr>
            </w:pPr>
            <w:r>
              <w:rPr>
                <w:rFonts w:ascii="Times New Roman" w:hAnsi="Times New Roman"/>
                <w:bCs/>
                <w:sz w:val="24"/>
                <w:szCs w:val="24"/>
                <w:lang w:eastAsia="lv-LV"/>
              </w:rPr>
              <w:t xml:space="preserve">         </w:t>
            </w:r>
            <w:r w:rsidR="008F0123" w:rsidRPr="00936220">
              <w:rPr>
                <w:rFonts w:ascii="Times New Roman" w:hAnsi="Times New Roman"/>
                <w:bCs/>
                <w:sz w:val="24"/>
                <w:szCs w:val="24"/>
                <w:lang w:eastAsia="lv-LV"/>
              </w:rPr>
              <w:t xml:space="preserve">Atbilstoši </w:t>
            </w:r>
            <w:r w:rsidR="008F0123" w:rsidRPr="00936220">
              <w:rPr>
                <w:rFonts w:ascii="Times New Roman" w:hAnsi="Times New Roman"/>
                <w:sz w:val="24"/>
                <w:szCs w:val="24"/>
              </w:rPr>
              <w:t xml:space="preserve">Ministru </w:t>
            </w:r>
            <w:r w:rsidR="00B27114">
              <w:rPr>
                <w:rFonts w:ascii="Times New Roman" w:hAnsi="Times New Roman"/>
                <w:sz w:val="24"/>
                <w:szCs w:val="24"/>
              </w:rPr>
              <w:t xml:space="preserve">kabineta </w:t>
            </w:r>
            <w:r w:rsidR="00B27114" w:rsidRPr="00B27114">
              <w:rPr>
                <w:rFonts w:ascii="Times New Roman" w:hAnsi="Times New Roman"/>
                <w:sz w:val="24"/>
                <w:szCs w:val="24"/>
              </w:rPr>
              <w:t>2012.gada 13.februāra rīkojum</w:t>
            </w:r>
            <w:r w:rsidR="00B27114">
              <w:rPr>
                <w:rFonts w:ascii="Times New Roman" w:hAnsi="Times New Roman"/>
                <w:sz w:val="24"/>
                <w:szCs w:val="24"/>
              </w:rPr>
              <w:t>a</w:t>
            </w:r>
            <w:r w:rsidR="00B27114" w:rsidRPr="00B27114">
              <w:rPr>
                <w:rFonts w:ascii="Times New Roman" w:hAnsi="Times New Roman"/>
                <w:sz w:val="24"/>
                <w:szCs w:val="24"/>
              </w:rPr>
              <w:t xml:space="preserve"> Nr.72 </w:t>
            </w:r>
            <w:r w:rsidR="00B27114">
              <w:rPr>
                <w:rFonts w:ascii="Times New Roman" w:hAnsi="Times New Roman"/>
                <w:sz w:val="24"/>
                <w:szCs w:val="24"/>
              </w:rPr>
              <w:t xml:space="preserve"> </w:t>
            </w:r>
            <w:r w:rsidR="00B27114" w:rsidRPr="00B27114">
              <w:rPr>
                <w:rFonts w:ascii="Times New Roman" w:hAnsi="Times New Roman"/>
                <w:sz w:val="24"/>
                <w:szCs w:val="24"/>
              </w:rPr>
              <w:t>„Par Koncepciju par korupcijas risku samazināšanu valsts pārvaldes iestādēs un pašvaldībās”</w:t>
            </w:r>
            <w:r w:rsidR="00B27114">
              <w:rPr>
                <w:rFonts w:ascii="Times New Roman" w:hAnsi="Times New Roman"/>
                <w:sz w:val="24"/>
                <w:szCs w:val="24"/>
              </w:rPr>
              <w:t xml:space="preserve"> </w:t>
            </w:r>
            <w:r w:rsidR="008F0123" w:rsidRPr="00936220">
              <w:rPr>
                <w:rFonts w:ascii="Times New Roman" w:hAnsi="Times New Roman"/>
                <w:bCs/>
                <w:sz w:val="24"/>
                <w:szCs w:val="24"/>
                <w:lang w:eastAsia="lv-LV"/>
              </w:rPr>
              <w:t xml:space="preserve">9.punktam </w:t>
            </w:r>
            <w:r w:rsidR="00721725">
              <w:rPr>
                <w:rFonts w:ascii="Times New Roman" w:hAnsi="Times New Roman"/>
                <w:bCs/>
                <w:sz w:val="24"/>
                <w:szCs w:val="24"/>
                <w:lang w:eastAsia="lv-LV"/>
              </w:rPr>
              <w:t xml:space="preserve">(turpmāk – rīkojums Nr.72) </w:t>
            </w:r>
            <w:r w:rsidR="00B27114">
              <w:rPr>
                <w:rFonts w:ascii="Times New Roman" w:hAnsi="Times New Roman"/>
                <w:bCs/>
                <w:sz w:val="24"/>
                <w:szCs w:val="24"/>
                <w:lang w:eastAsia="lv-LV"/>
              </w:rPr>
              <w:t xml:space="preserve">Finanšu ministrijai </w:t>
            </w:r>
            <w:r w:rsidR="00BC393D" w:rsidRPr="00BC393D">
              <w:rPr>
                <w:rFonts w:ascii="Times New Roman" w:hAnsi="Times New Roman"/>
                <w:sz w:val="24"/>
                <w:szCs w:val="24"/>
              </w:rPr>
              <w:t xml:space="preserve">līdz 2013.gada 28.februārim </w:t>
            </w:r>
            <w:r w:rsidR="00B27114">
              <w:rPr>
                <w:rFonts w:ascii="Times New Roman" w:hAnsi="Times New Roman"/>
                <w:sz w:val="24"/>
                <w:szCs w:val="24"/>
              </w:rPr>
              <w:t>jā</w:t>
            </w:r>
            <w:r w:rsidR="00BC393D" w:rsidRPr="00BC393D">
              <w:rPr>
                <w:rFonts w:ascii="Times New Roman" w:hAnsi="Times New Roman"/>
                <w:sz w:val="24"/>
                <w:szCs w:val="24"/>
              </w:rPr>
              <w:t>iesnie</w:t>
            </w:r>
            <w:r w:rsidR="00B27114">
              <w:rPr>
                <w:rFonts w:ascii="Times New Roman" w:hAnsi="Times New Roman"/>
                <w:sz w:val="24"/>
                <w:szCs w:val="24"/>
              </w:rPr>
              <w:t>dz</w:t>
            </w:r>
            <w:r w:rsidR="00BC393D" w:rsidRPr="00BC393D">
              <w:rPr>
                <w:rFonts w:ascii="Times New Roman" w:hAnsi="Times New Roman"/>
                <w:sz w:val="24"/>
                <w:szCs w:val="24"/>
              </w:rPr>
              <w:t xml:space="preserve"> noteiktā kārtībā Ministru kabinetā informāciju par iespēju piešķirt papildu budžeta līdzekļus koncepcijā ietvertā risinājuma 3.varianta īstenošanai turpmākajos trijos gados.</w:t>
            </w:r>
          </w:p>
          <w:p w:rsidR="00BC393D" w:rsidRDefault="00824D6D" w:rsidP="007C0640">
            <w:pPr>
              <w:tabs>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001C6902" w:rsidRPr="001C6902">
              <w:rPr>
                <w:rFonts w:ascii="Times New Roman" w:hAnsi="Times New Roman"/>
                <w:sz w:val="24"/>
                <w:szCs w:val="24"/>
              </w:rPr>
              <w:t>Savukārt</w:t>
            </w:r>
            <w:r w:rsidR="00CE1ECA">
              <w:rPr>
                <w:rFonts w:ascii="Times New Roman" w:hAnsi="Times New Roman"/>
                <w:sz w:val="24"/>
                <w:szCs w:val="24"/>
              </w:rPr>
              <w:t>,</w:t>
            </w:r>
            <w:r w:rsidR="001C6902" w:rsidRPr="001C6902">
              <w:rPr>
                <w:rFonts w:ascii="Times New Roman" w:hAnsi="Times New Roman"/>
                <w:sz w:val="24"/>
                <w:szCs w:val="24"/>
              </w:rPr>
              <w:t xml:space="preserve"> izskatot Ministru kabineta 2013.gada 8.janvāra sēdē Informatīvo ziņojumu „Par aktualizētajām vidēja termiņa makroekonomisko radītāju, budžeta ieņēmumu prognozēm un vispārējās valdības budžeta bilances aprēķiniem 2014.-2016.gadam” (protokols Nr.2 26.§), tika uzdots Finanšu ministrijai  likumprojekta "Par vidēja termiņa budžeta ietvaru 2014., 2015. un 2016.gadam" sagatavošanas procesā izvērtēt iespējas pakāpeniski izlīdzināt atlīdzības fondus valsts tiešās pārvaldes iestādēm, lai nodrošinātu līdzvērtīgu atlīdzību līdzīgiem amatiem dažādās iestādēs, tai skaitā izskatot arī iespēju iestādēm nodrošināt sociālās garantijas līdzvērtīgos apmēros, un sagatavot informatīvo ziņojumu, kā arī aprēķinus par papildu nepieciešamo finansējumu un līdz 2013.gada 30.aprīlim iesniegt izskatīšanai Ministru kabinetā.</w:t>
            </w:r>
          </w:p>
          <w:p w:rsidR="00721725" w:rsidRDefault="00824D6D" w:rsidP="007C0640">
            <w:pPr>
              <w:tabs>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00721725">
              <w:rPr>
                <w:rFonts w:ascii="Times New Roman" w:hAnsi="Times New Roman"/>
                <w:sz w:val="24"/>
                <w:szCs w:val="24"/>
              </w:rPr>
              <w:t xml:space="preserve">  Ņemot vērā, ka </w:t>
            </w:r>
            <w:r w:rsidR="00CE1ECA" w:rsidRPr="001C6902">
              <w:rPr>
                <w:rFonts w:ascii="Times New Roman" w:hAnsi="Times New Roman"/>
                <w:sz w:val="24"/>
                <w:szCs w:val="24"/>
              </w:rPr>
              <w:t>likumprojekta "Par vidēja termiņa budžeta ietvaru 2014., 2015. un 2016.gadam" sagatavošanas proces</w:t>
            </w:r>
            <w:r w:rsidR="00CE1ECA">
              <w:rPr>
                <w:rFonts w:ascii="Times New Roman" w:hAnsi="Times New Roman"/>
                <w:sz w:val="24"/>
                <w:szCs w:val="24"/>
              </w:rPr>
              <w:t>ā, tiks izvērtētas iespējas izlīdzināt finansējumu gan iestāžu, gan amatu</w:t>
            </w:r>
            <w:r w:rsidR="00D93BC2">
              <w:rPr>
                <w:rFonts w:ascii="Times New Roman" w:hAnsi="Times New Roman"/>
                <w:sz w:val="24"/>
                <w:szCs w:val="24"/>
              </w:rPr>
              <w:t xml:space="preserve"> grupu</w:t>
            </w:r>
            <w:r w:rsidR="00CE1ECA">
              <w:rPr>
                <w:rFonts w:ascii="Times New Roman" w:hAnsi="Times New Roman"/>
                <w:sz w:val="24"/>
                <w:szCs w:val="24"/>
              </w:rPr>
              <w:t xml:space="preserve"> griezumā, tad arī </w:t>
            </w:r>
            <w:r w:rsidR="00721725">
              <w:rPr>
                <w:rFonts w:ascii="Times New Roman" w:hAnsi="Times New Roman"/>
                <w:sz w:val="24"/>
                <w:szCs w:val="24"/>
              </w:rPr>
              <w:t xml:space="preserve">rīkojumā Nr.72 </w:t>
            </w:r>
            <w:r w:rsidR="00CE1ECA">
              <w:rPr>
                <w:rFonts w:ascii="Times New Roman" w:hAnsi="Times New Roman"/>
                <w:sz w:val="24"/>
                <w:szCs w:val="24"/>
              </w:rPr>
              <w:t xml:space="preserve">Finanšu ministrijai dotais uzdevums </w:t>
            </w:r>
            <w:r w:rsidR="00721725">
              <w:rPr>
                <w:rFonts w:ascii="Times New Roman" w:hAnsi="Times New Roman"/>
                <w:sz w:val="24"/>
                <w:szCs w:val="24"/>
              </w:rPr>
              <w:t>i</w:t>
            </w:r>
            <w:r w:rsidR="00721725" w:rsidRPr="00721725">
              <w:rPr>
                <w:rFonts w:ascii="Times New Roman" w:hAnsi="Times New Roman"/>
                <w:sz w:val="24"/>
                <w:szCs w:val="24"/>
              </w:rPr>
              <w:t>zvērtēt iespēju no 2013.gada nāk</w:t>
            </w:r>
            <w:r w:rsidR="00CE1ECA">
              <w:rPr>
                <w:rFonts w:ascii="Times New Roman" w:hAnsi="Times New Roman"/>
                <w:sz w:val="24"/>
                <w:szCs w:val="24"/>
              </w:rPr>
              <w:t>amo</w:t>
            </w:r>
            <w:r w:rsidR="00721725" w:rsidRPr="00721725">
              <w:rPr>
                <w:rFonts w:ascii="Times New Roman" w:hAnsi="Times New Roman"/>
                <w:sz w:val="24"/>
                <w:szCs w:val="24"/>
              </w:rPr>
              <w:t xml:space="preserve"> trīs gadu laikā palielināt atalgojumu korupcijas riskam pakļautajos amatos nodarbinātajām amatpersonām,</w:t>
            </w:r>
            <w:r w:rsidR="00721725">
              <w:rPr>
                <w:rFonts w:ascii="Times New Roman" w:hAnsi="Times New Roman"/>
                <w:sz w:val="24"/>
                <w:szCs w:val="24"/>
              </w:rPr>
              <w:t xml:space="preserve"> </w:t>
            </w:r>
            <w:r w:rsidR="00721725" w:rsidRPr="00721725">
              <w:rPr>
                <w:rFonts w:ascii="Times New Roman" w:hAnsi="Times New Roman"/>
                <w:sz w:val="24"/>
                <w:szCs w:val="24"/>
              </w:rPr>
              <w:t xml:space="preserve">kuru atalgojums ir kritiski zems un </w:t>
            </w:r>
            <w:r w:rsidR="00721725" w:rsidRPr="001B373C">
              <w:rPr>
                <w:rFonts w:ascii="Times New Roman" w:hAnsi="Times New Roman"/>
                <w:sz w:val="24"/>
                <w:szCs w:val="24"/>
              </w:rPr>
              <w:t xml:space="preserve">nepietiekošs mājsaimniecības pamatvajadzību nodrošināšanā, </w:t>
            </w:r>
            <w:r w:rsidR="00CE1ECA" w:rsidRPr="001B373C">
              <w:rPr>
                <w:rFonts w:ascii="Times New Roman" w:hAnsi="Times New Roman"/>
                <w:sz w:val="24"/>
                <w:szCs w:val="24"/>
              </w:rPr>
              <w:t xml:space="preserve">būtu </w:t>
            </w:r>
            <w:r w:rsidR="00721725" w:rsidRPr="001B373C">
              <w:rPr>
                <w:rFonts w:ascii="Times New Roman" w:hAnsi="Times New Roman"/>
                <w:sz w:val="24"/>
                <w:szCs w:val="24"/>
              </w:rPr>
              <w:t>risināms</w:t>
            </w:r>
            <w:r w:rsidR="00D93BC2" w:rsidRPr="001B373C">
              <w:rPr>
                <w:rFonts w:ascii="Times New Roman" w:hAnsi="Times New Roman"/>
                <w:sz w:val="24"/>
                <w:szCs w:val="24"/>
              </w:rPr>
              <w:t xml:space="preserve"> </w:t>
            </w:r>
            <w:r w:rsidR="001B373C" w:rsidRPr="001B373C">
              <w:rPr>
                <w:rFonts w:ascii="Times New Roman" w:hAnsi="Times New Roman"/>
                <w:sz w:val="24"/>
                <w:szCs w:val="24"/>
              </w:rPr>
              <w:t xml:space="preserve">Finanšu ministrijai </w:t>
            </w:r>
            <w:r w:rsidR="00D93BC2" w:rsidRPr="001B373C">
              <w:rPr>
                <w:rFonts w:ascii="Times New Roman" w:hAnsi="Times New Roman"/>
                <w:sz w:val="24"/>
                <w:szCs w:val="24"/>
              </w:rPr>
              <w:t>Ministru kabineta 2013.gada 8.janvāra sēdē dotā</w:t>
            </w:r>
            <w:r w:rsidR="00D93BC2">
              <w:rPr>
                <w:rFonts w:ascii="Times New Roman" w:hAnsi="Times New Roman"/>
                <w:sz w:val="24"/>
                <w:szCs w:val="24"/>
              </w:rPr>
              <w:t xml:space="preserve"> uzdevuma ietvaros</w:t>
            </w:r>
            <w:r w:rsidR="00CE1ECA">
              <w:rPr>
                <w:rFonts w:ascii="Times New Roman" w:hAnsi="Times New Roman"/>
                <w:sz w:val="24"/>
                <w:szCs w:val="24"/>
              </w:rPr>
              <w:t>.</w:t>
            </w:r>
          </w:p>
          <w:p w:rsidR="008F0123" w:rsidRPr="00936220" w:rsidRDefault="00721725" w:rsidP="0095625F">
            <w:pPr>
              <w:tabs>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0095625F">
              <w:rPr>
                <w:rFonts w:ascii="Times New Roman" w:hAnsi="Times New Roman"/>
                <w:sz w:val="24"/>
                <w:szCs w:val="24"/>
              </w:rPr>
              <w:t>Ņemot vērā iepriekš minēto</w:t>
            </w:r>
            <w:r>
              <w:rPr>
                <w:rFonts w:ascii="Times New Roman" w:hAnsi="Times New Roman"/>
                <w:sz w:val="24"/>
                <w:szCs w:val="24"/>
              </w:rPr>
              <w:t xml:space="preserve"> nepieciešams</w:t>
            </w:r>
            <w:r w:rsidR="000D5F21">
              <w:rPr>
                <w:rFonts w:ascii="Times New Roman" w:hAnsi="Times New Roman"/>
                <w:sz w:val="24"/>
                <w:szCs w:val="24"/>
              </w:rPr>
              <w:t xml:space="preserve"> veikt</w:t>
            </w:r>
            <w:r>
              <w:rPr>
                <w:rFonts w:ascii="Times New Roman" w:hAnsi="Times New Roman"/>
                <w:sz w:val="24"/>
                <w:szCs w:val="24"/>
              </w:rPr>
              <w:t xml:space="preserve"> grozījum</w:t>
            </w:r>
            <w:r w:rsidR="000D5F21">
              <w:rPr>
                <w:rFonts w:ascii="Times New Roman" w:hAnsi="Times New Roman"/>
                <w:sz w:val="24"/>
                <w:szCs w:val="24"/>
              </w:rPr>
              <w:t>u</w:t>
            </w:r>
            <w:r>
              <w:rPr>
                <w:rFonts w:ascii="Times New Roman" w:hAnsi="Times New Roman"/>
                <w:sz w:val="24"/>
                <w:szCs w:val="24"/>
              </w:rPr>
              <w:t xml:space="preserve"> rīkojumā Nr.72 </w:t>
            </w:r>
            <w:r w:rsidR="000D5F21">
              <w:rPr>
                <w:rFonts w:ascii="Times New Roman" w:hAnsi="Times New Roman"/>
                <w:sz w:val="24"/>
                <w:szCs w:val="24"/>
              </w:rPr>
              <w:t>pagarinot F</w:t>
            </w:r>
            <w:r>
              <w:rPr>
                <w:rFonts w:ascii="Times New Roman" w:hAnsi="Times New Roman"/>
                <w:sz w:val="24"/>
                <w:szCs w:val="24"/>
              </w:rPr>
              <w:t xml:space="preserve">inanšu ministrijai dotā uzdevuma izpildes termiņu līdz </w:t>
            </w:r>
            <w:r w:rsidRPr="00721725">
              <w:rPr>
                <w:rFonts w:ascii="Times New Roman" w:hAnsi="Times New Roman"/>
                <w:sz w:val="24"/>
                <w:szCs w:val="24"/>
              </w:rPr>
              <w:t>2013. gada 30.aprīlim.</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3.</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Saistītie politikas ietekmes novērtējumi un pētījumi</w:t>
            </w:r>
          </w:p>
        </w:tc>
        <w:tc>
          <w:tcPr>
            <w:tcW w:w="3718" w:type="pct"/>
            <w:tcBorders>
              <w:top w:val="outset" w:sz="6" w:space="0" w:color="000000"/>
              <w:left w:val="outset" w:sz="6" w:space="0" w:color="000000"/>
              <w:bottom w:val="outset" w:sz="6" w:space="0" w:color="000000"/>
              <w:right w:val="outset" w:sz="6" w:space="0" w:color="000000"/>
            </w:tcBorders>
          </w:tcPr>
          <w:p w:rsidR="008F0123" w:rsidRPr="006069F5" w:rsidRDefault="008F0123" w:rsidP="007C0640">
            <w:pPr>
              <w:pStyle w:val="NormalWeb"/>
              <w:spacing w:before="0" w:beforeAutospacing="0" w:after="0" w:afterAutospacing="0"/>
              <w:jc w:val="both"/>
              <w:rPr>
                <w:rFonts w:ascii="Times New Roman" w:hAnsi="Times New Roman" w:cs="Times New Roman"/>
                <w:i/>
                <w:lang w:val="lv-LV"/>
              </w:rPr>
            </w:pPr>
            <w:r w:rsidRPr="006069F5">
              <w:rPr>
                <w:rFonts w:ascii="Times New Roman" w:hAnsi="Times New Roman" w:cs="Times New Roman"/>
                <w:i/>
                <w:lang w:val="lv-LV"/>
              </w:rPr>
              <w:t>Projekts šo jomu neskar.</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4.</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Tiesiskā regulējuma mērķis un būtība</w:t>
            </w:r>
          </w:p>
        </w:tc>
        <w:tc>
          <w:tcPr>
            <w:tcW w:w="3718" w:type="pct"/>
            <w:tcBorders>
              <w:top w:val="outset" w:sz="6" w:space="0" w:color="000000"/>
              <w:left w:val="outset" w:sz="6" w:space="0" w:color="000000"/>
              <w:bottom w:val="outset" w:sz="6" w:space="0" w:color="000000"/>
              <w:right w:val="outset" w:sz="6" w:space="0" w:color="000000"/>
            </w:tcBorders>
          </w:tcPr>
          <w:p w:rsidR="008F0123" w:rsidRPr="008965F5" w:rsidRDefault="008F0123" w:rsidP="007C0640">
            <w:pPr>
              <w:spacing w:after="0" w:line="240" w:lineRule="auto"/>
              <w:jc w:val="both"/>
              <w:rPr>
                <w:rFonts w:ascii="Times New Roman" w:hAnsi="Times New Roman"/>
                <w:sz w:val="24"/>
                <w:szCs w:val="24"/>
              </w:rPr>
            </w:pPr>
            <w:r w:rsidRPr="008965F5">
              <w:rPr>
                <w:rFonts w:ascii="Times New Roman" w:hAnsi="Times New Roman"/>
                <w:sz w:val="24"/>
                <w:szCs w:val="24"/>
              </w:rPr>
              <w:t xml:space="preserve">Projekta mērķis ir </w:t>
            </w:r>
            <w:r w:rsidRPr="008965F5">
              <w:rPr>
                <w:rFonts w:ascii="Times New Roman" w:hAnsi="Times New Roman"/>
                <w:color w:val="000000"/>
                <w:sz w:val="24"/>
                <w:szCs w:val="24"/>
              </w:rPr>
              <w:t xml:space="preserve">pagarināt </w:t>
            </w:r>
            <w:r w:rsidR="00BC393D" w:rsidRPr="00BC393D">
              <w:rPr>
                <w:rFonts w:ascii="Times New Roman" w:hAnsi="Times New Roman"/>
                <w:sz w:val="24"/>
                <w:szCs w:val="24"/>
              </w:rPr>
              <w:t>Ministru kabineta 2012.gada 13.februāra rīkojumā Nr.72  "Par Koncepciju par korupcijas risku samazināšanu valsts pārvaldes iestādēs un pašvaldībās"</w:t>
            </w:r>
            <w:r w:rsidRPr="008965F5">
              <w:rPr>
                <w:rFonts w:ascii="Times New Roman" w:hAnsi="Times New Roman"/>
                <w:sz w:val="24"/>
                <w:szCs w:val="24"/>
              </w:rPr>
              <w:t xml:space="preserve"> 9.punktā dotā uzdevuma –</w:t>
            </w:r>
            <w:r w:rsidRPr="008965F5">
              <w:rPr>
                <w:rFonts w:ascii="Times New Roman" w:hAnsi="Times New Roman"/>
                <w:bCs/>
                <w:sz w:val="24"/>
                <w:szCs w:val="24"/>
                <w:lang w:eastAsia="lv-LV"/>
              </w:rPr>
              <w:t xml:space="preserve"> </w:t>
            </w:r>
            <w:r w:rsidRPr="008965F5">
              <w:rPr>
                <w:rFonts w:ascii="Times New Roman" w:hAnsi="Times New Roman"/>
                <w:sz w:val="24"/>
                <w:szCs w:val="24"/>
              </w:rPr>
              <w:t xml:space="preserve">Finanšu ministrijai </w:t>
            </w:r>
            <w:r w:rsidR="00BC393D" w:rsidRPr="00BC393D">
              <w:rPr>
                <w:rFonts w:ascii="Times New Roman" w:hAnsi="Times New Roman"/>
                <w:sz w:val="24"/>
                <w:szCs w:val="24"/>
              </w:rPr>
              <w:t xml:space="preserve">līdz 2013.gada 28.februārim iesniegt noteiktā </w:t>
            </w:r>
            <w:r w:rsidR="00BC393D" w:rsidRPr="00BC393D">
              <w:rPr>
                <w:rFonts w:ascii="Times New Roman" w:hAnsi="Times New Roman"/>
                <w:sz w:val="24"/>
                <w:szCs w:val="24"/>
              </w:rPr>
              <w:lastRenderedPageBreak/>
              <w:t>kārtībā Ministru kabinetā informāciju par iespēju piešķirt papildu budžeta līdzekļus koncepcijā ietvertā risinājuma 3.varianta īstenošanai turpmākajos trijos gados.</w:t>
            </w:r>
            <w:r w:rsidRPr="008965F5">
              <w:rPr>
                <w:rFonts w:ascii="Times New Roman" w:hAnsi="Times New Roman"/>
                <w:sz w:val="24"/>
                <w:szCs w:val="24"/>
              </w:rPr>
              <w:t xml:space="preserve">– izpildes termiņu līdz 2013. gada </w:t>
            </w:r>
            <w:r w:rsidR="00BC393D">
              <w:rPr>
                <w:rFonts w:ascii="Times New Roman" w:hAnsi="Times New Roman"/>
                <w:sz w:val="24"/>
                <w:szCs w:val="24"/>
              </w:rPr>
              <w:t>30.aprīlim.</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lastRenderedPageBreak/>
              <w:t>5.</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Projekta izstrādē iesaistītās institūcijas</w:t>
            </w:r>
          </w:p>
        </w:tc>
        <w:tc>
          <w:tcPr>
            <w:tcW w:w="3718" w:type="pct"/>
            <w:tcBorders>
              <w:top w:val="outset" w:sz="6" w:space="0" w:color="000000"/>
              <w:left w:val="outset" w:sz="6" w:space="0" w:color="000000"/>
              <w:bottom w:val="outset" w:sz="6" w:space="0" w:color="000000"/>
              <w:right w:val="outset" w:sz="6" w:space="0" w:color="000000"/>
            </w:tcBorders>
            <w:hideMark/>
          </w:tcPr>
          <w:p w:rsidR="008F0123" w:rsidRPr="006069F5" w:rsidRDefault="008F0123" w:rsidP="007C0640">
            <w:pPr>
              <w:pStyle w:val="NormalWeb"/>
              <w:spacing w:before="0" w:beforeAutospacing="0" w:after="0" w:afterAutospacing="0"/>
              <w:jc w:val="both"/>
              <w:rPr>
                <w:rFonts w:ascii="Times New Roman" w:hAnsi="Times New Roman" w:cs="Times New Roman"/>
                <w:i/>
                <w:lang w:val="lv-LV"/>
              </w:rPr>
            </w:pPr>
            <w:r w:rsidRPr="006069F5">
              <w:rPr>
                <w:rFonts w:ascii="Times New Roman" w:hAnsi="Times New Roman" w:cs="Times New Roman"/>
                <w:i/>
                <w:lang w:val="lv-LV"/>
              </w:rPr>
              <w:t>Projekts šo jomu neskar.</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6.</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Iemesli, kādēļ netika nodrošināta sabiedrības līdzdalība</w:t>
            </w:r>
          </w:p>
        </w:tc>
        <w:tc>
          <w:tcPr>
            <w:tcW w:w="3718" w:type="pct"/>
            <w:tcBorders>
              <w:top w:val="outset" w:sz="6" w:space="0" w:color="000000"/>
              <w:left w:val="outset" w:sz="6" w:space="0" w:color="000000"/>
              <w:bottom w:val="outset" w:sz="6" w:space="0" w:color="000000"/>
              <w:right w:val="outset" w:sz="6" w:space="0" w:color="000000"/>
            </w:tcBorders>
            <w:hideMark/>
          </w:tcPr>
          <w:p w:rsidR="008F0123" w:rsidRPr="007618DE" w:rsidRDefault="008F0123" w:rsidP="000D5F21">
            <w:pPr>
              <w:spacing w:after="0" w:line="240" w:lineRule="auto"/>
              <w:jc w:val="both"/>
              <w:rPr>
                <w:rFonts w:ascii="Times New Roman" w:hAnsi="Times New Roman"/>
                <w:sz w:val="24"/>
                <w:szCs w:val="24"/>
              </w:rPr>
            </w:pPr>
            <w:r w:rsidRPr="007618DE">
              <w:rPr>
                <w:rFonts w:ascii="Times New Roman" w:hAnsi="Times New Roman"/>
                <w:sz w:val="24"/>
                <w:szCs w:val="24"/>
              </w:rPr>
              <w:t xml:space="preserve">Sabiedrības līdzdalība netika nodrošināta, jo projekts pēc būtības ir tehniska rakstura – ar to tiek grozīts tikai </w:t>
            </w:r>
            <w:r w:rsidR="00BC393D" w:rsidRPr="00BC393D">
              <w:rPr>
                <w:rFonts w:ascii="Times New Roman" w:hAnsi="Times New Roman"/>
                <w:sz w:val="24"/>
                <w:szCs w:val="24"/>
              </w:rPr>
              <w:t xml:space="preserve">Ministru kabineta 2012.gada 13.februāra rīkojumā Nr.72 "Par Koncepciju par korupcijas risku samazināšanu valsts pārvaldes iestādēs un pašvaldībās" </w:t>
            </w:r>
            <w:r w:rsidRPr="007618DE">
              <w:rPr>
                <w:rFonts w:ascii="Times New Roman" w:hAnsi="Times New Roman"/>
                <w:sz w:val="24"/>
                <w:szCs w:val="24"/>
              </w:rPr>
              <w:t>9.punktā dotā uzdevuma izpildes termiņš.</w:t>
            </w:r>
          </w:p>
        </w:tc>
      </w:tr>
      <w:tr w:rsidR="008F0123" w:rsidRPr="005D5A7E" w:rsidTr="007C0640">
        <w:tc>
          <w:tcPr>
            <w:tcW w:w="195"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jc w:val="center"/>
              <w:rPr>
                <w:rFonts w:ascii="Times New Roman" w:hAnsi="Times New Roman" w:cs="Times New Roman"/>
                <w:lang w:val="lv-LV"/>
              </w:rPr>
            </w:pPr>
            <w:r w:rsidRPr="005D5A7E">
              <w:rPr>
                <w:rFonts w:ascii="Times New Roman" w:hAnsi="Times New Roman" w:cs="Times New Roman"/>
                <w:lang w:val="lv-LV"/>
              </w:rPr>
              <w:t>7.</w:t>
            </w:r>
          </w:p>
        </w:tc>
        <w:tc>
          <w:tcPr>
            <w:tcW w:w="1087" w:type="pct"/>
            <w:tcBorders>
              <w:top w:val="outset" w:sz="6" w:space="0" w:color="000000"/>
              <w:left w:val="outset" w:sz="6" w:space="0" w:color="000000"/>
              <w:bottom w:val="outset" w:sz="6" w:space="0" w:color="000000"/>
              <w:right w:val="outset" w:sz="6" w:space="0" w:color="000000"/>
            </w:tcBorders>
            <w:hideMark/>
          </w:tcPr>
          <w:p w:rsidR="008F0123" w:rsidRPr="005D5A7E" w:rsidRDefault="008F0123" w:rsidP="007C0640">
            <w:pPr>
              <w:pStyle w:val="NormalWeb"/>
              <w:spacing w:before="0" w:beforeAutospacing="0" w:after="0" w:afterAutospacing="0"/>
              <w:rPr>
                <w:rFonts w:ascii="Times New Roman" w:hAnsi="Times New Roman" w:cs="Times New Roman"/>
                <w:lang w:val="lv-LV"/>
              </w:rPr>
            </w:pPr>
            <w:r w:rsidRPr="005D5A7E">
              <w:rPr>
                <w:rFonts w:ascii="Times New Roman" w:hAnsi="Times New Roman" w:cs="Times New Roman"/>
                <w:lang w:val="lv-LV"/>
              </w:rPr>
              <w:t>Cita informācija</w:t>
            </w:r>
          </w:p>
        </w:tc>
        <w:tc>
          <w:tcPr>
            <w:tcW w:w="3718" w:type="pct"/>
            <w:tcBorders>
              <w:top w:val="outset" w:sz="6" w:space="0" w:color="000000"/>
              <w:left w:val="outset" w:sz="6" w:space="0" w:color="000000"/>
              <w:bottom w:val="outset" w:sz="6" w:space="0" w:color="000000"/>
              <w:right w:val="outset" w:sz="6" w:space="0" w:color="000000"/>
            </w:tcBorders>
            <w:hideMark/>
          </w:tcPr>
          <w:p w:rsidR="008F0123" w:rsidRPr="00CC63C0" w:rsidRDefault="008F0123" w:rsidP="007C0640">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Nav.</w:t>
            </w:r>
          </w:p>
        </w:tc>
      </w:tr>
    </w:tbl>
    <w:p w:rsidR="008F0123" w:rsidRPr="005D5A7E" w:rsidRDefault="008F0123" w:rsidP="008F0123">
      <w:pPr>
        <w:pStyle w:val="NormalWeb"/>
        <w:spacing w:before="0" w:beforeAutospacing="0" w:after="0" w:afterAutospacing="0"/>
        <w:rPr>
          <w:rFonts w:ascii="Times New Roman" w:hAnsi="Times New Roman" w:cs="Times New Roman"/>
          <w:lang w:val="lv-LV"/>
        </w:rPr>
      </w:pPr>
    </w:p>
    <w:tbl>
      <w:tblPr>
        <w:tblpPr w:leftFromText="180" w:rightFromText="180" w:vertAnchor="text" w:horzAnchor="margin" w:tblpX="-132" w:tblpY="17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954"/>
        <w:gridCol w:w="6976"/>
      </w:tblGrid>
      <w:tr w:rsidR="008F0123" w:rsidRPr="005D5A7E" w:rsidTr="007C0640">
        <w:tc>
          <w:tcPr>
            <w:tcW w:w="9361" w:type="dxa"/>
            <w:gridSpan w:val="3"/>
            <w:vAlign w:val="center"/>
          </w:tcPr>
          <w:p w:rsidR="008F0123" w:rsidRPr="005D5A7E" w:rsidRDefault="008F0123" w:rsidP="007C0640">
            <w:pPr>
              <w:pStyle w:val="naisnod"/>
              <w:spacing w:before="0" w:beforeAutospacing="0" w:after="0" w:afterAutospacing="0"/>
              <w:jc w:val="center"/>
              <w:rPr>
                <w:b/>
              </w:rPr>
            </w:pPr>
            <w:r w:rsidRPr="005D5A7E">
              <w:rPr>
                <w:b/>
              </w:rPr>
              <w:t>II. Tiesību akta projekta ietekme uz sabiedrību</w:t>
            </w:r>
          </w:p>
        </w:tc>
      </w:tr>
      <w:tr w:rsidR="008F0123" w:rsidRPr="005D5A7E" w:rsidTr="007C0640">
        <w:trPr>
          <w:trHeight w:val="341"/>
        </w:trPr>
        <w:tc>
          <w:tcPr>
            <w:tcW w:w="431" w:type="dxa"/>
          </w:tcPr>
          <w:p w:rsidR="008F0123" w:rsidRPr="007618DE" w:rsidRDefault="008F0123" w:rsidP="007C0640">
            <w:pPr>
              <w:pStyle w:val="naiskr"/>
              <w:spacing w:before="0" w:beforeAutospacing="0" w:after="0" w:afterAutospacing="0"/>
              <w:jc w:val="center"/>
            </w:pPr>
            <w:r>
              <w:t>1.</w:t>
            </w:r>
          </w:p>
        </w:tc>
        <w:tc>
          <w:tcPr>
            <w:tcW w:w="1954" w:type="dxa"/>
          </w:tcPr>
          <w:p w:rsidR="008F0123" w:rsidRPr="007618DE" w:rsidRDefault="008F0123" w:rsidP="007C0640">
            <w:pPr>
              <w:pStyle w:val="naiskr"/>
              <w:spacing w:before="0" w:beforeAutospacing="0" w:after="0" w:afterAutospacing="0"/>
            </w:pPr>
            <w:r w:rsidRPr="00C62577">
              <w:rPr>
                <w:szCs w:val="28"/>
              </w:rPr>
              <w:t xml:space="preserve">Sabiedrības </w:t>
            </w:r>
            <w:proofErr w:type="spellStart"/>
            <w:r w:rsidRPr="00C62577">
              <w:rPr>
                <w:szCs w:val="28"/>
              </w:rPr>
              <w:t>mērķgru</w:t>
            </w:r>
            <w:r>
              <w:rPr>
                <w:szCs w:val="28"/>
              </w:rPr>
              <w:t>pa</w:t>
            </w:r>
            <w:proofErr w:type="spellEnd"/>
          </w:p>
        </w:tc>
        <w:tc>
          <w:tcPr>
            <w:tcW w:w="6976" w:type="dxa"/>
          </w:tcPr>
          <w:p w:rsidR="008F0123" w:rsidRPr="007618DE" w:rsidRDefault="008F0123" w:rsidP="00BC393D">
            <w:pPr>
              <w:pStyle w:val="naiskr"/>
              <w:spacing w:before="0" w:beforeAutospacing="0" w:after="0" w:afterAutospacing="0"/>
              <w:jc w:val="both"/>
            </w:pPr>
            <w:r>
              <w:t xml:space="preserve">Projekts attiecas tikai uz </w:t>
            </w:r>
            <w:r w:rsidR="00BC393D">
              <w:t xml:space="preserve"> k</w:t>
            </w:r>
            <w:r w:rsidR="00BC393D" w:rsidRPr="00BC393D">
              <w:t>oncepcij</w:t>
            </w:r>
            <w:r w:rsidR="00BC393D">
              <w:t>ā</w:t>
            </w:r>
            <w:r w:rsidR="00BC393D" w:rsidRPr="00BC393D">
              <w:t xml:space="preserve"> </w:t>
            </w:r>
            <w:r w:rsidR="00BC393D">
              <w:t>„P</w:t>
            </w:r>
            <w:r w:rsidR="00BC393D" w:rsidRPr="00BC393D">
              <w:t>ar korupcijas risku samazināšanu valsts pārvaldes iestādēs un pašvaldībās"</w:t>
            </w:r>
            <w:r w:rsidR="00BC393D">
              <w:t xml:space="preserve"> minētajām institūcijām.</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2.</w:t>
            </w:r>
          </w:p>
        </w:tc>
        <w:tc>
          <w:tcPr>
            <w:tcW w:w="1954" w:type="dxa"/>
          </w:tcPr>
          <w:p w:rsidR="008F0123" w:rsidRPr="007618DE" w:rsidRDefault="008F0123" w:rsidP="007C0640">
            <w:pPr>
              <w:pStyle w:val="naiskr"/>
              <w:spacing w:before="0" w:beforeAutospacing="0" w:after="0" w:afterAutospacing="0"/>
            </w:pPr>
            <w:r w:rsidRPr="00C62577">
              <w:rPr>
                <w:szCs w:val="28"/>
              </w:rPr>
              <w:t xml:space="preserve">Citas sabiedrības grupas (bez </w:t>
            </w:r>
            <w:proofErr w:type="spellStart"/>
            <w:r w:rsidRPr="00C62577">
              <w:rPr>
                <w:szCs w:val="28"/>
              </w:rPr>
              <w:t>mērķgrupas</w:t>
            </w:r>
            <w:proofErr w:type="spellEnd"/>
            <w:r w:rsidRPr="00C62577">
              <w:rPr>
                <w:szCs w:val="28"/>
              </w:rPr>
              <w:t>), kuras tiesiskais regulējums arī ietekmē vai varētu ietekmēt</w:t>
            </w:r>
          </w:p>
        </w:tc>
        <w:tc>
          <w:tcPr>
            <w:tcW w:w="6976" w:type="dxa"/>
          </w:tcPr>
          <w:p w:rsidR="008F0123" w:rsidRPr="007618DE" w:rsidRDefault="008F0123" w:rsidP="007C0640">
            <w:pPr>
              <w:pStyle w:val="naiskr"/>
              <w:spacing w:before="0" w:beforeAutospacing="0" w:after="0" w:afterAutospacing="0"/>
            </w:pPr>
            <w:r w:rsidRPr="003C422D">
              <w:rPr>
                <w:i/>
              </w:rPr>
              <w:t>Projekts šo jomu neskar</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3.</w:t>
            </w:r>
          </w:p>
        </w:tc>
        <w:tc>
          <w:tcPr>
            <w:tcW w:w="1954" w:type="dxa"/>
          </w:tcPr>
          <w:p w:rsidR="008F0123" w:rsidRPr="007618DE" w:rsidRDefault="008F0123" w:rsidP="007C0640">
            <w:pPr>
              <w:pStyle w:val="naiskr"/>
              <w:spacing w:before="0" w:beforeAutospacing="0" w:after="0" w:afterAutospacing="0"/>
            </w:pPr>
            <w:r w:rsidRPr="00C62577">
              <w:rPr>
                <w:szCs w:val="28"/>
              </w:rPr>
              <w:t>Tiesiskā regulējuma finansiālā ietekme</w:t>
            </w:r>
          </w:p>
        </w:tc>
        <w:tc>
          <w:tcPr>
            <w:tcW w:w="6976" w:type="dxa"/>
          </w:tcPr>
          <w:p w:rsidR="008F0123" w:rsidRPr="007618DE" w:rsidRDefault="008F0123" w:rsidP="00721725">
            <w:pPr>
              <w:pStyle w:val="naiskr"/>
              <w:spacing w:before="0" w:beforeAutospacing="0" w:after="0" w:afterAutospacing="0"/>
              <w:jc w:val="both"/>
            </w:pPr>
            <w:r>
              <w:t>Projekts tiks īstenot</w:t>
            </w:r>
            <w:r w:rsidR="00017E2B">
              <w:t>s</w:t>
            </w:r>
            <w:r>
              <w:t xml:space="preserve"> esošā finansējuma</w:t>
            </w:r>
            <w:r w:rsidR="00721725">
              <w:t xml:space="preserve"> ietvaros</w:t>
            </w:r>
            <w:r w:rsidR="00BC393D">
              <w:t>.</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4.</w:t>
            </w:r>
          </w:p>
        </w:tc>
        <w:tc>
          <w:tcPr>
            <w:tcW w:w="1954" w:type="dxa"/>
          </w:tcPr>
          <w:p w:rsidR="008F0123" w:rsidRPr="007618DE" w:rsidRDefault="008F0123" w:rsidP="007C0640">
            <w:pPr>
              <w:pStyle w:val="naiskr"/>
              <w:spacing w:before="0" w:beforeAutospacing="0" w:after="0" w:afterAutospacing="0"/>
            </w:pPr>
            <w:r w:rsidRPr="00C62577">
              <w:rPr>
                <w:szCs w:val="28"/>
              </w:rPr>
              <w:t>Tiesiskā regulējuma nefinansiālā ietekme</w:t>
            </w:r>
          </w:p>
        </w:tc>
        <w:tc>
          <w:tcPr>
            <w:tcW w:w="6976" w:type="dxa"/>
          </w:tcPr>
          <w:p w:rsidR="008F0123" w:rsidRPr="007618DE" w:rsidRDefault="008F0123" w:rsidP="007C0640">
            <w:pPr>
              <w:pStyle w:val="naiskr"/>
              <w:spacing w:before="0" w:beforeAutospacing="0" w:after="0" w:afterAutospacing="0"/>
            </w:pPr>
            <w:r w:rsidRPr="003C422D">
              <w:rPr>
                <w:i/>
              </w:rPr>
              <w:t>Projekts šo jomu neskar</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5.</w:t>
            </w:r>
          </w:p>
        </w:tc>
        <w:tc>
          <w:tcPr>
            <w:tcW w:w="1954" w:type="dxa"/>
          </w:tcPr>
          <w:p w:rsidR="008F0123" w:rsidRPr="007618DE" w:rsidRDefault="008F0123" w:rsidP="007C0640">
            <w:pPr>
              <w:pStyle w:val="naiskr"/>
              <w:spacing w:before="0" w:beforeAutospacing="0" w:after="0" w:afterAutospacing="0"/>
            </w:pPr>
            <w:r w:rsidRPr="00C62577">
              <w:rPr>
                <w:szCs w:val="28"/>
              </w:rPr>
              <w:t>Administratīvās procedūras raksturojums</w:t>
            </w:r>
          </w:p>
        </w:tc>
        <w:tc>
          <w:tcPr>
            <w:tcW w:w="6976" w:type="dxa"/>
          </w:tcPr>
          <w:p w:rsidR="008F0123" w:rsidRPr="007618DE" w:rsidRDefault="008F0123" w:rsidP="007C0640">
            <w:pPr>
              <w:pStyle w:val="naiskr"/>
              <w:spacing w:before="0" w:beforeAutospacing="0" w:after="0" w:afterAutospacing="0"/>
            </w:pPr>
            <w:r w:rsidRPr="003C422D">
              <w:rPr>
                <w:i/>
              </w:rPr>
              <w:t>Projekts šo jomu neskar</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6.</w:t>
            </w:r>
          </w:p>
        </w:tc>
        <w:tc>
          <w:tcPr>
            <w:tcW w:w="1954" w:type="dxa"/>
          </w:tcPr>
          <w:p w:rsidR="008F0123" w:rsidRPr="007618DE" w:rsidRDefault="008F0123" w:rsidP="007C0640">
            <w:pPr>
              <w:pStyle w:val="naiskr"/>
              <w:spacing w:before="0" w:beforeAutospacing="0" w:after="0" w:afterAutospacing="0"/>
            </w:pPr>
            <w:r w:rsidRPr="00C62577">
              <w:rPr>
                <w:szCs w:val="28"/>
              </w:rPr>
              <w:t>Administratīvo izmaksu monetārs novērtējums</w:t>
            </w:r>
          </w:p>
        </w:tc>
        <w:tc>
          <w:tcPr>
            <w:tcW w:w="6976" w:type="dxa"/>
          </w:tcPr>
          <w:p w:rsidR="008F0123" w:rsidRPr="007618DE" w:rsidRDefault="008F0123" w:rsidP="007C0640">
            <w:pPr>
              <w:pStyle w:val="naiskr"/>
              <w:spacing w:before="0" w:beforeAutospacing="0" w:after="0" w:afterAutospacing="0"/>
            </w:pPr>
            <w:r w:rsidRPr="003C422D">
              <w:rPr>
                <w:i/>
              </w:rPr>
              <w:t>Projekts šo jomu neskar</w:t>
            </w:r>
          </w:p>
        </w:tc>
      </w:tr>
      <w:tr w:rsidR="008F0123" w:rsidRPr="005D5A7E" w:rsidTr="007C0640">
        <w:trPr>
          <w:trHeight w:val="341"/>
        </w:trPr>
        <w:tc>
          <w:tcPr>
            <w:tcW w:w="431" w:type="dxa"/>
          </w:tcPr>
          <w:p w:rsidR="008F0123" w:rsidRDefault="008F0123" w:rsidP="007C0640">
            <w:pPr>
              <w:pStyle w:val="naiskr"/>
              <w:spacing w:before="0" w:beforeAutospacing="0" w:after="0" w:afterAutospacing="0"/>
              <w:jc w:val="center"/>
            </w:pPr>
            <w:r>
              <w:t>7.</w:t>
            </w:r>
          </w:p>
        </w:tc>
        <w:tc>
          <w:tcPr>
            <w:tcW w:w="1954" w:type="dxa"/>
          </w:tcPr>
          <w:p w:rsidR="008F0123" w:rsidRPr="007618DE" w:rsidRDefault="008F0123" w:rsidP="007C0640">
            <w:pPr>
              <w:pStyle w:val="naiskr"/>
              <w:spacing w:before="0" w:beforeAutospacing="0" w:after="0" w:afterAutospacing="0"/>
            </w:pPr>
            <w:r w:rsidRPr="00CC63C0">
              <w:t>Cita informācija</w:t>
            </w:r>
          </w:p>
        </w:tc>
        <w:tc>
          <w:tcPr>
            <w:tcW w:w="6976" w:type="dxa"/>
          </w:tcPr>
          <w:p w:rsidR="008F0123" w:rsidRPr="007618DE" w:rsidRDefault="008F0123" w:rsidP="007C0640">
            <w:pPr>
              <w:pStyle w:val="naiskr"/>
              <w:spacing w:before="0" w:beforeAutospacing="0" w:after="0" w:afterAutospacing="0"/>
            </w:pPr>
            <w:r w:rsidRPr="00CC63C0">
              <w:t>Nav</w:t>
            </w:r>
          </w:p>
        </w:tc>
      </w:tr>
    </w:tbl>
    <w:p w:rsidR="008F0123" w:rsidRPr="005D5A7E" w:rsidRDefault="008F0123" w:rsidP="008F0123">
      <w:pPr>
        <w:spacing w:after="0" w:line="240" w:lineRule="auto"/>
        <w:rPr>
          <w:rFonts w:ascii="Times New Roman" w:eastAsia="Times New Roman" w:hAnsi="Times New Roman"/>
          <w:sz w:val="24"/>
          <w:szCs w:val="24"/>
          <w:lang w:eastAsia="lv-LV"/>
        </w:rPr>
      </w:pPr>
    </w:p>
    <w:p w:rsidR="008F0123" w:rsidRPr="00032B69" w:rsidRDefault="008F0123" w:rsidP="008F0123">
      <w:pPr>
        <w:tabs>
          <w:tab w:val="left" w:pos="720"/>
          <w:tab w:val="left" w:pos="6840"/>
        </w:tabs>
        <w:spacing w:after="0" w:line="240" w:lineRule="auto"/>
        <w:rPr>
          <w:rFonts w:ascii="Times New Roman" w:hAnsi="Times New Roman"/>
          <w:i/>
          <w:sz w:val="24"/>
          <w:szCs w:val="24"/>
        </w:rPr>
      </w:pPr>
      <w:r w:rsidRPr="00032B69">
        <w:rPr>
          <w:rFonts w:ascii="Times New Roman" w:hAnsi="Times New Roman"/>
          <w:i/>
          <w:sz w:val="24"/>
          <w:szCs w:val="24"/>
        </w:rPr>
        <w:t xml:space="preserve">Anotācijas III, </w:t>
      </w:r>
      <w:r w:rsidR="00771683">
        <w:rPr>
          <w:rFonts w:ascii="Times New Roman" w:hAnsi="Times New Roman"/>
          <w:i/>
          <w:sz w:val="24"/>
          <w:szCs w:val="24"/>
        </w:rPr>
        <w:t xml:space="preserve">IV, </w:t>
      </w:r>
      <w:r w:rsidRPr="00032B69">
        <w:rPr>
          <w:rFonts w:ascii="Times New Roman" w:hAnsi="Times New Roman"/>
          <w:i/>
          <w:sz w:val="24"/>
          <w:szCs w:val="24"/>
        </w:rPr>
        <w:t>V</w:t>
      </w:r>
      <w:r w:rsidR="00771683">
        <w:rPr>
          <w:rFonts w:ascii="Times New Roman" w:hAnsi="Times New Roman"/>
          <w:i/>
          <w:sz w:val="24"/>
          <w:szCs w:val="24"/>
        </w:rPr>
        <w:t>, VI</w:t>
      </w:r>
      <w:r w:rsidRPr="00032B69">
        <w:rPr>
          <w:rFonts w:ascii="Times New Roman" w:hAnsi="Times New Roman"/>
          <w:i/>
          <w:sz w:val="24"/>
          <w:szCs w:val="24"/>
        </w:rPr>
        <w:t xml:space="preserve"> un VI</w:t>
      </w:r>
      <w:r w:rsidR="00771683">
        <w:rPr>
          <w:rFonts w:ascii="Times New Roman" w:hAnsi="Times New Roman"/>
          <w:i/>
          <w:sz w:val="24"/>
          <w:szCs w:val="24"/>
        </w:rPr>
        <w:t>I</w:t>
      </w:r>
      <w:r w:rsidRPr="00032B69">
        <w:rPr>
          <w:rFonts w:ascii="Times New Roman" w:hAnsi="Times New Roman"/>
          <w:i/>
          <w:sz w:val="24"/>
          <w:szCs w:val="24"/>
        </w:rPr>
        <w:t xml:space="preserve"> sadaļa – projekts šīs jomas neskar.</w:t>
      </w:r>
    </w:p>
    <w:p w:rsidR="008F0123" w:rsidRPr="005D5A7E" w:rsidRDefault="008F0123" w:rsidP="008F0123">
      <w:pPr>
        <w:tabs>
          <w:tab w:val="left" w:pos="720"/>
          <w:tab w:val="left" w:pos="6840"/>
        </w:tabs>
        <w:spacing w:after="0" w:line="240" w:lineRule="auto"/>
        <w:rPr>
          <w:rFonts w:ascii="Times New Roman" w:hAnsi="Times New Roman"/>
          <w:sz w:val="24"/>
          <w:szCs w:val="24"/>
        </w:rPr>
      </w:pPr>
    </w:p>
    <w:p w:rsidR="008F0123" w:rsidRPr="005D5A7E" w:rsidRDefault="008F0123" w:rsidP="008F0123">
      <w:pPr>
        <w:tabs>
          <w:tab w:val="left" w:pos="720"/>
          <w:tab w:val="left" w:pos="6840"/>
        </w:tabs>
        <w:spacing w:after="0" w:line="240" w:lineRule="auto"/>
        <w:rPr>
          <w:rFonts w:ascii="Times New Roman" w:hAnsi="Times New Roman"/>
          <w:sz w:val="24"/>
          <w:szCs w:val="24"/>
        </w:rPr>
      </w:pPr>
    </w:p>
    <w:p w:rsidR="008F0123" w:rsidRPr="005D5A7E" w:rsidRDefault="008F0123" w:rsidP="008F0123">
      <w:pPr>
        <w:tabs>
          <w:tab w:val="left" w:pos="720"/>
          <w:tab w:val="left" w:pos="6840"/>
        </w:tabs>
        <w:spacing w:after="0" w:line="240" w:lineRule="auto"/>
        <w:rPr>
          <w:rFonts w:ascii="Times New Roman" w:hAnsi="Times New Roman"/>
          <w:sz w:val="24"/>
          <w:szCs w:val="24"/>
        </w:rPr>
      </w:pPr>
      <w:r w:rsidRPr="005D5A7E">
        <w:rPr>
          <w:rFonts w:ascii="Times New Roman" w:hAnsi="Times New Roman"/>
          <w:sz w:val="24"/>
          <w:szCs w:val="24"/>
        </w:rPr>
        <w:t>Finanšu ministrs</w:t>
      </w:r>
      <w:r w:rsidRPr="005D5A7E">
        <w:rPr>
          <w:rFonts w:ascii="Times New Roman" w:hAnsi="Times New Roman"/>
          <w:sz w:val="24"/>
          <w:szCs w:val="24"/>
        </w:rPr>
        <w:tab/>
        <w:t xml:space="preserve">            </w:t>
      </w:r>
      <w:r>
        <w:rPr>
          <w:rFonts w:ascii="Times New Roman" w:hAnsi="Times New Roman"/>
          <w:sz w:val="24"/>
          <w:szCs w:val="24"/>
        </w:rPr>
        <w:t xml:space="preserve">     </w:t>
      </w:r>
      <w:r w:rsidRPr="005D5A7E">
        <w:rPr>
          <w:rFonts w:ascii="Times New Roman" w:hAnsi="Times New Roman"/>
          <w:sz w:val="24"/>
          <w:szCs w:val="24"/>
        </w:rPr>
        <w:t xml:space="preserve">      A. Vilks</w:t>
      </w:r>
    </w:p>
    <w:p w:rsidR="008F0123" w:rsidRDefault="008F0123" w:rsidP="008F0123">
      <w:pPr>
        <w:tabs>
          <w:tab w:val="left" w:pos="720"/>
          <w:tab w:val="left" w:pos="6840"/>
        </w:tabs>
        <w:spacing w:after="0" w:line="240" w:lineRule="auto"/>
        <w:rPr>
          <w:rFonts w:ascii="Times New Roman" w:hAnsi="Times New Roman"/>
          <w:sz w:val="24"/>
          <w:szCs w:val="24"/>
        </w:rPr>
      </w:pPr>
    </w:p>
    <w:p w:rsidR="00771683" w:rsidRDefault="00771683" w:rsidP="008F0123">
      <w:pPr>
        <w:tabs>
          <w:tab w:val="left" w:pos="720"/>
          <w:tab w:val="left" w:pos="6840"/>
        </w:tabs>
        <w:spacing w:after="0" w:line="240" w:lineRule="auto"/>
        <w:rPr>
          <w:rFonts w:ascii="Times New Roman" w:hAnsi="Times New Roman"/>
          <w:sz w:val="24"/>
          <w:szCs w:val="24"/>
        </w:rPr>
      </w:pPr>
    </w:p>
    <w:p w:rsidR="00F2092A" w:rsidRDefault="00F2092A" w:rsidP="008F0123">
      <w:pPr>
        <w:tabs>
          <w:tab w:val="left" w:pos="720"/>
          <w:tab w:val="left" w:pos="6840"/>
        </w:tabs>
        <w:spacing w:after="0" w:line="240" w:lineRule="auto"/>
        <w:rPr>
          <w:rFonts w:ascii="Times New Roman" w:hAnsi="Times New Roman"/>
          <w:sz w:val="24"/>
          <w:szCs w:val="24"/>
        </w:rPr>
      </w:pPr>
    </w:p>
    <w:p w:rsidR="00F2092A" w:rsidRPr="005D5A7E" w:rsidRDefault="00F2092A" w:rsidP="008F0123">
      <w:pPr>
        <w:tabs>
          <w:tab w:val="left" w:pos="720"/>
          <w:tab w:val="left" w:pos="6840"/>
        </w:tabs>
        <w:spacing w:after="0" w:line="240" w:lineRule="auto"/>
        <w:rPr>
          <w:rFonts w:ascii="Times New Roman" w:hAnsi="Times New Roman"/>
          <w:sz w:val="24"/>
          <w:szCs w:val="24"/>
        </w:rPr>
      </w:pPr>
      <w:bookmarkStart w:id="0" w:name="_GoBack"/>
      <w:bookmarkEnd w:id="0"/>
    </w:p>
    <w:p w:rsidR="008F0123" w:rsidRPr="005D5A7E" w:rsidRDefault="008F0123" w:rsidP="008F0123">
      <w:pPr>
        <w:tabs>
          <w:tab w:val="left" w:pos="720"/>
          <w:tab w:val="left" w:pos="6840"/>
        </w:tabs>
        <w:spacing w:after="0" w:line="240" w:lineRule="auto"/>
        <w:rPr>
          <w:rFonts w:ascii="Times New Roman" w:hAnsi="Times New Roman"/>
          <w:sz w:val="24"/>
          <w:szCs w:val="24"/>
        </w:rPr>
      </w:pPr>
    </w:p>
    <w:p w:rsidR="0053262E" w:rsidRDefault="0053262E" w:rsidP="008F0123">
      <w:pPr>
        <w:spacing w:after="0"/>
        <w:rPr>
          <w:rFonts w:ascii="Times New Roman" w:hAnsi="Times New Roman"/>
          <w:sz w:val="20"/>
          <w:szCs w:val="20"/>
        </w:rPr>
      </w:pPr>
      <w:r>
        <w:rPr>
          <w:rFonts w:ascii="Times New Roman" w:hAnsi="Times New Roman"/>
          <w:sz w:val="20"/>
          <w:szCs w:val="20"/>
        </w:rPr>
        <w:t>12.02.2013 13:16</w:t>
      </w:r>
    </w:p>
    <w:p w:rsidR="008F0123" w:rsidRPr="003A411A" w:rsidRDefault="008F0123" w:rsidP="008F0123">
      <w:pPr>
        <w:spacing w:after="0"/>
        <w:rPr>
          <w:rFonts w:ascii="Times New Roman" w:hAnsi="Times New Roman"/>
          <w:sz w:val="20"/>
          <w:szCs w:val="20"/>
        </w:rPr>
      </w:pPr>
      <w:r w:rsidRPr="003A411A">
        <w:rPr>
          <w:rFonts w:ascii="Times New Roman" w:hAnsi="Times New Roman"/>
          <w:sz w:val="20"/>
          <w:szCs w:val="20"/>
        </w:rPr>
        <w:fldChar w:fldCharType="begin"/>
      </w:r>
      <w:r w:rsidRPr="003A411A">
        <w:rPr>
          <w:rFonts w:ascii="Times New Roman" w:hAnsi="Times New Roman"/>
          <w:sz w:val="20"/>
          <w:szCs w:val="20"/>
        </w:rPr>
        <w:instrText xml:space="preserve"> NUMWORDS   \* MERGEFORMAT </w:instrText>
      </w:r>
      <w:r w:rsidRPr="003A411A">
        <w:rPr>
          <w:rFonts w:ascii="Times New Roman" w:hAnsi="Times New Roman"/>
          <w:sz w:val="20"/>
          <w:szCs w:val="20"/>
        </w:rPr>
        <w:fldChar w:fldCharType="separate"/>
      </w:r>
      <w:r w:rsidR="0094383D">
        <w:rPr>
          <w:rFonts w:ascii="Times New Roman" w:hAnsi="Times New Roman"/>
          <w:noProof/>
          <w:sz w:val="20"/>
          <w:szCs w:val="20"/>
        </w:rPr>
        <w:t>526</w:t>
      </w:r>
      <w:r w:rsidRPr="003A411A">
        <w:rPr>
          <w:rFonts w:ascii="Times New Roman" w:hAnsi="Times New Roman"/>
          <w:noProof/>
          <w:sz w:val="20"/>
          <w:szCs w:val="20"/>
        </w:rPr>
        <w:fldChar w:fldCharType="end"/>
      </w:r>
    </w:p>
    <w:p w:rsidR="008F0123" w:rsidRPr="003A411A" w:rsidRDefault="008F0123" w:rsidP="008F0123">
      <w:pPr>
        <w:spacing w:after="0"/>
        <w:rPr>
          <w:rFonts w:ascii="Times New Roman" w:hAnsi="Times New Roman"/>
          <w:sz w:val="20"/>
          <w:szCs w:val="20"/>
        </w:rPr>
      </w:pPr>
      <w:proofErr w:type="spellStart"/>
      <w:r w:rsidRPr="003A411A">
        <w:rPr>
          <w:rFonts w:ascii="Times New Roman" w:hAnsi="Times New Roman"/>
          <w:sz w:val="20"/>
          <w:szCs w:val="20"/>
        </w:rPr>
        <w:t>I.</w:t>
      </w:r>
      <w:r w:rsidR="0023664E">
        <w:rPr>
          <w:rFonts w:ascii="Times New Roman" w:hAnsi="Times New Roman"/>
          <w:sz w:val="20"/>
          <w:szCs w:val="20"/>
        </w:rPr>
        <w:t>Artemjeva</w:t>
      </w:r>
      <w:proofErr w:type="spellEnd"/>
    </w:p>
    <w:p w:rsidR="00EF0B31" w:rsidRPr="008F0123" w:rsidRDefault="008F0123" w:rsidP="008F0123">
      <w:pPr>
        <w:spacing w:after="0"/>
        <w:rPr>
          <w:rFonts w:ascii="Times New Roman" w:hAnsi="Times New Roman"/>
          <w:sz w:val="20"/>
          <w:szCs w:val="20"/>
        </w:rPr>
      </w:pPr>
      <w:r w:rsidRPr="003A411A">
        <w:rPr>
          <w:rFonts w:ascii="Times New Roman" w:hAnsi="Times New Roman"/>
          <w:sz w:val="20"/>
          <w:szCs w:val="20"/>
        </w:rPr>
        <w:t>670</w:t>
      </w:r>
      <w:r w:rsidR="0023664E">
        <w:rPr>
          <w:rFonts w:ascii="Times New Roman" w:hAnsi="Times New Roman"/>
          <w:sz w:val="20"/>
          <w:szCs w:val="20"/>
        </w:rPr>
        <w:t>95599</w:t>
      </w:r>
      <w:r w:rsidRPr="003A411A">
        <w:rPr>
          <w:rFonts w:ascii="Times New Roman" w:hAnsi="Times New Roman"/>
          <w:sz w:val="20"/>
          <w:szCs w:val="20"/>
        </w:rPr>
        <w:t xml:space="preserve">, </w:t>
      </w:r>
      <w:hyperlink r:id="rId6" w:history="1">
        <w:r w:rsidR="0023664E" w:rsidRPr="00191176">
          <w:rPr>
            <w:rStyle w:val="Hyperlink"/>
            <w:rFonts w:ascii="Times New Roman" w:hAnsi="Times New Roman"/>
            <w:sz w:val="20"/>
            <w:szCs w:val="20"/>
          </w:rPr>
          <w:t>Ineta.Artemjeva@fm.gov.lv</w:t>
        </w:r>
      </w:hyperlink>
    </w:p>
    <w:sectPr w:rsidR="00EF0B31" w:rsidRPr="008F0123" w:rsidSect="0056759D">
      <w:headerReference w:type="default" r:id="rId7"/>
      <w:footerReference w:type="default" r:id="rId8"/>
      <w:footerReference w:type="first" r:id="rId9"/>
      <w:pgSz w:w="11906" w:h="16838"/>
      <w:pgMar w:top="1134" w:right="1134" w:bottom="1134" w:left="1701"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EF" w:rsidRDefault="00EF7DEF" w:rsidP="00EF7DEF">
      <w:pPr>
        <w:spacing w:after="0" w:line="240" w:lineRule="auto"/>
      </w:pPr>
      <w:r>
        <w:separator/>
      </w:r>
    </w:p>
  </w:endnote>
  <w:endnote w:type="continuationSeparator" w:id="0">
    <w:p w:rsidR="00EF7DEF" w:rsidRDefault="00EF7DEF" w:rsidP="00EF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A1" w:rsidRPr="00EF7DEF" w:rsidRDefault="00EF7DEF" w:rsidP="00EF7DEF">
    <w:pPr>
      <w:pStyle w:val="Footer"/>
    </w:pPr>
    <w:r w:rsidRPr="00EF7DEF">
      <w:rPr>
        <w:rFonts w:ascii="Times New Roman" w:hAnsi="Times New Roman"/>
        <w:sz w:val="20"/>
        <w:szCs w:val="20"/>
      </w:rPr>
      <w:t>FMAnot_300113; Ministru kabineta rīkojuma projekta „Grozījums Ministru kabineta 2012.gada 13.februāra rīkojumā Nr.72 „Par Koncepciju par korupcijas risku samazināšanu valsts pārvaldes iestādēs un pašvaldībās””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A1" w:rsidRPr="003A411A" w:rsidRDefault="00F2092A" w:rsidP="00EF7DEF">
    <w:pPr>
      <w:tabs>
        <w:tab w:val="center" w:pos="4535"/>
        <w:tab w:val="right" w:pos="9071"/>
      </w:tabs>
      <w:spacing w:after="0" w:line="240" w:lineRule="auto"/>
      <w:jc w:val="both"/>
      <w:rPr>
        <w:sz w:val="20"/>
        <w:szCs w:val="20"/>
      </w:rPr>
    </w:pPr>
    <w:r w:rsidRPr="003A411A">
      <w:rPr>
        <w:rFonts w:ascii="Times New Roman" w:hAnsi="Times New Roman"/>
        <w:sz w:val="20"/>
        <w:szCs w:val="20"/>
      </w:rPr>
      <w:t>FMAnot_</w:t>
    </w:r>
    <w:r w:rsidR="00EF7DEF">
      <w:rPr>
        <w:rFonts w:ascii="Times New Roman" w:hAnsi="Times New Roman"/>
        <w:sz w:val="20"/>
        <w:szCs w:val="20"/>
      </w:rPr>
      <w:t>300113</w:t>
    </w:r>
    <w:r w:rsidRPr="003A411A">
      <w:rPr>
        <w:rFonts w:ascii="Times New Roman" w:hAnsi="Times New Roman"/>
        <w:sz w:val="20"/>
        <w:szCs w:val="20"/>
      </w:rPr>
      <w:t xml:space="preserve">; </w:t>
    </w:r>
    <w:r w:rsidR="00EF7DEF" w:rsidRPr="00EF7DEF">
      <w:rPr>
        <w:rFonts w:ascii="Times New Roman" w:hAnsi="Times New Roman"/>
        <w:sz w:val="20"/>
        <w:szCs w:val="20"/>
      </w:rPr>
      <w:t>Ministru kabineta rīkojuma projekta</w:t>
    </w:r>
    <w:r w:rsidR="00EF7DEF">
      <w:rPr>
        <w:rFonts w:ascii="Times New Roman" w:hAnsi="Times New Roman"/>
        <w:sz w:val="20"/>
        <w:szCs w:val="20"/>
      </w:rPr>
      <w:t xml:space="preserve"> </w:t>
    </w:r>
    <w:r w:rsidR="00EF7DEF" w:rsidRPr="00EF7DEF">
      <w:rPr>
        <w:rFonts w:ascii="Times New Roman" w:hAnsi="Times New Roman"/>
        <w:sz w:val="20"/>
        <w:szCs w:val="20"/>
      </w:rPr>
      <w:t>„Grozījums Ministru kabineta 2012.gada 13.februāra rīkojumā Nr.72 „Par Koncepciju par korupcijas risku samazināšanu valsts pārvaldes iestādēs un pašvaldībās””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EF" w:rsidRDefault="00EF7DEF" w:rsidP="00EF7DEF">
      <w:pPr>
        <w:spacing w:after="0" w:line="240" w:lineRule="auto"/>
      </w:pPr>
      <w:r>
        <w:separator/>
      </w:r>
    </w:p>
  </w:footnote>
  <w:footnote w:type="continuationSeparator" w:id="0">
    <w:p w:rsidR="00EF7DEF" w:rsidRDefault="00EF7DEF" w:rsidP="00EF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A1" w:rsidRDefault="00F2092A">
    <w:pPr>
      <w:pStyle w:val="Header"/>
      <w:jc w:val="center"/>
    </w:pPr>
    <w:r>
      <w:fldChar w:fldCharType="begin"/>
    </w:r>
    <w:r>
      <w:instrText xml:space="preserve"> PAGE   \* MERGEFORMAT </w:instrText>
    </w:r>
    <w:r>
      <w:fldChar w:fldCharType="separate"/>
    </w:r>
    <w:r w:rsidR="0053262E">
      <w:rPr>
        <w:noProof/>
      </w:rPr>
      <w:t>2</w:t>
    </w:r>
    <w:r>
      <w:fldChar w:fldCharType="end"/>
    </w:r>
  </w:p>
  <w:p w:rsidR="00611AA1" w:rsidRDefault="00532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23"/>
    <w:rsid w:val="00017E2B"/>
    <w:rsid w:val="000D5F21"/>
    <w:rsid w:val="00176C96"/>
    <w:rsid w:val="001B373C"/>
    <w:rsid w:val="001C6902"/>
    <w:rsid w:val="001F6F90"/>
    <w:rsid w:val="0023664E"/>
    <w:rsid w:val="002E392F"/>
    <w:rsid w:val="0053262E"/>
    <w:rsid w:val="00611B0B"/>
    <w:rsid w:val="00721725"/>
    <w:rsid w:val="00771683"/>
    <w:rsid w:val="00824D6D"/>
    <w:rsid w:val="008E4F78"/>
    <w:rsid w:val="008F0123"/>
    <w:rsid w:val="0094383D"/>
    <w:rsid w:val="009526FA"/>
    <w:rsid w:val="0095625F"/>
    <w:rsid w:val="00970849"/>
    <w:rsid w:val="00A87327"/>
    <w:rsid w:val="00AA0C60"/>
    <w:rsid w:val="00B27114"/>
    <w:rsid w:val="00BC393D"/>
    <w:rsid w:val="00CA55AA"/>
    <w:rsid w:val="00CE1ECA"/>
    <w:rsid w:val="00D6452E"/>
    <w:rsid w:val="00D93BC2"/>
    <w:rsid w:val="00EF0B31"/>
    <w:rsid w:val="00EF7DEF"/>
    <w:rsid w:val="00F20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0170-1D85-4095-B330-456B90BF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2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F012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8F012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8F0123"/>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8F0123"/>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8F0123"/>
    <w:rPr>
      <w:rFonts w:eastAsia="Times New Roman" w:cs="Times New Roman"/>
      <w:szCs w:val="24"/>
      <w:lang w:val="en-GB"/>
    </w:rPr>
  </w:style>
  <w:style w:type="character" w:styleId="Hyperlink">
    <w:name w:val="Hyperlink"/>
    <w:rsid w:val="008F0123"/>
    <w:rPr>
      <w:color w:val="0000FF"/>
      <w:u w:val="single"/>
    </w:rPr>
  </w:style>
  <w:style w:type="paragraph" w:styleId="NormalWeb">
    <w:name w:val="Normal (Web)"/>
    <w:basedOn w:val="Normal"/>
    <w:uiPriority w:val="99"/>
    <w:rsid w:val="008F0123"/>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pelle">
    <w:name w:val="spelle"/>
    <w:rsid w:val="008F0123"/>
  </w:style>
  <w:style w:type="paragraph" w:styleId="Footer">
    <w:name w:val="footer"/>
    <w:basedOn w:val="Normal"/>
    <w:link w:val="FooterChar"/>
    <w:uiPriority w:val="99"/>
    <w:unhideWhenUsed/>
    <w:rsid w:val="00EF7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DE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Artemjev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2907</Words>
  <Characters>1657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2012.gada 13.februāra rīkojumā Nr.72 „Par Koncepciju par korupcijas risku samazināšanu valsts pārvaldes iestādēs un pašvaldībās”” sākotnējās ietekmes novērtējuma ziņojums (anotācija)</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2012.gada 13.februāra rīkojumā Nr.72 „Par Koncepciju par korupcijas risku samazināšanu valsts pārvaldes iestādēs un pašvaldībās”” sākotnējās ietekmes novērtējuma ziņojums (anotācija)</dc:title>
  <dc:subject>anotācija</dc:subject>
  <dc:creator>Artemjeva</dc:creator>
  <cp:keywords/>
  <dc:description>Ineta.Artemjeva@fm.gov.lv
tel. 67095599</dc:description>
  <cp:lastModifiedBy>Artemjeva Ineta</cp:lastModifiedBy>
  <cp:revision>26</cp:revision>
  <dcterms:created xsi:type="dcterms:W3CDTF">2013-01-30T08:29:00Z</dcterms:created>
  <dcterms:modified xsi:type="dcterms:W3CDTF">2013-02-12T11:16:00Z</dcterms:modified>
</cp:coreProperties>
</file>