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5F" w:rsidRPr="00E21AF2" w:rsidRDefault="0013525F" w:rsidP="0013525F">
      <w:pPr>
        <w:pStyle w:val="BodyText"/>
        <w:rPr>
          <w:b/>
          <w:sz w:val="26"/>
          <w:szCs w:val="26"/>
        </w:rPr>
      </w:pPr>
      <w:bookmarkStart w:id="0" w:name="OLE_LINK1"/>
      <w:bookmarkStart w:id="1" w:name="OLE_LINK2"/>
      <w:bookmarkStart w:id="2" w:name="OLE_LINK6"/>
      <w:bookmarkStart w:id="3" w:name="OLE_LINK7"/>
      <w:r w:rsidRPr="00E21AF2">
        <w:rPr>
          <w:b/>
          <w:sz w:val="26"/>
          <w:szCs w:val="26"/>
        </w:rPr>
        <w:t>Likumprojekta</w:t>
      </w:r>
    </w:p>
    <w:p w:rsidR="0013525F" w:rsidRPr="00E21AF2" w:rsidRDefault="0013525F" w:rsidP="0013525F">
      <w:pPr>
        <w:jc w:val="center"/>
        <w:rPr>
          <w:b/>
          <w:sz w:val="26"/>
          <w:szCs w:val="26"/>
          <w:lang w:val="lv-LV"/>
        </w:rPr>
      </w:pPr>
      <w:r w:rsidRPr="00E21AF2">
        <w:rPr>
          <w:b/>
          <w:bCs/>
          <w:sz w:val="26"/>
          <w:szCs w:val="26"/>
          <w:lang w:val="lv-LV"/>
        </w:rPr>
        <w:t>"</w:t>
      </w:r>
      <w:r w:rsidR="00EF24FF" w:rsidRPr="00E21AF2">
        <w:rPr>
          <w:b/>
          <w:sz w:val="26"/>
          <w:szCs w:val="26"/>
          <w:lang w:val="lv-LV"/>
        </w:rPr>
        <w:t>Grozījumi</w:t>
      </w:r>
      <w:r w:rsidRPr="00E21AF2">
        <w:rPr>
          <w:b/>
          <w:sz w:val="26"/>
          <w:szCs w:val="26"/>
          <w:lang w:val="lv-LV"/>
        </w:rPr>
        <w:t xml:space="preserve"> </w:t>
      </w:r>
      <w:bookmarkStart w:id="4" w:name="OLE_LINK3"/>
      <w:bookmarkStart w:id="5" w:name="OLE_LINK4"/>
      <w:r w:rsidRPr="00E21AF2">
        <w:rPr>
          <w:b/>
          <w:sz w:val="26"/>
          <w:szCs w:val="26"/>
          <w:lang w:val="lv-LV"/>
        </w:rPr>
        <w:t xml:space="preserve">likumā "Par </w:t>
      </w:r>
      <w:r w:rsidR="00EF24FF" w:rsidRPr="00E21AF2">
        <w:rPr>
          <w:b/>
          <w:sz w:val="26"/>
          <w:szCs w:val="26"/>
          <w:lang w:val="lv-LV"/>
        </w:rPr>
        <w:t>nodokļiem un nodevām</w:t>
      </w:r>
      <w:r w:rsidRPr="00E21AF2">
        <w:rPr>
          <w:b/>
          <w:sz w:val="26"/>
          <w:szCs w:val="26"/>
          <w:lang w:val="lv-LV"/>
        </w:rPr>
        <w:t>"</w:t>
      </w:r>
      <w:bookmarkEnd w:id="4"/>
      <w:bookmarkEnd w:id="5"/>
      <w:r w:rsidRPr="00E21AF2">
        <w:rPr>
          <w:b/>
          <w:sz w:val="26"/>
          <w:szCs w:val="26"/>
          <w:lang w:val="lv-LV"/>
        </w:rPr>
        <w:t>"</w:t>
      </w:r>
      <w:bookmarkEnd w:id="0"/>
      <w:bookmarkEnd w:id="1"/>
    </w:p>
    <w:p w:rsidR="0013525F" w:rsidRPr="00E21AF2" w:rsidRDefault="0013525F" w:rsidP="0013525F">
      <w:pPr>
        <w:pStyle w:val="BodyText"/>
        <w:rPr>
          <w:b/>
          <w:sz w:val="26"/>
          <w:szCs w:val="26"/>
        </w:rPr>
      </w:pPr>
      <w:r w:rsidRPr="00E21AF2">
        <w:rPr>
          <w:b/>
          <w:sz w:val="26"/>
          <w:szCs w:val="26"/>
        </w:rPr>
        <w:t>sākotnējās ietekmes novērtējuma ziņojums (anotācija</w:t>
      </w:r>
      <w:bookmarkEnd w:id="2"/>
      <w:bookmarkEnd w:id="3"/>
      <w:r w:rsidRPr="00E21AF2">
        <w:rPr>
          <w:b/>
          <w:sz w:val="26"/>
          <w:szCs w:val="26"/>
        </w:rPr>
        <w:t>)</w:t>
      </w:r>
    </w:p>
    <w:p w:rsidR="0013525F" w:rsidRPr="00E21AF2" w:rsidRDefault="0013525F" w:rsidP="0013525F">
      <w:pPr>
        <w:pStyle w:val="BodyText"/>
        <w:rPr>
          <w:b/>
          <w:color w:val="000000"/>
          <w:sz w:val="26"/>
          <w:szCs w:val="26"/>
        </w:rPr>
      </w:pPr>
    </w:p>
    <w:tbl>
      <w:tblPr>
        <w:tblW w:w="924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8"/>
        <w:gridCol w:w="1897"/>
        <w:gridCol w:w="6824"/>
      </w:tblGrid>
      <w:tr w:rsidR="0013525F" w:rsidRPr="00E21AF2" w:rsidTr="00014D26">
        <w:trPr>
          <w:trHeight w:val="564"/>
          <w:tblCellSpacing w:w="0" w:type="dxa"/>
        </w:trPr>
        <w:tc>
          <w:tcPr>
            <w:tcW w:w="9249" w:type="dxa"/>
            <w:gridSpan w:val="3"/>
            <w:tcBorders>
              <w:top w:val="outset" w:sz="6" w:space="0" w:color="auto"/>
              <w:left w:val="outset" w:sz="6" w:space="0" w:color="auto"/>
              <w:bottom w:val="outset" w:sz="6" w:space="0" w:color="auto"/>
              <w:right w:val="outset" w:sz="6" w:space="0" w:color="auto"/>
            </w:tcBorders>
            <w:vAlign w:val="center"/>
          </w:tcPr>
          <w:p w:rsidR="0013525F" w:rsidRPr="00E21AF2" w:rsidRDefault="0013525F" w:rsidP="00014D26">
            <w:pPr>
              <w:pStyle w:val="naisc"/>
              <w:jc w:val="center"/>
              <w:rPr>
                <w:sz w:val="26"/>
                <w:szCs w:val="26"/>
              </w:rPr>
            </w:pPr>
            <w:proofErr w:type="spellStart"/>
            <w:r w:rsidRPr="00E21AF2">
              <w:rPr>
                <w:b/>
                <w:bCs/>
                <w:sz w:val="26"/>
                <w:szCs w:val="26"/>
              </w:rPr>
              <w:t>I. Tiesību</w:t>
            </w:r>
            <w:proofErr w:type="spellEnd"/>
            <w:r w:rsidRPr="00E21AF2">
              <w:rPr>
                <w:b/>
                <w:bCs/>
                <w:sz w:val="26"/>
                <w:szCs w:val="26"/>
              </w:rPr>
              <w:t xml:space="preserve"> akta projekta izstrādes nepieciešamība</w:t>
            </w:r>
          </w:p>
        </w:tc>
      </w:tr>
      <w:tr w:rsidR="0013525F" w:rsidRPr="00EE37BB" w:rsidTr="00DD0319">
        <w:trPr>
          <w:trHeight w:val="630"/>
          <w:tblCellSpacing w:w="0" w:type="dxa"/>
        </w:trPr>
        <w:tc>
          <w:tcPr>
            <w:tcW w:w="528" w:type="dxa"/>
            <w:tcBorders>
              <w:top w:val="outset" w:sz="6" w:space="0" w:color="auto"/>
              <w:left w:val="outset" w:sz="6" w:space="0" w:color="auto"/>
              <w:bottom w:val="outset" w:sz="6" w:space="0" w:color="auto"/>
              <w:right w:val="outset" w:sz="6" w:space="0" w:color="auto"/>
            </w:tcBorders>
          </w:tcPr>
          <w:p w:rsidR="0013525F" w:rsidRPr="00E21AF2" w:rsidRDefault="0013525F" w:rsidP="00014D26">
            <w:pPr>
              <w:pStyle w:val="naiskr"/>
              <w:rPr>
                <w:sz w:val="26"/>
                <w:szCs w:val="26"/>
              </w:rPr>
            </w:pPr>
            <w:r w:rsidRPr="00E21AF2">
              <w:rPr>
                <w:sz w:val="26"/>
                <w:szCs w:val="26"/>
              </w:rPr>
              <w:t> 1.</w:t>
            </w:r>
          </w:p>
        </w:tc>
        <w:tc>
          <w:tcPr>
            <w:tcW w:w="1897" w:type="dxa"/>
            <w:tcBorders>
              <w:top w:val="outset" w:sz="6" w:space="0" w:color="auto"/>
              <w:left w:val="outset" w:sz="6" w:space="0" w:color="auto"/>
              <w:bottom w:val="outset" w:sz="6" w:space="0" w:color="auto"/>
              <w:right w:val="outset" w:sz="6" w:space="0" w:color="auto"/>
            </w:tcBorders>
          </w:tcPr>
          <w:p w:rsidR="0013525F" w:rsidRPr="00E21AF2" w:rsidRDefault="0013525F" w:rsidP="00014D26">
            <w:pPr>
              <w:pStyle w:val="naislab"/>
              <w:rPr>
                <w:sz w:val="26"/>
                <w:szCs w:val="26"/>
              </w:rPr>
            </w:pPr>
            <w:r w:rsidRPr="00E21AF2">
              <w:rPr>
                <w:sz w:val="26"/>
                <w:szCs w:val="26"/>
              </w:rPr>
              <w:t> Pamatojums</w:t>
            </w:r>
          </w:p>
        </w:tc>
        <w:tc>
          <w:tcPr>
            <w:tcW w:w="6824" w:type="dxa"/>
            <w:tcBorders>
              <w:top w:val="outset" w:sz="6" w:space="0" w:color="auto"/>
              <w:left w:val="outset" w:sz="6" w:space="0" w:color="auto"/>
              <w:bottom w:val="outset" w:sz="6" w:space="0" w:color="auto"/>
              <w:right w:val="outset" w:sz="6" w:space="0" w:color="auto"/>
            </w:tcBorders>
          </w:tcPr>
          <w:p w:rsidR="00FB1B3C" w:rsidRPr="00E21AF2" w:rsidRDefault="0013525F" w:rsidP="00014D26">
            <w:pPr>
              <w:jc w:val="both"/>
              <w:rPr>
                <w:bCs/>
                <w:sz w:val="26"/>
                <w:szCs w:val="26"/>
                <w:lang w:val="lv-LV"/>
              </w:rPr>
            </w:pPr>
            <w:r w:rsidRPr="00E21AF2">
              <w:rPr>
                <w:sz w:val="26"/>
                <w:szCs w:val="26"/>
                <w:lang w:val="lv-LV"/>
              </w:rPr>
              <w:t xml:space="preserve">Likumprojekts ir izstrādāts saskaņā ar </w:t>
            </w:r>
            <w:r w:rsidR="00EE71B8" w:rsidRPr="00E21AF2">
              <w:rPr>
                <w:sz w:val="26"/>
                <w:szCs w:val="26"/>
                <w:lang w:val="lv-LV"/>
              </w:rPr>
              <w:t xml:space="preserve">Ministru kabineta 2010.gada </w:t>
            </w:r>
            <w:r w:rsidR="00CD2925" w:rsidRPr="00E21AF2">
              <w:rPr>
                <w:sz w:val="26"/>
                <w:szCs w:val="26"/>
                <w:lang w:val="lv-LV"/>
              </w:rPr>
              <w:t>26.</w:t>
            </w:r>
            <w:r w:rsidR="00E9027E" w:rsidRPr="00E21AF2">
              <w:rPr>
                <w:sz w:val="26"/>
                <w:szCs w:val="26"/>
                <w:lang w:val="lv-LV"/>
              </w:rPr>
              <w:t>augusta</w:t>
            </w:r>
            <w:r w:rsidR="00CD2925" w:rsidRPr="00E21AF2">
              <w:rPr>
                <w:sz w:val="26"/>
                <w:szCs w:val="26"/>
                <w:lang w:val="lv-LV"/>
              </w:rPr>
              <w:t xml:space="preserve"> rīkojumu </w:t>
            </w:r>
            <w:r w:rsidR="00B46210" w:rsidRPr="00E21AF2">
              <w:rPr>
                <w:sz w:val="26"/>
                <w:szCs w:val="26"/>
                <w:lang w:val="lv-LV"/>
              </w:rPr>
              <w:t>Nr.513 „P</w:t>
            </w:r>
            <w:r w:rsidR="00CD2925" w:rsidRPr="00E21AF2">
              <w:rPr>
                <w:sz w:val="26"/>
                <w:szCs w:val="26"/>
                <w:lang w:val="lv-LV"/>
              </w:rPr>
              <w:t xml:space="preserve">ar </w:t>
            </w:r>
            <w:r w:rsidR="00462776" w:rsidRPr="00E21AF2">
              <w:rPr>
                <w:bCs/>
                <w:sz w:val="26"/>
                <w:szCs w:val="26"/>
                <w:lang w:val="lv-LV"/>
              </w:rPr>
              <w:t>Pasākumu plāna ēnu ekonomikas apkarošanai un godīgas konkurences n</w:t>
            </w:r>
            <w:r w:rsidR="00D135CC" w:rsidRPr="00E21AF2">
              <w:rPr>
                <w:bCs/>
                <w:sz w:val="26"/>
                <w:szCs w:val="26"/>
                <w:lang w:val="lv-LV"/>
              </w:rPr>
              <w:t>odrošināšanai 2010.-</w:t>
            </w:r>
            <w:r w:rsidR="00E9027E" w:rsidRPr="00E21AF2">
              <w:rPr>
                <w:bCs/>
                <w:sz w:val="26"/>
                <w:szCs w:val="26"/>
                <w:lang w:val="lv-LV"/>
              </w:rPr>
              <w:t>2013.gadam</w:t>
            </w:r>
            <w:r w:rsidR="00B46210" w:rsidRPr="00E21AF2">
              <w:rPr>
                <w:bCs/>
                <w:sz w:val="26"/>
                <w:szCs w:val="26"/>
                <w:lang w:val="lv-LV"/>
              </w:rPr>
              <w:t>”</w:t>
            </w:r>
            <w:r w:rsidR="00E9027E" w:rsidRPr="00E21AF2">
              <w:rPr>
                <w:bCs/>
                <w:sz w:val="26"/>
                <w:szCs w:val="26"/>
                <w:lang w:val="lv-LV"/>
              </w:rPr>
              <w:t>, lai izpildītu plāna</w:t>
            </w:r>
            <w:r w:rsidR="00FB1B3C" w:rsidRPr="00E21AF2">
              <w:rPr>
                <w:bCs/>
                <w:sz w:val="26"/>
                <w:szCs w:val="26"/>
                <w:lang w:val="lv-LV"/>
              </w:rPr>
              <w:t xml:space="preserve"> </w:t>
            </w:r>
          </w:p>
          <w:p w:rsidR="00092E6D" w:rsidRPr="00E21AF2" w:rsidRDefault="00462776" w:rsidP="00014D26">
            <w:pPr>
              <w:jc w:val="both"/>
              <w:rPr>
                <w:bCs/>
                <w:sz w:val="26"/>
                <w:szCs w:val="26"/>
                <w:lang w:val="lv-LV"/>
              </w:rPr>
            </w:pPr>
            <w:r w:rsidRPr="00E21AF2">
              <w:rPr>
                <w:bCs/>
                <w:sz w:val="26"/>
                <w:szCs w:val="26"/>
                <w:lang w:val="lv-LV"/>
              </w:rPr>
              <w:t>2</w:t>
            </w:r>
            <w:r w:rsidR="00CD2925" w:rsidRPr="00E21AF2">
              <w:rPr>
                <w:bCs/>
                <w:sz w:val="26"/>
                <w:szCs w:val="26"/>
                <w:lang w:val="lv-LV"/>
              </w:rPr>
              <w:t>1</w:t>
            </w:r>
            <w:r w:rsidRPr="00E21AF2">
              <w:rPr>
                <w:bCs/>
                <w:sz w:val="26"/>
                <w:szCs w:val="26"/>
                <w:lang w:val="lv-LV"/>
              </w:rPr>
              <w:t>.</w:t>
            </w:r>
            <w:r w:rsidR="00D135CC" w:rsidRPr="00E21AF2">
              <w:rPr>
                <w:bCs/>
                <w:sz w:val="26"/>
                <w:szCs w:val="26"/>
                <w:lang w:val="lv-LV"/>
              </w:rPr>
              <w:t>punktā paredzēt</w:t>
            </w:r>
            <w:r w:rsidR="00092E6D" w:rsidRPr="00E21AF2">
              <w:rPr>
                <w:bCs/>
                <w:sz w:val="26"/>
                <w:szCs w:val="26"/>
                <w:lang w:val="lv-LV"/>
              </w:rPr>
              <w:t xml:space="preserve">ā uzdevuma izpildi - ieviest normu, kura noteiktu, ka pēc likumā „Par nodokļiem un nodevām” noteiktā sliekšņa sasniegšanas juridiskajām personām jādeklarē </w:t>
            </w:r>
            <w:r w:rsidR="00092E6D" w:rsidRPr="00E21AF2">
              <w:rPr>
                <w:sz w:val="26"/>
                <w:szCs w:val="26"/>
                <w:lang w:val="lv-LV"/>
              </w:rPr>
              <w:t>visus iepriekšējā mēneša laikā skaidrā naudā veiktos darījumus – arī ar fiziskajām personām, kurām atbilstoši nodokļu jomu reglamentējošajiem normatīvajiem aktiem nav jāreģistrējas VID kā saimnieciskās darbības veicējām;</w:t>
            </w:r>
            <w:r w:rsidR="00092E6D" w:rsidRPr="00E21AF2">
              <w:rPr>
                <w:bCs/>
                <w:sz w:val="26"/>
                <w:szCs w:val="26"/>
                <w:lang w:val="lv-LV"/>
              </w:rPr>
              <w:t xml:space="preserve"> </w:t>
            </w:r>
          </w:p>
          <w:p w:rsidR="00092E6D" w:rsidRPr="00E21AF2" w:rsidRDefault="00092E6D" w:rsidP="00014D26">
            <w:pPr>
              <w:jc w:val="both"/>
              <w:rPr>
                <w:bCs/>
                <w:sz w:val="26"/>
                <w:szCs w:val="26"/>
                <w:lang w:val="lv-LV"/>
              </w:rPr>
            </w:pPr>
            <w:r w:rsidRPr="00E21AF2">
              <w:rPr>
                <w:bCs/>
                <w:sz w:val="26"/>
                <w:szCs w:val="26"/>
                <w:lang w:val="lv-LV"/>
              </w:rPr>
              <w:t>25.punktā dotā uzdevuma izpildi  - s</w:t>
            </w:r>
            <w:r w:rsidRPr="00E21AF2">
              <w:rPr>
                <w:sz w:val="26"/>
                <w:szCs w:val="26"/>
                <w:lang w:val="lv-LV"/>
              </w:rPr>
              <w:t xml:space="preserve">akārtot likumdošanu atbilstoši OECD vadlīnijām par </w:t>
            </w:r>
            <w:proofErr w:type="spellStart"/>
            <w:r w:rsidRPr="00E21AF2">
              <w:rPr>
                <w:sz w:val="26"/>
                <w:szCs w:val="26"/>
                <w:lang w:val="lv-LV"/>
              </w:rPr>
              <w:t>transfercenu</w:t>
            </w:r>
            <w:proofErr w:type="spellEnd"/>
            <w:r w:rsidRPr="00E21AF2">
              <w:rPr>
                <w:sz w:val="26"/>
                <w:szCs w:val="26"/>
                <w:lang w:val="lv-LV"/>
              </w:rPr>
              <w:t xml:space="preserve"> piemērošanu, to pamatojumu ar dokumentiem, un, atbilstoši labākajai praksei – pagarināt iespējamo  auditējamo periodu uz pieciem gadiem. Normatīvajos aktos iestrādāt iespēju komersantiem </w:t>
            </w:r>
            <w:r w:rsidR="00E9027E" w:rsidRPr="00E21AF2">
              <w:rPr>
                <w:sz w:val="26"/>
                <w:szCs w:val="26"/>
                <w:lang w:val="lv-LV"/>
              </w:rPr>
              <w:t>vērsties</w:t>
            </w:r>
            <w:r w:rsidRPr="00E21AF2">
              <w:rPr>
                <w:sz w:val="26"/>
                <w:szCs w:val="26"/>
                <w:lang w:val="lv-LV"/>
              </w:rPr>
              <w:t xml:space="preserve"> VID pirms darījuma veikšanas pārbaudīt </w:t>
            </w:r>
            <w:proofErr w:type="spellStart"/>
            <w:r w:rsidRPr="00E21AF2">
              <w:rPr>
                <w:sz w:val="26"/>
                <w:szCs w:val="26"/>
                <w:lang w:val="lv-LV"/>
              </w:rPr>
              <w:t>transfercenas</w:t>
            </w:r>
            <w:proofErr w:type="spellEnd"/>
            <w:r w:rsidRPr="00E21AF2">
              <w:rPr>
                <w:sz w:val="26"/>
                <w:szCs w:val="26"/>
                <w:lang w:val="lv-LV"/>
              </w:rPr>
              <w:t xml:space="preserve"> noteikšanas atbilstību normatīvajiem aktiem (atkārtoti nodokļu auditā minētais jautājums nav pārbaudāms).</w:t>
            </w:r>
          </w:p>
          <w:p w:rsidR="00092E6D" w:rsidRPr="00E21AF2" w:rsidRDefault="00092E6D" w:rsidP="00014D26">
            <w:pPr>
              <w:jc w:val="both"/>
              <w:rPr>
                <w:sz w:val="26"/>
                <w:szCs w:val="26"/>
                <w:lang w:val="lv-LV"/>
              </w:rPr>
            </w:pPr>
          </w:p>
          <w:p w:rsidR="00092E6D" w:rsidRPr="00E21AF2" w:rsidRDefault="00092E6D" w:rsidP="00014D26">
            <w:pPr>
              <w:jc w:val="both"/>
              <w:rPr>
                <w:sz w:val="26"/>
                <w:szCs w:val="26"/>
                <w:lang w:val="lv-LV"/>
              </w:rPr>
            </w:pPr>
            <w:r w:rsidRPr="00E21AF2">
              <w:rPr>
                <w:sz w:val="26"/>
                <w:szCs w:val="26"/>
                <w:lang w:val="lv-LV"/>
              </w:rPr>
              <w:t xml:space="preserve">Likumprojekts izstrādāts, lai nodrošinātu </w:t>
            </w:r>
            <w:r w:rsidR="00D135CC" w:rsidRPr="00E21AF2">
              <w:rPr>
                <w:sz w:val="26"/>
                <w:szCs w:val="26"/>
                <w:lang w:val="lv-LV"/>
              </w:rPr>
              <w:t>Ministru kabineta 2010.gada 30.marta sēdes protokola Nr.16 47§ 9.punktā</w:t>
            </w:r>
          </w:p>
          <w:p w:rsidR="00D135CC" w:rsidRPr="00E21AF2" w:rsidRDefault="00092E6D" w:rsidP="00014D26">
            <w:pPr>
              <w:jc w:val="both"/>
              <w:rPr>
                <w:color w:val="2A2A2A"/>
                <w:sz w:val="26"/>
                <w:szCs w:val="26"/>
                <w:lang w:val="lv-LV"/>
              </w:rPr>
            </w:pPr>
            <w:r w:rsidRPr="00E21AF2">
              <w:rPr>
                <w:sz w:val="26"/>
                <w:szCs w:val="26"/>
                <w:lang w:val="lv-LV"/>
              </w:rPr>
              <w:t xml:space="preserve"> paredzētā uzdevuma izpildi -  </w:t>
            </w:r>
            <w:r w:rsidRPr="00E21AF2">
              <w:rPr>
                <w:color w:val="2A2A2A"/>
                <w:sz w:val="26"/>
                <w:szCs w:val="26"/>
                <w:lang w:val="lv-LV"/>
              </w:rPr>
              <w:t xml:space="preserve">sagatavot un iesniegt noteiktā kārtībā nepieciešamos grozījumus likumā „Par Valsts ieņēmumu dienestu”, kas paredzētu pilnveidot vienkāršoto uzņēmumu likvidācijas procesu, kā arī </w:t>
            </w:r>
            <w:r w:rsidRPr="00E21AF2">
              <w:rPr>
                <w:sz w:val="26"/>
                <w:szCs w:val="26"/>
                <w:lang w:val="lv-LV"/>
              </w:rPr>
              <w:t xml:space="preserve"> 10.punktā dotā uzdevuma</w:t>
            </w:r>
            <w:r w:rsidR="00D135CC" w:rsidRPr="00E21AF2">
              <w:rPr>
                <w:sz w:val="26"/>
                <w:szCs w:val="26"/>
                <w:lang w:val="lv-LV"/>
              </w:rPr>
              <w:t xml:space="preserve"> izpildi</w:t>
            </w:r>
            <w:r w:rsidRPr="00E21AF2">
              <w:rPr>
                <w:sz w:val="26"/>
                <w:szCs w:val="26"/>
                <w:lang w:val="lv-LV"/>
              </w:rPr>
              <w:t xml:space="preserve">, kas paredz </w:t>
            </w:r>
            <w:r w:rsidRPr="00E21AF2">
              <w:rPr>
                <w:color w:val="2A2A2A"/>
                <w:sz w:val="26"/>
                <w:szCs w:val="26"/>
                <w:lang w:val="lv-LV"/>
              </w:rPr>
              <w:t xml:space="preserve">sagatavot nepieciešamos grozījumus Latvijas Administratīvo pārkāpumu kodeksā, kas paredzētu paplašināt Valsts ieņēmumu dienesta </w:t>
            </w:r>
            <w:r w:rsidR="00063F59" w:rsidRPr="00E21AF2">
              <w:rPr>
                <w:color w:val="2A2A2A"/>
                <w:sz w:val="26"/>
                <w:szCs w:val="26"/>
                <w:lang w:val="lv-LV"/>
              </w:rPr>
              <w:t xml:space="preserve">(turpmāk – VID) </w:t>
            </w:r>
            <w:r w:rsidRPr="00E21AF2">
              <w:rPr>
                <w:color w:val="2A2A2A"/>
                <w:sz w:val="26"/>
                <w:szCs w:val="26"/>
                <w:lang w:val="lv-LV"/>
              </w:rPr>
              <w:t>kompetenci ar tiesībām piemērot personai sodu „tiesību atņemšana uz visu veidu komercdarbību” vai „tiesību atņemšana ieņemt noteiktus amatus”.</w:t>
            </w:r>
          </w:p>
          <w:p w:rsidR="00092E6D" w:rsidRPr="00E21AF2" w:rsidRDefault="00092E6D" w:rsidP="00D135CC">
            <w:pPr>
              <w:jc w:val="both"/>
              <w:rPr>
                <w:spacing w:val="-4"/>
                <w:sz w:val="26"/>
                <w:szCs w:val="26"/>
                <w:lang w:val="lv-LV"/>
              </w:rPr>
            </w:pPr>
          </w:p>
          <w:p w:rsidR="00D135CC" w:rsidRPr="00E21AF2" w:rsidRDefault="00D135CC" w:rsidP="00D135CC">
            <w:pPr>
              <w:jc w:val="both"/>
              <w:rPr>
                <w:rStyle w:val="spelle"/>
                <w:sz w:val="26"/>
                <w:szCs w:val="26"/>
                <w:lang w:val="lv-LV"/>
              </w:rPr>
            </w:pPr>
            <w:r w:rsidRPr="00E21AF2">
              <w:rPr>
                <w:spacing w:val="-4"/>
                <w:sz w:val="26"/>
                <w:szCs w:val="26"/>
                <w:lang w:val="lv-LV"/>
              </w:rPr>
              <w:t xml:space="preserve">Likumprojekts izstrādāts, lai, pamatojoties uz Ministru kabineta 2011.gada 5.aprīļa sēdes </w:t>
            </w:r>
            <w:proofErr w:type="spellStart"/>
            <w:r w:rsidRPr="00E21AF2">
              <w:rPr>
                <w:spacing w:val="-4"/>
                <w:sz w:val="26"/>
                <w:szCs w:val="26"/>
                <w:lang w:val="lv-LV"/>
              </w:rPr>
              <w:t>protokollēmuma</w:t>
            </w:r>
            <w:proofErr w:type="spellEnd"/>
            <w:r w:rsidRPr="00E21AF2">
              <w:rPr>
                <w:spacing w:val="-4"/>
                <w:sz w:val="26"/>
                <w:szCs w:val="26"/>
                <w:lang w:val="lv-LV"/>
              </w:rPr>
              <w:t xml:space="preserve"> (</w:t>
            </w:r>
            <w:proofErr w:type="spellStart"/>
            <w:r w:rsidRPr="00E21AF2">
              <w:rPr>
                <w:spacing w:val="-4"/>
                <w:sz w:val="26"/>
                <w:szCs w:val="26"/>
                <w:lang w:val="lv-LV"/>
              </w:rPr>
              <w:t>prot</w:t>
            </w:r>
            <w:proofErr w:type="spellEnd"/>
            <w:r w:rsidRPr="00E21AF2">
              <w:rPr>
                <w:spacing w:val="-4"/>
                <w:sz w:val="26"/>
                <w:szCs w:val="26"/>
                <w:lang w:val="lv-LV"/>
              </w:rPr>
              <w:t>. Nr.22 27.§) "</w:t>
            </w:r>
            <w:r w:rsidRPr="00E21AF2">
              <w:rPr>
                <w:sz w:val="26"/>
                <w:szCs w:val="26"/>
                <w:lang w:val="lv-LV"/>
              </w:rPr>
              <w:t xml:space="preserve"> Informatīvais </w:t>
            </w:r>
            <w:smartTag w:uri="schemas-tilde-lv/tildestengine" w:element="veidnes">
              <w:smartTagPr>
                <w:attr w:name="id" w:val="-1"/>
                <w:attr w:name="baseform" w:val="ziņojums"/>
                <w:attr w:name="text" w:val="ziņojums"/>
              </w:smartTagPr>
              <w:r w:rsidRPr="00E21AF2">
                <w:rPr>
                  <w:sz w:val="26"/>
                  <w:szCs w:val="26"/>
                  <w:lang w:val="lv-LV"/>
                </w:rPr>
                <w:t>ziņojums</w:t>
              </w:r>
            </w:smartTag>
            <w:r w:rsidRPr="00E21AF2">
              <w:rPr>
                <w:sz w:val="26"/>
                <w:szCs w:val="26"/>
                <w:lang w:val="lv-LV"/>
              </w:rPr>
              <w:t xml:space="preserve"> "Par problēmām saistībā ar dzīvesvietas deklarēšanas nosacījumu obligātu izpildi" </w:t>
            </w:r>
            <w:r w:rsidRPr="00E21AF2">
              <w:rPr>
                <w:spacing w:val="-4"/>
                <w:sz w:val="26"/>
                <w:szCs w:val="26"/>
                <w:lang w:val="lv-LV"/>
              </w:rPr>
              <w:t xml:space="preserve"> sagatavošanu" 3.punktā doto uzdevumu</w:t>
            </w:r>
            <w:r w:rsidR="00E9027E" w:rsidRPr="00E21AF2">
              <w:rPr>
                <w:spacing w:val="-4"/>
                <w:sz w:val="26"/>
                <w:szCs w:val="26"/>
                <w:lang w:val="lv-LV"/>
              </w:rPr>
              <w:t>,</w:t>
            </w:r>
            <w:r w:rsidRPr="00E21AF2">
              <w:rPr>
                <w:spacing w:val="-4"/>
                <w:sz w:val="26"/>
                <w:szCs w:val="26"/>
                <w:lang w:val="lv-LV"/>
              </w:rPr>
              <w:t xml:space="preserve"> </w:t>
            </w:r>
            <w:r w:rsidRPr="00E21AF2">
              <w:rPr>
                <w:rStyle w:val="spelle"/>
                <w:sz w:val="26"/>
                <w:szCs w:val="26"/>
                <w:lang w:val="lv-LV"/>
              </w:rPr>
              <w:t>sagatavot un iesniegt noteiktā kārtībā Ministru kabinetā likumprojektu par grozījumiem likumā "Par nodokļiem un nodevām":</w:t>
            </w:r>
          </w:p>
          <w:p w:rsidR="00D135CC" w:rsidRPr="00E21AF2" w:rsidRDefault="00D135CC" w:rsidP="00D135CC">
            <w:pPr>
              <w:pStyle w:val="ListParagraph"/>
              <w:numPr>
                <w:ilvl w:val="0"/>
                <w:numId w:val="6"/>
              </w:numPr>
              <w:jc w:val="both"/>
              <w:rPr>
                <w:rStyle w:val="spelle"/>
                <w:sz w:val="26"/>
                <w:szCs w:val="26"/>
                <w:lang w:val="lv-LV"/>
              </w:rPr>
            </w:pPr>
            <w:r w:rsidRPr="00E21AF2">
              <w:rPr>
                <w:rStyle w:val="spelle"/>
                <w:sz w:val="26"/>
                <w:szCs w:val="26"/>
                <w:lang w:val="lv-LV"/>
              </w:rPr>
              <w:t xml:space="preserve">nosakot riska adreses, tai skaitā patversmju adreses, kas tiek izmantotas pretlikumīgām darbībām, lai izvairītos no </w:t>
            </w:r>
            <w:r w:rsidRPr="00E21AF2">
              <w:rPr>
                <w:rStyle w:val="spelle"/>
                <w:sz w:val="26"/>
                <w:szCs w:val="26"/>
                <w:lang w:val="lv-LV"/>
              </w:rPr>
              <w:lastRenderedPageBreak/>
              <w:t>nodokļu samaksas;</w:t>
            </w:r>
          </w:p>
          <w:p w:rsidR="00E9027E" w:rsidRPr="00E21AF2" w:rsidRDefault="00D135CC" w:rsidP="00D135CC">
            <w:pPr>
              <w:pStyle w:val="ListParagraph"/>
              <w:numPr>
                <w:ilvl w:val="0"/>
                <w:numId w:val="6"/>
              </w:numPr>
              <w:jc w:val="both"/>
              <w:rPr>
                <w:rStyle w:val="spelle"/>
                <w:sz w:val="26"/>
                <w:szCs w:val="26"/>
                <w:lang w:val="lv-LV"/>
              </w:rPr>
            </w:pPr>
            <w:r w:rsidRPr="00E21AF2">
              <w:rPr>
                <w:rStyle w:val="spelle"/>
                <w:sz w:val="26"/>
                <w:szCs w:val="26"/>
                <w:lang w:val="lv-LV"/>
              </w:rPr>
              <w:t xml:space="preserve"> paredzot pienākumu </w:t>
            </w:r>
            <w:r w:rsidR="00063F59" w:rsidRPr="00E21AF2">
              <w:rPr>
                <w:rStyle w:val="spelle"/>
                <w:sz w:val="26"/>
                <w:szCs w:val="26"/>
                <w:lang w:val="lv-LV"/>
              </w:rPr>
              <w:t>VID</w:t>
            </w:r>
            <w:r w:rsidRPr="00E21AF2">
              <w:rPr>
                <w:rStyle w:val="spelle"/>
                <w:sz w:val="26"/>
                <w:szCs w:val="26"/>
                <w:lang w:val="lv-LV"/>
              </w:rPr>
              <w:t xml:space="preserve"> informēt Uzņēmumu reģistru par riska adresēm un regulāri aktualizēt attiecīgo informāciju;</w:t>
            </w:r>
          </w:p>
          <w:p w:rsidR="00D135CC" w:rsidRPr="00E21AF2" w:rsidRDefault="00E9027E" w:rsidP="00063F59">
            <w:pPr>
              <w:pStyle w:val="ListParagraph"/>
              <w:numPr>
                <w:ilvl w:val="0"/>
                <w:numId w:val="6"/>
              </w:numPr>
              <w:jc w:val="both"/>
              <w:rPr>
                <w:sz w:val="26"/>
                <w:szCs w:val="26"/>
                <w:lang w:val="lv-LV"/>
              </w:rPr>
            </w:pPr>
            <w:r w:rsidRPr="00E21AF2">
              <w:rPr>
                <w:rStyle w:val="spelle"/>
                <w:sz w:val="26"/>
                <w:szCs w:val="26"/>
                <w:lang w:val="lv-LV"/>
              </w:rPr>
              <w:t xml:space="preserve">paredzot tiesības </w:t>
            </w:r>
            <w:r w:rsidR="00063F59" w:rsidRPr="00E21AF2">
              <w:rPr>
                <w:rStyle w:val="spelle"/>
                <w:sz w:val="26"/>
                <w:szCs w:val="26"/>
                <w:lang w:val="lv-LV"/>
              </w:rPr>
              <w:t>VID</w:t>
            </w:r>
            <w:r w:rsidRPr="00E21AF2">
              <w:rPr>
                <w:rStyle w:val="spelle"/>
                <w:sz w:val="26"/>
                <w:szCs w:val="26"/>
                <w:lang w:val="lv-LV"/>
              </w:rPr>
              <w:t xml:space="preserve"> komercreģistra pārreģistrācijas laikā, iestājoties definētiem riska nosacījumiem, apturēt komersanta saimniecisko darbību, attiecīgo lēmumu nosūtot Uzņēmumu reģistram ieraksta izdarīšanai.</w:t>
            </w:r>
            <w:r w:rsidR="00D135CC" w:rsidRPr="00E21AF2">
              <w:rPr>
                <w:rStyle w:val="spelle"/>
                <w:sz w:val="26"/>
                <w:szCs w:val="26"/>
                <w:lang w:val="lv-LV"/>
              </w:rPr>
              <w:t>  </w:t>
            </w:r>
            <w:r w:rsidR="00D135CC" w:rsidRPr="00E21AF2">
              <w:rPr>
                <w:sz w:val="26"/>
                <w:szCs w:val="26"/>
                <w:lang w:val="lv-LV"/>
              </w:rPr>
              <w:t>   </w:t>
            </w:r>
          </w:p>
        </w:tc>
      </w:tr>
      <w:tr w:rsidR="0013525F" w:rsidRPr="00EE37BB" w:rsidTr="00DD0319">
        <w:trPr>
          <w:trHeight w:val="472"/>
          <w:tblCellSpacing w:w="0" w:type="dxa"/>
        </w:trPr>
        <w:tc>
          <w:tcPr>
            <w:tcW w:w="528" w:type="dxa"/>
            <w:tcBorders>
              <w:top w:val="outset" w:sz="6" w:space="0" w:color="auto"/>
              <w:left w:val="outset" w:sz="6" w:space="0" w:color="auto"/>
              <w:bottom w:val="outset" w:sz="6" w:space="0" w:color="auto"/>
              <w:right w:val="outset" w:sz="6" w:space="0" w:color="auto"/>
            </w:tcBorders>
          </w:tcPr>
          <w:p w:rsidR="0013525F" w:rsidRPr="00E21AF2" w:rsidRDefault="0013525F" w:rsidP="00014D26">
            <w:pPr>
              <w:pStyle w:val="naiskr"/>
              <w:rPr>
                <w:sz w:val="26"/>
                <w:szCs w:val="26"/>
              </w:rPr>
            </w:pPr>
            <w:r w:rsidRPr="00E21AF2">
              <w:rPr>
                <w:sz w:val="26"/>
                <w:szCs w:val="26"/>
              </w:rPr>
              <w:lastRenderedPageBreak/>
              <w:t> 2.</w:t>
            </w:r>
          </w:p>
        </w:tc>
        <w:tc>
          <w:tcPr>
            <w:tcW w:w="1897" w:type="dxa"/>
            <w:tcBorders>
              <w:top w:val="outset" w:sz="6" w:space="0" w:color="auto"/>
              <w:left w:val="outset" w:sz="6" w:space="0" w:color="auto"/>
              <w:bottom w:val="outset" w:sz="6" w:space="0" w:color="auto"/>
              <w:right w:val="outset" w:sz="6" w:space="0" w:color="auto"/>
            </w:tcBorders>
          </w:tcPr>
          <w:p w:rsidR="0013525F" w:rsidRPr="00E21AF2" w:rsidRDefault="0013525F" w:rsidP="00014D26">
            <w:pPr>
              <w:pStyle w:val="naiskr"/>
              <w:rPr>
                <w:sz w:val="26"/>
                <w:szCs w:val="26"/>
              </w:rPr>
            </w:pPr>
            <w:r w:rsidRPr="00E21AF2">
              <w:rPr>
                <w:sz w:val="26"/>
                <w:szCs w:val="26"/>
              </w:rPr>
              <w:t> Pašreizējā situācija un problēmas</w:t>
            </w:r>
          </w:p>
        </w:tc>
        <w:tc>
          <w:tcPr>
            <w:tcW w:w="6824" w:type="dxa"/>
            <w:tcBorders>
              <w:top w:val="outset" w:sz="6" w:space="0" w:color="auto"/>
              <w:left w:val="outset" w:sz="6" w:space="0" w:color="auto"/>
              <w:bottom w:val="outset" w:sz="6" w:space="0" w:color="auto"/>
              <w:right w:val="outset" w:sz="6" w:space="0" w:color="auto"/>
            </w:tcBorders>
          </w:tcPr>
          <w:p w:rsidR="00AD2743" w:rsidRPr="00E21AF2" w:rsidRDefault="003505FA" w:rsidP="00C97755">
            <w:pPr>
              <w:jc w:val="both"/>
              <w:rPr>
                <w:sz w:val="26"/>
                <w:szCs w:val="26"/>
                <w:lang w:val="lv-LV"/>
              </w:rPr>
            </w:pPr>
            <w:r w:rsidRPr="00E21AF2">
              <w:rPr>
                <w:sz w:val="26"/>
                <w:szCs w:val="26"/>
                <w:lang w:val="lv-LV"/>
              </w:rPr>
              <w:t>Likuma „Par nodokļiem un nodevām” 14.panta</w:t>
            </w:r>
            <w:r w:rsidR="005875F3" w:rsidRPr="00E21AF2">
              <w:rPr>
                <w:sz w:val="26"/>
                <w:szCs w:val="26"/>
                <w:lang w:val="lv-LV"/>
              </w:rPr>
              <w:t xml:space="preserve"> astotā daļa paredz </w:t>
            </w:r>
            <w:r w:rsidR="00CA6B42" w:rsidRPr="00E21AF2">
              <w:rPr>
                <w:sz w:val="26"/>
                <w:szCs w:val="26"/>
                <w:lang w:val="lv-LV"/>
              </w:rPr>
              <w:t>gadījumus, kādos uzskatāma pastāvīgā pārstāvniecība Latvijā, ja nerezidents (ārvalsts komersants) veic saimniecisko darbību Latvijā.</w:t>
            </w:r>
            <w:r w:rsidR="005875F3" w:rsidRPr="00E21AF2">
              <w:rPr>
                <w:sz w:val="26"/>
                <w:szCs w:val="26"/>
                <w:lang w:val="lv-LV"/>
              </w:rPr>
              <w:t xml:space="preserve"> Turklāt likuma 14.panta</w:t>
            </w:r>
            <w:r w:rsidRPr="00E21AF2">
              <w:rPr>
                <w:sz w:val="26"/>
                <w:szCs w:val="26"/>
                <w:lang w:val="lv-LV"/>
              </w:rPr>
              <w:t xml:space="preserve"> 8.</w:t>
            </w:r>
            <w:r w:rsidRPr="00E21AF2">
              <w:rPr>
                <w:sz w:val="26"/>
                <w:szCs w:val="26"/>
                <w:vertAlign w:val="superscript"/>
                <w:lang w:val="lv-LV"/>
              </w:rPr>
              <w:t>1</w:t>
            </w:r>
            <w:r w:rsidR="00685675" w:rsidRPr="00E21AF2">
              <w:rPr>
                <w:sz w:val="26"/>
                <w:szCs w:val="26"/>
                <w:lang w:val="lv-LV"/>
              </w:rPr>
              <w:t xml:space="preserve"> daļa paredz</w:t>
            </w:r>
            <w:r w:rsidR="000B322E" w:rsidRPr="00E21AF2">
              <w:rPr>
                <w:sz w:val="26"/>
                <w:szCs w:val="26"/>
                <w:lang w:val="lv-LV"/>
              </w:rPr>
              <w:t>,</w:t>
            </w:r>
            <w:r w:rsidR="00D03749" w:rsidRPr="00E21AF2">
              <w:rPr>
                <w:sz w:val="26"/>
                <w:szCs w:val="26"/>
                <w:lang w:val="lv-LV"/>
              </w:rPr>
              <w:t xml:space="preserve"> kādos gadījumos persona, kurai ir piešķirtas un kura regulāri izmanto pilnvaras noslēgt līgumus tās juridiskās, fiziskās vai citas personas vārdā, kura atrodas, ir izveidota vai nodibināta normatīvajos aktos par zemu nodokļu vai beznodokļu valstīm un teritorijām minētajās valstīs vai teritorijās, uzskatāma </w:t>
            </w:r>
            <w:r w:rsidR="00685675" w:rsidRPr="00E21AF2">
              <w:rPr>
                <w:sz w:val="26"/>
                <w:szCs w:val="26"/>
                <w:lang w:val="lv-LV"/>
              </w:rPr>
              <w:t xml:space="preserve">par </w:t>
            </w:r>
            <w:r w:rsidR="00D03749" w:rsidRPr="00E21AF2">
              <w:rPr>
                <w:sz w:val="26"/>
                <w:szCs w:val="26"/>
                <w:lang w:val="lv-LV"/>
              </w:rPr>
              <w:t>nodokļu maksātāju</w:t>
            </w:r>
            <w:r w:rsidR="007B0948" w:rsidRPr="00E21AF2">
              <w:rPr>
                <w:sz w:val="26"/>
                <w:szCs w:val="26"/>
                <w:lang w:val="lv-LV"/>
              </w:rPr>
              <w:t xml:space="preserve">. </w:t>
            </w:r>
            <w:r w:rsidRPr="00E21AF2">
              <w:rPr>
                <w:sz w:val="26"/>
                <w:szCs w:val="26"/>
                <w:lang w:val="lv-LV"/>
              </w:rPr>
              <w:t>Tomēr</w:t>
            </w:r>
            <w:r w:rsidR="00F376D4" w:rsidRPr="00E21AF2">
              <w:rPr>
                <w:sz w:val="26"/>
                <w:szCs w:val="26"/>
                <w:lang w:val="lv-LV"/>
              </w:rPr>
              <w:t xml:space="preserve"> tiesiskais regulējums</w:t>
            </w:r>
            <w:r w:rsidR="00CF24A1" w:rsidRPr="00E21AF2">
              <w:rPr>
                <w:sz w:val="26"/>
                <w:szCs w:val="26"/>
                <w:lang w:val="lv-LV"/>
              </w:rPr>
              <w:t xml:space="preserve"> attiecībā uz ārzonu, zemu nodokļu un beznodokļu valstīs reģistrēto uzņēmum</w:t>
            </w:r>
            <w:r w:rsidR="00094FF4" w:rsidRPr="00E21AF2">
              <w:rPr>
                <w:sz w:val="26"/>
                <w:szCs w:val="26"/>
                <w:lang w:val="lv-LV"/>
              </w:rPr>
              <w:t>u saimnie</w:t>
            </w:r>
            <w:r w:rsidR="00C217CE" w:rsidRPr="00E21AF2">
              <w:rPr>
                <w:sz w:val="26"/>
                <w:szCs w:val="26"/>
                <w:lang w:val="lv-LV"/>
              </w:rPr>
              <w:t>ciskās darbības vai komercdarbību veikšanu</w:t>
            </w:r>
            <w:r w:rsidR="005C4065" w:rsidRPr="00E21AF2">
              <w:rPr>
                <w:sz w:val="26"/>
                <w:szCs w:val="26"/>
                <w:lang w:val="lv-LV"/>
              </w:rPr>
              <w:t xml:space="preserve"> Latvijā</w:t>
            </w:r>
            <w:r w:rsidR="00CF24A1" w:rsidRPr="00E21AF2">
              <w:rPr>
                <w:sz w:val="26"/>
                <w:szCs w:val="26"/>
                <w:lang w:val="lv-LV"/>
              </w:rPr>
              <w:t xml:space="preserve"> </w:t>
            </w:r>
            <w:r w:rsidR="00F376D4" w:rsidRPr="00E21AF2">
              <w:rPr>
                <w:sz w:val="26"/>
                <w:szCs w:val="26"/>
                <w:lang w:val="lv-LV"/>
              </w:rPr>
              <w:t xml:space="preserve">nenodrošina </w:t>
            </w:r>
            <w:r w:rsidR="00CF24A1" w:rsidRPr="00E21AF2">
              <w:rPr>
                <w:sz w:val="26"/>
                <w:szCs w:val="26"/>
                <w:lang w:val="lv-LV"/>
              </w:rPr>
              <w:t xml:space="preserve">to </w:t>
            </w:r>
            <w:r w:rsidR="00F376D4" w:rsidRPr="00E21AF2">
              <w:rPr>
                <w:sz w:val="26"/>
                <w:szCs w:val="26"/>
                <w:lang w:val="lv-LV"/>
              </w:rPr>
              <w:t xml:space="preserve">darbību pietiekamu kontroli. </w:t>
            </w:r>
            <w:r w:rsidR="00C217CE" w:rsidRPr="00E21AF2">
              <w:rPr>
                <w:sz w:val="26"/>
                <w:szCs w:val="26"/>
                <w:lang w:val="lv-LV"/>
              </w:rPr>
              <w:t xml:space="preserve">Nodokļu administrācija aizvien biežāk nodokļu </w:t>
            </w:r>
            <w:r w:rsidR="00734296" w:rsidRPr="00E21AF2">
              <w:rPr>
                <w:sz w:val="26"/>
                <w:szCs w:val="26"/>
                <w:lang w:val="lv-LV"/>
              </w:rPr>
              <w:t>pārbaudes</w:t>
            </w:r>
            <w:r w:rsidR="00C217CE" w:rsidRPr="00E21AF2">
              <w:rPr>
                <w:sz w:val="26"/>
                <w:szCs w:val="26"/>
                <w:lang w:val="lv-LV"/>
              </w:rPr>
              <w:t xml:space="preserve"> laikā iegūst informāciju par nerezidentiem, kas veic saimniecisko vai komercdarbību Latvijas Republikā, nereģistrējoties kā ārvalstu filiāle vai pastāvīgā pārstāvniecība. Juridiskās personas – nerezidenti, kas izvērš savu darbību Latvijas Republikā</w:t>
            </w:r>
            <w:r w:rsidRPr="00E21AF2">
              <w:rPr>
                <w:sz w:val="26"/>
                <w:szCs w:val="26"/>
                <w:lang w:val="lv-LV"/>
              </w:rPr>
              <w:t>,</w:t>
            </w:r>
            <w:r w:rsidR="00C217CE" w:rsidRPr="00E21AF2">
              <w:rPr>
                <w:sz w:val="26"/>
                <w:szCs w:val="26"/>
                <w:lang w:val="lv-LV"/>
              </w:rPr>
              <w:t xml:space="preserve"> pārsvarā ir ārvalstu uzņēmumi, kas reģistrēti, piemēram, Amerikas Savienoto Valstu </w:t>
            </w:r>
            <w:proofErr w:type="spellStart"/>
            <w:r w:rsidR="00C217CE" w:rsidRPr="00E21AF2">
              <w:rPr>
                <w:sz w:val="26"/>
                <w:szCs w:val="26"/>
                <w:lang w:val="lv-LV"/>
              </w:rPr>
              <w:t>Delaveras</w:t>
            </w:r>
            <w:proofErr w:type="spellEnd"/>
            <w:r w:rsidR="00C217CE" w:rsidRPr="00E21AF2">
              <w:rPr>
                <w:sz w:val="26"/>
                <w:szCs w:val="26"/>
                <w:lang w:val="lv-LV"/>
              </w:rPr>
              <w:t xml:space="preserve"> štatā, Panamas Republikā un Krievijas Federācijā. </w:t>
            </w:r>
            <w:r w:rsidR="00685675" w:rsidRPr="00E21AF2">
              <w:rPr>
                <w:sz w:val="26"/>
                <w:szCs w:val="26"/>
                <w:lang w:val="lv-LV"/>
              </w:rPr>
              <w:t>Ja zemu nodokļu vai beznodokļu valstu un teritoriju rezidenti veic saimniecisko darbību, izmantojot pastāvīgo pārstāvniecību Latvijā, pastāv grūtības iekasēt nodokli par Latvijā gūto ienākumu, jo ar zemu nodokļu vai beznodokļu valstīm un teritorijām nepastāv informācijas apmaiņa un administratīvās sadarbības mehānisma un uzņēmuma faktiskie īpašnieki vai likumiskie pārstāvji nav zināmi. Šādos gadījumos pastāv iespējas izvairīties no nodokļu nomaksas par zemu nodokļu vai beznodokļu valstu un uzņēmumu pastāvīgo pārstāvniecību Latvijā gūto ienākumu, un šie uzņēmumi ir izdevīgākā stāvoklī, salīdzinot ar Latvijas rezidentiem un citu valstu rezidentiem, ar kuru valstīm Latvijai ir noslēgtas nodokļu konvencijas un ir nodrošināta savstarpēja administratīvā palīdzība, jo attiecībā pret tiem nav iespējams piemērot piespiedu līdzekļus, saukt pie administratīvās atbildības un no tiem piedzīt nodokļus.</w:t>
            </w:r>
            <w:r w:rsidR="00AD2743" w:rsidRPr="00E21AF2">
              <w:rPr>
                <w:sz w:val="26"/>
                <w:szCs w:val="26"/>
                <w:lang w:val="lv-LV"/>
              </w:rPr>
              <w:t xml:space="preserve"> </w:t>
            </w:r>
            <w:r w:rsidR="00734296" w:rsidRPr="00E21AF2">
              <w:rPr>
                <w:sz w:val="26"/>
                <w:szCs w:val="26"/>
                <w:lang w:val="lv-LV"/>
              </w:rPr>
              <w:t>Lai ārzonu uzņēmumi nespētu izvairīties no pastāvīgās pārstāvniecības nodibināšanas Latvijā un</w:t>
            </w:r>
            <w:r w:rsidRPr="00E21AF2">
              <w:rPr>
                <w:sz w:val="26"/>
                <w:szCs w:val="26"/>
                <w:lang w:val="lv-LV"/>
              </w:rPr>
              <w:t xml:space="preserve"> novērstu izvairīšanos no nodokļu nomaksas</w:t>
            </w:r>
            <w:r w:rsidR="00734296" w:rsidRPr="00E21AF2">
              <w:rPr>
                <w:sz w:val="26"/>
                <w:szCs w:val="26"/>
                <w:lang w:val="lv-LV"/>
              </w:rPr>
              <w:t>,</w:t>
            </w:r>
            <w:r w:rsidRPr="00E21AF2">
              <w:rPr>
                <w:sz w:val="26"/>
                <w:szCs w:val="26"/>
                <w:lang w:val="lv-LV"/>
              </w:rPr>
              <w:t xml:space="preserve"> </w:t>
            </w:r>
            <w:r w:rsidR="00B63BE3" w:rsidRPr="00E21AF2">
              <w:rPr>
                <w:sz w:val="26"/>
                <w:szCs w:val="26"/>
                <w:lang w:val="lv-LV"/>
              </w:rPr>
              <w:t xml:space="preserve"> nepieciešams</w:t>
            </w:r>
            <w:r w:rsidRPr="00E21AF2">
              <w:rPr>
                <w:sz w:val="26"/>
                <w:szCs w:val="26"/>
                <w:lang w:val="lv-LV"/>
              </w:rPr>
              <w:t xml:space="preserve"> papildināt šobrīd spēkā esošo regul</w:t>
            </w:r>
            <w:r w:rsidR="00734296" w:rsidRPr="00E21AF2">
              <w:rPr>
                <w:sz w:val="26"/>
                <w:szCs w:val="26"/>
                <w:lang w:val="lv-LV"/>
              </w:rPr>
              <w:t>ējumu</w:t>
            </w:r>
            <w:r w:rsidR="00CA6B42" w:rsidRPr="00E21AF2">
              <w:rPr>
                <w:sz w:val="26"/>
                <w:szCs w:val="26"/>
                <w:lang w:val="lv-LV"/>
              </w:rPr>
              <w:t xml:space="preserve"> ar papildus kritērij</w:t>
            </w:r>
            <w:r w:rsidR="00AD2743" w:rsidRPr="00E21AF2">
              <w:rPr>
                <w:sz w:val="26"/>
                <w:szCs w:val="26"/>
                <w:lang w:val="lv-LV"/>
              </w:rPr>
              <w:t>iem</w:t>
            </w:r>
            <w:r w:rsidR="000B322E" w:rsidRPr="00E21AF2">
              <w:rPr>
                <w:sz w:val="26"/>
                <w:szCs w:val="26"/>
                <w:lang w:val="lv-LV"/>
              </w:rPr>
              <w:t xml:space="preserve">, piemērojot likuma </w:t>
            </w:r>
            <w:r w:rsidR="00CA6B42" w:rsidRPr="00E21AF2">
              <w:rPr>
                <w:sz w:val="26"/>
                <w:szCs w:val="26"/>
                <w:lang w:val="lv-LV"/>
              </w:rPr>
              <w:t xml:space="preserve"> </w:t>
            </w:r>
            <w:r w:rsidR="000B322E" w:rsidRPr="00E21AF2">
              <w:rPr>
                <w:sz w:val="26"/>
                <w:szCs w:val="26"/>
                <w:lang w:val="lv-LV"/>
              </w:rPr>
              <w:t>„Par nodokļiem un nodevām” 14.panta astoto daļu.</w:t>
            </w:r>
          </w:p>
          <w:p w:rsidR="0069001C" w:rsidRPr="00E21AF2" w:rsidRDefault="0069001C" w:rsidP="00C97755">
            <w:pPr>
              <w:jc w:val="both"/>
              <w:rPr>
                <w:sz w:val="26"/>
                <w:szCs w:val="26"/>
                <w:lang w:val="lv-LV"/>
              </w:rPr>
            </w:pPr>
          </w:p>
          <w:p w:rsidR="00C97755" w:rsidRPr="00E21AF2" w:rsidRDefault="00C97755" w:rsidP="00C97755">
            <w:pPr>
              <w:jc w:val="both"/>
              <w:rPr>
                <w:sz w:val="26"/>
                <w:szCs w:val="26"/>
                <w:lang w:val="lv-LV"/>
              </w:rPr>
            </w:pPr>
            <w:r w:rsidRPr="00E21AF2">
              <w:rPr>
                <w:sz w:val="26"/>
                <w:szCs w:val="26"/>
                <w:lang w:val="lv-LV"/>
              </w:rPr>
              <w:t>Likumā „Par nodokļiem un nodevām” 23.</w:t>
            </w:r>
            <w:r w:rsidRPr="00E21AF2">
              <w:rPr>
                <w:sz w:val="26"/>
                <w:szCs w:val="26"/>
                <w:vertAlign w:val="superscript"/>
                <w:lang w:val="lv-LV"/>
              </w:rPr>
              <w:t xml:space="preserve">2 </w:t>
            </w:r>
            <w:r w:rsidRPr="00E21AF2">
              <w:rPr>
                <w:sz w:val="26"/>
                <w:szCs w:val="26"/>
                <w:lang w:val="lv-LV"/>
              </w:rPr>
              <w:t>pantā un likuma „Par uzņēmumu ienākuma nodokli” 14</w:t>
            </w:r>
            <w:r w:rsidRPr="00E21AF2">
              <w:rPr>
                <w:sz w:val="26"/>
                <w:szCs w:val="26"/>
                <w:vertAlign w:val="superscript"/>
                <w:lang w:val="lv-LV"/>
              </w:rPr>
              <w:t>1</w:t>
            </w:r>
            <w:r w:rsidRPr="00E21AF2">
              <w:rPr>
                <w:sz w:val="26"/>
                <w:szCs w:val="26"/>
                <w:lang w:val="lv-LV"/>
              </w:rPr>
              <w:t>.pantā ir noteiktas nodokļu administrācijas tiesības, veicot nodokļu revīziju (auditu) pārbaudīt darījumu cenas (vērtības) noteikšanas pareizību un precizēt darījuma</w:t>
            </w:r>
            <w:r w:rsidR="00ED68EA" w:rsidRPr="00E21AF2">
              <w:rPr>
                <w:sz w:val="26"/>
                <w:szCs w:val="26"/>
                <w:lang w:val="lv-LV"/>
              </w:rPr>
              <w:t xml:space="preserve"> cenu (vērtību) šādos gadījumos.</w:t>
            </w:r>
            <w:r w:rsidR="0094379E" w:rsidRPr="00E21AF2">
              <w:rPr>
                <w:sz w:val="26"/>
                <w:szCs w:val="26"/>
                <w:lang w:val="lv-LV"/>
              </w:rPr>
              <w:t xml:space="preserve"> </w:t>
            </w:r>
            <w:r w:rsidR="00ED68EA" w:rsidRPr="00E21AF2">
              <w:rPr>
                <w:sz w:val="26"/>
                <w:szCs w:val="26"/>
                <w:lang w:val="lv-LV"/>
              </w:rPr>
              <w:t>T</w:t>
            </w:r>
            <w:r w:rsidRPr="00E21AF2">
              <w:rPr>
                <w:sz w:val="26"/>
                <w:szCs w:val="26"/>
                <w:lang w:val="lv-LV"/>
              </w:rPr>
              <w:t>aču nav precīzi noteikts, kādu informāciju</w:t>
            </w:r>
            <w:r w:rsidR="0094379E" w:rsidRPr="00E21AF2">
              <w:rPr>
                <w:sz w:val="26"/>
                <w:szCs w:val="26"/>
                <w:lang w:val="lv-LV"/>
              </w:rPr>
              <w:t xml:space="preserve"> un kādos gadījumos</w:t>
            </w:r>
            <w:r w:rsidRPr="00E21AF2">
              <w:rPr>
                <w:sz w:val="26"/>
                <w:szCs w:val="26"/>
                <w:lang w:val="lv-LV"/>
              </w:rPr>
              <w:t xml:space="preserve"> ir pienākums sniegt nodokļu maksātājam pēc nodokļu administrācijas pieprasījuma, lai apliecinātu darījuma cenas atbilstību tirgus cenai. </w:t>
            </w:r>
            <w:r w:rsidR="0094379E" w:rsidRPr="00E21AF2">
              <w:rPr>
                <w:sz w:val="26"/>
                <w:szCs w:val="26"/>
                <w:lang w:val="lv-LV"/>
              </w:rPr>
              <w:t>Turklāt šobrīd likums neparedz tiesības nodokļu maksātājam slēgt vienošanos ar nodokļu administrāciju par darījuma tirgus</w:t>
            </w:r>
            <w:r w:rsidR="00C57284" w:rsidRPr="00E21AF2">
              <w:rPr>
                <w:sz w:val="26"/>
                <w:szCs w:val="26"/>
                <w:lang w:val="lv-LV"/>
              </w:rPr>
              <w:t xml:space="preserve"> vērtības (cenas) noteikšanu konkrētam darījumam vai darījuma veidam.</w:t>
            </w:r>
            <w:r w:rsidRPr="00E21AF2">
              <w:rPr>
                <w:sz w:val="26"/>
                <w:szCs w:val="26"/>
                <w:lang w:val="lv-LV"/>
              </w:rPr>
              <w:t xml:space="preserve"> </w:t>
            </w:r>
            <w:r w:rsidR="00DD0C92" w:rsidRPr="00E21AF2">
              <w:rPr>
                <w:sz w:val="26"/>
                <w:szCs w:val="26"/>
                <w:lang w:val="lv-LV"/>
              </w:rPr>
              <w:t>Lai atvieglotu nodokļu maksātāja</w:t>
            </w:r>
            <w:r w:rsidR="00F376D4" w:rsidRPr="00E21AF2">
              <w:rPr>
                <w:sz w:val="26"/>
                <w:szCs w:val="26"/>
                <w:lang w:val="lv-LV"/>
              </w:rPr>
              <w:t>m paredzēto</w:t>
            </w:r>
            <w:r w:rsidR="00DD0C92" w:rsidRPr="00E21AF2">
              <w:rPr>
                <w:sz w:val="26"/>
                <w:szCs w:val="26"/>
                <w:lang w:val="lv-LV"/>
              </w:rPr>
              <w:t xml:space="preserve"> uzdevumu noteikt darījuma vērtības atbilstību tirgus vērtībai, ir nepieciešams ieviest ārvalstu praksei atbilstošu saskaņošanas procedūru ar nodokļu administrāciju par plānotā darījuma cenas noteikšanas politiku, saskaņā ar darījumu tirgus vērtības (preces vai produkta tirgus cenas) noteikšanas metodēm. Nodokļu maksātājam ir tiesības zināt, vai </w:t>
            </w:r>
            <w:r w:rsidR="00D405B3" w:rsidRPr="00E21AF2">
              <w:rPr>
                <w:sz w:val="26"/>
                <w:szCs w:val="26"/>
                <w:lang w:val="lv-LV"/>
              </w:rPr>
              <w:t>ir</w:t>
            </w:r>
            <w:r w:rsidR="00DD0C92" w:rsidRPr="00E21AF2">
              <w:rPr>
                <w:sz w:val="26"/>
                <w:szCs w:val="26"/>
                <w:lang w:val="lv-LV"/>
              </w:rPr>
              <w:t xml:space="preserve"> pareizi n</w:t>
            </w:r>
            <w:r w:rsidR="00D405B3" w:rsidRPr="00E21AF2">
              <w:rPr>
                <w:sz w:val="26"/>
                <w:szCs w:val="26"/>
                <w:lang w:val="lv-LV"/>
              </w:rPr>
              <w:t>oteikta apliekamā</w:t>
            </w:r>
            <w:r w:rsidR="00DD0C92" w:rsidRPr="00E21AF2">
              <w:rPr>
                <w:sz w:val="26"/>
                <w:szCs w:val="26"/>
                <w:lang w:val="lv-LV"/>
              </w:rPr>
              <w:t xml:space="preserve"> bāz</w:t>
            </w:r>
            <w:r w:rsidR="00D405B3" w:rsidRPr="00E21AF2">
              <w:rPr>
                <w:sz w:val="26"/>
                <w:szCs w:val="26"/>
                <w:lang w:val="lv-LV"/>
              </w:rPr>
              <w:t>e</w:t>
            </w:r>
            <w:r w:rsidR="00DD0C92" w:rsidRPr="00E21AF2">
              <w:rPr>
                <w:sz w:val="26"/>
                <w:szCs w:val="26"/>
                <w:lang w:val="lv-LV"/>
              </w:rPr>
              <w:t xml:space="preserve"> nodokļu aprēķināšanas vajadzībām un iegūt pārliecību, ka nodokļu administrācija nākotnē neapstrīdēs vienošanās līgumā ietvertos nosacījumus par darījuma cenas (vērtības) noteikšanu</w:t>
            </w:r>
            <w:r w:rsidR="00F376D4" w:rsidRPr="00E21AF2">
              <w:rPr>
                <w:sz w:val="26"/>
                <w:szCs w:val="26"/>
                <w:lang w:val="lv-LV"/>
              </w:rPr>
              <w:t>.</w:t>
            </w:r>
          </w:p>
          <w:p w:rsidR="00AD2743" w:rsidRPr="00E21AF2" w:rsidRDefault="00AD2743" w:rsidP="00C97755">
            <w:pPr>
              <w:jc w:val="both"/>
              <w:rPr>
                <w:sz w:val="26"/>
                <w:szCs w:val="26"/>
                <w:lang w:val="lv-LV"/>
              </w:rPr>
            </w:pPr>
          </w:p>
          <w:p w:rsidR="00186EEC" w:rsidRPr="00E21AF2" w:rsidRDefault="00C97755" w:rsidP="00C97755">
            <w:pPr>
              <w:jc w:val="both"/>
              <w:rPr>
                <w:sz w:val="26"/>
                <w:szCs w:val="26"/>
                <w:lang w:val="lv-LV"/>
              </w:rPr>
            </w:pPr>
            <w:r w:rsidRPr="00E21AF2">
              <w:rPr>
                <w:sz w:val="26"/>
                <w:szCs w:val="26"/>
                <w:lang w:val="lv-LV"/>
              </w:rPr>
              <w:t xml:space="preserve">Likuma „Par nodokļiem un nodevām” 23.panta </w:t>
            </w:r>
            <w:r w:rsidR="00ED68EA" w:rsidRPr="00E21AF2">
              <w:rPr>
                <w:sz w:val="26"/>
                <w:szCs w:val="26"/>
                <w:lang w:val="lv-LV"/>
              </w:rPr>
              <w:t>trešaj</w:t>
            </w:r>
            <w:r w:rsidR="0094379E" w:rsidRPr="00E21AF2">
              <w:rPr>
                <w:sz w:val="26"/>
                <w:szCs w:val="26"/>
                <w:lang w:val="lv-LV"/>
              </w:rPr>
              <w:t>ā</w:t>
            </w:r>
            <w:r w:rsidRPr="00E21AF2">
              <w:rPr>
                <w:sz w:val="26"/>
                <w:szCs w:val="26"/>
                <w:lang w:val="lv-LV"/>
              </w:rPr>
              <w:t xml:space="preserve"> daļā ir noteikts audita </w:t>
            </w:r>
            <w:r w:rsidR="0094379E" w:rsidRPr="00E21AF2">
              <w:rPr>
                <w:sz w:val="26"/>
                <w:szCs w:val="26"/>
                <w:lang w:val="lv-LV"/>
              </w:rPr>
              <w:t xml:space="preserve">veikšanas – lēmuma par nodokļu audita rezultātiem pieņemšanas </w:t>
            </w:r>
            <w:r w:rsidRPr="00E21AF2">
              <w:rPr>
                <w:sz w:val="26"/>
                <w:szCs w:val="26"/>
                <w:lang w:val="lv-LV"/>
              </w:rPr>
              <w:t>termiņa</w:t>
            </w:r>
            <w:r w:rsidR="0094379E" w:rsidRPr="00E21AF2">
              <w:rPr>
                <w:sz w:val="26"/>
                <w:szCs w:val="26"/>
                <w:lang w:val="lv-LV"/>
              </w:rPr>
              <w:t xml:space="preserve"> ierobežojums</w:t>
            </w:r>
            <w:r w:rsidRPr="00E21AF2">
              <w:rPr>
                <w:sz w:val="26"/>
                <w:szCs w:val="26"/>
                <w:lang w:val="lv-LV"/>
              </w:rPr>
              <w:t>, taču minēto ierobežojumu nevar attiecināt uz transfertcenu auditiem, jo citās dalībvalstīs noteiktais audita veikšanas ierobežojums atšķiras no likumā „Par nodokļiem un nodevām” noteiktā.</w:t>
            </w:r>
          </w:p>
          <w:p w:rsidR="0013525F" w:rsidRPr="00E21AF2" w:rsidRDefault="0013525F" w:rsidP="00960D4A">
            <w:pPr>
              <w:jc w:val="both"/>
              <w:rPr>
                <w:sz w:val="26"/>
                <w:szCs w:val="26"/>
                <w:lang w:val="lv-LV"/>
              </w:rPr>
            </w:pPr>
          </w:p>
          <w:p w:rsidR="002236D8" w:rsidRPr="00E21AF2" w:rsidRDefault="002236D8" w:rsidP="00F4045F">
            <w:pPr>
              <w:jc w:val="both"/>
              <w:rPr>
                <w:sz w:val="26"/>
                <w:szCs w:val="26"/>
                <w:lang w:val="lv-LV"/>
              </w:rPr>
            </w:pPr>
            <w:r w:rsidRPr="00E21AF2">
              <w:rPr>
                <w:sz w:val="26"/>
                <w:szCs w:val="26"/>
                <w:lang w:val="lv-LV"/>
              </w:rPr>
              <w:t>Likuma „Par nodokļiem un nodevām”</w:t>
            </w:r>
            <w:r w:rsidR="00F4045F" w:rsidRPr="00E21AF2">
              <w:rPr>
                <w:sz w:val="26"/>
                <w:szCs w:val="26"/>
                <w:lang w:val="lv-LV"/>
              </w:rPr>
              <w:t xml:space="preserve"> 30.pants </w:t>
            </w:r>
            <w:r w:rsidRPr="00E21AF2">
              <w:rPr>
                <w:sz w:val="26"/>
                <w:szCs w:val="26"/>
                <w:lang w:val="lv-LV"/>
              </w:rPr>
              <w:t>paredz skaidras naudas lietošanas ierobežojumus</w:t>
            </w:r>
            <w:r w:rsidR="00BD3C3A" w:rsidRPr="00E21AF2">
              <w:rPr>
                <w:sz w:val="26"/>
                <w:szCs w:val="26"/>
                <w:lang w:val="lv-LV"/>
              </w:rPr>
              <w:t xml:space="preserve">. </w:t>
            </w:r>
            <w:r w:rsidR="002847C1" w:rsidRPr="00E21AF2">
              <w:rPr>
                <w:sz w:val="26"/>
                <w:szCs w:val="26"/>
                <w:lang w:val="lv-LV"/>
              </w:rPr>
              <w:t>L</w:t>
            </w:r>
            <w:r w:rsidR="002F2324" w:rsidRPr="00E21AF2">
              <w:rPr>
                <w:sz w:val="26"/>
                <w:szCs w:val="26"/>
                <w:lang w:val="lv-LV"/>
              </w:rPr>
              <w:t xml:space="preserve">ai varētu veikt efektīvāku skaidrā naudā </w:t>
            </w:r>
            <w:r w:rsidR="00092E6D" w:rsidRPr="00E21AF2">
              <w:rPr>
                <w:sz w:val="26"/>
                <w:szCs w:val="26"/>
                <w:lang w:val="lv-LV"/>
              </w:rPr>
              <w:t>veikto darījumu kontroli, likumā būtu nepieciešams noteikt pienākumu</w:t>
            </w:r>
            <w:r w:rsidR="002F2324" w:rsidRPr="00E21AF2">
              <w:rPr>
                <w:sz w:val="26"/>
                <w:szCs w:val="26"/>
                <w:lang w:val="lv-LV"/>
              </w:rPr>
              <w:t xml:space="preserve"> </w:t>
            </w:r>
            <w:r w:rsidR="00092E6D" w:rsidRPr="00E21AF2">
              <w:rPr>
                <w:bCs/>
                <w:sz w:val="26"/>
                <w:szCs w:val="26"/>
                <w:lang w:val="lv-LV"/>
              </w:rPr>
              <w:t xml:space="preserve">juridiskajām personām deklarēt </w:t>
            </w:r>
            <w:r w:rsidR="00092E6D" w:rsidRPr="00E21AF2">
              <w:rPr>
                <w:sz w:val="26"/>
                <w:szCs w:val="26"/>
                <w:lang w:val="lv-LV"/>
              </w:rPr>
              <w:t>visus iepriekšējā mēneša laikā skaidrā naudā veiktos darījumus, kas pārsniedz 100</w:t>
            </w:r>
            <w:r w:rsidR="0069215E" w:rsidRPr="00E21AF2">
              <w:rPr>
                <w:sz w:val="26"/>
                <w:szCs w:val="26"/>
                <w:lang w:val="lv-LV"/>
              </w:rPr>
              <w:t>0</w:t>
            </w:r>
            <w:r w:rsidR="00092E6D" w:rsidRPr="00E21AF2">
              <w:rPr>
                <w:sz w:val="26"/>
                <w:szCs w:val="26"/>
                <w:lang w:val="lv-LV"/>
              </w:rPr>
              <w:t xml:space="preserve"> latu – arī ar fiziskajām personām, kurām atbilstoši nodokļu jomu reglamentējošajiem normatīvajiem aktiem nav jāreģistrējas VID kā saimnieciskās darbības veicējiem.</w:t>
            </w:r>
          </w:p>
          <w:p w:rsidR="006844CC" w:rsidRPr="00E21AF2" w:rsidRDefault="006844CC" w:rsidP="00F4045F">
            <w:pPr>
              <w:jc w:val="both"/>
              <w:rPr>
                <w:sz w:val="26"/>
                <w:szCs w:val="26"/>
                <w:lang w:val="lv-LV"/>
              </w:rPr>
            </w:pPr>
          </w:p>
          <w:p w:rsidR="00BA0528" w:rsidRPr="00E21AF2" w:rsidRDefault="006844CC" w:rsidP="00BA0528">
            <w:pPr>
              <w:jc w:val="both"/>
              <w:rPr>
                <w:sz w:val="26"/>
                <w:szCs w:val="26"/>
                <w:lang w:val="lv-LV"/>
              </w:rPr>
            </w:pPr>
            <w:r w:rsidRPr="00E21AF2">
              <w:rPr>
                <w:sz w:val="26"/>
                <w:szCs w:val="26"/>
                <w:lang w:val="lv-LV"/>
              </w:rPr>
              <w:t>Likuma 34.</w:t>
            </w:r>
            <w:r w:rsidRPr="00E21AF2">
              <w:rPr>
                <w:sz w:val="26"/>
                <w:szCs w:val="26"/>
                <w:vertAlign w:val="superscript"/>
                <w:lang w:val="lv-LV"/>
              </w:rPr>
              <w:t>1</w:t>
            </w:r>
            <w:r w:rsidRPr="00E21AF2">
              <w:rPr>
                <w:sz w:val="26"/>
                <w:szCs w:val="26"/>
                <w:lang w:val="lv-LV"/>
              </w:rPr>
              <w:t xml:space="preserve"> pantā ir reglamentēta nodokļu maksātāja saimnieciskās darbības apturēšana normatīvo aktu pārkāpumu gadījumos. Tomēr pastāvošais regulējums satur nepilnības, kuru dēļ tā piemērošana nav efektīva. Konstatējot normatīvo aktu pārkāpumus, speciālās pārbaudes veikšanai uz laiku, kas nav ilgāks par 10 dienām, aptur nodokļu maksātāja struktūrvienības darbību, kurā noticis pārkāpums. Veicot speciālo pārbaudi, var </w:t>
            </w:r>
            <w:r w:rsidRPr="00E21AF2">
              <w:rPr>
                <w:sz w:val="26"/>
                <w:szCs w:val="26"/>
                <w:lang w:val="lv-LV"/>
              </w:rPr>
              <w:lastRenderedPageBreak/>
              <w:t>tikt apzināta nodokļu revīzijas (audita) veikšanas nepieciešamība. Pastāvošā saimnieciskās darbības apturēšanas kārtība ir darbietilpīga un nesasniedz mērķi – liegt ar saimniecisko darbību nodarboties nodokļu maksātājiem, kuri pieļauj būtisku normatīvo aktu pārkāpumus un neizpilda nodokļu administrācijas prasības, ir jāaptur tikai būtisku pārkāpumu konstatēšanas gadījumā.</w:t>
            </w:r>
          </w:p>
        </w:tc>
      </w:tr>
      <w:tr w:rsidR="0013525F" w:rsidRPr="00E21AF2" w:rsidTr="00DD0319">
        <w:trPr>
          <w:trHeight w:val="616"/>
          <w:tblCellSpacing w:w="0" w:type="dxa"/>
        </w:trPr>
        <w:tc>
          <w:tcPr>
            <w:tcW w:w="528" w:type="dxa"/>
            <w:tcBorders>
              <w:top w:val="outset" w:sz="6" w:space="0" w:color="auto"/>
              <w:left w:val="outset" w:sz="6" w:space="0" w:color="auto"/>
              <w:bottom w:val="outset" w:sz="6" w:space="0" w:color="auto"/>
              <w:right w:val="outset" w:sz="6" w:space="0" w:color="auto"/>
            </w:tcBorders>
          </w:tcPr>
          <w:p w:rsidR="0013525F" w:rsidRPr="00E21AF2" w:rsidRDefault="0013525F" w:rsidP="00014D26">
            <w:pPr>
              <w:pStyle w:val="naiskr"/>
              <w:rPr>
                <w:sz w:val="26"/>
                <w:szCs w:val="26"/>
              </w:rPr>
            </w:pPr>
            <w:r w:rsidRPr="00E21AF2">
              <w:rPr>
                <w:sz w:val="26"/>
                <w:szCs w:val="26"/>
              </w:rPr>
              <w:lastRenderedPageBreak/>
              <w:t> 3.</w:t>
            </w:r>
          </w:p>
        </w:tc>
        <w:tc>
          <w:tcPr>
            <w:tcW w:w="1897" w:type="dxa"/>
            <w:tcBorders>
              <w:top w:val="outset" w:sz="6" w:space="0" w:color="auto"/>
              <w:left w:val="outset" w:sz="6" w:space="0" w:color="auto"/>
              <w:bottom w:val="outset" w:sz="6" w:space="0" w:color="auto"/>
              <w:right w:val="outset" w:sz="6" w:space="0" w:color="auto"/>
            </w:tcBorders>
          </w:tcPr>
          <w:p w:rsidR="0013525F" w:rsidRPr="00E21AF2" w:rsidRDefault="0013525F" w:rsidP="00014D26">
            <w:pPr>
              <w:pStyle w:val="naiskr"/>
              <w:rPr>
                <w:sz w:val="26"/>
                <w:szCs w:val="26"/>
              </w:rPr>
            </w:pPr>
            <w:r w:rsidRPr="00E21AF2">
              <w:rPr>
                <w:sz w:val="26"/>
                <w:szCs w:val="26"/>
              </w:rPr>
              <w:t>Saistītie politikas ietekmes novērtējumi un pētījumi</w:t>
            </w:r>
          </w:p>
        </w:tc>
        <w:tc>
          <w:tcPr>
            <w:tcW w:w="6824" w:type="dxa"/>
            <w:tcBorders>
              <w:top w:val="outset" w:sz="6" w:space="0" w:color="auto"/>
              <w:left w:val="outset" w:sz="6" w:space="0" w:color="auto"/>
              <w:bottom w:val="outset" w:sz="6" w:space="0" w:color="auto"/>
              <w:right w:val="outset" w:sz="6" w:space="0" w:color="auto"/>
            </w:tcBorders>
          </w:tcPr>
          <w:p w:rsidR="0013525F" w:rsidRPr="00E21AF2" w:rsidRDefault="0013525F" w:rsidP="00014D26">
            <w:pPr>
              <w:pStyle w:val="naiskr"/>
              <w:rPr>
                <w:sz w:val="26"/>
                <w:szCs w:val="26"/>
              </w:rPr>
            </w:pPr>
            <w:r w:rsidRPr="00E21AF2">
              <w:rPr>
                <w:sz w:val="26"/>
                <w:szCs w:val="26"/>
              </w:rPr>
              <w:t> Nav attiecināms.</w:t>
            </w:r>
          </w:p>
        </w:tc>
      </w:tr>
      <w:tr w:rsidR="0013525F" w:rsidRPr="00E21AF2" w:rsidTr="00DD0319">
        <w:trPr>
          <w:trHeight w:val="694"/>
          <w:tblCellSpacing w:w="0" w:type="dxa"/>
        </w:trPr>
        <w:tc>
          <w:tcPr>
            <w:tcW w:w="528" w:type="dxa"/>
            <w:tcBorders>
              <w:top w:val="outset" w:sz="6" w:space="0" w:color="auto"/>
              <w:left w:val="outset" w:sz="6" w:space="0" w:color="auto"/>
              <w:bottom w:val="outset" w:sz="6" w:space="0" w:color="auto"/>
              <w:right w:val="outset" w:sz="6" w:space="0" w:color="auto"/>
            </w:tcBorders>
          </w:tcPr>
          <w:p w:rsidR="0013525F" w:rsidRPr="00E21AF2" w:rsidRDefault="0013525F" w:rsidP="00014D26">
            <w:pPr>
              <w:pStyle w:val="naiskr"/>
              <w:rPr>
                <w:sz w:val="26"/>
                <w:szCs w:val="26"/>
              </w:rPr>
            </w:pPr>
            <w:r w:rsidRPr="00E21AF2">
              <w:rPr>
                <w:sz w:val="26"/>
                <w:szCs w:val="26"/>
              </w:rPr>
              <w:t> 4.</w:t>
            </w:r>
          </w:p>
        </w:tc>
        <w:tc>
          <w:tcPr>
            <w:tcW w:w="1897" w:type="dxa"/>
            <w:tcBorders>
              <w:top w:val="outset" w:sz="6" w:space="0" w:color="auto"/>
              <w:left w:val="outset" w:sz="6" w:space="0" w:color="auto"/>
              <w:bottom w:val="outset" w:sz="6" w:space="0" w:color="auto"/>
              <w:right w:val="outset" w:sz="6" w:space="0" w:color="auto"/>
            </w:tcBorders>
          </w:tcPr>
          <w:p w:rsidR="0013525F" w:rsidRPr="00E21AF2" w:rsidRDefault="0013525F" w:rsidP="00014D26">
            <w:pPr>
              <w:pStyle w:val="naiskr"/>
              <w:rPr>
                <w:sz w:val="26"/>
                <w:szCs w:val="26"/>
              </w:rPr>
            </w:pPr>
            <w:r w:rsidRPr="00E21AF2">
              <w:rPr>
                <w:sz w:val="26"/>
                <w:szCs w:val="26"/>
              </w:rPr>
              <w:t> Tiesiskā regulējuma mērķis un būtība</w:t>
            </w:r>
          </w:p>
        </w:tc>
        <w:tc>
          <w:tcPr>
            <w:tcW w:w="6824" w:type="dxa"/>
            <w:tcBorders>
              <w:top w:val="outset" w:sz="6" w:space="0" w:color="auto"/>
              <w:left w:val="outset" w:sz="6" w:space="0" w:color="auto"/>
              <w:bottom w:val="outset" w:sz="6" w:space="0" w:color="auto"/>
              <w:right w:val="outset" w:sz="6" w:space="0" w:color="auto"/>
            </w:tcBorders>
          </w:tcPr>
          <w:p w:rsidR="002173FE" w:rsidRPr="00E21AF2" w:rsidRDefault="0013525F" w:rsidP="00A67197">
            <w:pPr>
              <w:jc w:val="both"/>
              <w:rPr>
                <w:sz w:val="26"/>
                <w:szCs w:val="26"/>
                <w:lang w:val="lv-LV"/>
              </w:rPr>
            </w:pPr>
            <w:r w:rsidRPr="00E21AF2">
              <w:rPr>
                <w:sz w:val="26"/>
                <w:szCs w:val="26"/>
                <w:lang w:val="lv-LV"/>
              </w:rPr>
              <w:t>Likumprojekta mērķis ir</w:t>
            </w:r>
            <w:r w:rsidR="00A67197" w:rsidRPr="00E21AF2">
              <w:rPr>
                <w:sz w:val="26"/>
                <w:szCs w:val="26"/>
                <w:lang w:val="lv-LV"/>
              </w:rPr>
              <w:t xml:space="preserve"> </w:t>
            </w:r>
            <w:r w:rsidR="00EF24FF" w:rsidRPr="00E21AF2">
              <w:rPr>
                <w:sz w:val="26"/>
                <w:szCs w:val="26"/>
                <w:lang w:val="lv-LV"/>
              </w:rPr>
              <w:t xml:space="preserve">paaugstināt nodokļu </w:t>
            </w:r>
            <w:r w:rsidR="00EE0B26" w:rsidRPr="00E21AF2">
              <w:rPr>
                <w:sz w:val="26"/>
                <w:szCs w:val="26"/>
                <w:lang w:val="lv-LV"/>
              </w:rPr>
              <w:t xml:space="preserve">kontroles un </w:t>
            </w:r>
            <w:r w:rsidR="00A67197" w:rsidRPr="00E21AF2">
              <w:rPr>
                <w:sz w:val="26"/>
                <w:szCs w:val="26"/>
                <w:lang w:val="lv-LV"/>
              </w:rPr>
              <w:t>administrēšanas efektivitāti</w:t>
            </w:r>
            <w:r w:rsidR="00C57284" w:rsidRPr="00E21AF2">
              <w:rPr>
                <w:sz w:val="26"/>
                <w:szCs w:val="26"/>
                <w:lang w:val="lv-LV"/>
              </w:rPr>
              <w:t xml:space="preserve">, lai novērstu izvairīšanos no nodokļu </w:t>
            </w:r>
            <w:r w:rsidR="00CF24A1" w:rsidRPr="00E21AF2">
              <w:rPr>
                <w:sz w:val="26"/>
                <w:szCs w:val="26"/>
                <w:lang w:val="lv-LV"/>
              </w:rPr>
              <w:t>no</w:t>
            </w:r>
            <w:r w:rsidR="002173FE" w:rsidRPr="00E21AF2">
              <w:rPr>
                <w:sz w:val="26"/>
                <w:szCs w:val="26"/>
                <w:lang w:val="lv-LV"/>
              </w:rPr>
              <w:t>m</w:t>
            </w:r>
            <w:r w:rsidR="00CF24A1" w:rsidRPr="00E21AF2">
              <w:rPr>
                <w:sz w:val="26"/>
                <w:szCs w:val="26"/>
                <w:lang w:val="lv-LV"/>
              </w:rPr>
              <w:t>aksas.</w:t>
            </w:r>
          </w:p>
          <w:p w:rsidR="00A67197" w:rsidRPr="00E21AF2" w:rsidRDefault="00C57284" w:rsidP="00A67197">
            <w:pPr>
              <w:jc w:val="both"/>
              <w:rPr>
                <w:sz w:val="26"/>
                <w:szCs w:val="26"/>
                <w:lang w:val="lv-LV"/>
              </w:rPr>
            </w:pPr>
            <w:r w:rsidRPr="00E21AF2">
              <w:rPr>
                <w:sz w:val="26"/>
                <w:szCs w:val="26"/>
                <w:lang w:val="lv-LV"/>
              </w:rPr>
              <w:t xml:space="preserve"> </w:t>
            </w:r>
            <w:r w:rsidR="00A67197" w:rsidRPr="00E21AF2">
              <w:rPr>
                <w:sz w:val="26"/>
                <w:szCs w:val="26"/>
                <w:lang w:val="lv-LV"/>
              </w:rPr>
              <w:t xml:space="preserve"> </w:t>
            </w:r>
            <w:r w:rsidR="002173FE" w:rsidRPr="00E21AF2">
              <w:rPr>
                <w:sz w:val="26"/>
                <w:szCs w:val="26"/>
                <w:lang w:val="lv-LV"/>
              </w:rPr>
              <w:t xml:space="preserve">   </w:t>
            </w:r>
            <w:r w:rsidR="00A67197" w:rsidRPr="00E21AF2">
              <w:rPr>
                <w:sz w:val="26"/>
                <w:szCs w:val="26"/>
                <w:lang w:val="lv-LV"/>
              </w:rPr>
              <w:t>Likumprojekts paredz:</w:t>
            </w:r>
          </w:p>
          <w:p w:rsidR="00734296" w:rsidRPr="00E21AF2" w:rsidRDefault="00054EC4" w:rsidP="00F90729">
            <w:pPr>
              <w:pStyle w:val="ListParagraph"/>
              <w:numPr>
                <w:ilvl w:val="0"/>
                <w:numId w:val="2"/>
              </w:numPr>
              <w:ind w:left="71" w:firstLine="349"/>
              <w:jc w:val="both"/>
              <w:rPr>
                <w:sz w:val="26"/>
                <w:szCs w:val="26"/>
                <w:lang w:val="lv-LV"/>
              </w:rPr>
            </w:pPr>
            <w:r w:rsidRPr="00E21AF2">
              <w:rPr>
                <w:sz w:val="26"/>
                <w:szCs w:val="26"/>
                <w:lang w:val="lv-LV"/>
              </w:rPr>
              <w:t xml:space="preserve">paplašināt  šobrīd </w:t>
            </w:r>
            <w:r w:rsidR="0069001C" w:rsidRPr="00E21AF2">
              <w:rPr>
                <w:sz w:val="26"/>
                <w:szCs w:val="26"/>
                <w:lang w:val="lv-LV"/>
              </w:rPr>
              <w:t>esošo tiesisko regulējumu</w:t>
            </w:r>
            <w:r w:rsidR="00EE0B26" w:rsidRPr="00E21AF2">
              <w:rPr>
                <w:sz w:val="26"/>
                <w:szCs w:val="26"/>
                <w:lang w:val="lv-LV"/>
              </w:rPr>
              <w:t xml:space="preserve">, </w:t>
            </w:r>
            <w:r w:rsidRPr="00E21AF2">
              <w:rPr>
                <w:sz w:val="26"/>
                <w:szCs w:val="26"/>
                <w:lang w:val="lv-LV"/>
              </w:rPr>
              <w:t xml:space="preserve">  </w:t>
            </w:r>
            <w:r w:rsidR="0069001C" w:rsidRPr="00E21AF2">
              <w:rPr>
                <w:sz w:val="26"/>
                <w:szCs w:val="26"/>
                <w:lang w:val="lv-LV"/>
              </w:rPr>
              <w:t>p</w:t>
            </w:r>
            <w:r w:rsidR="00734296" w:rsidRPr="00E21AF2">
              <w:rPr>
                <w:sz w:val="26"/>
                <w:szCs w:val="26"/>
                <w:lang w:val="lv-LV"/>
              </w:rPr>
              <w:t xml:space="preserve">iemērojot </w:t>
            </w:r>
            <w:r w:rsidR="0069001C" w:rsidRPr="00E21AF2">
              <w:rPr>
                <w:sz w:val="26"/>
                <w:szCs w:val="26"/>
                <w:lang w:val="lv-LV"/>
              </w:rPr>
              <w:t>likuma „Par nodokļiem un nodevām”</w:t>
            </w:r>
            <w:r w:rsidR="00734296" w:rsidRPr="00E21AF2">
              <w:rPr>
                <w:sz w:val="26"/>
                <w:szCs w:val="26"/>
                <w:lang w:val="lv-LV"/>
              </w:rPr>
              <w:t xml:space="preserve"> </w:t>
            </w:r>
            <w:r w:rsidR="0069001C" w:rsidRPr="00E21AF2">
              <w:rPr>
                <w:sz w:val="26"/>
                <w:szCs w:val="26"/>
                <w:lang w:val="lv-LV"/>
              </w:rPr>
              <w:t>14.</w:t>
            </w:r>
            <w:r w:rsidR="00734296" w:rsidRPr="00E21AF2">
              <w:rPr>
                <w:sz w:val="26"/>
                <w:szCs w:val="26"/>
                <w:lang w:val="lv-LV"/>
              </w:rPr>
              <w:t>panta astotās daļas 4.punktu</w:t>
            </w:r>
            <w:r w:rsidR="00E9027E" w:rsidRPr="00E21AF2">
              <w:rPr>
                <w:sz w:val="26"/>
                <w:szCs w:val="26"/>
                <w:lang w:val="lv-LV"/>
              </w:rPr>
              <w:t>,</w:t>
            </w:r>
            <w:r w:rsidR="00734296" w:rsidRPr="00E21AF2">
              <w:rPr>
                <w:sz w:val="26"/>
                <w:szCs w:val="26"/>
                <w:lang w:val="lv-LV"/>
              </w:rPr>
              <w:t xml:space="preserve"> par nodokļu maksātāju tiks uzskatīta persona, kurai ir piešķirtas un kura regulāri (vairāk nekā vienu reizi taksācijas periodā) izmanto pilnvaras noslēgt līgumus tās juridiskās, fiziskās vai citas personas vārdā, kura atrodas, ir izveidota vai nodibināta:</w:t>
            </w:r>
          </w:p>
          <w:p w:rsidR="00734296" w:rsidRPr="00E21AF2" w:rsidRDefault="00054EC4" w:rsidP="00F90729">
            <w:pPr>
              <w:pStyle w:val="ListParagraph"/>
              <w:ind w:left="0" w:firstLine="496"/>
              <w:jc w:val="both"/>
              <w:rPr>
                <w:sz w:val="26"/>
                <w:szCs w:val="26"/>
                <w:lang w:val="lv-LV"/>
              </w:rPr>
            </w:pPr>
            <w:r w:rsidRPr="00E21AF2">
              <w:rPr>
                <w:sz w:val="26"/>
                <w:szCs w:val="26"/>
                <w:lang w:val="lv-LV"/>
              </w:rPr>
              <w:t xml:space="preserve"> </w:t>
            </w:r>
            <w:r w:rsidR="00734296" w:rsidRPr="00E21AF2">
              <w:rPr>
                <w:sz w:val="26"/>
                <w:szCs w:val="26"/>
                <w:lang w:val="lv-LV"/>
              </w:rPr>
              <w:t>1) normatīvajos aktos par zemu nodokļu vai beznodokļu valstīm un teritorijām mi</w:t>
            </w:r>
            <w:r w:rsidR="00E9027E" w:rsidRPr="00E21AF2">
              <w:rPr>
                <w:sz w:val="26"/>
                <w:szCs w:val="26"/>
                <w:lang w:val="lv-LV"/>
              </w:rPr>
              <w:t>nētajās valstīs vai teritorijās;</w:t>
            </w:r>
            <w:r w:rsidR="00734296" w:rsidRPr="00E21AF2">
              <w:rPr>
                <w:sz w:val="26"/>
                <w:szCs w:val="26"/>
                <w:lang w:val="lv-LV"/>
              </w:rPr>
              <w:t xml:space="preserve"> </w:t>
            </w:r>
          </w:p>
          <w:p w:rsidR="00734296" w:rsidRPr="00E21AF2" w:rsidRDefault="00F90729" w:rsidP="00F90729">
            <w:pPr>
              <w:pStyle w:val="ListParagraph"/>
              <w:ind w:left="71" w:firstLine="425"/>
              <w:jc w:val="both"/>
              <w:rPr>
                <w:sz w:val="26"/>
                <w:szCs w:val="26"/>
                <w:lang w:val="lv-LV"/>
              </w:rPr>
            </w:pPr>
            <w:r w:rsidRPr="00E21AF2">
              <w:rPr>
                <w:sz w:val="26"/>
                <w:szCs w:val="26"/>
                <w:lang w:val="lv-LV"/>
              </w:rPr>
              <w:t xml:space="preserve"> </w:t>
            </w:r>
            <w:r w:rsidR="00734296" w:rsidRPr="00E21AF2">
              <w:rPr>
                <w:sz w:val="26"/>
                <w:szCs w:val="26"/>
                <w:lang w:val="lv-LV"/>
              </w:rPr>
              <w:t xml:space="preserve">2) valstī, ar kuru Latvijas Republikai nav noslēgto starptautisko līgumu par nodokļu dubultās uzlikšanas un nodokļu nemaksāšanas novēršanu </w:t>
            </w:r>
            <w:r w:rsidR="00535701" w:rsidRPr="00E21AF2">
              <w:rPr>
                <w:sz w:val="26"/>
                <w:szCs w:val="26"/>
                <w:lang w:val="lv-LV"/>
              </w:rPr>
              <w:t>attiecībā uz ienākuma nodokļiem.</w:t>
            </w:r>
          </w:p>
          <w:p w:rsidR="00ED68EA" w:rsidRPr="00E21AF2" w:rsidRDefault="0069001C" w:rsidP="005C66E7">
            <w:pPr>
              <w:pStyle w:val="ListParagraph"/>
              <w:numPr>
                <w:ilvl w:val="0"/>
                <w:numId w:val="2"/>
              </w:numPr>
              <w:ind w:left="-15" w:firstLine="435"/>
              <w:jc w:val="both"/>
              <w:rPr>
                <w:sz w:val="26"/>
                <w:szCs w:val="26"/>
                <w:lang w:val="lv-LV"/>
              </w:rPr>
            </w:pPr>
            <w:r w:rsidRPr="00E21AF2">
              <w:rPr>
                <w:sz w:val="26"/>
                <w:szCs w:val="26"/>
                <w:lang w:val="lv-LV"/>
              </w:rPr>
              <w:t xml:space="preserve">noteikt </w:t>
            </w:r>
            <w:r w:rsidR="00C57284" w:rsidRPr="00E21AF2">
              <w:rPr>
                <w:sz w:val="26"/>
                <w:szCs w:val="26"/>
                <w:lang w:val="lv-LV"/>
              </w:rPr>
              <w:t>nodokļu maksātāja pienākumu</w:t>
            </w:r>
            <w:r w:rsidR="00ED68EA" w:rsidRPr="00E21AF2">
              <w:rPr>
                <w:sz w:val="26"/>
                <w:szCs w:val="26"/>
                <w:lang w:val="lv-LV"/>
              </w:rPr>
              <w:t xml:space="preserve"> attiecībā u</w:t>
            </w:r>
            <w:r w:rsidR="00C57284" w:rsidRPr="00E21AF2">
              <w:rPr>
                <w:sz w:val="26"/>
                <w:szCs w:val="26"/>
                <w:lang w:val="lv-LV"/>
              </w:rPr>
              <w:t>z informācijas sniegšanu, lai ap</w:t>
            </w:r>
            <w:r w:rsidR="00ED68EA" w:rsidRPr="00E21AF2">
              <w:rPr>
                <w:sz w:val="26"/>
                <w:szCs w:val="26"/>
                <w:lang w:val="lv-LV"/>
              </w:rPr>
              <w:t>liecinātu darījuma cenas atbilstību tirgus cenai dar</w:t>
            </w:r>
            <w:r w:rsidRPr="00E21AF2">
              <w:rPr>
                <w:sz w:val="26"/>
                <w:szCs w:val="26"/>
                <w:lang w:val="lv-LV"/>
              </w:rPr>
              <w:t>ījumos ar saistītiem uzņēmumiem</w:t>
            </w:r>
            <w:r w:rsidR="00E9027E" w:rsidRPr="00E21AF2">
              <w:rPr>
                <w:sz w:val="26"/>
                <w:szCs w:val="26"/>
                <w:lang w:val="lv-LV"/>
              </w:rPr>
              <w:t>;</w:t>
            </w:r>
          </w:p>
          <w:p w:rsidR="00C57284" w:rsidRPr="00E21AF2" w:rsidRDefault="0069001C" w:rsidP="005C66E7">
            <w:pPr>
              <w:pStyle w:val="ListParagraph"/>
              <w:numPr>
                <w:ilvl w:val="0"/>
                <w:numId w:val="2"/>
              </w:numPr>
              <w:ind w:left="0" w:firstLine="410"/>
              <w:jc w:val="both"/>
              <w:rPr>
                <w:sz w:val="26"/>
                <w:szCs w:val="26"/>
                <w:lang w:val="lv-LV"/>
              </w:rPr>
            </w:pPr>
            <w:r w:rsidRPr="00E21AF2">
              <w:rPr>
                <w:sz w:val="26"/>
                <w:szCs w:val="26"/>
                <w:lang w:val="lv-LV"/>
              </w:rPr>
              <w:t xml:space="preserve">noteikt </w:t>
            </w:r>
            <w:r w:rsidR="002173FE" w:rsidRPr="00E21AF2">
              <w:rPr>
                <w:sz w:val="26"/>
                <w:szCs w:val="26"/>
                <w:lang w:val="lv-LV"/>
              </w:rPr>
              <w:t>nodokļu maksātāja</w:t>
            </w:r>
            <w:r w:rsidR="00C57284" w:rsidRPr="00E21AF2">
              <w:rPr>
                <w:sz w:val="26"/>
                <w:szCs w:val="26"/>
                <w:lang w:val="lv-LV"/>
              </w:rPr>
              <w:t xml:space="preserve"> tiesības slēgt </w:t>
            </w:r>
            <w:r w:rsidR="00EE0B26" w:rsidRPr="00E21AF2">
              <w:rPr>
                <w:sz w:val="26"/>
                <w:szCs w:val="26"/>
                <w:lang w:val="lv-LV"/>
              </w:rPr>
              <w:t xml:space="preserve">iepriekšējo </w:t>
            </w:r>
            <w:r w:rsidR="00C57284" w:rsidRPr="00E21AF2">
              <w:rPr>
                <w:sz w:val="26"/>
                <w:szCs w:val="26"/>
                <w:lang w:val="lv-LV"/>
              </w:rPr>
              <w:t>vienošanos ar nodokļu administrāciju par darījuma tirgus vērtības (cenas) noteikšanu konkrētam darījumam vai darījuma veidam</w:t>
            </w:r>
            <w:r w:rsidR="00E9027E" w:rsidRPr="00E21AF2">
              <w:rPr>
                <w:sz w:val="26"/>
                <w:szCs w:val="26"/>
                <w:lang w:val="lv-LV"/>
              </w:rPr>
              <w:t>;</w:t>
            </w:r>
          </w:p>
          <w:p w:rsidR="0069215E" w:rsidRPr="00E21AF2" w:rsidRDefault="00ED68EA" w:rsidP="0069215E">
            <w:pPr>
              <w:pStyle w:val="ListParagraph"/>
              <w:numPr>
                <w:ilvl w:val="0"/>
                <w:numId w:val="2"/>
              </w:numPr>
              <w:ind w:left="-15" w:firstLine="425"/>
              <w:jc w:val="both"/>
              <w:rPr>
                <w:sz w:val="26"/>
                <w:szCs w:val="26"/>
                <w:lang w:val="lv-LV"/>
              </w:rPr>
            </w:pPr>
            <w:r w:rsidRPr="00E21AF2">
              <w:rPr>
                <w:sz w:val="26"/>
                <w:szCs w:val="26"/>
                <w:lang w:val="lv-LV"/>
              </w:rPr>
              <w:t>neatt</w:t>
            </w:r>
            <w:r w:rsidR="0094379E" w:rsidRPr="00E21AF2">
              <w:rPr>
                <w:sz w:val="26"/>
                <w:szCs w:val="26"/>
                <w:lang w:val="lv-LV"/>
              </w:rPr>
              <w:t>i</w:t>
            </w:r>
            <w:r w:rsidRPr="00E21AF2">
              <w:rPr>
                <w:sz w:val="26"/>
                <w:szCs w:val="26"/>
                <w:lang w:val="lv-LV"/>
              </w:rPr>
              <w:t xml:space="preserve">ecināt </w:t>
            </w:r>
            <w:r w:rsidR="0094379E" w:rsidRPr="00E21AF2">
              <w:rPr>
                <w:sz w:val="26"/>
                <w:szCs w:val="26"/>
                <w:lang w:val="lv-LV"/>
              </w:rPr>
              <w:t xml:space="preserve">šobrīd likumā </w:t>
            </w:r>
            <w:r w:rsidR="002173FE" w:rsidRPr="00E21AF2">
              <w:rPr>
                <w:sz w:val="26"/>
                <w:szCs w:val="26"/>
                <w:lang w:val="lv-LV"/>
              </w:rPr>
              <w:t>noteiktos</w:t>
            </w:r>
            <w:r w:rsidR="0094379E" w:rsidRPr="00E21AF2">
              <w:rPr>
                <w:sz w:val="26"/>
                <w:szCs w:val="26"/>
                <w:lang w:val="lv-LV"/>
              </w:rPr>
              <w:t xml:space="preserve"> </w:t>
            </w:r>
            <w:r w:rsidRPr="00E21AF2">
              <w:rPr>
                <w:sz w:val="26"/>
                <w:szCs w:val="26"/>
                <w:lang w:val="lv-LV"/>
              </w:rPr>
              <w:t>ierobežojumu</w:t>
            </w:r>
            <w:r w:rsidR="0094379E" w:rsidRPr="00E21AF2">
              <w:rPr>
                <w:sz w:val="26"/>
                <w:szCs w:val="26"/>
                <w:lang w:val="lv-LV"/>
              </w:rPr>
              <w:t>s</w:t>
            </w:r>
            <w:r w:rsidR="0069001C" w:rsidRPr="00E21AF2">
              <w:rPr>
                <w:sz w:val="26"/>
                <w:szCs w:val="26"/>
                <w:lang w:val="lv-LV"/>
              </w:rPr>
              <w:t xml:space="preserve"> uz darījumu cenu auditiem</w:t>
            </w:r>
            <w:r w:rsidR="00E9027E" w:rsidRPr="00E21AF2">
              <w:rPr>
                <w:sz w:val="26"/>
                <w:szCs w:val="26"/>
                <w:lang w:val="lv-LV"/>
              </w:rPr>
              <w:t>;</w:t>
            </w:r>
          </w:p>
          <w:p w:rsidR="008C2EC1" w:rsidRPr="00E21AF2" w:rsidRDefault="0069215E" w:rsidP="0069215E">
            <w:pPr>
              <w:pStyle w:val="ListParagraph"/>
              <w:numPr>
                <w:ilvl w:val="0"/>
                <w:numId w:val="2"/>
              </w:numPr>
              <w:ind w:left="-15" w:firstLine="425"/>
              <w:jc w:val="both"/>
              <w:rPr>
                <w:sz w:val="26"/>
                <w:szCs w:val="26"/>
                <w:lang w:val="lv-LV"/>
              </w:rPr>
            </w:pPr>
            <w:r w:rsidRPr="00E21AF2">
              <w:rPr>
                <w:sz w:val="26"/>
                <w:szCs w:val="26"/>
                <w:lang w:val="lv-LV"/>
              </w:rPr>
              <w:t xml:space="preserve">noteikt pienākumu </w:t>
            </w:r>
            <w:r w:rsidRPr="00E21AF2">
              <w:rPr>
                <w:bCs/>
                <w:sz w:val="26"/>
                <w:szCs w:val="26"/>
                <w:lang w:val="lv-LV"/>
              </w:rPr>
              <w:t xml:space="preserve">juridiskajām personām deklarēt </w:t>
            </w:r>
            <w:r w:rsidRPr="00E21AF2">
              <w:rPr>
                <w:sz w:val="26"/>
                <w:szCs w:val="26"/>
                <w:lang w:val="lv-LV"/>
              </w:rPr>
              <w:t>visus iepriekšējā mēneša laikā skaidrā naudā veiktos darījumus, kas pārsniedz 1000 latu – arī ar fiziskajām personām, kurām atbilstoši nodokļu jomu reglamentējošajiem normatīvajiem aktiem nav jāreģistrējas VID kā saimnieciskās darbības veicējiem</w:t>
            </w:r>
          </w:p>
          <w:p w:rsidR="00092E6D" w:rsidRPr="00E21AF2" w:rsidRDefault="008C2EC1" w:rsidP="0069215E">
            <w:pPr>
              <w:pStyle w:val="ListParagraph"/>
              <w:numPr>
                <w:ilvl w:val="0"/>
                <w:numId w:val="2"/>
              </w:numPr>
              <w:ind w:left="-15" w:firstLine="425"/>
              <w:jc w:val="both"/>
              <w:rPr>
                <w:sz w:val="26"/>
                <w:szCs w:val="26"/>
                <w:lang w:val="lv-LV"/>
              </w:rPr>
            </w:pPr>
            <w:r w:rsidRPr="00E21AF2">
              <w:rPr>
                <w:sz w:val="26"/>
                <w:szCs w:val="26"/>
                <w:lang w:val="lv-LV"/>
              </w:rPr>
              <w:t>samazina slieksni, sasniedzot kur</w:t>
            </w:r>
            <w:r w:rsidR="00944EF3" w:rsidRPr="00E21AF2">
              <w:rPr>
                <w:sz w:val="26"/>
                <w:szCs w:val="26"/>
                <w:lang w:val="lv-LV"/>
              </w:rPr>
              <w:t>u, ir nepieciešams deklarēt skai</w:t>
            </w:r>
            <w:r w:rsidRPr="00E21AF2">
              <w:rPr>
                <w:sz w:val="26"/>
                <w:szCs w:val="26"/>
                <w:lang w:val="lv-LV"/>
              </w:rPr>
              <w:t xml:space="preserve">drā naudā veiktos darījumus no 3000 uz 1000 latiem; kā arī samazina slieksni, sasniedzot kuru, nedrīkst veikt darījumus skaidrā naudā no 10000 latiem uz </w:t>
            </w:r>
            <w:r w:rsidR="00944EF3" w:rsidRPr="00E21AF2">
              <w:rPr>
                <w:sz w:val="26"/>
                <w:szCs w:val="26"/>
                <w:lang w:val="lv-LV"/>
              </w:rPr>
              <w:t>5000</w:t>
            </w:r>
            <w:r w:rsidRPr="00E21AF2">
              <w:rPr>
                <w:sz w:val="26"/>
                <w:szCs w:val="26"/>
                <w:lang w:val="lv-LV"/>
              </w:rPr>
              <w:t xml:space="preserve"> latiem</w:t>
            </w:r>
            <w:r w:rsidR="00E9027E" w:rsidRPr="00E21AF2">
              <w:rPr>
                <w:sz w:val="26"/>
                <w:szCs w:val="26"/>
                <w:lang w:val="lv-LV"/>
              </w:rPr>
              <w:t>;</w:t>
            </w:r>
          </w:p>
          <w:p w:rsidR="0069215E" w:rsidRPr="00E21AF2" w:rsidRDefault="006844CC" w:rsidP="002847C1">
            <w:pPr>
              <w:pStyle w:val="ListParagraph"/>
              <w:numPr>
                <w:ilvl w:val="0"/>
                <w:numId w:val="5"/>
              </w:numPr>
              <w:ind w:left="0" w:firstLine="410"/>
              <w:jc w:val="both"/>
              <w:rPr>
                <w:sz w:val="26"/>
                <w:szCs w:val="26"/>
                <w:lang w:val="lv-LV"/>
              </w:rPr>
            </w:pPr>
            <w:r w:rsidRPr="00E21AF2">
              <w:rPr>
                <w:sz w:val="26"/>
                <w:szCs w:val="26"/>
                <w:lang w:val="lv-LV"/>
              </w:rPr>
              <w:lastRenderedPageBreak/>
              <w:t>noteikt nodokļu maksātāju saimnieciskās darbības apturēšanas un atjaunošanas kārtību (brīdināšanu, lēmuma pieņemšanu un publicēšanu, lēmumu apstrīdēšanu), definēt pā</w:t>
            </w:r>
            <w:r w:rsidR="00BB42BC" w:rsidRPr="00E21AF2">
              <w:rPr>
                <w:sz w:val="26"/>
                <w:szCs w:val="26"/>
                <w:lang w:val="lv-LV"/>
              </w:rPr>
              <w:t>rkāpumu veidus, kā arī paredzēt nodokļu maksātāju pienākumu</w:t>
            </w:r>
            <w:r w:rsidRPr="00E21AF2">
              <w:rPr>
                <w:sz w:val="26"/>
                <w:szCs w:val="26"/>
                <w:lang w:val="lv-LV"/>
              </w:rPr>
              <w:t xml:space="preserve"> ievērot saimnieciskās darbības veikšanas aizliegumu.</w:t>
            </w:r>
            <w:r w:rsidR="00063F59" w:rsidRPr="00E21AF2">
              <w:rPr>
                <w:b/>
                <w:sz w:val="26"/>
                <w:szCs w:val="26"/>
                <w:lang w:val="lv-LV"/>
              </w:rPr>
              <w:t xml:space="preserve"> </w:t>
            </w:r>
          </w:p>
          <w:p w:rsidR="00124F4E" w:rsidRPr="00E21AF2" w:rsidRDefault="00D02F14" w:rsidP="004F096B">
            <w:pPr>
              <w:jc w:val="both"/>
              <w:rPr>
                <w:sz w:val="26"/>
                <w:szCs w:val="26"/>
                <w:lang w:val="lv-LV"/>
              </w:rPr>
            </w:pPr>
            <w:r w:rsidRPr="00E21AF2">
              <w:rPr>
                <w:sz w:val="26"/>
                <w:szCs w:val="26"/>
                <w:lang w:val="lv-LV"/>
              </w:rPr>
              <w:t xml:space="preserve">Paredzēts paplašināt to gadījumu loku, kuros komersanta darbība var tikt apturēta, liedzot turpināt normatīvajiem aktiem neatbilstošu komercdarbību. Apturot saimniecisko darbību, tiks veikti papildus komersanta darbību ierobežojošie pasākumi, piemēram, speciālo atļauju (licenču) anulēšana, norēķinu operāciju apturēšana, struktūrvienību vai citu saimnieciskās darbības veikšanas vietu noplombēšana vai aizzīmogošana. </w:t>
            </w:r>
            <w:r w:rsidR="0071042E" w:rsidRPr="00E21AF2">
              <w:rPr>
                <w:b/>
                <w:sz w:val="26"/>
                <w:szCs w:val="26"/>
                <w:lang w:val="lv-LV"/>
              </w:rPr>
              <w:t xml:space="preserve">VID būs tiesības apturēt nodokļu maksātāja saimniecisko darbību tikai tajā gadījumā, ja nodokļu maksātājs izdarīs smagu pārkāpumu, kas ietekmē maksājamo nodokļu apmēru, turklāt nodokļu maksātājam ir iespēja novērst konstatēto pārkāpumu un saimnieciskā darbība tiks atjaunota vai arī nemaz netiks apturēta. </w:t>
            </w:r>
            <w:r w:rsidRPr="00E21AF2">
              <w:rPr>
                <w:sz w:val="26"/>
                <w:szCs w:val="26"/>
                <w:lang w:val="lv-LV"/>
              </w:rPr>
              <w:t xml:space="preserve">Ja komersants </w:t>
            </w:r>
            <w:r w:rsidR="004F096B" w:rsidRPr="00E21AF2">
              <w:rPr>
                <w:sz w:val="26"/>
                <w:szCs w:val="26"/>
                <w:lang w:val="lv-LV"/>
              </w:rPr>
              <w:t>nenovērsī</w:t>
            </w:r>
            <w:r w:rsidRPr="00E21AF2">
              <w:rPr>
                <w:sz w:val="26"/>
                <w:szCs w:val="26"/>
                <w:lang w:val="lv-LV"/>
              </w:rPr>
              <w:t>s pārkāpumu</w:t>
            </w:r>
            <w:r w:rsidR="004F096B" w:rsidRPr="00E21AF2">
              <w:rPr>
                <w:sz w:val="26"/>
                <w:szCs w:val="26"/>
                <w:lang w:val="lv-LV"/>
              </w:rPr>
              <w:t>,</w:t>
            </w:r>
            <w:r w:rsidR="0071042E" w:rsidRPr="00E21AF2">
              <w:rPr>
                <w:sz w:val="26"/>
                <w:szCs w:val="26"/>
                <w:lang w:val="lv-LV"/>
              </w:rPr>
              <w:t xml:space="preserve"> </w:t>
            </w:r>
            <w:r w:rsidR="00063F59" w:rsidRPr="00E21AF2">
              <w:rPr>
                <w:sz w:val="26"/>
                <w:szCs w:val="26"/>
                <w:lang w:val="lv-LV"/>
              </w:rPr>
              <w:t>VID</w:t>
            </w:r>
            <w:r w:rsidR="004F096B" w:rsidRPr="00E21AF2">
              <w:rPr>
                <w:sz w:val="26"/>
                <w:szCs w:val="26"/>
                <w:lang w:val="lv-LV"/>
              </w:rPr>
              <w:t xml:space="preserve"> tam neatjaunos saimniecisko darbību</w:t>
            </w:r>
            <w:r w:rsidRPr="00E21AF2">
              <w:rPr>
                <w:sz w:val="26"/>
                <w:szCs w:val="26"/>
                <w:lang w:val="lv-LV"/>
              </w:rPr>
              <w:t>.</w:t>
            </w:r>
          </w:p>
        </w:tc>
      </w:tr>
      <w:tr w:rsidR="0013525F" w:rsidRPr="00E21AF2" w:rsidTr="00DD0319">
        <w:trPr>
          <w:trHeight w:val="476"/>
          <w:tblCellSpacing w:w="0" w:type="dxa"/>
        </w:trPr>
        <w:tc>
          <w:tcPr>
            <w:tcW w:w="528" w:type="dxa"/>
            <w:tcBorders>
              <w:top w:val="outset" w:sz="6" w:space="0" w:color="auto"/>
              <w:left w:val="outset" w:sz="6" w:space="0" w:color="auto"/>
              <w:bottom w:val="outset" w:sz="6" w:space="0" w:color="auto"/>
              <w:right w:val="outset" w:sz="6" w:space="0" w:color="auto"/>
            </w:tcBorders>
          </w:tcPr>
          <w:p w:rsidR="0013525F" w:rsidRPr="00E21AF2" w:rsidRDefault="0013525F" w:rsidP="00014D26">
            <w:pPr>
              <w:pStyle w:val="naiskr"/>
              <w:rPr>
                <w:sz w:val="26"/>
                <w:szCs w:val="26"/>
              </w:rPr>
            </w:pPr>
            <w:r w:rsidRPr="00E21AF2">
              <w:rPr>
                <w:sz w:val="26"/>
                <w:szCs w:val="26"/>
              </w:rPr>
              <w:lastRenderedPageBreak/>
              <w:t> 5.</w:t>
            </w:r>
          </w:p>
        </w:tc>
        <w:tc>
          <w:tcPr>
            <w:tcW w:w="1897" w:type="dxa"/>
            <w:tcBorders>
              <w:top w:val="outset" w:sz="6" w:space="0" w:color="auto"/>
              <w:left w:val="outset" w:sz="6" w:space="0" w:color="auto"/>
              <w:bottom w:val="outset" w:sz="6" w:space="0" w:color="auto"/>
              <w:right w:val="outset" w:sz="6" w:space="0" w:color="auto"/>
            </w:tcBorders>
          </w:tcPr>
          <w:p w:rsidR="0013525F" w:rsidRPr="00E21AF2" w:rsidRDefault="0013525F" w:rsidP="00014D26">
            <w:pPr>
              <w:pStyle w:val="naiskr"/>
              <w:rPr>
                <w:sz w:val="26"/>
                <w:szCs w:val="26"/>
              </w:rPr>
            </w:pPr>
            <w:r w:rsidRPr="00E21AF2">
              <w:rPr>
                <w:sz w:val="26"/>
                <w:szCs w:val="26"/>
              </w:rPr>
              <w:t> Projekta izstrādē iesaistītās institūcijas</w:t>
            </w:r>
          </w:p>
        </w:tc>
        <w:tc>
          <w:tcPr>
            <w:tcW w:w="6824" w:type="dxa"/>
            <w:tcBorders>
              <w:top w:val="outset" w:sz="6" w:space="0" w:color="auto"/>
              <w:left w:val="outset" w:sz="6" w:space="0" w:color="auto"/>
              <w:bottom w:val="outset" w:sz="6" w:space="0" w:color="auto"/>
              <w:right w:val="outset" w:sz="6" w:space="0" w:color="auto"/>
            </w:tcBorders>
          </w:tcPr>
          <w:p w:rsidR="0013525F" w:rsidRPr="00E21AF2" w:rsidRDefault="0069215E" w:rsidP="00063F59">
            <w:pPr>
              <w:tabs>
                <w:tab w:val="left" w:pos="6990"/>
              </w:tabs>
              <w:jc w:val="both"/>
              <w:rPr>
                <w:sz w:val="26"/>
                <w:szCs w:val="26"/>
                <w:lang w:val="lv-LV"/>
              </w:rPr>
            </w:pPr>
            <w:r w:rsidRPr="00E21AF2">
              <w:rPr>
                <w:sz w:val="26"/>
                <w:szCs w:val="26"/>
                <w:lang w:val="lv-LV"/>
              </w:rPr>
              <w:t> </w:t>
            </w:r>
            <w:r w:rsidR="00063F59" w:rsidRPr="00E21AF2">
              <w:rPr>
                <w:sz w:val="26"/>
                <w:szCs w:val="26"/>
                <w:lang w:val="lv-LV"/>
              </w:rPr>
              <w:t>VID</w:t>
            </w:r>
            <w:r w:rsidRPr="00E21AF2">
              <w:rPr>
                <w:sz w:val="26"/>
                <w:szCs w:val="26"/>
                <w:lang w:val="lv-LV"/>
              </w:rPr>
              <w:t xml:space="preserve">, </w:t>
            </w:r>
            <w:r w:rsidRPr="00E21AF2">
              <w:rPr>
                <w:color w:val="2F2F2F"/>
                <w:sz w:val="26"/>
                <w:szCs w:val="26"/>
                <w:lang w:val="lv-LV"/>
              </w:rPr>
              <w:t xml:space="preserve">SIA </w:t>
            </w:r>
            <w:proofErr w:type="spellStart"/>
            <w:r w:rsidRPr="00E21AF2">
              <w:rPr>
                <w:color w:val="2F2F2F"/>
                <w:sz w:val="26"/>
                <w:szCs w:val="26"/>
                <w:lang w:val="lv-LV"/>
              </w:rPr>
              <w:t>Ernst</w:t>
            </w:r>
            <w:proofErr w:type="spellEnd"/>
            <w:r w:rsidRPr="00E21AF2">
              <w:rPr>
                <w:color w:val="2F2F2F"/>
                <w:sz w:val="26"/>
                <w:szCs w:val="26"/>
                <w:lang w:val="lv-LV"/>
              </w:rPr>
              <w:t xml:space="preserve"> &amp; </w:t>
            </w:r>
            <w:proofErr w:type="spellStart"/>
            <w:r w:rsidRPr="00E21AF2">
              <w:rPr>
                <w:color w:val="2F2F2F"/>
                <w:sz w:val="26"/>
                <w:szCs w:val="26"/>
                <w:lang w:val="lv-LV"/>
              </w:rPr>
              <w:t>Young</w:t>
            </w:r>
            <w:proofErr w:type="spellEnd"/>
            <w:r w:rsidRPr="00E21AF2">
              <w:rPr>
                <w:color w:val="2F2F2F"/>
                <w:sz w:val="26"/>
                <w:szCs w:val="26"/>
                <w:lang w:val="lv-LV"/>
              </w:rPr>
              <w:t xml:space="preserve"> </w:t>
            </w:r>
            <w:proofErr w:type="spellStart"/>
            <w:r w:rsidRPr="00E21AF2">
              <w:rPr>
                <w:color w:val="2F2F2F"/>
                <w:sz w:val="26"/>
                <w:szCs w:val="26"/>
                <w:lang w:val="lv-LV"/>
              </w:rPr>
              <w:t>Baltic</w:t>
            </w:r>
            <w:proofErr w:type="spellEnd"/>
            <w:r w:rsidRPr="00E21AF2">
              <w:rPr>
                <w:sz w:val="26"/>
                <w:szCs w:val="26"/>
                <w:lang w:val="lv-LV"/>
              </w:rPr>
              <w:t>, Latvijas Zvērinātu revidentu asociācija</w:t>
            </w:r>
          </w:p>
        </w:tc>
      </w:tr>
      <w:tr w:rsidR="0013525F" w:rsidRPr="00EE37BB" w:rsidTr="00DD0319">
        <w:trPr>
          <w:trHeight w:val="996"/>
          <w:tblCellSpacing w:w="0" w:type="dxa"/>
        </w:trPr>
        <w:tc>
          <w:tcPr>
            <w:tcW w:w="528" w:type="dxa"/>
            <w:tcBorders>
              <w:top w:val="outset" w:sz="6" w:space="0" w:color="auto"/>
              <w:left w:val="outset" w:sz="6" w:space="0" w:color="auto"/>
              <w:bottom w:val="outset" w:sz="6" w:space="0" w:color="auto"/>
              <w:right w:val="outset" w:sz="6" w:space="0" w:color="auto"/>
            </w:tcBorders>
          </w:tcPr>
          <w:p w:rsidR="0013525F" w:rsidRPr="00E21AF2" w:rsidRDefault="0013525F" w:rsidP="00014D26">
            <w:pPr>
              <w:pStyle w:val="naiskr"/>
              <w:rPr>
                <w:sz w:val="26"/>
                <w:szCs w:val="26"/>
              </w:rPr>
            </w:pPr>
            <w:r w:rsidRPr="00E21AF2">
              <w:rPr>
                <w:sz w:val="26"/>
                <w:szCs w:val="26"/>
              </w:rPr>
              <w:t> 6.</w:t>
            </w:r>
          </w:p>
        </w:tc>
        <w:tc>
          <w:tcPr>
            <w:tcW w:w="1897" w:type="dxa"/>
            <w:tcBorders>
              <w:top w:val="outset" w:sz="6" w:space="0" w:color="auto"/>
              <w:left w:val="outset" w:sz="6" w:space="0" w:color="auto"/>
              <w:bottom w:val="outset" w:sz="6" w:space="0" w:color="auto"/>
              <w:right w:val="outset" w:sz="6" w:space="0" w:color="auto"/>
            </w:tcBorders>
          </w:tcPr>
          <w:p w:rsidR="0013525F" w:rsidRPr="00E21AF2" w:rsidRDefault="0013525F" w:rsidP="00014D26">
            <w:pPr>
              <w:pStyle w:val="naiskr"/>
              <w:rPr>
                <w:sz w:val="26"/>
                <w:szCs w:val="26"/>
              </w:rPr>
            </w:pPr>
            <w:r w:rsidRPr="00E21AF2">
              <w:rPr>
                <w:sz w:val="26"/>
                <w:szCs w:val="26"/>
              </w:rPr>
              <w:t> Iemesli, kādēļ netika nodrošināta sabiedrības līdzdalība</w:t>
            </w:r>
          </w:p>
        </w:tc>
        <w:tc>
          <w:tcPr>
            <w:tcW w:w="6824" w:type="dxa"/>
            <w:tcBorders>
              <w:top w:val="outset" w:sz="6" w:space="0" w:color="auto"/>
              <w:left w:val="outset" w:sz="6" w:space="0" w:color="auto"/>
              <w:bottom w:val="outset" w:sz="6" w:space="0" w:color="auto"/>
              <w:right w:val="outset" w:sz="6" w:space="0" w:color="auto"/>
            </w:tcBorders>
          </w:tcPr>
          <w:p w:rsidR="0013525F" w:rsidRPr="00E21AF2" w:rsidRDefault="0013525F" w:rsidP="00BB42BC">
            <w:pPr>
              <w:tabs>
                <w:tab w:val="left" w:pos="709"/>
              </w:tabs>
              <w:jc w:val="both"/>
              <w:rPr>
                <w:sz w:val="26"/>
                <w:szCs w:val="26"/>
                <w:lang w:val="lv-LV"/>
              </w:rPr>
            </w:pPr>
            <w:r w:rsidRPr="00E21AF2">
              <w:rPr>
                <w:sz w:val="26"/>
                <w:szCs w:val="26"/>
                <w:lang w:val="lv-LV"/>
              </w:rPr>
              <w:t> </w:t>
            </w:r>
            <w:r w:rsidR="006B6A87" w:rsidRPr="00E21AF2">
              <w:rPr>
                <w:sz w:val="26"/>
                <w:szCs w:val="26"/>
                <w:lang w:val="lv-LV"/>
              </w:rPr>
              <w:t>Projektā ir pared</w:t>
            </w:r>
            <w:r w:rsidR="00BB42BC" w:rsidRPr="00E21AF2">
              <w:rPr>
                <w:sz w:val="26"/>
                <w:szCs w:val="26"/>
                <w:lang w:val="lv-LV"/>
              </w:rPr>
              <w:t>z</w:t>
            </w:r>
            <w:r w:rsidR="006B6A87" w:rsidRPr="00E21AF2">
              <w:rPr>
                <w:sz w:val="26"/>
                <w:szCs w:val="26"/>
                <w:lang w:val="lv-LV"/>
              </w:rPr>
              <w:t xml:space="preserve">ēts nodokļu maksātājam </w:t>
            </w:r>
            <w:r w:rsidR="00BB42BC" w:rsidRPr="00E21AF2">
              <w:rPr>
                <w:sz w:val="26"/>
                <w:szCs w:val="26"/>
                <w:lang w:val="lv-LV"/>
              </w:rPr>
              <w:t xml:space="preserve">gan </w:t>
            </w:r>
            <w:r w:rsidR="006B6A87" w:rsidRPr="00E21AF2">
              <w:rPr>
                <w:sz w:val="26"/>
                <w:szCs w:val="26"/>
                <w:lang w:val="lv-LV"/>
              </w:rPr>
              <w:t>labvēlīgs</w:t>
            </w:r>
            <w:r w:rsidR="00BB42BC" w:rsidRPr="00E21AF2">
              <w:rPr>
                <w:sz w:val="26"/>
                <w:szCs w:val="26"/>
                <w:lang w:val="lv-LV"/>
              </w:rPr>
              <w:t>, gan nelabvēlīgs</w:t>
            </w:r>
            <w:r w:rsidR="006B6A87" w:rsidRPr="00E21AF2">
              <w:rPr>
                <w:sz w:val="26"/>
                <w:szCs w:val="26"/>
                <w:lang w:val="lv-LV"/>
              </w:rPr>
              <w:t xml:space="preserve"> regulējums</w:t>
            </w:r>
            <w:r w:rsidR="00BB42BC" w:rsidRPr="00E21AF2">
              <w:rPr>
                <w:sz w:val="26"/>
                <w:szCs w:val="26"/>
                <w:lang w:val="lv-LV"/>
              </w:rPr>
              <w:t>.</w:t>
            </w:r>
            <w:r w:rsidR="006B6A87" w:rsidRPr="00E21AF2">
              <w:rPr>
                <w:sz w:val="26"/>
                <w:szCs w:val="26"/>
                <w:lang w:val="lv-LV"/>
              </w:rPr>
              <w:t xml:space="preserve"> </w:t>
            </w:r>
            <w:r w:rsidR="008F4A34" w:rsidRPr="00E21AF2">
              <w:rPr>
                <w:sz w:val="26"/>
                <w:szCs w:val="26"/>
                <w:lang w:val="lv-LV"/>
              </w:rPr>
              <w:t xml:space="preserve">Attiecībā uz nelabvēlīgajām normām – jau šobrīd likumā „Par nodokļiem un nodevām” ir paredzēts regulējums nodokļu maksātāja saimnieciskās darbības apturēšanai, šis regulējums šobrīd tiek pilnveidots, lai būtu reāli piemērojams. Grozījumi attiecībā uz normām par skaidro naudas lietošanas ierobežojumu pārkāpumiem daļēji izriet no </w:t>
            </w:r>
            <w:r w:rsidR="008F4A34" w:rsidRPr="00E21AF2">
              <w:rPr>
                <w:bCs/>
                <w:sz w:val="26"/>
                <w:szCs w:val="26"/>
                <w:lang w:val="lv-LV"/>
              </w:rPr>
              <w:t xml:space="preserve">Pasākumu plāna ēnu ekonomikas apkarošanai un godīgas konkurences nodrošināšanai 2010.-2013.gadam, kas apstiprināts ar </w:t>
            </w:r>
            <w:r w:rsidR="008F4A34" w:rsidRPr="00E21AF2">
              <w:rPr>
                <w:sz w:val="26"/>
                <w:szCs w:val="26"/>
                <w:lang w:val="lv-LV"/>
              </w:rPr>
              <w:t>Ministru kabineta 2010.gada 26.augusta rīkojumu Nr.513, kas sabiedrībai bija zināms jau pagājušajā gadā.</w:t>
            </w:r>
          </w:p>
          <w:p w:rsidR="00BB42BC" w:rsidRPr="00E21AF2" w:rsidRDefault="003B5F8C" w:rsidP="00BB42BC">
            <w:pPr>
              <w:tabs>
                <w:tab w:val="left" w:pos="709"/>
              </w:tabs>
              <w:jc w:val="both"/>
              <w:rPr>
                <w:sz w:val="26"/>
                <w:szCs w:val="26"/>
                <w:lang w:val="lv-LV"/>
              </w:rPr>
            </w:pPr>
            <w:r w:rsidRPr="00E21AF2">
              <w:rPr>
                <w:sz w:val="26"/>
                <w:szCs w:val="26"/>
                <w:lang w:val="lv-LV"/>
              </w:rPr>
              <w:t>Turklāt likumprojekta atsevišķu normu</w:t>
            </w:r>
            <w:r w:rsidR="00BB42BC" w:rsidRPr="00E21AF2">
              <w:rPr>
                <w:sz w:val="26"/>
                <w:szCs w:val="26"/>
                <w:lang w:val="lv-LV"/>
              </w:rPr>
              <w:t xml:space="preserve"> izstrādē piedalījās atsevišķas institūcijas - </w:t>
            </w:r>
            <w:r w:rsidR="00BB42BC" w:rsidRPr="00E21AF2">
              <w:rPr>
                <w:color w:val="2F2F2F"/>
                <w:sz w:val="26"/>
                <w:szCs w:val="26"/>
                <w:lang w:val="lv-LV"/>
              </w:rPr>
              <w:t xml:space="preserve"> SIA </w:t>
            </w:r>
            <w:proofErr w:type="spellStart"/>
            <w:r w:rsidR="00BB42BC" w:rsidRPr="00E21AF2">
              <w:rPr>
                <w:color w:val="2F2F2F"/>
                <w:sz w:val="26"/>
                <w:szCs w:val="26"/>
                <w:lang w:val="lv-LV"/>
              </w:rPr>
              <w:t>Ernst</w:t>
            </w:r>
            <w:proofErr w:type="spellEnd"/>
            <w:r w:rsidR="00BB42BC" w:rsidRPr="00E21AF2">
              <w:rPr>
                <w:color w:val="2F2F2F"/>
                <w:sz w:val="26"/>
                <w:szCs w:val="26"/>
                <w:lang w:val="lv-LV"/>
              </w:rPr>
              <w:t xml:space="preserve"> &amp; </w:t>
            </w:r>
            <w:proofErr w:type="spellStart"/>
            <w:r w:rsidR="00BB42BC" w:rsidRPr="00E21AF2">
              <w:rPr>
                <w:color w:val="2F2F2F"/>
                <w:sz w:val="26"/>
                <w:szCs w:val="26"/>
                <w:lang w:val="lv-LV"/>
              </w:rPr>
              <w:t>Young</w:t>
            </w:r>
            <w:proofErr w:type="spellEnd"/>
            <w:r w:rsidR="00BB42BC" w:rsidRPr="00E21AF2">
              <w:rPr>
                <w:color w:val="2F2F2F"/>
                <w:sz w:val="26"/>
                <w:szCs w:val="26"/>
                <w:lang w:val="lv-LV"/>
              </w:rPr>
              <w:t xml:space="preserve"> </w:t>
            </w:r>
            <w:proofErr w:type="spellStart"/>
            <w:r w:rsidR="00BB42BC" w:rsidRPr="00E21AF2">
              <w:rPr>
                <w:color w:val="2F2F2F"/>
                <w:sz w:val="26"/>
                <w:szCs w:val="26"/>
                <w:lang w:val="lv-LV"/>
              </w:rPr>
              <w:t>Baltic</w:t>
            </w:r>
            <w:proofErr w:type="spellEnd"/>
            <w:r w:rsidR="00BB42BC" w:rsidRPr="00E21AF2">
              <w:rPr>
                <w:sz w:val="26"/>
                <w:szCs w:val="26"/>
                <w:lang w:val="lv-LV"/>
              </w:rPr>
              <w:t>, Latvijas Zvērinātu revidentu asociācija.</w:t>
            </w:r>
          </w:p>
        </w:tc>
      </w:tr>
      <w:tr w:rsidR="0013525F" w:rsidRPr="00EE37BB" w:rsidTr="00DD0319">
        <w:trPr>
          <w:tblCellSpacing w:w="0" w:type="dxa"/>
        </w:trPr>
        <w:tc>
          <w:tcPr>
            <w:tcW w:w="528" w:type="dxa"/>
            <w:tcBorders>
              <w:top w:val="outset" w:sz="6" w:space="0" w:color="auto"/>
              <w:left w:val="outset" w:sz="6" w:space="0" w:color="auto"/>
              <w:bottom w:val="outset" w:sz="6" w:space="0" w:color="auto"/>
              <w:right w:val="outset" w:sz="6" w:space="0" w:color="auto"/>
            </w:tcBorders>
          </w:tcPr>
          <w:p w:rsidR="0013525F" w:rsidRPr="00E21AF2" w:rsidRDefault="0013525F" w:rsidP="00014D26">
            <w:pPr>
              <w:pStyle w:val="naiskr"/>
              <w:rPr>
                <w:sz w:val="26"/>
                <w:szCs w:val="26"/>
              </w:rPr>
            </w:pPr>
            <w:r w:rsidRPr="00E21AF2">
              <w:rPr>
                <w:sz w:val="26"/>
                <w:szCs w:val="26"/>
              </w:rPr>
              <w:t> 7.</w:t>
            </w:r>
          </w:p>
        </w:tc>
        <w:tc>
          <w:tcPr>
            <w:tcW w:w="1897" w:type="dxa"/>
            <w:tcBorders>
              <w:top w:val="outset" w:sz="6" w:space="0" w:color="auto"/>
              <w:left w:val="outset" w:sz="6" w:space="0" w:color="auto"/>
              <w:bottom w:val="outset" w:sz="6" w:space="0" w:color="auto"/>
              <w:right w:val="outset" w:sz="6" w:space="0" w:color="auto"/>
            </w:tcBorders>
          </w:tcPr>
          <w:p w:rsidR="0013525F" w:rsidRPr="00E21AF2" w:rsidRDefault="0013525F" w:rsidP="00014D26">
            <w:pPr>
              <w:pStyle w:val="naiskr"/>
              <w:rPr>
                <w:sz w:val="26"/>
                <w:szCs w:val="26"/>
              </w:rPr>
            </w:pPr>
            <w:r w:rsidRPr="00E21AF2">
              <w:rPr>
                <w:sz w:val="26"/>
                <w:szCs w:val="26"/>
              </w:rPr>
              <w:t> Cita informācija</w:t>
            </w:r>
          </w:p>
        </w:tc>
        <w:tc>
          <w:tcPr>
            <w:tcW w:w="6824" w:type="dxa"/>
            <w:tcBorders>
              <w:top w:val="outset" w:sz="6" w:space="0" w:color="auto"/>
              <w:left w:val="outset" w:sz="6" w:space="0" w:color="auto"/>
              <w:bottom w:val="outset" w:sz="6" w:space="0" w:color="auto"/>
              <w:right w:val="outset" w:sz="6" w:space="0" w:color="auto"/>
            </w:tcBorders>
          </w:tcPr>
          <w:p w:rsidR="007071A5" w:rsidRPr="00E21AF2" w:rsidRDefault="0013525F" w:rsidP="007071A5">
            <w:pPr>
              <w:jc w:val="both"/>
              <w:rPr>
                <w:sz w:val="26"/>
                <w:szCs w:val="26"/>
                <w:lang w:val="lv-LV" w:eastAsia="lv-LV"/>
              </w:rPr>
            </w:pPr>
            <w:r w:rsidRPr="00E21AF2">
              <w:rPr>
                <w:sz w:val="26"/>
                <w:szCs w:val="26"/>
                <w:lang w:val="lv-LV"/>
              </w:rPr>
              <w:t> </w:t>
            </w:r>
            <w:r w:rsidR="007071A5" w:rsidRPr="00E21AF2">
              <w:rPr>
                <w:sz w:val="26"/>
                <w:szCs w:val="26"/>
                <w:lang w:val="lv-LV" w:eastAsia="lv-LV"/>
              </w:rPr>
              <w:t>Konstatējot kādu no likuma 34.</w:t>
            </w:r>
            <w:r w:rsidR="007071A5" w:rsidRPr="00E21AF2">
              <w:rPr>
                <w:sz w:val="26"/>
                <w:szCs w:val="26"/>
                <w:vertAlign w:val="superscript"/>
                <w:lang w:val="lv-LV" w:eastAsia="lv-LV"/>
              </w:rPr>
              <w:t>1</w:t>
            </w:r>
            <w:r w:rsidR="007071A5" w:rsidRPr="00E21AF2">
              <w:rPr>
                <w:sz w:val="26"/>
                <w:szCs w:val="26"/>
                <w:lang w:val="lv-LV" w:eastAsia="lv-LV"/>
              </w:rPr>
              <w:t xml:space="preserve"> panta pirmajā vai ceturtajā daļā minētajiem pārkāpumiem ir jānorāda arī konkrēti pierādījumi un fakti, kas par to liecina, piemēram, attiecībā uz  pirmās daļas: </w:t>
            </w:r>
          </w:p>
          <w:p w:rsidR="007071A5" w:rsidRPr="00E21AF2" w:rsidRDefault="007071A5" w:rsidP="007071A5">
            <w:pPr>
              <w:jc w:val="both"/>
              <w:rPr>
                <w:sz w:val="26"/>
                <w:szCs w:val="26"/>
                <w:lang w:val="lv-LV" w:eastAsia="lv-LV"/>
              </w:rPr>
            </w:pPr>
            <w:r w:rsidRPr="00E21AF2">
              <w:rPr>
                <w:sz w:val="26"/>
                <w:szCs w:val="26"/>
                <w:lang w:val="lv-LV" w:eastAsia="lv-LV"/>
              </w:rPr>
              <w:t>VID veic pārbaudes un pēc  katras veiktās pārbaudes sastāda dokumentu, kurā fiksēta pārbaudes laikā konstatētā informācija.</w:t>
            </w:r>
          </w:p>
          <w:p w:rsidR="00ED35C4" w:rsidRPr="00E21AF2" w:rsidRDefault="007071A5" w:rsidP="007071A5">
            <w:pPr>
              <w:pStyle w:val="naiskr"/>
              <w:spacing w:before="0" w:beforeAutospacing="0" w:after="0" w:afterAutospacing="0"/>
              <w:jc w:val="both"/>
              <w:rPr>
                <w:sz w:val="26"/>
                <w:szCs w:val="26"/>
              </w:rPr>
            </w:pPr>
            <w:r w:rsidRPr="00E21AF2">
              <w:rPr>
                <w:sz w:val="26"/>
                <w:szCs w:val="26"/>
              </w:rPr>
              <w:t xml:space="preserve">ceturtajā daļā minēto – informācija, ka  komercreģistrā kā nodokļu maksātāja vienīgais dalībnieks vai vienīgā amatpersona  ir  reģistrēta persona, kuras vienīgais  iztikas līdzekļu avots ir no valsts un pašvaldību budžeta saņemtie līdzekļi, un pie tam minētās personas deklarētā dzīvesvieta atbilst riska adresei, piemēram, valsts sociālās aprūpes centrs, patversme vai </w:t>
            </w:r>
            <w:r w:rsidRPr="00E21AF2">
              <w:rPr>
                <w:sz w:val="26"/>
                <w:szCs w:val="26"/>
              </w:rPr>
              <w:lastRenderedPageBreak/>
              <w:t>ieslodzījuma  vieta. Personas, kura reģistrēta  kā nodokļu maksātāja  dalībnieka  vai amatpersonas paskaidrojums par šajā punktā minētajiem faktiem, tiesībsargājošās iestādes izziņa par dokumentu zādzību vai nozaudēšanu, Iedzīvotāju reģistra dati.</w:t>
            </w:r>
          </w:p>
          <w:p w:rsidR="007071A5" w:rsidRPr="00E21AF2" w:rsidRDefault="007071A5" w:rsidP="007071A5">
            <w:pPr>
              <w:pStyle w:val="naiskr"/>
              <w:spacing w:before="0" w:beforeAutospacing="0" w:after="0" w:afterAutospacing="0"/>
              <w:jc w:val="both"/>
              <w:rPr>
                <w:sz w:val="26"/>
                <w:szCs w:val="26"/>
              </w:rPr>
            </w:pPr>
          </w:p>
          <w:p w:rsidR="000A3FF0" w:rsidRPr="00E21AF2" w:rsidRDefault="00F94C98" w:rsidP="000A3FF0">
            <w:pPr>
              <w:jc w:val="both"/>
              <w:rPr>
                <w:sz w:val="26"/>
                <w:szCs w:val="26"/>
                <w:lang w:val="lv-LV"/>
              </w:rPr>
            </w:pPr>
            <w:r w:rsidRPr="00E21AF2">
              <w:rPr>
                <w:sz w:val="26"/>
                <w:szCs w:val="26"/>
                <w:lang w:val="lv-LV"/>
              </w:rPr>
              <w:t xml:space="preserve">Attiecībā uz kapitālsabiedrības darbības </w:t>
            </w:r>
            <w:r w:rsidR="000A3FF0" w:rsidRPr="00E21AF2">
              <w:rPr>
                <w:sz w:val="26"/>
                <w:szCs w:val="26"/>
                <w:lang w:val="lv-LV"/>
              </w:rPr>
              <w:t>sabiedrības darbības izbeigšanu, Finanšu ministrija ir atbalstījusi Tieslietu ministrijas virzīto (likumprojekts „Grozījumi Komerclikumā”) variantu, ka sabiedrības darbību var izbeigt, pamatojoties uz nodokļu administrācijas lēmumu, ja:</w:t>
            </w:r>
          </w:p>
          <w:p w:rsidR="000A3FF0" w:rsidRPr="00E21AF2" w:rsidRDefault="000A3FF0" w:rsidP="000A3FF0">
            <w:pPr>
              <w:jc w:val="both"/>
              <w:rPr>
                <w:sz w:val="26"/>
                <w:szCs w:val="26"/>
                <w:lang w:val="lv-LV"/>
              </w:rPr>
            </w:pPr>
            <w:r w:rsidRPr="00E21AF2">
              <w:rPr>
                <w:sz w:val="26"/>
                <w:szCs w:val="26"/>
                <w:lang w:val="lv-LV"/>
              </w:rPr>
              <w:t>1) sabiedrība viena mēneša laikā pēc administratīvā soda uzlikšanas nav iesniegusi gada pārskatu un kopš pārkāpuma izdarīšanas ir pagājuši vismaz seši mēneši;</w:t>
            </w:r>
          </w:p>
          <w:p w:rsidR="000A3FF0" w:rsidRPr="00E21AF2" w:rsidRDefault="000A3FF0" w:rsidP="000A3FF0">
            <w:pPr>
              <w:jc w:val="both"/>
              <w:rPr>
                <w:sz w:val="26"/>
                <w:szCs w:val="26"/>
                <w:lang w:val="lv-LV"/>
              </w:rPr>
            </w:pPr>
            <w:r w:rsidRPr="00E21AF2">
              <w:rPr>
                <w:sz w:val="26"/>
                <w:szCs w:val="26"/>
                <w:lang w:val="lv-LV"/>
              </w:rPr>
              <w:t>2) sabiedrība viena mēneša laikā pēc administratīvā soda uzlikšanas nav iesniegusi nodokļu likumos paredzētās deklarācijas par sešu mēnešu periodu;</w:t>
            </w:r>
          </w:p>
          <w:p w:rsidR="000A3FF0" w:rsidRPr="00E21AF2" w:rsidRDefault="000A3FF0" w:rsidP="000A3FF0">
            <w:pPr>
              <w:jc w:val="both"/>
              <w:rPr>
                <w:sz w:val="26"/>
                <w:szCs w:val="26"/>
                <w:lang w:val="lv-LV" w:eastAsia="lv-LV"/>
              </w:rPr>
            </w:pPr>
            <w:r w:rsidRPr="00E21AF2">
              <w:rPr>
                <w:sz w:val="26"/>
                <w:szCs w:val="26"/>
                <w:lang w:val="lv-LV"/>
              </w:rPr>
              <w:t xml:space="preserve">3) sabiedrība nodarbina personas, ar kurām nav noslēgts rakstveida darba līgums, un šo personu skaits ir vismaz piecdesmit procenti, bet ne mazāk kā trīs personas no nodarbināto skaita, un sabiedrība triju mēnešu laikā pēc sabiedrības darbības apturēšanas nav novērsusi norādīto trūkumu. </w:t>
            </w:r>
          </w:p>
          <w:p w:rsidR="00016CAC" w:rsidRPr="00E21AF2" w:rsidRDefault="00016CAC" w:rsidP="00016CAC">
            <w:pPr>
              <w:jc w:val="both"/>
              <w:rPr>
                <w:sz w:val="26"/>
                <w:szCs w:val="26"/>
                <w:lang w:val="lv-LV" w:eastAsia="lv-LV"/>
              </w:rPr>
            </w:pPr>
          </w:p>
          <w:p w:rsidR="00016CAC" w:rsidRPr="00E21AF2" w:rsidRDefault="00016CAC" w:rsidP="00016CAC">
            <w:pPr>
              <w:jc w:val="both"/>
              <w:rPr>
                <w:sz w:val="26"/>
                <w:szCs w:val="26"/>
                <w:lang w:val="lv-LV" w:eastAsia="lv-LV"/>
              </w:rPr>
            </w:pPr>
            <w:r w:rsidRPr="00E21AF2">
              <w:rPr>
                <w:sz w:val="26"/>
                <w:szCs w:val="26"/>
                <w:lang w:val="lv-LV" w:eastAsia="lv-LV"/>
              </w:rPr>
              <w:t xml:space="preserve">Papildus sagatavots Ministru kabineta sēdes </w:t>
            </w:r>
            <w:proofErr w:type="spellStart"/>
            <w:r w:rsidRPr="00E21AF2">
              <w:rPr>
                <w:sz w:val="26"/>
                <w:szCs w:val="26"/>
                <w:lang w:val="lv-LV" w:eastAsia="lv-LV"/>
              </w:rPr>
              <w:t>protokollēmums</w:t>
            </w:r>
            <w:proofErr w:type="spellEnd"/>
            <w:r w:rsidRPr="00E21AF2">
              <w:rPr>
                <w:sz w:val="26"/>
                <w:szCs w:val="26"/>
                <w:lang w:val="lv-LV" w:eastAsia="lv-LV"/>
              </w:rPr>
              <w:t xml:space="preserve">, kas </w:t>
            </w:r>
            <w:r w:rsidR="00BC00D7" w:rsidRPr="00E21AF2">
              <w:rPr>
                <w:sz w:val="26"/>
                <w:szCs w:val="26"/>
                <w:lang w:val="lv-LV" w:eastAsia="lv-LV"/>
              </w:rPr>
              <w:t>paredz Tieslietu ministrijai (Uzņēmumu reģistram) sadarbībā ar Finanšu ministriju (Valsts ieņēmumu dienestu) gada laikā pēc normas par ieraksta izdarīšanu Uzņēmuma reģistra žurnālā/komercreģistrā par Valsts ieņēmumu dienesta pieņemto lēmumu par nodokļu maksātāja saimnieciskās darbības apturēšanu spēkā stāšanas dienas izvērtēt Tieslietu ministrijai (Uzņēmumu reģistram) papildus piešķiramā finansējuma apjomu no valsts budžeta, ņemot vērā pēc Valsts ieņēmumu dienesta ierosinājuma Uzņēmuma reģistra žurnālā/komercreģistrā faktiski izdarīto ierakstu skaitu, un iesniegt papildus nepieciešamā finansējuma aprēķinus Finanšu ministrijā līdz kārtējā gada 20.janvārim, un Finanšu ministrijai atbilstoši precizēt Tieslietu ministrijas maksimāli pieļaujamos valsts pamatbudžeta izdevumus (bāzes izdevumus).</w:t>
            </w:r>
          </w:p>
          <w:p w:rsidR="00F94C98" w:rsidRPr="00E21AF2" w:rsidRDefault="00063F59" w:rsidP="00016CAC">
            <w:pPr>
              <w:pStyle w:val="naiskr"/>
              <w:spacing w:before="0" w:beforeAutospacing="0" w:after="0" w:afterAutospacing="0"/>
              <w:jc w:val="both"/>
              <w:rPr>
                <w:sz w:val="26"/>
                <w:szCs w:val="26"/>
              </w:rPr>
            </w:pPr>
            <w:r w:rsidRPr="00E21AF2">
              <w:rPr>
                <w:sz w:val="26"/>
                <w:szCs w:val="26"/>
              </w:rPr>
              <w:t>VID</w:t>
            </w:r>
            <w:r w:rsidR="00016CAC" w:rsidRPr="00E21AF2">
              <w:rPr>
                <w:sz w:val="26"/>
                <w:szCs w:val="26"/>
              </w:rPr>
              <w:t xml:space="preserve"> nebūs jāmaksā valsts nodeva par ierakstu izdarīšanu Uzņēmumu reģistra žur</w:t>
            </w:r>
            <w:r w:rsidR="00FF61E0" w:rsidRPr="00E21AF2">
              <w:rPr>
                <w:sz w:val="26"/>
                <w:szCs w:val="26"/>
              </w:rPr>
              <w:t>nālā un dokumentu reģistrāciju.</w:t>
            </w:r>
          </w:p>
          <w:p w:rsidR="00050731" w:rsidRPr="00E21AF2" w:rsidRDefault="00050731" w:rsidP="00016CAC">
            <w:pPr>
              <w:pStyle w:val="naiskr"/>
              <w:spacing w:before="0" w:beforeAutospacing="0" w:after="0" w:afterAutospacing="0"/>
              <w:jc w:val="both"/>
              <w:rPr>
                <w:sz w:val="26"/>
                <w:szCs w:val="26"/>
              </w:rPr>
            </w:pPr>
          </w:p>
          <w:p w:rsidR="00050731" w:rsidRPr="00E21AF2" w:rsidRDefault="00050731" w:rsidP="00050731">
            <w:pPr>
              <w:jc w:val="both"/>
              <w:rPr>
                <w:sz w:val="26"/>
                <w:szCs w:val="26"/>
                <w:lang w:val="lv-LV" w:eastAsia="lv-LV"/>
              </w:rPr>
            </w:pPr>
            <w:r w:rsidRPr="00E21AF2">
              <w:rPr>
                <w:sz w:val="26"/>
                <w:szCs w:val="26"/>
                <w:lang w:val="lv-LV" w:eastAsia="lv-LV"/>
              </w:rPr>
              <w:t xml:space="preserve">Konstatējot, ka nodokļu maksātājs nav sasniedzams norādītajā juridiskajā adresē vai deklarētajā dzīvesvietā, likumprojektā nav paredzēts, ka nodokļu maksātājam jāpaziņo par konkrētu nākamās VID pārbaudes laiku. Normas darbības laiks ir viens gads, kas ir pietiekami ilgs laika posms. VID veic dažādus kontroles pasākumus – gan nodokļu auditus, par kuru uzsākšanas datumu paziņo, gan arī tematiskās pārbaudes, par kuru </w:t>
            </w:r>
            <w:r w:rsidRPr="00E21AF2">
              <w:rPr>
                <w:sz w:val="26"/>
                <w:szCs w:val="26"/>
                <w:lang w:val="lv-LV" w:eastAsia="lv-LV"/>
              </w:rPr>
              <w:lastRenderedPageBreak/>
              <w:t>uzsākšanu pārsvarā nepaziņo, jo šīm pārbaudēm  ir operatīvs  raksturs. Turklāt atkarībā no veicamās pārbaudes veida ir iespējams, ka nodokļu maksātājs pirms pārbaudes tiks informēts par nākamo pārbaudi ar nodokļu administrācijas paziņojumu. Un ja nodokļu maksātājs ir deklarējis kādu adresi (savu juridisko adresi vai deklarētās dzīvesvietas adresi), tas nozīmē, ka viņš ir norādījis, ka tieši konkrēti uz šo adresi ir sasniedzams tiesiskajās attiecībās ar valsti, līdz ar to viņam būtu jāsaņem paziņojums par pārbaudes veikšanu un arī šai pārbaudes brīdī jābūt sasniedzamam norādītajā adresē. Nodokļu maksātājam būtu jābūt sasniedzam juridiskajā vai deklarētajā adresē ne tikai tad, kad tiek veiktas kādas pārbaudes, bet arī pārējā laikā.</w:t>
            </w:r>
          </w:p>
          <w:p w:rsidR="00FF61E0" w:rsidRPr="00E21AF2" w:rsidRDefault="00FF61E0" w:rsidP="00050731">
            <w:pPr>
              <w:jc w:val="both"/>
              <w:rPr>
                <w:sz w:val="26"/>
                <w:szCs w:val="26"/>
                <w:lang w:val="lv-LV" w:eastAsia="lv-LV"/>
              </w:rPr>
            </w:pPr>
          </w:p>
          <w:p w:rsidR="00050731" w:rsidRPr="00E21AF2" w:rsidRDefault="003B5F8C" w:rsidP="00016CAC">
            <w:pPr>
              <w:pStyle w:val="naiskr"/>
              <w:spacing w:before="0" w:beforeAutospacing="0" w:after="0" w:afterAutospacing="0"/>
              <w:jc w:val="both"/>
              <w:rPr>
                <w:sz w:val="26"/>
                <w:szCs w:val="26"/>
              </w:rPr>
            </w:pPr>
            <w:r w:rsidRPr="00E21AF2">
              <w:rPr>
                <w:sz w:val="26"/>
                <w:szCs w:val="26"/>
              </w:rPr>
              <w:t xml:space="preserve">Attiecībā uz likumprojektā iekļauto aizliegumu nodokļu maksātājam pildīt maksājumu saistības vai veikt darījumu ar nodokļu maksātāju, kuram </w:t>
            </w:r>
            <w:r w:rsidR="00063F59" w:rsidRPr="00E21AF2">
              <w:rPr>
                <w:sz w:val="26"/>
                <w:szCs w:val="26"/>
              </w:rPr>
              <w:t>VID</w:t>
            </w:r>
            <w:r w:rsidRPr="00E21AF2">
              <w:rPr>
                <w:sz w:val="26"/>
                <w:szCs w:val="26"/>
              </w:rPr>
              <w:t xml:space="preserve"> apturējis saimniecisko darbību, nodokļu maksātājam pirms veikt darījumu lielāku par 1000 latiem būs jāpārliecinās </w:t>
            </w:r>
            <w:r w:rsidR="00063F59" w:rsidRPr="00E21AF2">
              <w:rPr>
                <w:sz w:val="26"/>
                <w:szCs w:val="26"/>
              </w:rPr>
              <w:t>VID</w:t>
            </w:r>
            <w:r w:rsidRPr="00E21AF2">
              <w:rPr>
                <w:sz w:val="26"/>
                <w:szCs w:val="26"/>
              </w:rPr>
              <w:t xml:space="preserve"> mājas lapā, vai darījuma partnerim nav apturēta saimnieciskā darbība. </w:t>
            </w:r>
            <w:r w:rsidR="00063F59" w:rsidRPr="00E21AF2">
              <w:rPr>
                <w:sz w:val="26"/>
                <w:szCs w:val="26"/>
              </w:rPr>
              <w:t>VID</w:t>
            </w:r>
            <w:r w:rsidRPr="00E21AF2">
              <w:rPr>
                <w:sz w:val="26"/>
                <w:szCs w:val="26"/>
              </w:rPr>
              <w:t xml:space="preserve"> Klientu apkalpošanas centros ir nodrošināta iespēja bez maksas pārliecināties par to, izmantojot tur izvietoto</w:t>
            </w:r>
            <w:r w:rsidR="0063102F" w:rsidRPr="00E21AF2">
              <w:rPr>
                <w:sz w:val="26"/>
                <w:szCs w:val="26"/>
              </w:rPr>
              <w:t>s publiski pieejamos datorus.</w:t>
            </w:r>
          </w:p>
          <w:p w:rsidR="00050731" w:rsidRPr="00E21AF2" w:rsidRDefault="0063102F" w:rsidP="00FA7812">
            <w:pPr>
              <w:pStyle w:val="naiskr"/>
              <w:spacing w:before="0" w:beforeAutospacing="0" w:after="0" w:afterAutospacing="0"/>
              <w:jc w:val="both"/>
              <w:rPr>
                <w:sz w:val="26"/>
                <w:szCs w:val="26"/>
              </w:rPr>
            </w:pPr>
            <w:r w:rsidRPr="00E21AF2">
              <w:rPr>
                <w:sz w:val="26"/>
                <w:szCs w:val="26"/>
              </w:rPr>
              <w:t xml:space="preserve">Ja nodokļu maksātājs turpinās pildīt maksājumu saistības, kas pārsniedz 1000 latus, vai veiks darījumus, kas pārsniedz 1000 latus, ar nodokļu maksātāju, kuram </w:t>
            </w:r>
            <w:r w:rsidR="00063F59" w:rsidRPr="00E21AF2">
              <w:rPr>
                <w:sz w:val="26"/>
                <w:szCs w:val="26"/>
              </w:rPr>
              <w:t>VID</w:t>
            </w:r>
            <w:r w:rsidRPr="00E21AF2">
              <w:rPr>
                <w:sz w:val="26"/>
                <w:szCs w:val="26"/>
              </w:rPr>
              <w:t xml:space="preserve"> apturējis saimniecisko darbību, </w:t>
            </w:r>
            <w:r w:rsidR="00FA7812" w:rsidRPr="00E21AF2">
              <w:rPr>
                <w:sz w:val="26"/>
                <w:szCs w:val="26"/>
              </w:rPr>
              <w:t>tad šādas rīcības rezultātā nodokļu maksātājam radušies izdevumi netiks uzskatīti par ar saimniecisko darbību saistītiem izdevumiem</w:t>
            </w:r>
            <w:r w:rsidRPr="00E21AF2">
              <w:rPr>
                <w:sz w:val="26"/>
                <w:szCs w:val="26"/>
              </w:rPr>
              <w:t xml:space="preserve">. Sods par maksājumu saistību pildīšana vai darījumu veikšanu ar nodokļu maksātāju, kuram </w:t>
            </w:r>
            <w:r w:rsidR="00063F59" w:rsidRPr="00E21AF2">
              <w:rPr>
                <w:sz w:val="26"/>
                <w:szCs w:val="26"/>
              </w:rPr>
              <w:t>VID</w:t>
            </w:r>
            <w:r w:rsidRPr="00E21AF2">
              <w:rPr>
                <w:sz w:val="26"/>
                <w:szCs w:val="26"/>
              </w:rPr>
              <w:t xml:space="preserve"> apturējis saimniecisko darbību ir nosakāms, jo </w:t>
            </w:r>
            <w:r w:rsidR="00FF61E0" w:rsidRPr="00E21AF2">
              <w:rPr>
                <w:sz w:val="26"/>
                <w:szCs w:val="26"/>
              </w:rPr>
              <w:t>konkrētais nodokļu maksātājs arī pats sevi pasargās no turpmākām nepatikšanām, jo pastāvēs ļoti liela varbūtība, ka nebūs iespējams veikt un pabeigt uzsākto darījumu, jo nodokļu maksātājs, kam būs apturēta saimnieciskā bez VID atļaujas nemaz nedrīkstēs turpināt un pabeigt darījumu. Līdz ar to cietīs arī otra darījuma puse. Līdzīgs pienākums ir noteikts arī attiecībā uz pievienotās vērtības nodokli, proti, apliekamajai personai, veicot priekšnodokļa atskaitījumus, ir pienākums pārliecināties, vai nodokļa rēķinu izsniegusi apliekamā persona</w:t>
            </w:r>
            <w:r w:rsidRPr="00E21AF2">
              <w:rPr>
                <w:sz w:val="26"/>
                <w:szCs w:val="26"/>
              </w:rPr>
              <w:t xml:space="preserve">. Šādas normas ieviešana disciplinēs nodokļu maksātāju uzmanīgāk attiekties pret darījumiem, kuros tas iesaistās. </w:t>
            </w:r>
          </w:p>
          <w:p w:rsidR="00472C63" w:rsidRPr="00E21AF2" w:rsidRDefault="00766C66" w:rsidP="00FA7812">
            <w:pPr>
              <w:pStyle w:val="naiskr"/>
              <w:spacing w:before="0" w:beforeAutospacing="0" w:after="0" w:afterAutospacing="0"/>
              <w:jc w:val="both"/>
              <w:rPr>
                <w:sz w:val="26"/>
                <w:szCs w:val="26"/>
              </w:rPr>
            </w:pPr>
            <w:r w:rsidRPr="00E21AF2">
              <w:rPr>
                <w:sz w:val="26"/>
                <w:szCs w:val="26"/>
                <w:lang w:val="fi-FI"/>
              </w:rPr>
              <w:t xml:space="preserve">Tieslietu ministrijas izstrādāto likumprojektu „Grozījumi Komerclikumā” (VSS-375) un Tieslietu ministrijas izstrādāto likumprojektu „Grozījumi Latvijas administratīvo pārkāpumu kodeksā”” (VSS-415). Likumprojekts ”Grozījumi Latvijas Administratīvo pārkāpumu kodeksā” papildina vairākus likuma pantus ar sankciju ”atņemot tiesības ieņemt noteiktus amatus komercsabiedrībās”, piemēram, likuma 41.pantā minētās sankcijas – atņemt tiesības ieņemt noteiktus amatus </w:t>
            </w:r>
            <w:r w:rsidRPr="00E21AF2">
              <w:rPr>
                <w:sz w:val="26"/>
                <w:szCs w:val="26"/>
                <w:lang w:val="fi-FI"/>
              </w:rPr>
              <w:lastRenderedPageBreak/>
              <w:t>komercsabiedrībās” par darba līguma nenoslēgšanu rakstveida formā atkārtoti gada laikā Valsts darba inspekcija piemēros, sadarbojoties arī ar Valsts ieņēmumu dienestu, kurš sniegs informāciju. Tāpat likumprojekts paredz paplašināt Latvijas Administratīvo pārkāpumu kodeksa 159.</w:t>
            </w:r>
            <w:r w:rsidRPr="00E21AF2">
              <w:rPr>
                <w:sz w:val="26"/>
                <w:szCs w:val="26"/>
                <w:vertAlign w:val="superscript"/>
                <w:lang w:val="fi-FI"/>
              </w:rPr>
              <w:t>7</w:t>
            </w:r>
            <w:r w:rsidRPr="00E21AF2">
              <w:rPr>
                <w:sz w:val="26"/>
                <w:szCs w:val="26"/>
                <w:lang w:val="fi-FI"/>
              </w:rPr>
              <w:t xml:space="preserve"> panta otrās daļas sankciju ar Valsts ieņēmumu dienesta tiesībām valdes loceklim atņemt tiesības ieņemt noteiktus amatus komercsabiedrībās.</w:t>
            </w:r>
          </w:p>
        </w:tc>
      </w:tr>
    </w:tbl>
    <w:p w:rsidR="0013525F" w:rsidRPr="00E21AF2" w:rsidRDefault="0013525F" w:rsidP="0013525F">
      <w:pPr>
        <w:jc w:val="both"/>
        <w:rPr>
          <w:sz w:val="26"/>
          <w:szCs w:val="26"/>
          <w:lang w:val="lv-LV"/>
        </w:rPr>
      </w:pPr>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4"/>
        <w:gridCol w:w="1901"/>
        <w:gridCol w:w="6770"/>
      </w:tblGrid>
      <w:tr w:rsidR="0013525F" w:rsidRPr="00EE37BB" w:rsidTr="00014D26">
        <w:trPr>
          <w:tblCellSpacing w:w="0" w:type="dxa"/>
        </w:trPr>
        <w:tc>
          <w:tcPr>
            <w:tcW w:w="9195" w:type="dxa"/>
            <w:gridSpan w:val="3"/>
            <w:tcBorders>
              <w:top w:val="outset" w:sz="6" w:space="0" w:color="auto"/>
              <w:left w:val="outset" w:sz="6" w:space="0" w:color="auto"/>
              <w:bottom w:val="outset" w:sz="6" w:space="0" w:color="auto"/>
              <w:right w:val="outset" w:sz="6" w:space="0" w:color="auto"/>
            </w:tcBorders>
            <w:vAlign w:val="center"/>
          </w:tcPr>
          <w:p w:rsidR="0013525F" w:rsidRPr="00E21AF2" w:rsidRDefault="0013525F" w:rsidP="00014D26">
            <w:pPr>
              <w:pStyle w:val="naisnod"/>
              <w:jc w:val="center"/>
              <w:rPr>
                <w:b/>
                <w:bCs/>
                <w:sz w:val="26"/>
                <w:szCs w:val="26"/>
              </w:rPr>
            </w:pPr>
            <w:proofErr w:type="spellStart"/>
            <w:r w:rsidRPr="00E21AF2">
              <w:rPr>
                <w:b/>
                <w:bCs/>
                <w:sz w:val="26"/>
                <w:szCs w:val="26"/>
              </w:rPr>
              <w:t>II. Tiesību</w:t>
            </w:r>
            <w:proofErr w:type="spellEnd"/>
            <w:r w:rsidRPr="00E21AF2">
              <w:rPr>
                <w:b/>
                <w:bCs/>
                <w:sz w:val="26"/>
                <w:szCs w:val="26"/>
              </w:rPr>
              <w:t xml:space="preserve"> akta projekta ietekme uz sabiedrību</w:t>
            </w:r>
          </w:p>
        </w:tc>
      </w:tr>
      <w:tr w:rsidR="0013525F" w:rsidRPr="00EE37BB" w:rsidTr="000C5038">
        <w:trPr>
          <w:trHeight w:val="467"/>
          <w:tblCellSpacing w:w="0" w:type="dxa"/>
        </w:trPr>
        <w:tc>
          <w:tcPr>
            <w:tcW w:w="524" w:type="dxa"/>
            <w:tcBorders>
              <w:top w:val="outset" w:sz="6" w:space="0" w:color="auto"/>
              <w:left w:val="outset" w:sz="6" w:space="0" w:color="auto"/>
              <w:bottom w:val="outset" w:sz="6" w:space="0" w:color="auto"/>
              <w:right w:val="outset" w:sz="6" w:space="0" w:color="auto"/>
            </w:tcBorders>
          </w:tcPr>
          <w:p w:rsidR="0013525F" w:rsidRPr="00E21AF2" w:rsidRDefault="0013525F" w:rsidP="00014D26">
            <w:pPr>
              <w:pStyle w:val="naiskr"/>
              <w:rPr>
                <w:sz w:val="26"/>
                <w:szCs w:val="26"/>
              </w:rPr>
            </w:pPr>
            <w:r w:rsidRPr="00E21AF2">
              <w:rPr>
                <w:sz w:val="26"/>
                <w:szCs w:val="26"/>
              </w:rPr>
              <w:t> 1.</w:t>
            </w:r>
          </w:p>
        </w:tc>
        <w:tc>
          <w:tcPr>
            <w:tcW w:w="1901" w:type="dxa"/>
            <w:tcBorders>
              <w:top w:val="outset" w:sz="6" w:space="0" w:color="auto"/>
              <w:left w:val="outset" w:sz="6" w:space="0" w:color="auto"/>
              <w:bottom w:val="outset" w:sz="6" w:space="0" w:color="auto"/>
              <w:right w:val="outset" w:sz="6" w:space="0" w:color="auto"/>
            </w:tcBorders>
          </w:tcPr>
          <w:p w:rsidR="0013525F" w:rsidRPr="00E21AF2" w:rsidRDefault="0013525F" w:rsidP="00014D26">
            <w:pPr>
              <w:pStyle w:val="naiskr"/>
              <w:rPr>
                <w:sz w:val="26"/>
                <w:szCs w:val="26"/>
              </w:rPr>
            </w:pPr>
            <w:r w:rsidRPr="00E21AF2">
              <w:rPr>
                <w:sz w:val="26"/>
                <w:szCs w:val="26"/>
              </w:rPr>
              <w:t xml:space="preserve"> Sabiedrības </w:t>
            </w:r>
            <w:proofErr w:type="spellStart"/>
            <w:r w:rsidRPr="00E21AF2">
              <w:rPr>
                <w:sz w:val="26"/>
                <w:szCs w:val="26"/>
              </w:rPr>
              <w:t>mērķgrupa</w:t>
            </w:r>
            <w:proofErr w:type="spellEnd"/>
          </w:p>
        </w:tc>
        <w:tc>
          <w:tcPr>
            <w:tcW w:w="6770" w:type="dxa"/>
            <w:tcBorders>
              <w:top w:val="outset" w:sz="6" w:space="0" w:color="auto"/>
              <w:left w:val="outset" w:sz="6" w:space="0" w:color="auto"/>
              <w:bottom w:val="outset" w:sz="6" w:space="0" w:color="auto"/>
              <w:right w:val="outset" w:sz="6" w:space="0" w:color="auto"/>
            </w:tcBorders>
          </w:tcPr>
          <w:p w:rsidR="007C15F6" w:rsidRPr="00E21AF2" w:rsidRDefault="0013525F" w:rsidP="007C15F6">
            <w:pPr>
              <w:pStyle w:val="naiskr"/>
              <w:spacing w:before="0" w:beforeAutospacing="0" w:after="0" w:afterAutospacing="0"/>
              <w:jc w:val="both"/>
              <w:rPr>
                <w:sz w:val="26"/>
                <w:szCs w:val="26"/>
              </w:rPr>
            </w:pPr>
            <w:r w:rsidRPr="00E21AF2">
              <w:rPr>
                <w:sz w:val="26"/>
                <w:szCs w:val="26"/>
              </w:rPr>
              <w:t> </w:t>
            </w:r>
            <w:r w:rsidR="00743C98" w:rsidRPr="00E21AF2">
              <w:rPr>
                <w:sz w:val="26"/>
                <w:szCs w:val="26"/>
              </w:rPr>
              <w:t>Likumprojekta</w:t>
            </w:r>
            <w:r w:rsidR="007C15F6" w:rsidRPr="00E21AF2">
              <w:rPr>
                <w:sz w:val="26"/>
                <w:szCs w:val="26"/>
              </w:rPr>
              <w:t xml:space="preserve"> tiesiskais regulējums attiecināms </w:t>
            </w:r>
            <w:r w:rsidR="00743C98" w:rsidRPr="00E21AF2">
              <w:rPr>
                <w:sz w:val="26"/>
                <w:szCs w:val="26"/>
              </w:rPr>
              <w:t xml:space="preserve">gan </w:t>
            </w:r>
            <w:r w:rsidR="007C15F6" w:rsidRPr="00E21AF2">
              <w:rPr>
                <w:sz w:val="26"/>
                <w:szCs w:val="26"/>
              </w:rPr>
              <w:t>uz nodokļu administrāciju,</w:t>
            </w:r>
            <w:r w:rsidR="00743C98" w:rsidRPr="00E21AF2">
              <w:rPr>
                <w:sz w:val="26"/>
                <w:szCs w:val="26"/>
              </w:rPr>
              <w:t xml:space="preserve"> </w:t>
            </w:r>
            <w:proofErr w:type="spellStart"/>
            <w:r w:rsidR="00743C98" w:rsidRPr="00E21AF2">
              <w:rPr>
                <w:sz w:val="26"/>
                <w:szCs w:val="26"/>
              </w:rPr>
              <w:t>t.i</w:t>
            </w:r>
            <w:proofErr w:type="spellEnd"/>
            <w:r w:rsidR="00743C98" w:rsidRPr="00E21AF2">
              <w:rPr>
                <w:sz w:val="26"/>
                <w:szCs w:val="26"/>
              </w:rPr>
              <w:t xml:space="preserve">., </w:t>
            </w:r>
            <w:r w:rsidR="00063F59" w:rsidRPr="00E21AF2">
              <w:rPr>
                <w:sz w:val="26"/>
                <w:szCs w:val="26"/>
              </w:rPr>
              <w:t>VID</w:t>
            </w:r>
            <w:r w:rsidR="00743C98" w:rsidRPr="00E21AF2">
              <w:rPr>
                <w:sz w:val="26"/>
                <w:szCs w:val="26"/>
              </w:rPr>
              <w:t>, gan nodokļu maksātājiem</w:t>
            </w:r>
          </w:p>
          <w:p w:rsidR="00AC2AA8" w:rsidRPr="00E21AF2" w:rsidRDefault="00C647B8" w:rsidP="00AC2AA8">
            <w:pPr>
              <w:jc w:val="both"/>
              <w:rPr>
                <w:sz w:val="26"/>
                <w:szCs w:val="26"/>
                <w:lang w:val="lv-LV" w:eastAsia="lv-LV"/>
              </w:rPr>
            </w:pPr>
            <w:r w:rsidRPr="00E21AF2">
              <w:rPr>
                <w:sz w:val="26"/>
                <w:szCs w:val="26"/>
                <w:lang w:val="lv-LV" w:eastAsia="lv-LV"/>
              </w:rPr>
              <w:t xml:space="preserve">Prognozējams, ka 2012.gadā 5 nodokļu maksātāji varētu noslēgt vienošanos ar nodokļu administrāciju par tirgus vērtības (cenas) noteikšanu konkrētam darījumam. Šādu līgumu noslēgšana radīs pozitīvu ietekmi uz komercdarbības vidi, jo nodokļu maksātāji ir ieinteresēti slēgt šādas vienošanās. Ja ir noslēgta šāda vienošanās un tā tiek ievērota, VID nebūs tiesības audita rezultātā precizēt konkrētam darījumam vai darījumu veidam noteikto tirgus vērtību (cenu).  Taču tiek prognozēts neliels skaits nodokļu maksātāju, kas slēgs šādu vienošanos, jo, lai to varētu darīt, nodokļu maksātāja pārskata gada neto apgrozījumam jāpārsniedz vienu miljonu latu, turklāt, lai šāda vienošanās tiktu noslēgta, </w:t>
            </w:r>
            <w:r w:rsidR="00063F59" w:rsidRPr="00E21AF2">
              <w:rPr>
                <w:sz w:val="26"/>
                <w:szCs w:val="26"/>
                <w:lang w:val="lv-LV" w:eastAsia="lv-LV"/>
              </w:rPr>
              <w:t>VID</w:t>
            </w:r>
            <w:r w:rsidRPr="00E21AF2">
              <w:rPr>
                <w:sz w:val="26"/>
                <w:szCs w:val="26"/>
                <w:lang w:val="lv-LV" w:eastAsia="lv-LV"/>
              </w:rPr>
              <w:t xml:space="preserve"> ir jāiegulda liels un ļoti nopietns darba, ņemot vērā lielās darījumu vērtības un no šādas vienošanās noslēgtās sekas. </w:t>
            </w:r>
            <w:r w:rsidR="00AC2AA8" w:rsidRPr="00E21AF2">
              <w:rPr>
                <w:sz w:val="26"/>
                <w:szCs w:val="26"/>
                <w:lang w:val="lv-LV" w:eastAsia="lv-LV"/>
              </w:rPr>
              <w:t xml:space="preserve">OECD vadlīnijās „Par transferta cenām </w:t>
            </w:r>
            <w:proofErr w:type="spellStart"/>
            <w:r w:rsidR="00AC2AA8" w:rsidRPr="00E21AF2">
              <w:rPr>
                <w:sz w:val="26"/>
                <w:szCs w:val="26"/>
                <w:lang w:val="lv-LV" w:eastAsia="lv-LV"/>
              </w:rPr>
              <w:t>multinacionāliem</w:t>
            </w:r>
            <w:proofErr w:type="spellEnd"/>
            <w:r w:rsidR="00AC2AA8" w:rsidRPr="00E21AF2">
              <w:rPr>
                <w:sz w:val="26"/>
                <w:szCs w:val="26"/>
                <w:lang w:val="lv-LV" w:eastAsia="lv-LV"/>
              </w:rPr>
              <w:t xml:space="preserve"> uzņēmumiem un nodokļu administrācijām” un ES Rīcības kodeksā „</w:t>
            </w:r>
            <w:proofErr w:type="spellStart"/>
            <w:r w:rsidR="00AC2AA8" w:rsidRPr="00E21AF2">
              <w:rPr>
                <w:sz w:val="26"/>
                <w:szCs w:val="26"/>
                <w:lang w:val="lv-LV" w:eastAsia="lv-LV"/>
              </w:rPr>
              <w:t>Resolution</w:t>
            </w:r>
            <w:proofErr w:type="spellEnd"/>
            <w:r w:rsidR="00AC2AA8" w:rsidRPr="00E21AF2">
              <w:rPr>
                <w:sz w:val="26"/>
                <w:szCs w:val="26"/>
                <w:lang w:val="lv-LV" w:eastAsia="lv-LV"/>
              </w:rPr>
              <w:t xml:space="preserve"> </w:t>
            </w:r>
            <w:proofErr w:type="spellStart"/>
            <w:r w:rsidR="00AC2AA8" w:rsidRPr="00E21AF2">
              <w:rPr>
                <w:sz w:val="26"/>
                <w:szCs w:val="26"/>
                <w:lang w:val="lv-LV" w:eastAsia="lv-LV"/>
              </w:rPr>
              <w:t>of</w:t>
            </w:r>
            <w:proofErr w:type="spellEnd"/>
            <w:r w:rsidR="00AC2AA8" w:rsidRPr="00E21AF2">
              <w:rPr>
                <w:sz w:val="26"/>
                <w:szCs w:val="26"/>
                <w:lang w:val="lv-LV" w:eastAsia="lv-LV"/>
              </w:rPr>
              <w:t xml:space="preserve"> </w:t>
            </w:r>
            <w:proofErr w:type="spellStart"/>
            <w:r w:rsidR="00AC2AA8" w:rsidRPr="00E21AF2">
              <w:rPr>
                <w:sz w:val="26"/>
                <w:szCs w:val="26"/>
                <w:lang w:val="lv-LV" w:eastAsia="lv-LV"/>
              </w:rPr>
              <w:t>the</w:t>
            </w:r>
            <w:proofErr w:type="spellEnd"/>
            <w:r w:rsidR="00AC2AA8" w:rsidRPr="00E21AF2">
              <w:rPr>
                <w:sz w:val="26"/>
                <w:szCs w:val="26"/>
                <w:lang w:val="lv-LV" w:eastAsia="lv-LV"/>
              </w:rPr>
              <w:t xml:space="preserve"> </w:t>
            </w:r>
            <w:proofErr w:type="spellStart"/>
            <w:r w:rsidR="00AC2AA8" w:rsidRPr="00E21AF2">
              <w:rPr>
                <w:sz w:val="26"/>
                <w:szCs w:val="26"/>
                <w:lang w:val="lv-LV" w:eastAsia="lv-LV"/>
              </w:rPr>
              <w:t>Council</w:t>
            </w:r>
            <w:proofErr w:type="spellEnd"/>
            <w:r w:rsidR="00AC2AA8" w:rsidRPr="00E21AF2">
              <w:rPr>
                <w:sz w:val="26"/>
                <w:szCs w:val="26"/>
                <w:lang w:val="lv-LV" w:eastAsia="lv-LV"/>
              </w:rPr>
              <w:t xml:space="preserve"> </w:t>
            </w:r>
            <w:proofErr w:type="spellStart"/>
            <w:r w:rsidR="00AC2AA8" w:rsidRPr="00E21AF2">
              <w:rPr>
                <w:sz w:val="26"/>
                <w:szCs w:val="26"/>
                <w:lang w:val="lv-LV" w:eastAsia="lv-LV"/>
              </w:rPr>
              <w:t>and</w:t>
            </w:r>
            <w:proofErr w:type="spellEnd"/>
            <w:r w:rsidR="00AC2AA8" w:rsidRPr="00E21AF2">
              <w:rPr>
                <w:sz w:val="26"/>
                <w:szCs w:val="26"/>
                <w:lang w:val="lv-LV" w:eastAsia="lv-LV"/>
              </w:rPr>
              <w:t xml:space="preserve"> </w:t>
            </w:r>
            <w:proofErr w:type="spellStart"/>
            <w:r w:rsidR="00AC2AA8" w:rsidRPr="00E21AF2">
              <w:rPr>
                <w:sz w:val="26"/>
                <w:szCs w:val="26"/>
                <w:lang w:val="lv-LV" w:eastAsia="lv-LV"/>
              </w:rPr>
              <w:t>of</w:t>
            </w:r>
            <w:proofErr w:type="spellEnd"/>
            <w:r w:rsidR="00AC2AA8" w:rsidRPr="00E21AF2">
              <w:rPr>
                <w:sz w:val="26"/>
                <w:szCs w:val="26"/>
                <w:lang w:val="lv-LV" w:eastAsia="lv-LV"/>
              </w:rPr>
              <w:t xml:space="preserve"> </w:t>
            </w:r>
            <w:proofErr w:type="spellStart"/>
            <w:r w:rsidR="00AC2AA8" w:rsidRPr="00E21AF2">
              <w:rPr>
                <w:sz w:val="26"/>
                <w:szCs w:val="26"/>
                <w:lang w:val="lv-LV" w:eastAsia="lv-LV"/>
              </w:rPr>
              <w:t>the</w:t>
            </w:r>
            <w:proofErr w:type="spellEnd"/>
            <w:r w:rsidR="00AC2AA8" w:rsidRPr="00E21AF2">
              <w:rPr>
                <w:sz w:val="26"/>
                <w:szCs w:val="26"/>
                <w:lang w:val="lv-LV" w:eastAsia="lv-LV"/>
              </w:rPr>
              <w:t xml:space="preserve"> </w:t>
            </w:r>
            <w:proofErr w:type="spellStart"/>
            <w:r w:rsidR="00AC2AA8" w:rsidRPr="00E21AF2">
              <w:rPr>
                <w:sz w:val="26"/>
                <w:szCs w:val="26"/>
                <w:lang w:val="lv-LV" w:eastAsia="lv-LV"/>
              </w:rPr>
              <w:t>representatives</w:t>
            </w:r>
            <w:proofErr w:type="spellEnd"/>
            <w:r w:rsidR="00AC2AA8" w:rsidRPr="00E21AF2">
              <w:rPr>
                <w:sz w:val="26"/>
                <w:szCs w:val="26"/>
                <w:lang w:val="lv-LV" w:eastAsia="lv-LV"/>
              </w:rPr>
              <w:t xml:space="preserve"> </w:t>
            </w:r>
            <w:proofErr w:type="spellStart"/>
            <w:r w:rsidR="00AC2AA8" w:rsidRPr="00E21AF2">
              <w:rPr>
                <w:sz w:val="26"/>
                <w:szCs w:val="26"/>
                <w:lang w:val="lv-LV" w:eastAsia="lv-LV"/>
              </w:rPr>
              <w:t>of</w:t>
            </w:r>
            <w:proofErr w:type="spellEnd"/>
            <w:r w:rsidR="00AC2AA8" w:rsidRPr="00E21AF2">
              <w:rPr>
                <w:sz w:val="26"/>
                <w:szCs w:val="26"/>
                <w:lang w:val="lv-LV" w:eastAsia="lv-LV"/>
              </w:rPr>
              <w:t xml:space="preserve"> </w:t>
            </w:r>
            <w:proofErr w:type="spellStart"/>
            <w:r w:rsidR="00AC2AA8" w:rsidRPr="00E21AF2">
              <w:rPr>
                <w:sz w:val="26"/>
                <w:szCs w:val="26"/>
                <w:lang w:val="lv-LV" w:eastAsia="lv-LV"/>
              </w:rPr>
              <w:t>the</w:t>
            </w:r>
            <w:proofErr w:type="spellEnd"/>
            <w:r w:rsidR="00AC2AA8" w:rsidRPr="00E21AF2">
              <w:rPr>
                <w:sz w:val="26"/>
                <w:szCs w:val="26"/>
                <w:lang w:val="lv-LV" w:eastAsia="lv-LV"/>
              </w:rPr>
              <w:t xml:space="preserve"> </w:t>
            </w:r>
            <w:proofErr w:type="spellStart"/>
            <w:r w:rsidR="00AC2AA8" w:rsidRPr="00E21AF2">
              <w:rPr>
                <w:sz w:val="26"/>
                <w:szCs w:val="26"/>
                <w:lang w:val="lv-LV" w:eastAsia="lv-LV"/>
              </w:rPr>
              <w:t>governments</w:t>
            </w:r>
            <w:proofErr w:type="spellEnd"/>
            <w:r w:rsidR="00AC2AA8" w:rsidRPr="00E21AF2">
              <w:rPr>
                <w:sz w:val="26"/>
                <w:szCs w:val="26"/>
                <w:lang w:val="lv-LV" w:eastAsia="lv-LV"/>
              </w:rPr>
              <w:t xml:space="preserve"> </w:t>
            </w:r>
            <w:proofErr w:type="spellStart"/>
            <w:r w:rsidR="00AC2AA8" w:rsidRPr="00E21AF2">
              <w:rPr>
                <w:sz w:val="26"/>
                <w:szCs w:val="26"/>
                <w:lang w:val="lv-LV" w:eastAsia="lv-LV"/>
              </w:rPr>
              <w:t>of</w:t>
            </w:r>
            <w:proofErr w:type="spellEnd"/>
            <w:r w:rsidR="00AC2AA8" w:rsidRPr="00E21AF2">
              <w:rPr>
                <w:sz w:val="26"/>
                <w:szCs w:val="26"/>
                <w:lang w:val="lv-LV" w:eastAsia="lv-LV"/>
              </w:rPr>
              <w:t xml:space="preserve"> </w:t>
            </w:r>
            <w:proofErr w:type="spellStart"/>
            <w:r w:rsidR="00AC2AA8" w:rsidRPr="00E21AF2">
              <w:rPr>
                <w:sz w:val="26"/>
                <w:szCs w:val="26"/>
                <w:lang w:val="lv-LV" w:eastAsia="lv-LV"/>
              </w:rPr>
              <w:t>the</w:t>
            </w:r>
            <w:proofErr w:type="spellEnd"/>
            <w:r w:rsidR="00AC2AA8" w:rsidRPr="00E21AF2">
              <w:rPr>
                <w:sz w:val="26"/>
                <w:szCs w:val="26"/>
                <w:lang w:val="lv-LV" w:eastAsia="lv-LV"/>
              </w:rPr>
              <w:t xml:space="preserve"> </w:t>
            </w:r>
            <w:proofErr w:type="spellStart"/>
            <w:r w:rsidR="00AC2AA8" w:rsidRPr="00E21AF2">
              <w:rPr>
                <w:sz w:val="26"/>
                <w:szCs w:val="26"/>
                <w:lang w:val="lv-LV" w:eastAsia="lv-LV"/>
              </w:rPr>
              <w:t>Member</w:t>
            </w:r>
            <w:proofErr w:type="spellEnd"/>
            <w:r w:rsidR="00AC2AA8" w:rsidRPr="00E21AF2">
              <w:rPr>
                <w:sz w:val="26"/>
                <w:szCs w:val="26"/>
                <w:lang w:val="lv-LV" w:eastAsia="lv-LV"/>
              </w:rPr>
              <w:t xml:space="preserve"> </w:t>
            </w:r>
            <w:proofErr w:type="spellStart"/>
            <w:r w:rsidR="00AC2AA8" w:rsidRPr="00E21AF2">
              <w:rPr>
                <w:sz w:val="26"/>
                <w:szCs w:val="26"/>
                <w:lang w:val="lv-LV" w:eastAsia="lv-LV"/>
              </w:rPr>
              <w:t>States</w:t>
            </w:r>
            <w:proofErr w:type="spellEnd"/>
            <w:r w:rsidR="00AC2AA8" w:rsidRPr="00E21AF2">
              <w:rPr>
                <w:sz w:val="26"/>
                <w:szCs w:val="26"/>
                <w:lang w:val="lv-LV" w:eastAsia="lv-LV"/>
              </w:rPr>
              <w:t xml:space="preserve">, </w:t>
            </w:r>
            <w:proofErr w:type="spellStart"/>
            <w:r w:rsidR="00AC2AA8" w:rsidRPr="00E21AF2">
              <w:rPr>
                <w:sz w:val="26"/>
                <w:szCs w:val="26"/>
                <w:lang w:val="lv-LV" w:eastAsia="lv-LV"/>
              </w:rPr>
              <w:t>meeting</w:t>
            </w:r>
            <w:proofErr w:type="spellEnd"/>
            <w:r w:rsidR="00AC2AA8" w:rsidRPr="00E21AF2">
              <w:rPr>
                <w:sz w:val="26"/>
                <w:szCs w:val="26"/>
                <w:lang w:val="lv-LV" w:eastAsia="lv-LV"/>
              </w:rPr>
              <w:t xml:space="preserve"> </w:t>
            </w:r>
            <w:proofErr w:type="spellStart"/>
            <w:r w:rsidR="00AC2AA8" w:rsidRPr="00E21AF2">
              <w:rPr>
                <w:sz w:val="26"/>
                <w:szCs w:val="26"/>
                <w:lang w:val="lv-LV" w:eastAsia="lv-LV"/>
              </w:rPr>
              <w:t>within</w:t>
            </w:r>
            <w:proofErr w:type="spellEnd"/>
            <w:r w:rsidR="00AC2AA8" w:rsidRPr="00E21AF2">
              <w:rPr>
                <w:sz w:val="26"/>
                <w:szCs w:val="26"/>
                <w:lang w:val="lv-LV" w:eastAsia="lv-LV"/>
              </w:rPr>
              <w:t xml:space="preserve"> </w:t>
            </w:r>
            <w:proofErr w:type="spellStart"/>
            <w:r w:rsidR="00AC2AA8" w:rsidRPr="00E21AF2">
              <w:rPr>
                <w:sz w:val="26"/>
                <w:szCs w:val="26"/>
                <w:lang w:val="lv-LV" w:eastAsia="lv-LV"/>
              </w:rPr>
              <w:t>the</w:t>
            </w:r>
            <w:proofErr w:type="spellEnd"/>
            <w:r w:rsidR="00AC2AA8" w:rsidRPr="00E21AF2">
              <w:rPr>
                <w:sz w:val="26"/>
                <w:szCs w:val="26"/>
                <w:lang w:val="lv-LV" w:eastAsia="lv-LV"/>
              </w:rPr>
              <w:t xml:space="preserve"> </w:t>
            </w:r>
            <w:proofErr w:type="spellStart"/>
            <w:r w:rsidR="00AC2AA8" w:rsidRPr="00E21AF2">
              <w:rPr>
                <w:sz w:val="26"/>
                <w:szCs w:val="26"/>
                <w:lang w:val="lv-LV" w:eastAsia="lv-LV"/>
              </w:rPr>
              <w:t>Council</w:t>
            </w:r>
            <w:proofErr w:type="spellEnd"/>
            <w:r w:rsidR="00AC2AA8" w:rsidRPr="00E21AF2">
              <w:rPr>
                <w:sz w:val="26"/>
                <w:szCs w:val="26"/>
                <w:lang w:val="lv-LV" w:eastAsia="lv-LV"/>
              </w:rPr>
              <w:t xml:space="preserve">, </w:t>
            </w:r>
            <w:proofErr w:type="spellStart"/>
            <w:r w:rsidR="00AC2AA8" w:rsidRPr="00E21AF2">
              <w:rPr>
                <w:sz w:val="26"/>
                <w:szCs w:val="26"/>
                <w:lang w:val="lv-LV" w:eastAsia="lv-LV"/>
              </w:rPr>
              <w:t>of</w:t>
            </w:r>
            <w:proofErr w:type="spellEnd"/>
            <w:r w:rsidR="00AC2AA8" w:rsidRPr="00E21AF2">
              <w:rPr>
                <w:sz w:val="26"/>
                <w:szCs w:val="26"/>
                <w:lang w:val="lv-LV" w:eastAsia="lv-LV"/>
              </w:rPr>
              <w:t xml:space="preserve"> 27 </w:t>
            </w:r>
            <w:proofErr w:type="spellStart"/>
            <w:r w:rsidR="00AC2AA8" w:rsidRPr="00E21AF2">
              <w:rPr>
                <w:sz w:val="26"/>
                <w:szCs w:val="26"/>
                <w:lang w:val="lv-LV" w:eastAsia="lv-LV"/>
              </w:rPr>
              <w:t>June</w:t>
            </w:r>
            <w:proofErr w:type="spellEnd"/>
            <w:r w:rsidR="00AC2AA8" w:rsidRPr="00E21AF2">
              <w:rPr>
                <w:sz w:val="26"/>
                <w:szCs w:val="26"/>
                <w:lang w:val="lv-LV" w:eastAsia="lv-LV"/>
              </w:rPr>
              <w:t xml:space="preserve"> 2006 </w:t>
            </w:r>
            <w:proofErr w:type="spellStart"/>
            <w:r w:rsidR="00AC2AA8" w:rsidRPr="00E21AF2">
              <w:rPr>
                <w:sz w:val="26"/>
                <w:szCs w:val="26"/>
                <w:lang w:val="lv-LV" w:eastAsia="lv-LV"/>
              </w:rPr>
              <w:t>on</w:t>
            </w:r>
            <w:proofErr w:type="spellEnd"/>
            <w:r w:rsidR="00AC2AA8" w:rsidRPr="00E21AF2">
              <w:rPr>
                <w:sz w:val="26"/>
                <w:szCs w:val="26"/>
                <w:lang w:val="lv-LV" w:eastAsia="lv-LV"/>
              </w:rPr>
              <w:t xml:space="preserve"> a </w:t>
            </w:r>
            <w:proofErr w:type="spellStart"/>
            <w:r w:rsidR="00AC2AA8" w:rsidRPr="00E21AF2">
              <w:rPr>
                <w:sz w:val="26"/>
                <w:szCs w:val="26"/>
                <w:lang w:val="lv-LV" w:eastAsia="lv-LV"/>
              </w:rPr>
              <w:t>codwe</w:t>
            </w:r>
            <w:proofErr w:type="spellEnd"/>
            <w:r w:rsidR="00AC2AA8" w:rsidRPr="00E21AF2">
              <w:rPr>
                <w:sz w:val="26"/>
                <w:szCs w:val="26"/>
                <w:lang w:val="lv-LV" w:eastAsia="lv-LV"/>
              </w:rPr>
              <w:t xml:space="preserve"> </w:t>
            </w:r>
            <w:proofErr w:type="spellStart"/>
            <w:r w:rsidR="00AC2AA8" w:rsidRPr="00E21AF2">
              <w:rPr>
                <w:sz w:val="26"/>
                <w:szCs w:val="26"/>
                <w:lang w:val="lv-LV" w:eastAsia="lv-LV"/>
              </w:rPr>
              <w:t>of</w:t>
            </w:r>
            <w:proofErr w:type="spellEnd"/>
            <w:r w:rsidR="00AC2AA8" w:rsidRPr="00E21AF2">
              <w:rPr>
                <w:sz w:val="26"/>
                <w:szCs w:val="26"/>
                <w:lang w:val="lv-LV" w:eastAsia="lv-LV"/>
              </w:rPr>
              <w:t xml:space="preserve"> </w:t>
            </w:r>
            <w:proofErr w:type="spellStart"/>
            <w:r w:rsidR="00AC2AA8" w:rsidRPr="00E21AF2">
              <w:rPr>
                <w:sz w:val="26"/>
                <w:szCs w:val="26"/>
                <w:lang w:val="lv-LV" w:eastAsia="lv-LV"/>
              </w:rPr>
              <w:t>conduct</w:t>
            </w:r>
            <w:proofErr w:type="spellEnd"/>
            <w:r w:rsidR="00AC2AA8" w:rsidRPr="00E21AF2">
              <w:rPr>
                <w:sz w:val="26"/>
                <w:szCs w:val="26"/>
                <w:lang w:val="lv-LV" w:eastAsia="lv-LV"/>
              </w:rPr>
              <w:t xml:space="preserve"> </w:t>
            </w:r>
            <w:proofErr w:type="spellStart"/>
            <w:r w:rsidR="00AC2AA8" w:rsidRPr="00E21AF2">
              <w:rPr>
                <w:sz w:val="26"/>
                <w:szCs w:val="26"/>
                <w:lang w:val="lv-LV" w:eastAsia="lv-LV"/>
              </w:rPr>
              <w:t>on</w:t>
            </w:r>
            <w:proofErr w:type="spellEnd"/>
            <w:r w:rsidR="00AC2AA8" w:rsidRPr="00E21AF2">
              <w:rPr>
                <w:sz w:val="26"/>
                <w:szCs w:val="26"/>
                <w:lang w:val="lv-LV" w:eastAsia="lv-LV"/>
              </w:rPr>
              <w:t xml:space="preserve"> </w:t>
            </w:r>
            <w:proofErr w:type="spellStart"/>
            <w:r w:rsidR="00AC2AA8" w:rsidRPr="00E21AF2">
              <w:rPr>
                <w:sz w:val="26"/>
                <w:szCs w:val="26"/>
                <w:lang w:val="lv-LV" w:eastAsia="lv-LV"/>
              </w:rPr>
              <w:t>trasfer</w:t>
            </w:r>
            <w:proofErr w:type="spellEnd"/>
            <w:r w:rsidR="00AC2AA8" w:rsidRPr="00E21AF2">
              <w:rPr>
                <w:sz w:val="26"/>
                <w:szCs w:val="26"/>
                <w:lang w:val="lv-LV" w:eastAsia="lv-LV"/>
              </w:rPr>
              <w:t xml:space="preserve"> </w:t>
            </w:r>
            <w:proofErr w:type="spellStart"/>
            <w:r w:rsidR="00AC2AA8" w:rsidRPr="00E21AF2">
              <w:rPr>
                <w:sz w:val="26"/>
                <w:szCs w:val="26"/>
                <w:lang w:val="lv-LV" w:eastAsia="lv-LV"/>
              </w:rPr>
              <w:t>pricing</w:t>
            </w:r>
            <w:proofErr w:type="spellEnd"/>
            <w:r w:rsidR="00AC2AA8" w:rsidRPr="00E21AF2">
              <w:rPr>
                <w:sz w:val="26"/>
                <w:szCs w:val="26"/>
                <w:lang w:val="lv-LV" w:eastAsia="lv-LV"/>
              </w:rPr>
              <w:t xml:space="preserve"> </w:t>
            </w:r>
            <w:proofErr w:type="spellStart"/>
            <w:r w:rsidR="00AC2AA8" w:rsidRPr="00E21AF2">
              <w:rPr>
                <w:sz w:val="26"/>
                <w:szCs w:val="26"/>
                <w:lang w:val="lv-LV" w:eastAsia="lv-LV"/>
              </w:rPr>
              <w:t>documentation</w:t>
            </w:r>
            <w:proofErr w:type="spellEnd"/>
            <w:r w:rsidR="00AC2AA8" w:rsidRPr="00E21AF2">
              <w:rPr>
                <w:sz w:val="26"/>
                <w:szCs w:val="26"/>
                <w:lang w:val="lv-LV" w:eastAsia="lv-LV"/>
              </w:rPr>
              <w:t xml:space="preserve"> </w:t>
            </w:r>
            <w:proofErr w:type="spellStart"/>
            <w:r w:rsidR="00AC2AA8" w:rsidRPr="00E21AF2">
              <w:rPr>
                <w:sz w:val="26"/>
                <w:szCs w:val="26"/>
                <w:lang w:val="lv-LV" w:eastAsia="lv-LV"/>
              </w:rPr>
              <w:t>for</w:t>
            </w:r>
            <w:proofErr w:type="spellEnd"/>
            <w:r w:rsidR="00AC2AA8" w:rsidRPr="00E21AF2">
              <w:rPr>
                <w:sz w:val="26"/>
                <w:szCs w:val="26"/>
                <w:lang w:val="lv-LV" w:eastAsia="lv-LV"/>
              </w:rPr>
              <w:t xml:space="preserve"> </w:t>
            </w:r>
            <w:proofErr w:type="spellStart"/>
            <w:r w:rsidR="00AC2AA8" w:rsidRPr="00E21AF2">
              <w:rPr>
                <w:sz w:val="26"/>
                <w:szCs w:val="26"/>
                <w:lang w:val="lv-LV" w:eastAsia="lv-LV"/>
              </w:rPr>
              <w:t>associated</w:t>
            </w:r>
            <w:proofErr w:type="spellEnd"/>
            <w:r w:rsidR="00AC2AA8" w:rsidRPr="00E21AF2">
              <w:rPr>
                <w:sz w:val="26"/>
                <w:szCs w:val="26"/>
                <w:lang w:val="lv-LV" w:eastAsia="lv-LV"/>
              </w:rPr>
              <w:t xml:space="preserve"> </w:t>
            </w:r>
            <w:proofErr w:type="spellStart"/>
            <w:r w:rsidR="00AC2AA8" w:rsidRPr="00E21AF2">
              <w:rPr>
                <w:sz w:val="26"/>
                <w:szCs w:val="26"/>
                <w:lang w:val="lv-LV" w:eastAsia="lv-LV"/>
              </w:rPr>
              <w:t>enterprises</w:t>
            </w:r>
            <w:proofErr w:type="spellEnd"/>
            <w:r w:rsidR="00AC2AA8" w:rsidRPr="00E21AF2">
              <w:rPr>
                <w:sz w:val="26"/>
                <w:szCs w:val="26"/>
                <w:lang w:val="lv-LV" w:eastAsia="lv-LV"/>
              </w:rPr>
              <w:t xml:space="preserve"> </w:t>
            </w:r>
            <w:proofErr w:type="spellStart"/>
            <w:r w:rsidR="00AC2AA8" w:rsidRPr="00E21AF2">
              <w:rPr>
                <w:sz w:val="26"/>
                <w:szCs w:val="26"/>
                <w:lang w:val="lv-LV" w:eastAsia="lv-LV"/>
              </w:rPr>
              <w:t>in</w:t>
            </w:r>
            <w:proofErr w:type="spellEnd"/>
            <w:r w:rsidR="00AC2AA8" w:rsidRPr="00E21AF2">
              <w:rPr>
                <w:sz w:val="26"/>
                <w:szCs w:val="26"/>
                <w:lang w:val="lv-LV" w:eastAsia="lv-LV"/>
              </w:rPr>
              <w:t xml:space="preserve"> </w:t>
            </w:r>
            <w:proofErr w:type="spellStart"/>
            <w:r w:rsidR="00AC2AA8" w:rsidRPr="00E21AF2">
              <w:rPr>
                <w:sz w:val="26"/>
                <w:szCs w:val="26"/>
                <w:lang w:val="lv-LV" w:eastAsia="lv-LV"/>
              </w:rPr>
              <w:t>the</w:t>
            </w:r>
            <w:proofErr w:type="spellEnd"/>
            <w:r w:rsidR="00AC2AA8" w:rsidRPr="00E21AF2">
              <w:rPr>
                <w:sz w:val="26"/>
                <w:szCs w:val="26"/>
                <w:lang w:val="lv-LV" w:eastAsia="lv-LV"/>
              </w:rPr>
              <w:t xml:space="preserve"> </w:t>
            </w:r>
            <w:proofErr w:type="spellStart"/>
            <w:r w:rsidR="00AC2AA8" w:rsidRPr="00E21AF2">
              <w:rPr>
                <w:sz w:val="26"/>
                <w:szCs w:val="26"/>
                <w:lang w:val="lv-LV" w:eastAsia="lv-LV"/>
              </w:rPr>
              <w:t>European</w:t>
            </w:r>
            <w:proofErr w:type="spellEnd"/>
            <w:r w:rsidR="00AC2AA8" w:rsidRPr="00E21AF2">
              <w:rPr>
                <w:sz w:val="26"/>
                <w:szCs w:val="26"/>
                <w:lang w:val="lv-LV" w:eastAsia="lv-LV"/>
              </w:rPr>
              <w:t xml:space="preserve"> </w:t>
            </w:r>
            <w:proofErr w:type="spellStart"/>
            <w:r w:rsidR="00AC2AA8" w:rsidRPr="00E21AF2">
              <w:rPr>
                <w:sz w:val="26"/>
                <w:szCs w:val="26"/>
                <w:lang w:val="lv-LV" w:eastAsia="lv-LV"/>
              </w:rPr>
              <w:t>union</w:t>
            </w:r>
            <w:proofErr w:type="spellEnd"/>
            <w:r w:rsidR="00AC2AA8" w:rsidRPr="00E21AF2">
              <w:rPr>
                <w:sz w:val="26"/>
                <w:szCs w:val="26"/>
                <w:lang w:val="lv-LV" w:eastAsia="lv-LV"/>
              </w:rPr>
              <w:t xml:space="preserve"> (1006/C176/01) ir noteiktas prasības attiecībā uz transfertcenu dokumentāciju.</w:t>
            </w:r>
          </w:p>
          <w:p w:rsidR="00C647B8" w:rsidRPr="00E21AF2" w:rsidRDefault="00C647B8" w:rsidP="00C647B8">
            <w:pPr>
              <w:jc w:val="both"/>
              <w:rPr>
                <w:sz w:val="26"/>
                <w:szCs w:val="26"/>
                <w:lang w:val="lv-LV" w:eastAsia="lv-LV"/>
              </w:rPr>
            </w:pPr>
          </w:p>
          <w:p w:rsidR="00C647B8" w:rsidRPr="00E21AF2" w:rsidRDefault="00C647B8" w:rsidP="00C647B8">
            <w:pPr>
              <w:jc w:val="both"/>
              <w:rPr>
                <w:sz w:val="26"/>
                <w:szCs w:val="26"/>
                <w:lang w:val="lv-LV" w:eastAsia="lv-LV"/>
              </w:rPr>
            </w:pPr>
            <w:r w:rsidRPr="00E21AF2">
              <w:rPr>
                <w:sz w:val="26"/>
                <w:szCs w:val="26"/>
                <w:lang w:val="lv-LV" w:eastAsia="lv-LV"/>
              </w:rPr>
              <w:t xml:space="preserve">Attiecībā uz saimnieciskās darbības apturēšanu 2011.gada 5 mēnešos 892 tematiskajās pārbaudēs konstatēti pārkāpumi, </w:t>
            </w:r>
            <w:proofErr w:type="spellStart"/>
            <w:r w:rsidRPr="00E21AF2">
              <w:rPr>
                <w:sz w:val="26"/>
                <w:szCs w:val="26"/>
                <w:lang w:val="lv-LV" w:eastAsia="lv-LV"/>
              </w:rPr>
              <w:t>t.sk</w:t>
            </w:r>
            <w:proofErr w:type="spellEnd"/>
            <w:r w:rsidRPr="00E21AF2">
              <w:rPr>
                <w:sz w:val="26"/>
                <w:szCs w:val="26"/>
                <w:lang w:val="lv-LV" w:eastAsia="lv-LV"/>
              </w:rPr>
              <w:t xml:space="preserve">., 38 pārbaudēs konstatēts, ka ar 77 darba ņēmējiem nav noslēgti darba līgumi. Paskaidrojumu reģistrā ir iekļauta informācija par 1635 uzņēmumiem (saistībā ar fiktīvo uzņēmējdarbību), it sevišķi pēdējā laikā tiek saņemti ļoti daudz paskaidrojumi, jo personas, lūdzot sociālo palīdzību, ir konstatējušas, ka ir iesaistītas fiktīvos uzņēmumos, un līdz ar to pabalsts no valsts, no pašvaldības nepienākas. Tādējādi personas ir ieinteresētas uzzināt par savu statusu un ja, piemēram, par samaksu ir piekritušas iesaistīties komercdarbībā, tādējādi atbalstot fiktīvo uzņēmējdarbību, šobrīd ir gatavas atzīt šo pārkāpumu, lai gūtu iespēju pretendēt uz pabalstiem un saņemt tos. 2011.gada 5 mēnešos no VID ar PVN apliekamo personu reģistra pēc VID iniciatīvas ir izslēgtas 2924 personas, šāda izslēgšana būtu </w:t>
            </w:r>
            <w:r w:rsidRPr="00E21AF2">
              <w:rPr>
                <w:sz w:val="26"/>
                <w:szCs w:val="26"/>
                <w:lang w:val="lv-LV" w:eastAsia="lv-LV"/>
              </w:rPr>
              <w:lastRenderedPageBreak/>
              <w:t>uzskatāma par ierobežojošu pasākumu saimnieciskās darbības veikšanai.</w:t>
            </w:r>
          </w:p>
          <w:p w:rsidR="0013525F" w:rsidRPr="00E21AF2" w:rsidRDefault="00BB42BC" w:rsidP="00BB42BC">
            <w:pPr>
              <w:jc w:val="both"/>
              <w:rPr>
                <w:sz w:val="26"/>
                <w:szCs w:val="26"/>
                <w:lang w:val="lv-LV"/>
              </w:rPr>
            </w:pPr>
            <w:r w:rsidRPr="00E21AF2">
              <w:rPr>
                <w:sz w:val="26"/>
                <w:szCs w:val="26"/>
                <w:lang w:val="lv-LV" w:eastAsia="lv-LV"/>
              </w:rPr>
              <w:t>Attiecībā uz skaidras naudas ierobežojumiem, 2011.gada 5 mēnešos ir sodīti 66 nodokļu maksātāji, kuru darījumu summa ir pārsniegusi Ls 10000, ņemot vērā ar likumprojektu darījuma summa tiek samazināta uz Ls 5000, prognozējams, ka pārkāpēju skaits būs lielāks. 2010.gadā ir sodīti 4 nodokļu  maksātāji, kas nav deklarējuši darījumus, kas pārsniedz Ls 3000, bet nepārsniedz Ls 10000. 2010.gadā ir deklarēti 11 260 skaidrā naudā veiktie darījumi, ieviešot likumprojektā iekļautās normas, deklarēto darījumu skaitam ir jāpalielinās, ņemot vērā, ka summa, kuru sasniedzot skaidrā naudā veiktais darījums ir deklarējams, ir samazināta no Ls 3000 uz Ls 1000.</w:t>
            </w:r>
          </w:p>
        </w:tc>
      </w:tr>
      <w:tr w:rsidR="0013525F" w:rsidRPr="00E21AF2" w:rsidTr="000C5038">
        <w:trPr>
          <w:trHeight w:val="345"/>
          <w:tblCellSpacing w:w="0" w:type="dxa"/>
        </w:trPr>
        <w:tc>
          <w:tcPr>
            <w:tcW w:w="524" w:type="dxa"/>
            <w:tcBorders>
              <w:top w:val="outset" w:sz="6" w:space="0" w:color="auto"/>
              <w:left w:val="outset" w:sz="6" w:space="0" w:color="auto"/>
              <w:bottom w:val="outset" w:sz="6" w:space="0" w:color="auto"/>
              <w:right w:val="outset" w:sz="6" w:space="0" w:color="auto"/>
            </w:tcBorders>
          </w:tcPr>
          <w:p w:rsidR="0013525F" w:rsidRPr="00E21AF2" w:rsidRDefault="0013525F" w:rsidP="00014D26">
            <w:pPr>
              <w:pStyle w:val="naiskr"/>
              <w:rPr>
                <w:sz w:val="26"/>
                <w:szCs w:val="26"/>
              </w:rPr>
            </w:pPr>
            <w:r w:rsidRPr="00E21AF2">
              <w:rPr>
                <w:sz w:val="26"/>
                <w:szCs w:val="26"/>
              </w:rPr>
              <w:lastRenderedPageBreak/>
              <w:t> 2.</w:t>
            </w:r>
          </w:p>
        </w:tc>
        <w:tc>
          <w:tcPr>
            <w:tcW w:w="1901" w:type="dxa"/>
            <w:tcBorders>
              <w:top w:val="outset" w:sz="6" w:space="0" w:color="auto"/>
              <w:left w:val="outset" w:sz="6" w:space="0" w:color="auto"/>
              <w:bottom w:val="outset" w:sz="6" w:space="0" w:color="auto"/>
              <w:right w:val="outset" w:sz="6" w:space="0" w:color="auto"/>
            </w:tcBorders>
          </w:tcPr>
          <w:p w:rsidR="0013525F" w:rsidRPr="00E21AF2" w:rsidRDefault="0013525F" w:rsidP="00014D26">
            <w:pPr>
              <w:pStyle w:val="naiskr"/>
              <w:rPr>
                <w:sz w:val="26"/>
                <w:szCs w:val="26"/>
              </w:rPr>
            </w:pPr>
            <w:r w:rsidRPr="00E21AF2">
              <w:rPr>
                <w:sz w:val="26"/>
                <w:szCs w:val="26"/>
              </w:rPr>
              <w:t xml:space="preserve"> Citas sabiedrības grupas (bez </w:t>
            </w:r>
            <w:proofErr w:type="spellStart"/>
            <w:r w:rsidRPr="00E21AF2">
              <w:rPr>
                <w:sz w:val="26"/>
                <w:szCs w:val="26"/>
              </w:rPr>
              <w:t>mērķgrupas</w:t>
            </w:r>
            <w:proofErr w:type="spellEnd"/>
            <w:r w:rsidRPr="00E21AF2">
              <w:rPr>
                <w:sz w:val="26"/>
                <w:szCs w:val="26"/>
              </w:rPr>
              <w:t>), kuras tiesiskais regulējums arī ietekmē vai varētu ietekmēt</w:t>
            </w:r>
          </w:p>
        </w:tc>
        <w:tc>
          <w:tcPr>
            <w:tcW w:w="6770" w:type="dxa"/>
            <w:tcBorders>
              <w:top w:val="outset" w:sz="6" w:space="0" w:color="auto"/>
              <w:left w:val="outset" w:sz="6" w:space="0" w:color="auto"/>
              <w:bottom w:val="outset" w:sz="6" w:space="0" w:color="auto"/>
              <w:right w:val="outset" w:sz="6" w:space="0" w:color="auto"/>
            </w:tcBorders>
          </w:tcPr>
          <w:p w:rsidR="0013525F" w:rsidRPr="00E21AF2" w:rsidRDefault="0013525F" w:rsidP="00014D26">
            <w:pPr>
              <w:pStyle w:val="naiskr"/>
              <w:jc w:val="both"/>
              <w:rPr>
                <w:sz w:val="26"/>
                <w:szCs w:val="26"/>
              </w:rPr>
            </w:pPr>
            <w:r w:rsidRPr="00E21AF2">
              <w:rPr>
                <w:sz w:val="26"/>
                <w:szCs w:val="26"/>
              </w:rPr>
              <w:t> Nav attiecināms.</w:t>
            </w:r>
          </w:p>
        </w:tc>
      </w:tr>
      <w:tr w:rsidR="0013525F" w:rsidRPr="00EE37BB" w:rsidTr="000C5038">
        <w:trPr>
          <w:trHeight w:val="517"/>
          <w:tblCellSpacing w:w="0" w:type="dxa"/>
        </w:trPr>
        <w:tc>
          <w:tcPr>
            <w:tcW w:w="524" w:type="dxa"/>
            <w:tcBorders>
              <w:top w:val="outset" w:sz="6" w:space="0" w:color="auto"/>
              <w:left w:val="outset" w:sz="6" w:space="0" w:color="auto"/>
              <w:bottom w:val="outset" w:sz="6" w:space="0" w:color="auto"/>
              <w:right w:val="outset" w:sz="6" w:space="0" w:color="auto"/>
            </w:tcBorders>
          </w:tcPr>
          <w:p w:rsidR="0013525F" w:rsidRPr="00E21AF2" w:rsidRDefault="0013525F" w:rsidP="00014D26">
            <w:pPr>
              <w:pStyle w:val="naiskr"/>
              <w:rPr>
                <w:sz w:val="26"/>
                <w:szCs w:val="26"/>
              </w:rPr>
            </w:pPr>
            <w:r w:rsidRPr="00E21AF2">
              <w:rPr>
                <w:sz w:val="26"/>
                <w:szCs w:val="26"/>
              </w:rPr>
              <w:t> 3.</w:t>
            </w:r>
          </w:p>
        </w:tc>
        <w:tc>
          <w:tcPr>
            <w:tcW w:w="1901" w:type="dxa"/>
            <w:tcBorders>
              <w:top w:val="outset" w:sz="6" w:space="0" w:color="auto"/>
              <w:left w:val="outset" w:sz="6" w:space="0" w:color="auto"/>
              <w:bottom w:val="outset" w:sz="6" w:space="0" w:color="auto"/>
              <w:right w:val="outset" w:sz="6" w:space="0" w:color="auto"/>
            </w:tcBorders>
          </w:tcPr>
          <w:p w:rsidR="0013525F" w:rsidRPr="00E21AF2" w:rsidRDefault="0013525F" w:rsidP="00014D26">
            <w:pPr>
              <w:pStyle w:val="naiskr"/>
              <w:spacing w:before="0" w:beforeAutospacing="0" w:after="0" w:afterAutospacing="0"/>
              <w:ind w:right="-556"/>
              <w:rPr>
                <w:sz w:val="26"/>
                <w:szCs w:val="26"/>
              </w:rPr>
            </w:pPr>
            <w:r w:rsidRPr="00E21AF2">
              <w:rPr>
                <w:sz w:val="26"/>
                <w:szCs w:val="26"/>
              </w:rPr>
              <w:t> Tiesiskā regulējuma</w:t>
            </w:r>
          </w:p>
          <w:p w:rsidR="0013525F" w:rsidRPr="00E21AF2" w:rsidRDefault="0013525F" w:rsidP="00014D26">
            <w:pPr>
              <w:pStyle w:val="naiskr"/>
              <w:spacing w:before="0" w:beforeAutospacing="0" w:after="0" w:afterAutospacing="0"/>
              <w:ind w:right="-556"/>
              <w:rPr>
                <w:sz w:val="26"/>
                <w:szCs w:val="26"/>
              </w:rPr>
            </w:pPr>
            <w:r w:rsidRPr="00E21AF2">
              <w:rPr>
                <w:sz w:val="26"/>
                <w:szCs w:val="26"/>
              </w:rPr>
              <w:t>finansiālā ietekme</w:t>
            </w:r>
          </w:p>
        </w:tc>
        <w:tc>
          <w:tcPr>
            <w:tcW w:w="6770" w:type="dxa"/>
            <w:tcBorders>
              <w:top w:val="outset" w:sz="6" w:space="0" w:color="auto"/>
              <w:left w:val="outset" w:sz="6" w:space="0" w:color="auto"/>
              <w:bottom w:val="outset" w:sz="6" w:space="0" w:color="auto"/>
              <w:right w:val="outset" w:sz="6" w:space="0" w:color="auto"/>
            </w:tcBorders>
          </w:tcPr>
          <w:p w:rsidR="006B6A87" w:rsidRPr="00E21AF2" w:rsidRDefault="006B6A87" w:rsidP="006B6A87">
            <w:pPr>
              <w:jc w:val="both"/>
              <w:rPr>
                <w:sz w:val="26"/>
                <w:szCs w:val="26"/>
                <w:lang w:val="lv-LV"/>
              </w:rPr>
            </w:pPr>
            <w:r w:rsidRPr="00E21AF2">
              <w:rPr>
                <w:sz w:val="26"/>
                <w:szCs w:val="26"/>
                <w:lang w:val="lv-LV"/>
              </w:rPr>
              <w:t>Paredz noteikt nodokļu maksātājiem pienākumu attiecībā uz informācijas sniegšanu, lai apliecinātu darījuma cenas atbilstību tirgus cenai dar</w:t>
            </w:r>
            <w:r w:rsidR="00813F00" w:rsidRPr="00E21AF2">
              <w:rPr>
                <w:sz w:val="26"/>
                <w:szCs w:val="26"/>
                <w:lang w:val="lv-LV"/>
              </w:rPr>
              <w:t>ījumos ar saistītiem uzņēmumiem.</w:t>
            </w:r>
          </w:p>
          <w:p w:rsidR="0013525F" w:rsidRPr="00E21AF2" w:rsidRDefault="0013525F" w:rsidP="00014D26">
            <w:pPr>
              <w:jc w:val="both"/>
              <w:rPr>
                <w:sz w:val="26"/>
                <w:szCs w:val="26"/>
                <w:lang w:val="lv-LV"/>
              </w:rPr>
            </w:pPr>
          </w:p>
        </w:tc>
      </w:tr>
      <w:tr w:rsidR="0013525F" w:rsidRPr="00E21AF2" w:rsidTr="000C5038">
        <w:trPr>
          <w:trHeight w:val="517"/>
          <w:tblCellSpacing w:w="0" w:type="dxa"/>
        </w:trPr>
        <w:tc>
          <w:tcPr>
            <w:tcW w:w="524" w:type="dxa"/>
            <w:tcBorders>
              <w:top w:val="outset" w:sz="6" w:space="0" w:color="auto"/>
              <w:left w:val="outset" w:sz="6" w:space="0" w:color="auto"/>
              <w:bottom w:val="outset" w:sz="6" w:space="0" w:color="auto"/>
              <w:right w:val="outset" w:sz="6" w:space="0" w:color="auto"/>
            </w:tcBorders>
          </w:tcPr>
          <w:p w:rsidR="0013525F" w:rsidRPr="00E21AF2" w:rsidRDefault="0013525F" w:rsidP="00014D26">
            <w:pPr>
              <w:pStyle w:val="naiskr"/>
              <w:rPr>
                <w:sz w:val="26"/>
                <w:szCs w:val="26"/>
              </w:rPr>
            </w:pPr>
            <w:r w:rsidRPr="00E21AF2">
              <w:rPr>
                <w:sz w:val="26"/>
                <w:szCs w:val="26"/>
              </w:rPr>
              <w:t> 4.</w:t>
            </w:r>
          </w:p>
        </w:tc>
        <w:tc>
          <w:tcPr>
            <w:tcW w:w="1901" w:type="dxa"/>
            <w:tcBorders>
              <w:top w:val="outset" w:sz="6" w:space="0" w:color="auto"/>
              <w:left w:val="outset" w:sz="6" w:space="0" w:color="auto"/>
              <w:bottom w:val="outset" w:sz="6" w:space="0" w:color="auto"/>
              <w:right w:val="outset" w:sz="6" w:space="0" w:color="auto"/>
            </w:tcBorders>
          </w:tcPr>
          <w:p w:rsidR="0013525F" w:rsidRPr="00E21AF2" w:rsidRDefault="0013525F" w:rsidP="00014D26">
            <w:pPr>
              <w:pStyle w:val="naiskr"/>
              <w:rPr>
                <w:sz w:val="26"/>
                <w:szCs w:val="26"/>
              </w:rPr>
            </w:pPr>
            <w:r w:rsidRPr="00E21AF2">
              <w:rPr>
                <w:sz w:val="26"/>
                <w:szCs w:val="26"/>
              </w:rPr>
              <w:t> Tiesiskā regulējuma nefinansiālā ietekme</w:t>
            </w:r>
          </w:p>
        </w:tc>
        <w:tc>
          <w:tcPr>
            <w:tcW w:w="6770" w:type="dxa"/>
            <w:tcBorders>
              <w:top w:val="outset" w:sz="6" w:space="0" w:color="auto"/>
              <w:left w:val="outset" w:sz="6" w:space="0" w:color="auto"/>
              <w:bottom w:val="outset" w:sz="6" w:space="0" w:color="auto"/>
              <w:right w:val="outset" w:sz="6" w:space="0" w:color="auto"/>
            </w:tcBorders>
          </w:tcPr>
          <w:p w:rsidR="0013525F" w:rsidRPr="00E21AF2" w:rsidRDefault="0013525F" w:rsidP="00014D26">
            <w:pPr>
              <w:jc w:val="both"/>
              <w:rPr>
                <w:sz w:val="26"/>
                <w:szCs w:val="26"/>
                <w:lang w:val="lv-LV"/>
              </w:rPr>
            </w:pPr>
            <w:r w:rsidRPr="00E21AF2">
              <w:rPr>
                <w:sz w:val="26"/>
                <w:szCs w:val="26"/>
                <w:lang w:val="lv-LV"/>
              </w:rPr>
              <w:t> Nav attiecināms.</w:t>
            </w:r>
          </w:p>
        </w:tc>
      </w:tr>
      <w:tr w:rsidR="0013525F" w:rsidRPr="00EE37BB" w:rsidTr="000C5038">
        <w:trPr>
          <w:trHeight w:val="65"/>
          <w:tblCellSpacing w:w="0" w:type="dxa"/>
        </w:trPr>
        <w:tc>
          <w:tcPr>
            <w:tcW w:w="524" w:type="dxa"/>
            <w:tcBorders>
              <w:top w:val="outset" w:sz="6" w:space="0" w:color="auto"/>
              <w:left w:val="outset" w:sz="6" w:space="0" w:color="auto"/>
              <w:bottom w:val="outset" w:sz="6" w:space="0" w:color="auto"/>
              <w:right w:val="outset" w:sz="6" w:space="0" w:color="auto"/>
            </w:tcBorders>
          </w:tcPr>
          <w:p w:rsidR="0013525F" w:rsidRPr="00E21AF2" w:rsidRDefault="0013525F" w:rsidP="00014D26">
            <w:pPr>
              <w:pStyle w:val="naiskr"/>
              <w:rPr>
                <w:sz w:val="26"/>
                <w:szCs w:val="26"/>
              </w:rPr>
            </w:pPr>
            <w:r w:rsidRPr="00E21AF2">
              <w:rPr>
                <w:sz w:val="26"/>
                <w:szCs w:val="26"/>
              </w:rPr>
              <w:t> 5.</w:t>
            </w:r>
          </w:p>
        </w:tc>
        <w:tc>
          <w:tcPr>
            <w:tcW w:w="1901" w:type="dxa"/>
            <w:tcBorders>
              <w:top w:val="outset" w:sz="6" w:space="0" w:color="auto"/>
              <w:left w:val="outset" w:sz="6" w:space="0" w:color="auto"/>
              <w:bottom w:val="outset" w:sz="6" w:space="0" w:color="auto"/>
              <w:right w:val="outset" w:sz="6" w:space="0" w:color="auto"/>
            </w:tcBorders>
          </w:tcPr>
          <w:p w:rsidR="0013525F" w:rsidRPr="00E21AF2" w:rsidRDefault="0013525F" w:rsidP="00014D26">
            <w:pPr>
              <w:pStyle w:val="naiskr"/>
              <w:rPr>
                <w:sz w:val="26"/>
                <w:szCs w:val="26"/>
              </w:rPr>
            </w:pPr>
            <w:r w:rsidRPr="00E21AF2">
              <w:rPr>
                <w:sz w:val="26"/>
                <w:szCs w:val="26"/>
              </w:rPr>
              <w:t> Administratīvās procedūras raksturojums</w:t>
            </w:r>
          </w:p>
        </w:tc>
        <w:tc>
          <w:tcPr>
            <w:tcW w:w="6770" w:type="dxa"/>
            <w:tcBorders>
              <w:top w:val="outset" w:sz="6" w:space="0" w:color="auto"/>
              <w:left w:val="outset" w:sz="6" w:space="0" w:color="auto"/>
              <w:bottom w:val="outset" w:sz="6" w:space="0" w:color="auto"/>
              <w:right w:val="outset" w:sz="6" w:space="0" w:color="auto"/>
            </w:tcBorders>
          </w:tcPr>
          <w:p w:rsidR="00C26E74" w:rsidRPr="00E21AF2" w:rsidRDefault="00C26E74" w:rsidP="00C26E74">
            <w:pPr>
              <w:pStyle w:val="BodyTextIndent"/>
              <w:ind w:left="0"/>
              <w:jc w:val="both"/>
              <w:rPr>
                <w:bCs/>
                <w:iCs/>
                <w:sz w:val="26"/>
                <w:szCs w:val="26"/>
                <w:lang w:val="lv-LV" w:eastAsia="lv-LV"/>
              </w:rPr>
            </w:pPr>
            <w:r w:rsidRPr="00E21AF2">
              <w:rPr>
                <w:bCs/>
                <w:iCs/>
                <w:sz w:val="26"/>
                <w:szCs w:val="26"/>
                <w:lang w:val="lv-LV" w:eastAsia="lv-LV"/>
              </w:rPr>
              <w:t>Nodokļu maksātājs būs tiesīgs ierosināt noslēgt vienošanos ar nodokļu administrāciju par tirgus vērtības (cenas) noteikšanu konkrētam darījumam vai darījumu veidam, ja darījuma vērtība ar saistīto ārvalstu personu, pārsniedz vienu miljonu latu gadā, vai pl</w:t>
            </w:r>
            <w:r w:rsidR="00063F59" w:rsidRPr="00E21AF2">
              <w:rPr>
                <w:bCs/>
                <w:iCs/>
                <w:sz w:val="26"/>
                <w:szCs w:val="26"/>
                <w:lang w:val="lv-LV" w:eastAsia="lv-LV"/>
              </w:rPr>
              <w:t>ānotaja</w:t>
            </w:r>
            <w:r w:rsidRPr="00E21AF2">
              <w:rPr>
                <w:bCs/>
                <w:iCs/>
                <w:sz w:val="26"/>
                <w:szCs w:val="26"/>
                <w:lang w:val="lv-LV" w:eastAsia="lv-LV"/>
              </w:rPr>
              <w:t>m darījumam pārsniegs vienu miljonu latu gadā.</w:t>
            </w:r>
          </w:p>
          <w:p w:rsidR="00C26E74" w:rsidRPr="00E21AF2" w:rsidRDefault="00C26E74" w:rsidP="0002615E">
            <w:pPr>
              <w:jc w:val="both"/>
              <w:rPr>
                <w:sz w:val="26"/>
                <w:szCs w:val="26"/>
                <w:lang w:val="lv-LV" w:eastAsia="lv-LV"/>
              </w:rPr>
            </w:pPr>
            <w:r w:rsidRPr="00E21AF2">
              <w:rPr>
                <w:sz w:val="26"/>
                <w:szCs w:val="26"/>
                <w:lang w:val="lv-LV" w:eastAsia="lv-LV"/>
              </w:rPr>
              <w:t>VID būs pienākums uzturēt riska adrešu sarakstu un regulāri sniegt šo informāciju Uzņēmumu reģistram.</w:t>
            </w:r>
          </w:p>
          <w:p w:rsidR="00C26E74" w:rsidRPr="00E21AF2" w:rsidRDefault="00C26E74" w:rsidP="0002615E">
            <w:pPr>
              <w:jc w:val="both"/>
              <w:rPr>
                <w:sz w:val="26"/>
                <w:szCs w:val="26"/>
                <w:lang w:val="lv-LV" w:eastAsia="lv-LV"/>
              </w:rPr>
            </w:pPr>
          </w:p>
          <w:p w:rsidR="0071042E" w:rsidRPr="00E21AF2" w:rsidRDefault="0071042E" w:rsidP="0002615E">
            <w:pPr>
              <w:jc w:val="both"/>
              <w:rPr>
                <w:sz w:val="26"/>
                <w:szCs w:val="26"/>
                <w:lang w:val="lv-LV" w:eastAsia="lv-LV"/>
              </w:rPr>
            </w:pPr>
            <w:r w:rsidRPr="00E21AF2">
              <w:rPr>
                <w:sz w:val="26"/>
                <w:szCs w:val="26"/>
                <w:lang w:val="lv-LV" w:eastAsia="lv-LV"/>
              </w:rPr>
              <w:t>VID būs tiesības apturēt nodokļu maksātāja saimniecisko darbību</w:t>
            </w:r>
            <w:r w:rsidR="002E10B3" w:rsidRPr="00E21AF2">
              <w:rPr>
                <w:sz w:val="26"/>
                <w:szCs w:val="26"/>
                <w:lang w:val="lv-LV" w:eastAsia="lv-LV"/>
              </w:rPr>
              <w:t>,</w:t>
            </w:r>
            <w:r w:rsidRPr="00E21AF2">
              <w:rPr>
                <w:sz w:val="26"/>
                <w:szCs w:val="26"/>
                <w:lang w:val="lv-LV" w:eastAsia="lv-LV"/>
              </w:rPr>
              <w:t xml:space="preserve"> ja nodokļu maksātājs izdarīs smagu pārkāpumu, kas ietekmē maksājamo nodokļu apmēru.</w:t>
            </w:r>
          </w:p>
          <w:p w:rsidR="0071042E" w:rsidRPr="00E21AF2" w:rsidRDefault="0071042E" w:rsidP="0002615E">
            <w:pPr>
              <w:jc w:val="both"/>
              <w:rPr>
                <w:sz w:val="26"/>
                <w:szCs w:val="26"/>
                <w:lang w:val="lv-LV" w:eastAsia="lv-LV"/>
              </w:rPr>
            </w:pPr>
          </w:p>
          <w:p w:rsidR="0002615E" w:rsidRPr="00E21AF2" w:rsidRDefault="0002615E" w:rsidP="0002615E">
            <w:pPr>
              <w:jc w:val="both"/>
              <w:rPr>
                <w:sz w:val="26"/>
                <w:szCs w:val="26"/>
                <w:lang w:val="lv-LV" w:eastAsia="lv-LV"/>
              </w:rPr>
            </w:pPr>
            <w:r w:rsidRPr="00E21AF2">
              <w:rPr>
                <w:sz w:val="26"/>
                <w:szCs w:val="26"/>
                <w:lang w:val="lv-LV" w:eastAsia="lv-LV"/>
              </w:rPr>
              <w:t xml:space="preserve">VID ir noteikts pienākums trīs darbdienu laikā pēc lēmuma pieņemšanas par nodokļu maksātāja saimnieciskās darbības apturēšanu nosūtīt ziņas par nodokļu maksātāja saimnieciskās darbības apturēšanu Uzņēmumu reģistram, ja tiek apturēta Uzņēmumu reģistra </w:t>
            </w:r>
            <w:proofErr w:type="spellStart"/>
            <w:r w:rsidRPr="00E21AF2">
              <w:rPr>
                <w:sz w:val="26"/>
                <w:szCs w:val="26"/>
                <w:lang w:val="lv-LV" w:eastAsia="lv-LV"/>
              </w:rPr>
              <w:t>pārziņā</w:t>
            </w:r>
            <w:proofErr w:type="spellEnd"/>
            <w:r w:rsidRPr="00E21AF2">
              <w:rPr>
                <w:sz w:val="26"/>
                <w:szCs w:val="26"/>
                <w:lang w:val="lv-LV" w:eastAsia="lv-LV"/>
              </w:rPr>
              <w:t xml:space="preserve"> esošajā reģistrā ierakstītā nodokļu maksātāja saimnieciskā darbība.</w:t>
            </w:r>
          </w:p>
          <w:p w:rsidR="0013525F" w:rsidRPr="00E21AF2" w:rsidRDefault="0002615E" w:rsidP="0002615E">
            <w:pPr>
              <w:pStyle w:val="naiskr"/>
              <w:jc w:val="both"/>
              <w:rPr>
                <w:sz w:val="26"/>
                <w:szCs w:val="26"/>
                <w:lang w:eastAsia="en-US"/>
              </w:rPr>
            </w:pPr>
            <w:r w:rsidRPr="00E21AF2">
              <w:rPr>
                <w:sz w:val="26"/>
                <w:szCs w:val="26"/>
              </w:rPr>
              <w:lastRenderedPageBreak/>
              <w:t xml:space="preserve">Savukārt </w:t>
            </w:r>
            <w:r w:rsidRPr="00E21AF2">
              <w:rPr>
                <w:sz w:val="26"/>
                <w:szCs w:val="26"/>
                <w:lang w:eastAsia="en-US"/>
              </w:rPr>
              <w:t>valsts notāram attiecīgajā Uzņēmumu reģistra vestajā reģistrā jāveic attiecīga atzīme, ka konkrētajam komersantam apturēta saimnieciskā darbība, saņemot informāciju no VID par nodokļu maksātāja saimnieciskās darbības apturēšanu</w:t>
            </w:r>
            <w:r w:rsidR="00C26E74" w:rsidRPr="00E21AF2">
              <w:rPr>
                <w:sz w:val="26"/>
                <w:szCs w:val="26"/>
                <w:lang w:eastAsia="en-US"/>
              </w:rPr>
              <w:t>.</w:t>
            </w:r>
          </w:p>
          <w:p w:rsidR="00FF61E0" w:rsidRPr="00E21AF2" w:rsidRDefault="00FF61E0" w:rsidP="0002615E">
            <w:pPr>
              <w:pStyle w:val="naiskr"/>
              <w:jc w:val="both"/>
              <w:rPr>
                <w:sz w:val="26"/>
                <w:szCs w:val="26"/>
                <w:lang w:eastAsia="en-US"/>
              </w:rPr>
            </w:pPr>
            <w:r w:rsidRPr="00E21AF2">
              <w:rPr>
                <w:sz w:val="26"/>
                <w:szCs w:val="26"/>
                <w:lang w:eastAsia="en-US"/>
              </w:rPr>
              <w:t xml:space="preserve">Nodokļu maksātājam pirms veikt darījumu lielāku par 1000 latiem būs jāpārliecinās </w:t>
            </w:r>
            <w:r w:rsidR="00063F59" w:rsidRPr="00E21AF2">
              <w:rPr>
                <w:sz w:val="26"/>
                <w:szCs w:val="26"/>
                <w:lang w:eastAsia="en-US"/>
              </w:rPr>
              <w:t>VID</w:t>
            </w:r>
            <w:r w:rsidRPr="00E21AF2">
              <w:rPr>
                <w:sz w:val="26"/>
                <w:szCs w:val="26"/>
                <w:lang w:eastAsia="en-US"/>
              </w:rPr>
              <w:t xml:space="preserve"> mājas lapā, vai darījuma partnerim nav apturēta saimnieciskā darbība.</w:t>
            </w:r>
            <w:r w:rsidRPr="00E21AF2">
              <w:rPr>
                <w:sz w:val="26"/>
                <w:szCs w:val="26"/>
              </w:rPr>
              <w:t xml:space="preserve"> </w:t>
            </w:r>
            <w:r w:rsidRPr="00E21AF2">
              <w:rPr>
                <w:sz w:val="26"/>
                <w:szCs w:val="26"/>
                <w:lang w:eastAsia="en-US"/>
              </w:rPr>
              <w:t xml:space="preserve">Ņemot vērā, ka informācija par tiem saimnieciskās darbības veicējiem, kuriem ir apturēta saimnieciskā darbība, tiks publicēta </w:t>
            </w:r>
            <w:r w:rsidR="00FA7812" w:rsidRPr="00E21AF2">
              <w:rPr>
                <w:sz w:val="26"/>
                <w:szCs w:val="26"/>
                <w:lang w:eastAsia="en-US"/>
              </w:rPr>
              <w:t xml:space="preserve">(paziņota) </w:t>
            </w:r>
            <w:r w:rsidRPr="00E21AF2">
              <w:rPr>
                <w:sz w:val="26"/>
                <w:szCs w:val="26"/>
                <w:lang w:eastAsia="en-US"/>
              </w:rPr>
              <w:t>VID mājas lapā, pienākums pārliecināties (turklāt bez maksas) par to, vai uzņēmums, ar kuru ir vēlme sadarboties, nav iekļauts šajā sarakstā, nav uzskatāms par pārlieku lielu administratīvo slogu.</w:t>
            </w:r>
          </w:p>
          <w:p w:rsidR="00C26E74" w:rsidRPr="00E21AF2" w:rsidRDefault="00C26E74" w:rsidP="004F096B">
            <w:pPr>
              <w:contextualSpacing/>
              <w:jc w:val="both"/>
              <w:rPr>
                <w:b/>
                <w:sz w:val="26"/>
                <w:szCs w:val="26"/>
                <w:lang w:val="lv-LV" w:eastAsia="lv-LV"/>
              </w:rPr>
            </w:pPr>
            <w:r w:rsidRPr="00E21AF2">
              <w:rPr>
                <w:sz w:val="26"/>
                <w:szCs w:val="26"/>
                <w:lang w:val="lv-LV" w:eastAsia="lv-LV"/>
              </w:rPr>
              <w:t xml:space="preserve">Ja nodokļu maksātājs, kuram apturēta saimnieciskā darbība, nenovērsīs konstatētos pārkāpumus, </w:t>
            </w:r>
            <w:r w:rsidR="00063F59" w:rsidRPr="00E21AF2">
              <w:rPr>
                <w:sz w:val="26"/>
                <w:szCs w:val="26"/>
                <w:lang w:val="lv-LV" w:eastAsia="lv-LV"/>
              </w:rPr>
              <w:t>VID</w:t>
            </w:r>
            <w:r w:rsidR="004F096B" w:rsidRPr="00E21AF2">
              <w:rPr>
                <w:sz w:val="26"/>
                <w:szCs w:val="26"/>
                <w:lang w:val="lv-LV" w:eastAsia="lv-LV"/>
              </w:rPr>
              <w:t xml:space="preserve"> tam neatjaunos saimniecisko darbību</w:t>
            </w:r>
            <w:r w:rsidRPr="00E21AF2">
              <w:rPr>
                <w:sz w:val="26"/>
                <w:szCs w:val="26"/>
                <w:lang w:val="lv-LV" w:eastAsia="lv-LV"/>
              </w:rPr>
              <w:t>.</w:t>
            </w:r>
          </w:p>
        </w:tc>
      </w:tr>
      <w:tr w:rsidR="0013525F" w:rsidRPr="00E21AF2" w:rsidTr="000C5038">
        <w:trPr>
          <w:trHeight w:val="357"/>
          <w:tblCellSpacing w:w="0" w:type="dxa"/>
        </w:trPr>
        <w:tc>
          <w:tcPr>
            <w:tcW w:w="524" w:type="dxa"/>
            <w:tcBorders>
              <w:top w:val="outset" w:sz="6" w:space="0" w:color="auto"/>
              <w:left w:val="outset" w:sz="6" w:space="0" w:color="auto"/>
              <w:bottom w:val="outset" w:sz="6" w:space="0" w:color="auto"/>
              <w:right w:val="outset" w:sz="6" w:space="0" w:color="auto"/>
            </w:tcBorders>
          </w:tcPr>
          <w:p w:rsidR="0013525F" w:rsidRPr="00E21AF2" w:rsidRDefault="0013525F" w:rsidP="00014D26">
            <w:pPr>
              <w:pStyle w:val="naiskr"/>
              <w:rPr>
                <w:sz w:val="26"/>
                <w:szCs w:val="26"/>
              </w:rPr>
            </w:pPr>
            <w:r w:rsidRPr="00E21AF2">
              <w:rPr>
                <w:sz w:val="26"/>
                <w:szCs w:val="26"/>
              </w:rPr>
              <w:lastRenderedPageBreak/>
              <w:t> 6.</w:t>
            </w:r>
          </w:p>
        </w:tc>
        <w:tc>
          <w:tcPr>
            <w:tcW w:w="1901" w:type="dxa"/>
            <w:tcBorders>
              <w:top w:val="outset" w:sz="6" w:space="0" w:color="auto"/>
              <w:left w:val="outset" w:sz="6" w:space="0" w:color="auto"/>
              <w:bottom w:val="outset" w:sz="6" w:space="0" w:color="auto"/>
              <w:right w:val="outset" w:sz="6" w:space="0" w:color="auto"/>
            </w:tcBorders>
          </w:tcPr>
          <w:p w:rsidR="0013525F" w:rsidRPr="00E21AF2" w:rsidRDefault="0013525F" w:rsidP="00014D26">
            <w:pPr>
              <w:pStyle w:val="naiskr"/>
              <w:rPr>
                <w:sz w:val="26"/>
                <w:szCs w:val="26"/>
              </w:rPr>
            </w:pPr>
            <w:r w:rsidRPr="00E21AF2">
              <w:rPr>
                <w:sz w:val="26"/>
                <w:szCs w:val="26"/>
              </w:rPr>
              <w:t> Administratīvo izmaksu monetārs novērtējums</w:t>
            </w:r>
          </w:p>
        </w:tc>
        <w:tc>
          <w:tcPr>
            <w:tcW w:w="6770" w:type="dxa"/>
            <w:tcBorders>
              <w:top w:val="outset" w:sz="6" w:space="0" w:color="auto"/>
              <w:left w:val="outset" w:sz="6" w:space="0" w:color="auto"/>
              <w:bottom w:val="outset" w:sz="6" w:space="0" w:color="auto"/>
              <w:right w:val="outset" w:sz="6" w:space="0" w:color="auto"/>
            </w:tcBorders>
          </w:tcPr>
          <w:p w:rsidR="0013525F" w:rsidRPr="00E21AF2" w:rsidRDefault="0013525F" w:rsidP="00014D26">
            <w:pPr>
              <w:pStyle w:val="naiskr"/>
              <w:jc w:val="both"/>
              <w:rPr>
                <w:sz w:val="26"/>
                <w:szCs w:val="26"/>
              </w:rPr>
            </w:pPr>
            <w:r w:rsidRPr="00E21AF2">
              <w:rPr>
                <w:sz w:val="26"/>
                <w:szCs w:val="26"/>
              </w:rPr>
              <w:t> Nav attiecināms.</w:t>
            </w:r>
          </w:p>
        </w:tc>
      </w:tr>
      <w:tr w:rsidR="0013525F" w:rsidRPr="00E21AF2" w:rsidTr="000C5038">
        <w:trPr>
          <w:tblCellSpacing w:w="0" w:type="dxa"/>
        </w:trPr>
        <w:tc>
          <w:tcPr>
            <w:tcW w:w="524" w:type="dxa"/>
            <w:tcBorders>
              <w:top w:val="outset" w:sz="6" w:space="0" w:color="auto"/>
              <w:left w:val="outset" w:sz="6" w:space="0" w:color="auto"/>
              <w:bottom w:val="outset" w:sz="6" w:space="0" w:color="auto"/>
              <w:right w:val="outset" w:sz="6" w:space="0" w:color="auto"/>
            </w:tcBorders>
          </w:tcPr>
          <w:p w:rsidR="0013525F" w:rsidRPr="00E21AF2" w:rsidRDefault="0013525F" w:rsidP="00014D26">
            <w:pPr>
              <w:pStyle w:val="naiskr"/>
              <w:rPr>
                <w:sz w:val="26"/>
                <w:szCs w:val="26"/>
              </w:rPr>
            </w:pPr>
            <w:r w:rsidRPr="00E21AF2">
              <w:rPr>
                <w:sz w:val="26"/>
                <w:szCs w:val="26"/>
              </w:rPr>
              <w:t> 7.</w:t>
            </w:r>
          </w:p>
        </w:tc>
        <w:tc>
          <w:tcPr>
            <w:tcW w:w="1901" w:type="dxa"/>
            <w:tcBorders>
              <w:top w:val="outset" w:sz="6" w:space="0" w:color="auto"/>
              <w:left w:val="outset" w:sz="6" w:space="0" w:color="auto"/>
              <w:bottom w:val="outset" w:sz="6" w:space="0" w:color="auto"/>
              <w:right w:val="outset" w:sz="6" w:space="0" w:color="auto"/>
            </w:tcBorders>
          </w:tcPr>
          <w:p w:rsidR="0013525F" w:rsidRPr="00E21AF2" w:rsidRDefault="0013525F" w:rsidP="00014D26">
            <w:pPr>
              <w:pStyle w:val="naiskr"/>
              <w:rPr>
                <w:sz w:val="26"/>
                <w:szCs w:val="26"/>
              </w:rPr>
            </w:pPr>
            <w:r w:rsidRPr="00E21AF2">
              <w:rPr>
                <w:sz w:val="26"/>
                <w:szCs w:val="26"/>
              </w:rPr>
              <w:t> Cita informācija</w:t>
            </w:r>
          </w:p>
        </w:tc>
        <w:tc>
          <w:tcPr>
            <w:tcW w:w="6770" w:type="dxa"/>
            <w:tcBorders>
              <w:top w:val="outset" w:sz="6" w:space="0" w:color="auto"/>
              <w:left w:val="outset" w:sz="6" w:space="0" w:color="auto"/>
              <w:bottom w:val="outset" w:sz="6" w:space="0" w:color="auto"/>
              <w:right w:val="outset" w:sz="6" w:space="0" w:color="auto"/>
            </w:tcBorders>
          </w:tcPr>
          <w:p w:rsidR="0013525F" w:rsidRPr="00E21AF2" w:rsidRDefault="0013525F" w:rsidP="00014D26">
            <w:pPr>
              <w:pStyle w:val="naiskr"/>
              <w:jc w:val="both"/>
              <w:rPr>
                <w:sz w:val="26"/>
                <w:szCs w:val="26"/>
              </w:rPr>
            </w:pPr>
            <w:r w:rsidRPr="00E21AF2">
              <w:rPr>
                <w:sz w:val="26"/>
                <w:szCs w:val="26"/>
              </w:rPr>
              <w:t> Nav.</w:t>
            </w:r>
          </w:p>
        </w:tc>
      </w:tr>
    </w:tbl>
    <w:p w:rsidR="0013525F" w:rsidRPr="00E21AF2" w:rsidRDefault="0013525F" w:rsidP="0013525F">
      <w:pPr>
        <w:jc w:val="both"/>
        <w:rPr>
          <w:sz w:val="26"/>
          <w:szCs w:val="26"/>
          <w:lang w:val="lv-LV"/>
        </w:rPr>
      </w:pPr>
    </w:p>
    <w:tbl>
      <w:tblPr>
        <w:tblpPr w:leftFromText="180" w:rightFromText="180" w:vertAnchor="text" w:horzAnchor="margin" w:tblpX="-127" w:tblpY="371"/>
        <w:tblW w:w="910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1433"/>
        <w:gridCol w:w="1572"/>
        <w:gridCol w:w="1605"/>
        <w:gridCol w:w="1551"/>
        <w:gridCol w:w="1551"/>
        <w:gridCol w:w="1389"/>
      </w:tblGrid>
      <w:tr w:rsidR="00E4325E" w:rsidRPr="00EE37BB" w:rsidTr="00E21AF2">
        <w:trPr>
          <w:trHeight w:val="50"/>
          <w:tblCellSpacing w:w="0" w:type="dxa"/>
        </w:trPr>
        <w:tc>
          <w:tcPr>
            <w:tcW w:w="9101" w:type="dxa"/>
            <w:gridSpan w:val="6"/>
            <w:tcBorders>
              <w:top w:val="outset" w:sz="6" w:space="0" w:color="auto"/>
              <w:bottom w:val="outset" w:sz="6" w:space="0" w:color="auto"/>
            </w:tcBorders>
          </w:tcPr>
          <w:p w:rsidR="00E4325E" w:rsidRPr="00E21AF2" w:rsidRDefault="00E4325E" w:rsidP="00014D26">
            <w:pPr>
              <w:jc w:val="center"/>
              <w:rPr>
                <w:b/>
                <w:sz w:val="26"/>
                <w:szCs w:val="26"/>
                <w:lang w:val="lv-LV" w:eastAsia="lv-LV"/>
              </w:rPr>
            </w:pPr>
            <w:r w:rsidRPr="00E21AF2">
              <w:rPr>
                <w:b/>
                <w:sz w:val="26"/>
                <w:szCs w:val="26"/>
                <w:lang w:val="lv-LV" w:eastAsia="lv-LV"/>
              </w:rPr>
              <w:t>III. Tiesību akta projekta ietekme uz valsts budžetu un pašvaldību budžetiem</w:t>
            </w:r>
          </w:p>
          <w:p w:rsidR="00E4325E" w:rsidRPr="00E21AF2" w:rsidRDefault="00E4325E" w:rsidP="00014D26">
            <w:pPr>
              <w:jc w:val="center"/>
              <w:rPr>
                <w:b/>
                <w:sz w:val="26"/>
                <w:szCs w:val="26"/>
                <w:lang w:val="lv-LV" w:eastAsia="lv-LV"/>
              </w:rPr>
            </w:pPr>
          </w:p>
        </w:tc>
      </w:tr>
      <w:tr w:rsidR="00E4325E" w:rsidRPr="00E21AF2" w:rsidTr="00E21AF2">
        <w:trPr>
          <w:tblCellSpacing w:w="0" w:type="dxa"/>
        </w:trPr>
        <w:tc>
          <w:tcPr>
            <w:tcW w:w="1433" w:type="dxa"/>
            <w:vMerge w:val="restart"/>
            <w:tcBorders>
              <w:top w:val="outset" w:sz="6" w:space="0" w:color="auto"/>
              <w:bottom w:val="outset" w:sz="6" w:space="0" w:color="auto"/>
              <w:right w:val="outset" w:sz="6" w:space="0" w:color="auto"/>
            </w:tcBorders>
            <w:vAlign w:val="center"/>
          </w:tcPr>
          <w:p w:rsidR="00E4325E" w:rsidRPr="00E21AF2" w:rsidRDefault="00E4325E" w:rsidP="00014D26">
            <w:pPr>
              <w:jc w:val="center"/>
              <w:rPr>
                <w:b/>
                <w:bCs/>
                <w:sz w:val="26"/>
                <w:szCs w:val="26"/>
                <w:lang w:val="lv-LV" w:eastAsia="lv-LV"/>
              </w:rPr>
            </w:pPr>
            <w:r w:rsidRPr="00E21AF2">
              <w:rPr>
                <w:b/>
                <w:bCs/>
                <w:sz w:val="26"/>
                <w:szCs w:val="26"/>
                <w:lang w:val="lv-LV" w:eastAsia="lv-LV"/>
              </w:rPr>
              <w:t>Rādītāji</w:t>
            </w:r>
          </w:p>
          <w:p w:rsidR="00E4325E" w:rsidRPr="00E21AF2" w:rsidRDefault="00E4325E" w:rsidP="00014D26">
            <w:pPr>
              <w:jc w:val="center"/>
              <w:rPr>
                <w:b/>
                <w:bCs/>
                <w:sz w:val="26"/>
                <w:szCs w:val="26"/>
                <w:lang w:val="lv-LV" w:eastAsia="lv-LV"/>
              </w:rPr>
            </w:pPr>
          </w:p>
          <w:p w:rsidR="00E4325E" w:rsidRPr="00E21AF2" w:rsidRDefault="00E4325E" w:rsidP="00014D26">
            <w:pPr>
              <w:jc w:val="center"/>
              <w:rPr>
                <w:sz w:val="26"/>
                <w:szCs w:val="26"/>
                <w:lang w:val="lv-LV" w:eastAsia="lv-LV"/>
              </w:rPr>
            </w:pPr>
          </w:p>
        </w:tc>
        <w:tc>
          <w:tcPr>
            <w:tcW w:w="3177" w:type="dxa"/>
            <w:gridSpan w:val="2"/>
            <w:vMerge w:val="restart"/>
            <w:tcBorders>
              <w:top w:val="outset" w:sz="6" w:space="0" w:color="auto"/>
              <w:left w:val="outset" w:sz="6" w:space="0" w:color="auto"/>
              <w:bottom w:val="outset" w:sz="6" w:space="0" w:color="auto"/>
              <w:right w:val="outset" w:sz="6" w:space="0" w:color="auto"/>
            </w:tcBorders>
            <w:vAlign w:val="center"/>
          </w:tcPr>
          <w:p w:rsidR="00E4325E" w:rsidRPr="00E21AF2" w:rsidRDefault="00E4325E" w:rsidP="00FD4530">
            <w:pPr>
              <w:jc w:val="center"/>
              <w:rPr>
                <w:sz w:val="26"/>
                <w:szCs w:val="26"/>
                <w:lang w:val="lv-LV" w:eastAsia="lv-LV"/>
              </w:rPr>
            </w:pPr>
            <w:r w:rsidRPr="00E21AF2">
              <w:rPr>
                <w:b/>
                <w:bCs/>
                <w:sz w:val="26"/>
                <w:szCs w:val="26"/>
                <w:lang w:val="lv-LV" w:eastAsia="lv-LV"/>
              </w:rPr>
              <w:t>201</w:t>
            </w:r>
            <w:r w:rsidR="00FD4530" w:rsidRPr="00E21AF2">
              <w:rPr>
                <w:b/>
                <w:bCs/>
                <w:sz w:val="26"/>
                <w:szCs w:val="26"/>
                <w:lang w:val="lv-LV" w:eastAsia="lv-LV"/>
              </w:rPr>
              <w:t>1</w:t>
            </w:r>
          </w:p>
        </w:tc>
        <w:tc>
          <w:tcPr>
            <w:tcW w:w="4491" w:type="dxa"/>
            <w:gridSpan w:val="3"/>
            <w:tcBorders>
              <w:top w:val="outset" w:sz="6" w:space="0" w:color="auto"/>
              <w:left w:val="outset" w:sz="6" w:space="0" w:color="auto"/>
              <w:bottom w:val="outset" w:sz="6" w:space="0" w:color="auto"/>
            </w:tcBorders>
            <w:vAlign w:val="center"/>
          </w:tcPr>
          <w:p w:rsidR="00E4325E" w:rsidRPr="00E21AF2" w:rsidRDefault="00E4325E" w:rsidP="00014D26">
            <w:pPr>
              <w:jc w:val="center"/>
              <w:rPr>
                <w:sz w:val="26"/>
                <w:szCs w:val="26"/>
                <w:lang w:val="lv-LV" w:eastAsia="lv-LV"/>
              </w:rPr>
            </w:pPr>
            <w:r w:rsidRPr="00E21AF2">
              <w:rPr>
                <w:sz w:val="26"/>
                <w:szCs w:val="26"/>
                <w:lang w:val="lv-LV" w:eastAsia="lv-LV"/>
              </w:rPr>
              <w:t>Turpmākie trīs gadi (</w:t>
            </w:r>
            <w:proofErr w:type="spellStart"/>
            <w:r w:rsidRPr="00E21AF2">
              <w:rPr>
                <w:sz w:val="26"/>
                <w:szCs w:val="26"/>
                <w:lang w:val="lv-LV" w:eastAsia="lv-LV"/>
              </w:rPr>
              <w:t>tūkst</w:t>
            </w:r>
            <w:proofErr w:type="spellEnd"/>
            <w:r w:rsidRPr="00E21AF2">
              <w:rPr>
                <w:sz w:val="26"/>
                <w:szCs w:val="26"/>
                <w:lang w:val="lv-LV" w:eastAsia="lv-LV"/>
              </w:rPr>
              <w:t>. latu)</w:t>
            </w:r>
          </w:p>
          <w:p w:rsidR="00E4325E" w:rsidRPr="00E21AF2" w:rsidRDefault="00E4325E" w:rsidP="00014D26">
            <w:pPr>
              <w:jc w:val="center"/>
              <w:rPr>
                <w:sz w:val="26"/>
                <w:szCs w:val="26"/>
                <w:lang w:val="lv-LV" w:eastAsia="lv-LV"/>
              </w:rPr>
            </w:pPr>
          </w:p>
        </w:tc>
      </w:tr>
      <w:tr w:rsidR="00E4325E" w:rsidRPr="00E21AF2" w:rsidTr="00E21AF2">
        <w:trPr>
          <w:tblCellSpacing w:w="0" w:type="dxa"/>
        </w:trPr>
        <w:tc>
          <w:tcPr>
            <w:tcW w:w="1433" w:type="dxa"/>
            <w:vMerge/>
            <w:tcBorders>
              <w:top w:val="outset" w:sz="6" w:space="0" w:color="auto"/>
              <w:bottom w:val="outset" w:sz="6" w:space="0" w:color="auto"/>
              <w:right w:val="outset" w:sz="6" w:space="0" w:color="auto"/>
            </w:tcBorders>
            <w:vAlign w:val="center"/>
          </w:tcPr>
          <w:p w:rsidR="00E4325E" w:rsidRPr="00E21AF2" w:rsidRDefault="00E4325E" w:rsidP="00014D26">
            <w:pPr>
              <w:rPr>
                <w:sz w:val="26"/>
                <w:szCs w:val="26"/>
                <w:lang w:val="lv-LV" w:eastAsia="lv-LV"/>
              </w:rPr>
            </w:pPr>
          </w:p>
        </w:tc>
        <w:tc>
          <w:tcPr>
            <w:tcW w:w="3177" w:type="dxa"/>
            <w:gridSpan w:val="2"/>
            <w:vMerge/>
            <w:tcBorders>
              <w:top w:val="outset" w:sz="6" w:space="0" w:color="auto"/>
              <w:left w:val="outset" w:sz="6" w:space="0" w:color="auto"/>
              <w:bottom w:val="outset" w:sz="6" w:space="0" w:color="auto"/>
              <w:right w:val="outset" w:sz="6" w:space="0" w:color="auto"/>
            </w:tcBorders>
            <w:vAlign w:val="center"/>
          </w:tcPr>
          <w:p w:rsidR="00E4325E" w:rsidRPr="00E21AF2" w:rsidRDefault="00E4325E" w:rsidP="00014D26">
            <w:pPr>
              <w:rPr>
                <w:sz w:val="26"/>
                <w:szCs w:val="26"/>
                <w:lang w:val="lv-LV" w:eastAsia="lv-LV"/>
              </w:rPr>
            </w:pPr>
          </w:p>
        </w:tc>
        <w:tc>
          <w:tcPr>
            <w:tcW w:w="1551" w:type="dxa"/>
            <w:tcBorders>
              <w:top w:val="outset" w:sz="6" w:space="0" w:color="auto"/>
              <w:left w:val="outset" w:sz="6" w:space="0" w:color="auto"/>
              <w:bottom w:val="outset" w:sz="6" w:space="0" w:color="auto"/>
              <w:right w:val="outset" w:sz="6" w:space="0" w:color="auto"/>
            </w:tcBorders>
            <w:vAlign w:val="center"/>
          </w:tcPr>
          <w:p w:rsidR="00E4325E" w:rsidRPr="00E21AF2" w:rsidRDefault="00E4325E" w:rsidP="00FD4530">
            <w:pPr>
              <w:jc w:val="center"/>
              <w:rPr>
                <w:sz w:val="26"/>
                <w:szCs w:val="26"/>
                <w:lang w:val="lv-LV" w:eastAsia="lv-LV"/>
              </w:rPr>
            </w:pPr>
            <w:r w:rsidRPr="00E21AF2">
              <w:rPr>
                <w:sz w:val="26"/>
                <w:szCs w:val="26"/>
                <w:lang w:val="lv-LV" w:eastAsia="lv-LV"/>
              </w:rPr>
              <w:t>201</w:t>
            </w:r>
            <w:r w:rsidR="00FD4530" w:rsidRPr="00E21AF2">
              <w:rPr>
                <w:sz w:val="26"/>
                <w:szCs w:val="26"/>
                <w:lang w:val="lv-LV" w:eastAsia="lv-LV"/>
              </w:rPr>
              <w:t>2</w:t>
            </w:r>
          </w:p>
        </w:tc>
        <w:tc>
          <w:tcPr>
            <w:tcW w:w="1551" w:type="dxa"/>
            <w:tcBorders>
              <w:top w:val="outset" w:sz="6" w:space="0" w:color="auto"/>
              <w:left w:val="outset" w:sz="6" w:space="0" w:color="auto"/>
              <w:bottom w:val="outset" w:sz="6" w:space="0" w:color="auto"/>
              <w:right w:val="outset" w:sz="6" w:space="0" w:color="auto"/>
            </w:tcBorders>
            <w:vAlign w:val="center"/>
          </w:tcPr>
          <w:p w:rsidR="00E4325E" w:rsidRPr="00E21AF2" w:rsidRDefault="00E4325E" w:rsidP="00FD4530">
            <w:pPr>
              <w:jc w:val="center"/>
              <w:rPr>
                <w:sz w:val="26"/>
                <w:szCs w:val="26"/>
                <w:lang w:val="lv-LV" w:eastAsia="lv-LV"/>
              </w:rPr>
            </w:pPr>
            <w:r w:rsidRPr="00E21AF2">
              <w:rPr>
                <w:sz w:val="26"/>
                <w:szCs w:val="26"/>
                <w:lang w:val="lv-LV" w:eastAsia="lv-LV"/>
              </w:rPr>
              <w:t>201</w:t>
            </w:r>
            <w:r w:rsidR="00FD4530" w:rsidRPr="00E21AF2">
              <w:rPr>
                <w:sz w:val="26"/>
                <w:szCs w:val="26"/>
                <w:lang w:val="lv-LV" w:eastAsia="lv-LV"/>
              </w:rPr>
              <w:t>3</w:t>
            </w:r>
          </w:p>
        </w:tc>
        <w:tc>
          <w:tcPr>
            <w:tcW w:w="1389" w:type="dxa"/>
            <w:tcBorders>
              <w:top w:val="outset" w:sz="6" w:space="0" w:color="auto"/>
              <w:left w:val="outset" w:sz="6" w:space="0" w:color="auto"/>
              <w:bottom w:val="outset" w:sz="6" w:space="0" w:color="auto"/>
            </w:tcBorders>
            <w:vAlign w:val="center"/>
          </w:tcPr>
          <w:p w:rsidR="00E4325E" w:rsidRPr="00E21AF2" w:rsidRDefault="00E4325E" w:rsidP="00FD4530">
            <w:pPr>
              <w:jc w:val="center"/>
              <w:rPr>
                <w:sz w:val="26"/>
                <w:szCs w:val="26"/>
                <w:lang w:val="lv-LV" w:eastAsia="lv-LV"/>
              </w:rPr>
            </w:pPr>
            <w:r w:rsidRPr="00E21AF2">
              <w:rPr>
                <w:sz w:val="26"/>
                <w:szCs w:val="26"/>
                <w:lang w:val="lv-LV" w:eastAsia="lv-LV"/>
              </w:rPr>
              <w:t>201</w:t>
            </w:r>
            <w:r w:rsidR="00FD4530" w:rsidRPr="00E21AF2">
              <w:rPr>
                <w:sz w:val="26"/>
                <w:szCs w:val="26"/>
                <w:lang w:val="lv-LV" w:eastAsia="lv-LV"/>
              </w:rPr>
              <w:t>4</w:t>
            </w:r>
          </w:p>
        </w:tc>
      </w:tr>
      <w:tr w:rsidR="00E4325E" w:rsidRPr="00E21AF2" w:rsidTr="00E21AF2">
        <w:trPr>
          <w:tblCellSpacing w:w="0" w:type="dxa"/>
        </w:trPr>
        <w:tc>
          <w:tcPr>
            <w:tcW w:w="1433" w:type="dxa"/>
            <w:vMerge/>
            <w:tcBorders>
              <w:top w:val="outset" w:sz="6" w:space="0" w:color="auto"/>
              <w:bottom w:val="outset" w:sz="6" w:space="0" w:color="auto"/>
              <w:right w:val="outset" w:sz="6" w:space="0" w:color="auto"/>
            </w:tcBorders>
            <w:vAlign w:val="center"/>
          </w:tcPr>
          <w:p w:rsidR="00E4325E" w:rsidRPr="00E21AF2" w:rsidRDefault="00E4325E" w:rsidP="00014D26">
            <w:pPr>
              <w:rPr>
                <w:sz w:val="26"/>
                <w:szCs w:val="26"/>
                <w:lang w:val="lv-LV" w:eastAsia="lv-LV"/>
              </w:rPr>
            </w:pPr>
          </w:p>
        </w:tc>
        <w:tc>
          <w:tcPr>
            <w:tcW w:w="1572" w:type="dxa"/>
            <w:tcBorders>
              <w:top w:val="outset" w:sz="6" w:space="0" w:color="auto"/>
              <w:left w:val="outset" w:sz="6" w:space="0" w:color="auto"/>
              <w:bottom w:val="outset" w:sz="6" w:space="0" w:color="auto"/>
              <w:right w:val="outset" w:sz="6" w:space="0" w:color="auto"/>
            </w:tcBorders>
            <w:vAlign w:val="center"/>
          </w:tcPr>
          <w:p w:rsidR="00E4325E" w:rsidRPr="00E21AF2" w:rsidRDefault="00E4325E" w:rsidP="00014D26">
            <w:pPr>
              <w:jc w:val="center"/>
              <w:rPr>
                <w:sz w:val="26"/>
                <w:szCs w:val="26"/>
                <w:lang w:val="lv-LV" w:eastAsia="lv-LV"/>
              </w:rPr>
            </w:pPr>
            <w:r w:rsidRPr="00E21AF2">
              <w:rPr>
                <w:sz w:val="26"/>
                <w:szCs w:val="26"/>
                <w:lang w:val="lv-LV" w:eastAsia="lv-LV"/>
              </w:rPr>
              <w:t>Saskaņā ar valsts budžetu kārtējam gadam</w:t>
            </w:r>
          </w:p>
        </w:tc>
        <w:tc>
          <w:tcPr>
            <w:tcW w:w="1605" w:type="dxa"/>
            <w:tcBorders>
              <w:top w:val="outset" w:sz="6" w:space="0" w:color="auto"/>
              <w:left w:val="outset" w:sz="6" w:space="0" w:color="auto"/>
              <w:bottom w:val="outset" w:sz="6" w:space="0" w:color="auto"/>
              <w:right w:val="outset" w:sz="6" w:space="0" w:color="auto"/>
            </w:tcBorders>
            <w:vAlign w:val="center"/>
          </w:tcPr>
          <w:p w:rsidR="00E4325E" w:rsidRPr="00E21AF2" w:rsidRDefault="00E4325E" w:rsidP="00014D26">
            <w:pPr>
              <w:ind w:right="68"/>
              <w:jc w:val="center"/>
              <w:rPr>
                <w:sz w:val="26"/>
                <w:szCs w:val="26"/>
                <w:lang w:val="lv-LV" w:eastAsia="lv-LV"/>
              </w:rPr>
            </w:pPr>
            <w:r w:rsidRPr="00E21AF2">
              <w:rPr>
                <w:sz w:val="26"/>
                <w:szCs w:val="26"/>
                <w:lang w:val="lv-LV" w:eastAsia="lv-LV"/>
              </w:rPr>
              <w:t>Izmaiņas kārtējā gadā, salīdzinot ar budžetu kārtējam gadam</w:t>
            </w:r>
          </w:p>
        </w:tc>
        <w:tc>
          <w:tcPr>
            <w:tcW w:w="1551" w:type="dxa"/>
            <w:tcBorders>
              <w:top w:val="outset" w:sz="6" w:space="0" w:color="auto"/>
              <w:left w:val="outset" w:sz="6" w:space="0" w:color="auto"/>
              <w:bottom w:val="outset" w:sz="6" w:space="0" w:color="auto"/>
              <w:right w:val="outset" w:sz="6" w:space="0" w:color="auto"/>
            </w:tcBorders>
            <w:vAlign w:val="center"/>
          </w:tcPr>
          <w:p w:rsidR="00E4325E" w:rsidRPr="00E21AF2" w:rsidRDefault="00E4325E" w:rsidP="00014D26">
            <w:pPr>
              <w:ind w:left="43" w:hanging="43"/>
              <w:jc w:val="center"/>
              <w:rPr>
                <w:sz w:val="26"/>
                <w:szCs w:val="26"/>
                <w:lang w:val="lv-LV" w:eastAsia="lv-LV"/>
              </w:rPr>
            </w:pPr>
            <w:r w:rsidRPr="00E21AF2">
              <w:rPr>
                <w:color w:val="000000"/>
                <w:sz w:val="26"/>
                <w:szCs w:val="26"/>
                <w:lang w:val="lv-LV"/>
              </w:rPr>
              <w:t>Izmaiņas, salīdzinot ar kārtējo (n) gadu</w:t>
            </w:r>
          </w:p>
        </w:tc>
        <w:tc>
          <w:tcPr>
            <w:tcW w:w="1551" w:type="dxa"/>
            <w:tcBorders>
              <w:top w:val="outset" w:sz="6" w:space="0" w:color="auto"/>
              <w:left w:val="outset" w:sz="6" w:space="0" w:color="auto"/>
              <w:bottom w:val="outset" w:sz="6" w:space="0" w:color="auto"/>
              <w:right w:val="outset" w:sz="6" w:space="0" w:color="auto"/>
            </w:tcBorders>
            <w:vAlign w:val="center"/>
          </w:tcPr>
          <w:p w:rsidR="00E4325E" w:rsidRPr="00E21AF2" w:rsidRDefault="00E4325E" w:rsidP="00014D26">
            <w:pPr>
              <w:jc w:val="center"/>
              <w:rPr>
                <w:sz w:val="26"/>
                <w:szCs w:val="26"/>
                <w:lang w:val="lv-LV" w:eastAsia="lv-LV"/>
              </w:rPr>
            </w:pPr>
            <w:r w:rsidRPr="00E21AF2">
              <w:rPr>
                <w:sz w:val="26"/>
                <w:szCs w:val="26"/>
                <w:lang w:val="lv-LV" w:eastAsia="lv-LV"/>
              </w:rPr>
              <w:t>Izmaiņas, salīdzinot ar kārtējo (n) gadu</w:t>
            </w:r>
          </w:p>
        </w:tc>
        <w:tc>
          <w:tcPr>
            <w:tcW w:w="1389" w:type="dxa"/>
            <w:tcBorders>
              <w:top w:val="outset" w:sz="6" w:space="0" w:color="auto"/>
              <w:left w:val="outset" w:sz="6" w:space="0" w:color="auto"/>
              <w:bottom w:val="outset" w:sz="6" w:space="0" w:color="auto"/>
            </w:tcBorders>
            <w:vAlign w:val="center"/>
          </w:tcPr>
          <w:p w:rsidR="00E4325E" w:rsidRPr="00E21AF2" w:rsidRDefault="00E4325E" w:rsidP="00014D26">
            <w:pPr>
              <w:jc w:val="center"/>
              <w:rPr>
                <w:sz w:val="26"/>
                <w:szCs w:val="26"/>
                <w:lang w:val="lv-LV" w:eastAsia="lv-LV"/>
              </w:rPr>
            </w:pPr>
            <w:r w:rsidRPr="00E21AF2">
              <w:rPr>
                <w:sz w:val="26"/>
                <w:szCs w:val="26"/>
                <w:lang w:val="lv-LV" w:eastAsia="lv-LV"/>
              </w:rPr>
              <w:t>Izmaiņas, salīdzinot ar kārtējo (n) gadu</w:t>
            </w:r>
          </w:p>
        </w:tc>
      </w:tr>
      <w:tr w:rsidR="00E4325E" w:rsidRPr="00E21AF2" w:rsidTr="00E21AF2">
        <w:trPr>
          <w:tblCellSpacing w:w="0" w:type="dxa"/>
        </w:trPr>
        <w:tc>
          <w:tcPr>
            <w:tcW w:w="1433" w:type="dxa"/>
            <w:tcBorders>
              <w:top w:val="outset" w:sz="6" w:space="0" w:color="auto"/>
              <w:bottom w:val="outset" w:sz="6" w:space="0" w:color="auto"/>
              <w:right w:val="outset" w:sz="6" w:space="0" w:color="auto"/>
            </w:tcBorders>
            <w:vAlign w:val="center"/>
          </w:tcPr>
          <w:p w:rsidR="00E4325E" w:rsidRPr="00E21AF2" w:rsidRDefault="00E4325E" w:rsidP="00014D26">
            <w:pPr>
              <w:jc w:val="center"/>
              <w:rPr>
                <w:sz w:val="26"/>
                <w:szCs w:val="26"/>
                <w:lang w:val="lv-LV" w:eastAsia="lv-LV"/>
              </w:rPr>
            </w:pPr>
            <w:r w:rsidRPr="00E21AF2">
              <w:rPr>
                <w:sz w:val="26"/>
                <w:szCs w:val="26"/>
                <w:lang w:val="lv-LV" w:eastAsia="lv-LV"/>
              </w:rPr>
              <w:t>1</w:t>
            </w:r>
          </w:p>
        </w:tc>
        <w:tc>
          <w:tcPr>
            <w:tcW w:w="1572" w:type="dxa"/>
            <w:tcBorders>
              <w:top w:val="outset" w:sz="6" w:space="0" w:color="auto"/>
              <w:left w:val="outset" w:sz="6" w:space="0" w:color="auto"/>
              <w:bottom w:val="outset" w:sz="6" w:space="0" w:color="auto"/>
              <w:right w:val="outset" w:sz="6" w:space="0" w:color="auto"/>
            </w:tcBorders>
            <w:vAlign w:val="center"/>
          </w:tcPr>
          <w:p w:rsidR="00E4325E" w:rsidRPr="00E21AF2" w:rsidRDefault="00E4325E" w:rsidP="00014D26">
            <w:pPr>
              <w:jc w:val="center"/>
              <w:rPr>
                <w:sz w:val="26"/>
                <w:szCs w:val="26"/>
                <w:lang w:val="lv-LV" w:eastAsia="lv-LV"/>
              </w:rPr>
            </w:pPr>
            <w:r w:rsidRPr="00E21AF2">
              <w:rPr>
                <w:sz w:val="26"/>
                <w:szCs w:val="26"/>
                <w:lang w:val="lv-LV" w:eastAsia="lv-LV"/>
              </w:rPr>
              <w:t>2</w:t>
            </w:r>
          </w:p>
        </w:tc>
        <w:tc>
          <w:tcPr>
            <w:tcW w:w="1605" w:type="dxa"/>
            <w:tcBorders>
              <w:top w:val="outset" w:sz="6" w:space="0" w:color="auto"/>
              <w:left w:val="outset" w:sz="6" w:space="0" w:color="auto"/>
              <w:bottom w:val="outset" w:sz="6" w:space="0" w:color="auto"/>
              <w:right w:val="outset" w:sz="6" w:space="0" w:color="auto"/>
            </w:tcBorders>
            <w:vAlign w:val="center"/>
          </w:tcPr>
          <w:p w:rsidR="00E4325E" w:rsidRPr="00E21AF2" w:rsidRDefault="00E4325E" w:rsidP="00014D26">
            <w:pPr>
              <w:jc w:val="center"/>
              <w:rPr>
                <w:sz w:val="26"/>
                <w:szCs w:val="26"/>
                <w:lang w:val="lv-LV" w:eastAsia="lv-LV"/>
              </w:rPr>
            </w:pPr>
            <w:r w:rsidRPr="00E21AF2">
              <w:rPr>
                <w:sz w:val="26"/>
                <w:szCs w:val="26"/>
                <w:lang w:val="lv-LV" w:eastAsia="lv-LV"/>
              </w:rPr>
              <w:t>3</w:t>
            </w:r>
          </w:p>
        </w:tc>
        <w:tc>
          <w:tcPr>
            <w:tcW w:w="1551" w:type="dxa"/>
            <w:tcBorders>
              <w:top w:val="outset" w:sz="6" w:space="0" w:color="auto"/>
              <w:left w:val="outset" w:sz="6" w:space="0" w:color="auto"/>
              <w:bottom w:val="outset" w:sz="6" w:space="0" w:color="auto"/>
              <w:right w:val="outset" w:sz="6" w:space="0" w:color="auto"/>
            </w:tcBorders>
            <w:vAlign w:val="center"/>
          </w:tcPr>
          <w:p w:rsidR="00E4325E" w:rsidRPr="00E21AF2" w:rsidRDefault="00E4325E" w:rsidP="00014D26">
            <w:pPr>
              <w:jc w:val="center"/>
              <w:rPr>
                <w:sz w:val="26"/>
                <w:szCs w:val="26"/>
                <w:lang w:val="lv-LV" w:eastAsia="lv-LV"/>
              </w:rPr>
            </w:pPr>
            <w:r w:rsidRPr="00E21AF2">
              <w:rPr>
                <w:sz w:val="26"/>
                <w:szCs w:val="26"/>
                <w:lang w:val="lv-LV" w:eastAsia="lv-LV"/>
              </w:rPr>
              <w:t>4</w:t>
            </w:r>
          </w:p>
        </w:tc>
        <w:tc>
          <w:tcPr>
            <w:tcW w:w="1551" w:type="dxa"/>
            <w:tcBorders>
              <w:top w:val="outset" w:sz="6" w:space="0" w:color="auto"/>
              <w:left w:val="outset" w:sz="6" w:space="0" w:color="auto"/>
              <w:bottom w:val="outset" w:sz="6" w:space="0" w:color="auto"/>
              <w:right w:val="outset" w:sz="6" w:space="0" w:color="auto"/>
            </w:tcBorders>
            <w:vAlign w:val="center"/>
          </w:tcPr>
          <w:p w:rsidR="00E4325E" w:rsidRPr="00E21AF2" w:rsidRDefault="00E4325E" w:rsidP="00014D26">
            <w:pPr>
              <w:jc w:val="center"/>
              <w:rPr>
                <w:sz w:val="26"/>
                <w:szCs w:val="26"/>
                <w:lang w:val="lv-LV" w:eastAsia="lv-LV"/>
              </w:rPr>
            </w:pPr>
            <w:r w:rsidRPr="00E21AF2">
              <w:rPr>
                <w:sz w:val="26"/>
                <w:szCs w:val="26"/>
                <w:lang w:val="lv-LV" w:eastAsia="lv-LV"/>
              </w:rPr>
              <w:t>5</w:t>
            </w:r>
          </w:p>
        </w:tc>
        <w:tc>
          <w:tcPr>
            <w:tcW w:w="1389" w:type="dxa"/>
            <w:tcBorders>
              <w:top w:val="outset" w:sz="6" w:space="0" w:color="auto"/>
              <w:left w:val="outset" w:sz="6" w:space="0" w:color="auto"/>
              <w:bottom w:val="outset" w:sz="6" w:space="0" w:color="auto"/>
            </w:tcBorders>
            <w:vAlign w:val="center"/>
          </w:tcPr>
          <w:p w:rsidR="00E4325E" w:rsidRPr="00E21AF2" w:rsidRDefault="00E4325E" w:rsidP="00014D26">
            <w:pPr>
              <w:jc w:val="center"/>
              <w:rPr>
                <w:sz w:val="26"/>
                <w:szCs w:val="26"/>
                <w:lang w:val="lv-LV" w:eastAsia="lv-LV"/>
              </w:rPr>
            </w:pPr>
            <w:r w:rsidRPr="00E21AF2">
              <w:rPr>
                <w:sz w:val="26"/>
                <w:szCs w:val="26"/>
                <w:lang w:val="lv-LV" w:eastAsia="lv-LV"/>
              </w:rPr>
              <w:t>6</w:t>
            </w:r>
          </w:p>
        </w:tc>
      </w:tr>
      <w:tr w:rsidR="00E4325E" w:rsidRPr="00E21AF2" w:rsidTr="00E21AF2">
        <w:trPr>
          <w:tblCellSpacing w:w="0" w:type="dxa"/>
        </w:trPr>
        <w:tc>
          <w:tcPr>
            <w:tcW w:w="1433" w:type="dxa"/>
            <w:tcBorders>
              <w:top w:val="outset" w:sz="6" w:space="0" w:color="auto"/>
              <w:bottom w:val="outset" w:sz="6" w:space="0" w:color="auto"/>
              <w:right w:val="outset" w:sz="6" w:space="0" w:color="auto"/>
            </w:tcBorders>
          </w:tcPr>
          <w:p w:rsidR="00E4325E" w:rsidRPr="00E21AF2" w:rsidRDefault="00E4325E" w:rsidP="00014D26">
            <w:pPr>
              <w:rPr>
                <w:sz w:val="26"/>
                <w:szCs w:val="26"/>
                <w:lang w:val="lv-LV" w:eastAsia="lv-LV"/>
              </w:rPr>
            </w:pPr>
            <w:r w:rsidRPr="00E21AF2">
              <w:rPr>
                <w:sz w:val="26"/>
                <w:szCs w:val="26"/>
                <w:lang w:val="lv-LV" w:eastAsia="lv-LV"/>
              </w:rPr>
              <w:t> 1. Budžeta ieņēmumi:</w:t>
            </w:r>
          </w:p>
        </w:tc>
        <w:tc>
          <w:tcPr>
            <w:tcW w:w="1572"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c>
          <w:tcPr>
            <w:tcW w:w="1605"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c>
          <w:tcPr>
            <w:tcW w:w="1551" w:type="dxa"/>
            <w:tcBorders>
              <w:top w:val="outset" w:sz="6" w:space="0" w:color="auto"/>
              <w:left w:val="outset" w:sz="6" w:space="0" w:color="auto"/>
              <w:bottom w:val="outset" w:sz="6" w:space="0" w:color="auto"/>
              <w:right w:val="outset" w:sz="6" w:space="0" w:color="auto"/>
            </w:tcBorders>
          </w:tcPr>
          <w:p w:rsidR="00E4325E" w:rsidRPr="00E21AF2" w:rsidRDefault="00635ADD" w:rsidP="00014D26">
            <w:pPr>
              <w:jc w:val="center"/>
              <w:rPr>
                <w:sz w:val="26"/>
                <w:szCs w:val="26"/>
                <w:lang w:val="lv-LV" w:eastAsia="lv-LV"/>
              </w:rPr>
            </w:pPr>
            <w:r w:rsidRPr="00E21AF2">
              <w:rPr>
                <w:sz w:val="26"/>
                <w:szCs w:val="26"/>
                <w:lang w:val="lv-LV" w:eastAsia="lv-LV"/>
              </w:rPr>
              <w:t>40.0</w:t>
            </w:r>
          </w:p>
        </w:tc>
        <w:tc>
          <w:tcPr>
            <w:tcW w:w="1551" w:type="dxa"/>
            <w:tcBorders>
              <w:top w:val="outset" w:sz="6" w:space="0" w:color="auto"/>
              <w:left w:val="outset" w:sz="6" w:space="0" w:color="auto"/>
              <w:bottom w:val="outset" w:sz="6" w:space="0" w:color="auto"/>
              <w:right w:val="outset" w:sz="6" w:space="0" w:color="auto"/>
            </w:tcBorders>
          </w:tcPr>
          <w:p w:rsidR="00E4325E" w:rsidRPr="00E21AF2" w:rsidRDefault="00635ADD" w:rsidP="00014D26">
            <w:pPr>
              <w:jc w:val="center"/>
              <w:rPr>
                <w:sz w:val="26"/>
                <w:szCs w:val="26"/>
                <w:lang w:val="lv-LV" w:eastAsia="lv-LV"/>
              </w:rPr>
            </w:pPr>
            <w:r w:rsidRPr="00E21AF2">
              <w:rPr>
                <w:sz w:val="26"/>
                <w:szCs w:val="26"/>
                <w:lang w:val="lv-LV" w:eastAsia="lv-LV"/>
              </w:rPr>
              <w:t>40.0</w:t>
            </w:r>
          </w:p>
        </w:tc>
        <w:tc>
          <w:tcPr>
            <w:tcW w:w="1389" w:type="dxa"/>
            <w:tcBorders>
              <w:top w:val="outset" w:sz="6" w:space="0" w:color="auto"/>
              <w:left w:val="outset" w:sz="6" w:space="0" w:color="auto"/>
              <w:bottom w:val="outset" w:sz="6" w:space="0" w:color="auto"/>
            </w:tcBorders>
          </w:tcPr>
          <w:p w:rsidR="00E4325E" w:rsidRPr="00E21AF2" w:rsidRDefault="00635ADD" w:rsidP="00014D26">
            <w:pPr>
              <w:jc w:val="center"/>
              <w:rPr>
                <w:sz w:val="26"/>
                <w:szCs w:val="26"/>
                <w:lang w:val="lv-LV" w:eastAsia="lv-LV"/>
              </w:rPr>
            </w:pPr>
            <w:r w:rsidRPr="00E21AF2">
              <w:rPr>
                <w:sz w:val="26"/>
                <w:szCs w:val="26"/>
                <w:lang w:val="lv-LV" w:eastAsia="lv-LV"/>
              </w:rPr>
              <w:t>40.0</w:t>
            </w:r>
          </w:p>
        </w:tc>
      </w:tr>
      <w:tr w:rsidR="00E4325E" w:rsidRPr="00E21AF2" w:rsidTr="00E21AF2">
        <w:trPr>
          <w:tblCellSpacing w:w="0" w:type="dxa"/>
        </w:trPr>
        <w:tc>
          <w:tcPr>
            <w:tcW w:w="1433" w:type="dxa"/>
            <w:tcBorders>
              <w:top w:val="outset" w:sz="6" w:space="0" w:color="auto"/>
              <w:bottom w:val="outset" w:sz="6" w:space="0" w:color="auto"/>
              <w:right w:val="outset" w:sz="6" w:space="0" w:color="auto"/>
            </w:tcBorders>
          </w:tcPr>
          <w:p w:rsidR="00E4325E" w:rsidRPr="00E21AF2" w:rsidRDefault="00E4325E" w:rsidP="00014D26">
            <w:pPr>
              <w:rPr>
                <w:sz w:val="26"/>
                <w:szCs w:val="26"/>
                <w:lang w:val="lv-LV" w:eastAsia="lv-LV"/>
              </w:rPr>
            </w:pPr>
            <w:r w:rsidRPr="00E21AF2">
              <w:rPr>
                <w:sz w:val="26"/>
                <w:szCs w:val="26"/>
                <w:lang w:val="lv-LV" w:eastAsia="lv-LV"/>
              </w:rPr>
              <w:t xml:space="preserve"> 1.1. valsts pamatbudžets, tai skaitā ieņēmumi no maksas pakalpojumiem un citi pašu </w:t>
            </w:r>
            <w:r w:rsidRPr="00E21AF2">
              <w:rPr>
                <w:sz w:val="26"/>
                <w:szCs w:val="26"/>
                <w:lang w:val="lv-LV" w:eastAsia="lv-LV"/>
              </w:rPr>
              <w:lastRenderedPageBreak/>
              <w:t>ieņēmumi</w:t>
            </w:r>
          </w:p>
        </w:tc>
        <w:tc>
          <w:tcPr>
            <w:tcW w:w="1572"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lastRenderedPageBreak/>
              <w:t>0</w:t>
            </w:r>
          </w:p>
        </w:tc>
        <w:tc>
          <w:tcPr>
            <w:tcW w:w="1605"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c>
          <w:tcPr>
            <w:tcW w:w="1551" w:type="dxa"/>
            <w:tcBorders>
              <w:top w:val="outset" w:sz="6" w:space="0" w:color="auto"/>
              <w:left w:val="outset" w:sz="6" w:space="0" w:color="auto"/>
              <w:bottom w:val="outset" w:sz="6" w:space="0" w:color="auto"/>
              <w:right w:val="outset" w:sz="6" w:space="0" w:color="auto"/>
            </w:tcBorders>
          </w:tcPr>
          <w:p w:rsidR="00E4325E" w:rsidRPr="00E21AF2" w:rsidRDefault="00635ADD" w:rsidP="00014D26">
            <w:pPr>
              <w:jc w:val="center"/>
              <w:rPr>
                <w:sz w:val="26"/>
                <w:szCs w:val="26"/>
                <w:lang w:val="lv-LV" w:eastAsia="lv-LV"/>
              </w:rPr>
            </w:pPr>
            <w:r w:rsidRPr="00E21AF2">
              <w:rPr>
                <w:sz w:val="26"/>
                <w:szCs w:val="26"/>
                <w:lang w:val="lv-LV" w:eastAsia="lv-LV"/>
              </w:rPr>
              <w:t>40.0</w:t>
            </w:r>
          </w:p>
        </w:tc>
        <w:tc>
          <w:tcPr>
            <w:tcW w:w="1551" w:type="dxa"/>
            <w:tcBorders>
              <w:top w:val="outset" w:sz="6" w:space="0" w:color="auto"/>
              <w:left w:val="outset" w:sz="6" w:space="0" w:color="auto"/>
              <w:bottom w:val="outset" w:sz="6" w:space="0" w:color="auto"/>
              <w:right w:val="outset" w:sz="6" w:space="0" w:color="auto"/>
            </w:tcBorders>
          </w:tcPr>
          <w:p w:rsidR="00E4325E" w:rsidRPr="00E21AF2" w:rsidRDefault="00635ADD" w:rsidP="00014D26">
            <w:pPr>
              <w:jc w:val="center"/>
              <w:rPr>
                <w:sz w:val="26"/>
                <w:szCs w:val="26"/>
                <w:lang w:val="lv-LV" w:eastAsia="lv-LV"/>
              </w:rPr>
            </w:pPr>
            <w:r w:rsidRPr="00E21AF2">
              <w:rPr>
                <w:sz w:val="26"/>
                <w:szCs w:val="26"/>
                <w:lang w:val="lv-LV" w:eastAsia="lv-LV"/>
              </w:rPr>
              <w:t>40.0</w:t>
            </w:r>
          </w:p>
        </w:tc>
        <w:tc>
          <w:tcPr>
            <w:tcW w:w="1389" w:type="dxa"/>
            <w:tcBorders>
              <w:top w:val="outset" w:sz="6" w:space="0" w:color="auto"/>
              <w:left w:val="outset" w:sz="6" w:space="0" w:color="auto"/>
              <w:bottom w:val="outset" w:sz="6" w:space="0" w:color="auto"/>
            </w:tcBorders>
          </w:tcPr>
          <w:p w:rsidR="00E4325E" w:rsidRPr="00E21AF2" w:rsidRDefault="00635ADD" w:rsidP="00E4325E">
            <w:pPr>
              <w:jc w:val="center"/>
              <w:rPr>
                <w:sz w:val="26"/>
                <w:szCs w:val="26"/>
                <w:lang w:val="lv-LV" w:eastAsia="lv-LV"/>
              </w:rPr>
            </w:pPr>
            <w:r w:rsidRPr="00E21AF2">
              <w:rPr>
                <w:sz w:val="26"/>
                <w:szCs w:val="26"/>
                <w:lang w:val="lv-LV" w:eastAsia="lv-LV"/>
              </w:rPr>
              <w:t>40.0</w:t>
            </w:r>
          </w:p>
        </w:tc>
      </w:tr>
      <w:tr w:rsidR="00E4325E" w:rsidRPr="00E21AF2" w:rsidTr="00E21AF2">
        <w:trPr>
          <w:tblCellSpacing w:w="0" w:type="dxa"/>
        </w:trPr>
        <w:tc>
          <w:tcPr>
            <w:tcW w:w="1433" w:type="dxa"/>
            <w:tcBorders>
              <w:top w:val="outset" w:sz="6" w:space="0" w:color="auto"/>
              <w:bottom w:val="outset" w:sz="6" w:space="0" w:color="auto"/>
              <w:right w:val="outset" w:sz="6" w:space="0" w:color="auto"/>
            </w:tcBorders>
          </w:tcPr>
          <w:p w:rsidR="00E4325E" w:rsidRPr="00E21AF2" w:rsidRDefault="00E4325E" w:rsidP="00014D26">
            <w:pPr>
              <w:rPr>
                <w:sz w:val="26"/>
                <w:szCs w:val="26"/>
                <w:lang w:val="lv-LV" w:eastAsia="lv-LV"/>
              </w:rPr>
            </w:pPr>
            <w:r w:rsidRPr="00E21AF2">
              <w:rPr>
                <w:sz w:val="26"/>
                <w:szCs w:val="26"/>
                <w:lang w:val="lv-LV" w:eastAsia="lv-LV"/>
              </w:rPr>
              <w:lastRenderedPageBreak/>
              <w:t> 1.2. valsts speciālais budžets</w:t>
            </w:r>
          </w:p>
        </w:tc>
        <w:tc>
          <w:tcPr>
            <w:tcW w:w="1572"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c>
          <w:tcPr>
            <w:tcW w:w="1605"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c>
          <w:tcPr>
            <w:tcW w:w="1551"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c>
          <w:tcPr>
            <w:tcW w:w="1551"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c>
          <w:tcPr>
            <w:tcW w:w="1389" w:type="dxa"/>
            <w:tcBorders>
              <w:top w:val="outset" w:sz="6" w:space="0" w:color="auto"/>
              <w:left w:val="outset" w:sz="6" w:space="0" w:color="auto"/>
              <w:bottom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r>
      <w:tr w:rsidR="00E4325E" w:rsidRPr="00E21AF2" w:rsidTr="00E21AF2">
        <w:trPr>
          <w:trHeight w:val="1104"/>
          <w:tblCellSpacing w:w="0" w:type="dxa"/>
        </w:trPr>
        <w:tc>
          <w:tcPr>
            <w:tcW w:w="1433" w:type="dxa"/>
            <w:tcBorders>
              <w:top w:val="outset" w:sz="6" w:space="0" w:color="auto"/>
              <w:bottom w:val="outset" w:sz="6" w:space="0" w:color="auto"/>
              <w:right w:val="outset" w:sz="6" w:space="0" w:color="auto"/>
            </w:tcBorders>
          </w:tcPr>
          <w:p w:rsidR="00E4325E" w:rsidRPr="00E21AF2" w:rsidRDefault="00E4325E" w:rsidP="00014D26">
            <w:pPr>
              <w:rPr>
                <w:sz w:val="26"/>
                <w:szCs w:val="26"/>
                <w:lang w:val="lv-LV" w:eastAsia="lv-LV"/>
              </w:rPr>
            </w:pPr>
            <w:r w:rsidRPr="00E21AF2">
              <w:rPr>
                <w:sz w:val="26"/>
                <w:szCs w:val="26"/>
                <w:lang w:val="lv-LV" w:eastAsia="lv-LV"/>
              </w:rPr>
              <w:t> 1.3. pašvaldību budžets</w:t>
            </w:r>
          </w:p>
        </w:tc>
        <w:tc>
          <w:tcPr>
            <w:tcW w:w="1572"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c>
          <w:tcPr>
            <w:tcW w:w="1605"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c>
          <w:tcPr>
            <w:tcW w:w="1551"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c>
          <w:tcPr>
            <w:tcW w:w="1551"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c>
          <w:tcPr>
            <w:tcW w:w="1389" w:type="dxa"/>
            <w:tcBorders>
              <w:top w:val="outset" w:sz="6" w:space="0" w:color="auto"/>
              <w:left w:val="outset" w:sz="6" w:space="0" w:color="auto"/>
              <w:bottom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r>
      <w:tr w:rsidR="00E4325E" w:rsidRPr="00E21AF2" w:rsidTr="00E21AF2">
        <w:trPr>
          <w:tblCellSpacing w:w="0" w:type="dxa"/>
        </w:trPr>
        <w:tc>
          <w:tcPr>
            <w:tcW w:w="1433" w:type="dxa"/>
            <w:tcBorders>
              <w:top w:val="outset" w:sz="6" w:space="0" w:color="auto"/>
              <w:bottom w:val="outset" w:sz="6" w:space="0" w:color="auto"/>
              <w:right w:val="outset" w:sz="6" w:space="0" w:color="auto"/>
            </w:tcBorders>
          </w:tcPr>
          <w:p w:rsidR="00E4325E" w:rsidRPr="00E21AF2" w:rsidRDefault="00E4325E" w:rsidP="00014D26">
            <w:pPr>
              <w:rPr>
                <w:sz w:val="26"/>
                <w:szCs w:val="26"/>
                <w:lang w:val="lv-LV" w:eastAsia="lv-LV"/>
              </w:rPr>
            </w:pPr>
            <w:r w:rsidRPr="00E21AF2">
              <w:rPr>
                <w:sz w:val="26"/>
                <w:szCs w:val="26"/>
                <w:lang w:val="lv-LV" w:eastAsia="lv-LV"/>
              </w:rPr>
              <w:t> 2. Budžeta izdevumi:</w:t>
            </w:r>
          </w:p>
        </w:tc>
        <w:tc>
          <w:tcPr>
            <w:tcW w:w="1572"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c>
          <w:tcPr>
            <w:tcW w:w="1605"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c>
          <w:tcPr>
            <w:tcW w:w="1551" w:type="dxa"/>
            <w:tcBorders>
              <w:top w:val="outset" w:sz="6" w:space="0" w:color="auto"/>
              <w:left w:val="outset" w:sz="6" w:space="0" w:color="auto"/>
              <w:bottom w:val="outset" w:sz="6" w:space="0" w:color="auto"/>
              <w:right w:val="outset" w:sz="6" w:space="0" w:color="auto"/>
            </w:tcBorders>
          </w:tcPr>
          <w:p w:rsidR="00E4325E" w:rsidRPr="00E21AF2" w:rsidRDefault="00C668B9" w:rsidP="00014D26">
            <w:pPr>
              <w:jc w:val="center"/>
              <w:rPr>
                <w:sz w:val="26"/>
                <w:szCs w:val="26"/>
                <w:lang w:val="lv-LV" w:eastAsia="lv-LV"/>
              </w:rPr>
            </w:pPr>
            <w:r w:rsidRPr="00E21AF2">
              <w:rPr>
                <w:sz w:val="26"/>
                <w:szCs w:val="26"/>
                <w:lang w:val="lv-LV" w:eastAsia="lv-LV"/>
              </w:rPr>
              <w:t>16</w:t>
            </w:r>
            <w:r w:rsidR="00635ADD" w:rsidRPr="00E21AF2">
              <w:rPr>
                <w:sz w:val="26"/>
                <w:szCs w:val="26"/>
                <w:lang w:val="lv-LV" w:eastAsia="lv-LV"/>
              </w:rPr>
              <w:t>.0</w:t>
            </w:r>
          </w:p>
        </w:tc>
        <w:tc>
          <w:tcPr>
            <w:tcW w:w="1551" w:type="dxa"/>
            <w:tcBorders>
              <w:top w:val="outset" w:sz="6" w:space="0" w:color="auto"/>
              <w:left w:val="outset" w:sz="6" w:space="0" w:color="auto"/>
              <w:bottom w:val="outset" w:sz="6" w:space="0" w:color="auto"/>
              <w:right w:val="outset" w:sz="6" w:space="0" w:color="auto"/>
            </w:tcBorders>
          </w:tcPr>
          <w:p w:rsidR="00E4325E" w:rsidRPr="00E21AF2" w:rsidRDefault="00C668B9" w:rsidP="0087231F">
            <w:pPr>
              <w:jc w:val="center"/>
              <w:rPr>
                <w:sz w:val="26"/>
                <w:szCs w:val="26"/>
                <w:lang w:val="lv-LV" w:eastAsia="lv-LV"/>
              </w:rPr>
            </w:pPr>
            <w:r w:rsidRPr="00E21AF2">
              <w:rPr>
                <w:sz w:val="26"/>
                <w:szCs w:val="26"/>
                <w:lang w:val="lv-LV" w:eastAsia="lv-LV"/>
              </w:rPr>
              <w:t>16</w:t>
            </w:r>
            <w:r w:rsidR="00635ADD" w:rsidRPr="00E21AF2">
              <w:rPr>
                <w:sz w:val="26"/>
                <w:szCs w:val="26"/>
                <w:lang w:val="lv-LV" w:eastAsia="lv-LV"/>
              </w:rPr>
              <w:t>.0</w:t>
            </w:r>
          </w:p>
        </w:tc>
        <w:tc>
          <w:tcPr>
            <w:tcW w:w="1389" w:type="dxa"/>
            <w:tcBorders>
              <w:top w:val="outset" w:sz="6" w:space="0" w:color="auto"/>
              <w:left w:val="outset" w:sz="6" w:space="0" w:color="auto"/>
              <w:bottom w:val="outset" w:sz="6" w:space="0" w:color="auto"/>
            </w:tcBorders>
          </w:tcPr>
          <w:p w:rsidR="00E4325E" w:rsidRPr="00E21AF2" w:rsidRDefault="00C668B9" w:rsidP="0087231F">
            <w:pPr>
              <w:jc w:val="center"/>
              <w:rPr>
                <w:sz w:val="26"/>
                <w:szCs w:val="26"/>
                <w:lang w:val="lv-LV" w:eastAsia="lv-LV"/>
              </w:rPr>
            </w:pPr>
            <w:r w:rsidRPr="00E21AF2">
              <w:rPr>
                <w:sz w:val="26"/>
                <w:szCs w:val="26"/>
                <w:lang w:val="lv-LV" w:eastAsia="lv-LV"/>
              </w:rPr>
              <w:t>16</w:t>
            </w:r>
            <w:r w:rsidR="00635ADD" w:rsidRPr="00E21AF2">
              <w:rPr>
                <w:sz w:val="26"/>
                <w:szCs w:val="26"/>
                <w:lang w:val="lv-LV" w:eastAsia="lv-LV"/>
              </w:rPr>
              <w:t>.0</w:t>
            </w:r>
          </w:p>
        </w:tc>
      </w:tr>
      <w:tr w:rsidR="00E4325E" w:rsidRPr="00E21AF2" w:rsidTr="00E21AF2">
        <w:trPr>
          <w:tblCellSpacing w:w="0" w:type="dxa"/>
        </w:trPr>
        <w:tc>
          <w:tcPr>
            <w:tcW w:w="1433" w:type="dxa"/>
            <w:tcBorders>
              <w:top w:val="outset" w:sz="6" w:space="0" w:color="auto"/>
              <w:bottom w:val="outset" w:sz="6" w:space="0" w:color="auto"/>
              <w:right w:val="outset" w:sz="6" w:space="0" w:color="auto"/>
            </w:tcBorders>
          </w:tcPr>
          <w:p w:rsidR="00E4325E" w:rsidRPr="00E21AF2" w:rsidRDefault="00E4325E" w:rsidP="00014D26">
            <w:pPr>
              <w:rPr>
                <w:sz w:val="26"/>
                <w:szCs w:val="26"/>
                <w:lang w:val="lv-LV" w:eastAsia="lv-LV"/>
              </w:rPr>
            </w:pPr>
            <w:r w:rsidRPr="00E21AF2">
              <w:rPr>
                <w:sz w:val="26"/>
                <w:szCs w:val="26"/>
                <w:lang w:val="lv-LV" w:eastAsia="lv-LV"/>
              </w:rPr>
              <w:t> 2.1. valsts pamatbudžets</w:t>
            </w:r>
          </w:p>
        </w:tc>
        <w:tc>
          <w:tcPr>
            <w:tcW w:w="1572"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c>
          <w:tcPr>
            <w:tcW w:w="1605"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c>
          <w:tcPr>
            <w:tcW w:w="1551" w:type="dxa"/>
            <w:tcBorders>
              <w:top w:val="outset" w:sz="6" w:space="0" w:color="auto"/>
              <w:left w:val="outset" w:sz="6" w:space="0" w:color="auto"/>
              <w:bottom w:val="outset" w:sz="6" w:space="0" w:color="auto"/>
              <w:right w:val="outset" w:sz="6" w:space="0" w:color="auto"/>
            </w:tcBorders>
          </w:tcPr>
          <w:p w:rsidR="00E4325E" w:rsidRPr="00E21AF2" w:rsidRDefault="00C668B9" w:rsidP="00014D26">
            <w:pPr>
              <w:jc w:val="center"/>
              <w:rPr>
                <w:sz w:val="26"/>
                <w:szCs w:val="26"/>
                <w:lang w:val="lv-LV" w:eastAsia="lv-LV"/>
              </w:rPr>
            </w:pPr>
            <w:r w:rsidRPr="00E21AF2">
              <w:rPr>
                <w:sz w:val="26"/>
                <w:szCs w:val="26"/>
                <w:lang w:val="lv-LV" w:eastAsia="lv-LV"/>
              </w:rPr>
              <w:t>16</w:t>
            </w:r>
            <w:r w:rsidR="00635ADD" w:rsidRPr="00E21AF2">
              <w:rPr>
                <w:sz w:val="26"/>
                <w:szCs w:val="26"/>
                <w:lang w:val="lv-LV" w:eastAsia="lv-LV"/>
              </w:rPr>
              <w:t>.0</w:t>
            </w:r>
          </w:p>
        </w:tc>
        <w:tc>
          <w:tcPr>
            <w:tcW w:w="1551" w:type="dxa"/>
            <w:tcBorders>
              <w:top w:val="outset" w:sz="6" w:space="0" w:color="auto"/>
              <w:left w:val="outset" w:sz="6" w:space="0" w:color="auto"/>
              <w:bottom w:val="outset" w:sz="6" w:space="0" w:color="auto"/>
              <w:right w:val="outset" w:sz="6" w:space="0" w:color="auto"/>
            </w:tcBorders>
          </w:tcPr>
          <w:p w:rsidR="00E4325E" w:rsidRPr="00E21AF2" w:rsidRDefault="00C668B9" w:rsidP="0087231F">
            <w:pPr>
              <w:jc w:val="center"/>
              <w:rPr>
                <w:sz w:val="26"/>
                <w:szCs w:val="26"/>
                <w:lang w:val="lv-LV" w:eastAsia="lv-LV"/>
              </w:rPr>
            </w:pPr>
            <w:r w:rsidRPr="00E21AF2">
              <w:rPr>
                <w:sz w:val="26"/>
                <w:szCs w:val="26"/>
                <w:lang w:val="lv-LV" w:eastAsia="lv-LV"/>
              </w:rPr>
              <w:t>16</w:t>
            </w:r>
            <w:r w:rsidR="00635ADD" w:rsidRPr="00E21AF2">
              <w:rPr>
                <w:sz w:val="26"/>
                <w:szCs w:val="26"/>
                <w:lang w:val="lv-LV" w:eastAsia="lv-LV"/>
              </w:rPr>
              <w:t>.0</w:t>
            </w:r>
          </w:p>
        </w:tc>
        <w:tc>
          <w:tcPr>
            <w:tcW w:w="1389" w:type="dxa"/>
            <w:tcBorders>
              <w:top w:val="outset" w:sz="6" w:space="0" w:color="auto"/>
              <w:left w:val="outset" w:sz="6" w:space="0" w:color="auto"/>
              <w:bottom w:val="outset" w:sz="6" w:space="0" w:color="auto"/>
            </w:tcBorders>
          </w:tcPr>
          <w:p w:rsidR="00E4325E" w:rsidRPr="00E21AF2" w:rsidRDefault="00C668B9" w:rsidP="0087231F">
            <w:pPr>
              <w:jc w:val="center"/>
              <w:rPr>
                <w:sz w:val="26"/>
                <w:szCs w:val="26"/>
                <w:lang w:val="lv-LV" w:eastAsia="lv-LV"/>
              </w:rPr>
            </w:pPr>
            <w:r w:rsidRPr="00E21AF2">
              <w:rPr>
                <w:sz w:val="26"/>
                <w:szCs w:val="26"/>
                <w:lang w:val="lv-LV" w:eastAsia="lv-LV"/>
              </w:rPr>
              <w:t>16</w:t>
            </w:r>
            <w:r w:rsidR="00635ADD" w:rsidRPr="00E21AF2">
              <w:rPr>
                <w:sz w:val="26"/>
                <w:szCs w:val="26"/>
                <w:lang w:val="lv-LV" w:eastAsia="lv-LV"/>
              </w:rPr>
              <w:t>.0</w:t>
            </w:r>
          </w:p>
        </w:tc>
      </w:tr>
      <w:tr w:rsidR="00E4325E" w:rsidRPr="00E21AF2" w:rsidTr="00E21AF2">
        <w:trPr>
          <w:tblCellSpacing w:w="0" w:type="dxa"/>
        </w:trPr>
        <w:tc>
          <w:tcPr>
            <w:tcW w:w="1433" w:type="dxa"/>
            <w:tcBorders>
              <w:top w:val="outset" w:sz="6" w:space="0" w:color="auto"/>
              <w:bottom w:val="outset" w:sz="6" w:space="0" w:color="auto"/>
              <w:right w:val="outset" w:sz="6" w:space="0" w:color="auto"/>
            </w:tcBorders>
          </w:tcPr>
          <w:p w:rsidR="00E4325E" w:rsidRPr="00E21AF2" w:rsidRDefault="00E4325E" w:rsidP="00014D26">
            <w:pPr>
              <w:rPr>
                <w:sz w:val="26"/>
                <w:szCs w:val="26"/>
                <w:lang w:val="lv-LV" w:eastAsia="lv-LV"/>
              </w:rPr>
            </w:pPr>
            <w:r w:rsidRPr="00E21AF2">
              <w:rPr>
                <w:sz w:val="26"/>
                <w:szCs w:val="26"/>
                <w:lang w:val="lv-LV" w:eastAsia="lv-LV"/>
              </w:rPr>
              <w:t> 2.2. valsts speciālais budžets</w:t>
            </w:r>
          </w:p>
        </w:tc>
        <w:tc>
          <w:tcPr>
            <w:tcW w:w="1572"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c>
          <w:tcPr>
            <w:tcW w:w="1605"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c>
          <w:tcPr>
            <w:tcW w:w="1551"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c>
          <w:tcPr>
            <w:tcW w:w="1551"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c>
          <w:tcPr>
            <w:tcW w:w="1389" w:type="dxa"/>
            <w:tcBorders>
              <w:top w:val="outset" w:sz="6" w:space="0" w:color="auto"/>
              <w:left w:val="outset" w:sz="6" w:space="0" w:color="auto"/>
              <w:bottom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r>
      <w:tr w:rsidR="00E4325E" w:rsidRPr="00E21AF2" w:rsidTr="00E21AF2">
        <w:trPr>
          <w:tblCellSpacing w:w="0" w:type="dxa"/>
        </w:trPr>
        <w:tc>
          <w:tcPr>
            <w:tcW w:w="1433" w:type="dxa"/>
            <w:tcBorders>
              <w:top w:val="outset" w:sz="6" w:space="0" w:color="auto"/>
              <w:bottom w:val="outset" w:sz="6" w:space="0" w:color="auto"/>
              <w:right w:val="outset" w:sz="6" w:space="0" w:color="auto"/>
            </w:tcBorders>
          </w:tcPr>
          <w:p w:rsidR="00E4325E" w:rsidRPr="00E21AF2" w:rsidRDefault="00E4325E" w:rsidP="00014D26">
            <w:pPr>
              <w:rPr>
                <w:sz w:val="26"/>
                <w:szCs w:val="26"/>
                <w:lang w:val="lv-LV" w:eastAsia="lv-LV"/>
              </w:rPr>
            </w:pPr>
            <w:r w:rsidRPr="00E21AF2">
              <w:rPr>
                <w:sz w:val="26"/>
                <w:szCs w:val="26"/>
                <w:lang w:val="lv-LV" w:eastAsia="lv-LV"/>
              </w:rPr>
              <w:t> 2.3. pašvaldību budžets</w:t>
            </w:r>
          </w:p>
        </w:tc>
        <w:tc>
          <w:tcPr>
            <w:tcW w:w="1572"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c>
          <w:tcPr>
            <w:tcW w:w="1605"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c>
          <w:tcPr>
            <w:tcW w:w="1551"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c>
          <w:tcPr>
            <w:tcW w:w="1551"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c>
          <w:tcPr>
            <w:tcW w:w="1389" w:type="dxa"/>
            <w:tcBorders>
              <w:top w:val="outset" w:sz="6" w:space="0" w:color="auto"/>
              <w:left w:val="outset" w:sz="6" w:space="0" w:color="auto"/>
              <w:bottom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r>
      <w:tr w:rsidR="00E4325E" w:rsidRPr="00E21AF2" w:rsidTr="00E21AF2">
        <w:trPr>
          <w:tblCellSpacing w:w="0" w:type="dxa"/>
        </w:trPr>
        <w:tc>
          <w:tcPr>
            <w:tcW w:w="1433" w:type="dxa"/>
            <w:tcBorders>
              <w:top w:val="outset" w:sz="6" w:space="0" w:color="auto"/>
              <w:bottom w:val="outset" w:sz="6" w:space="0" w:color="auto"/>
              <w:right w:val="outset" w:sz="6" w:space="0" w:color="auto"/>
            </w:tcBorders>
          </w:tcPr>
          <w:p w:rsidR="00E4325E" w:rsidRPr="00E21AF2" w:rsidRDefault="00E4325E" w:rsidP="00014D26">
            <w:pPr>
              <w:rPr>
                <w:sz w:val="26"/>
                <w:szCs w:val="26"/>
                <w:lang w:val="lv-LV" w:eastAsia="lv-LV"/>
              </w:rPr>
            </w:pPr>
            <w:r w:rsidRPr="00E21AF2">
              <w:rPr>
                <w:sz w:val="26"/>
                <w:szCs w:val="26"/>
                <w:lang w:val="lv-LV" w:eastAsia="lv-LV"/>
              </w:rPr>
              <w:t> 3. Finansiālā ietekme:</w:t>
            </w:r>
          </w:p>
        </w:tc>
        <w:tc>
          <w:tcPr>
            <w:tcW w:w="1572" w:type="dxa"/>
            <w:tcBorders>
              <w:top w:val="outset" w:sz="6" w:space="0" w:color="auto"/>
              <w:left w:val="outset" w:sz="6" w:space="0" w:color="auto"/>
              <w:bottom w:val="outset" w:sz="6" w:space="0" w:color="auto"/>
              <w:right w:val="outset" w:sz="6" w:space="0" w:color="auto"/>
            </w:tcBorders>
            <w:vAlign w:val="center"/>
          </w:tcPr>
          <w:p w:rsidR="00E4325E" w:rsidRPr="00E21AF2" w:rsidRDefault="00E4325E" w:rsidP="00014D26">
            <w:pPr>
              <w:jc w:val="center"/>
              <w:rPr>
                <w:sz w:val="26"/>
                <w:szCs w:val="26"/>
                <w:lang w:val="lv-LV" w:eastAsia="lv-LV"/>
              </w:rPr>
            </w:pPr>
            <w:r w:rsidRPr="00E21AF2">
              <w:rPr>
                <w:sz w:val="26"/>
                <w:szCs w:val="26"/>
                <w:lang w:val="lv-LV" w:eastAsia="lv-LV"/>
              </w:rPr>
              <w:t>0</w:t>
            </w:r>
          </w:p>
        </w:tc>
        <w:tc>
          <w:tcPr>
            <w:tcW w:w="1605"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c>
          <w:tcPr>
            <w:tcW w:w="1551" w:type="dxa"/>
            <w:tcBorders>
              <w:top w:val="outset" w:sz="6" w:space="0" w:color="auto"/>
              <w:left w:val="outset" w:sz="6" w:space="0" w:color="auto"/>
              <w:bottom w:val="outset" w:sz="6" w:space="0" w:color="auto"/>
              <w:right w:val="outset" w:sz="6" w:space="0" w:color="auto"/>
            </w:tcBorders>
          </w:tcPr>
          <w:p w:rsidR="00E4325E" w:rsidRPr="00E21AF2" w:rsidRDefault="00635ADD" w:rsidP="00C668B9">
            <w:pPr>
              <w:jc w:val="center"/>
              <w:rPr>
                <w:sz w:val="26"/>
                <w:szCs w:val="26"/>
                <w:lang w:val="lv-LV" w:eastAsia="lv-LV"/>
              </w:rPr>
            </w:pPr>
            <w:r w:rsidRPr="00E21AF2">
              <w:rPr>
                <w:sz w:val="26"/>
                <w:szCs w:val="26"/>
                <w:lang w:val="lv-LV" w:eastAsia="lv-LV"/>
              </w:rPr>
              <w:t>+</w:t>
            </w:r>
            <w:r w:rsidR="00C668B9" w:rsidRPr="00E21AF2">
              <w:rPr>
                <w:sz w:val="26"/>
                <w:szCs w:val="26"/>
                <w:lang w:val="lv-LV" w:eastAsia="lv-LV"/>
              </w:rPr>
              <w:t>28</w:t>
            </w:r>
            <w:r w:rsidRPr="00E21AF2">
              <w:rPr>
                <w:sz w:val="26"/>
                <w:szCs w:val="26"/>
                <w:lang w:val="lv-LV" w:eastAsia="lv-LV"/>
              </w:rPr>
              <w:t>.0</w:t>
            </w:r>
          </w:p>
        </w:tc>
        <w:tc>
          <w:tcPr>
            <w:tcW w:w="1551" w:type="dxa"/>
            <w:tcBorders>
              <w:top w:val="outset" w:sz="6" w:space="0" w:color="auto"/>
              <w:left w:val="outset" w:sz="6" w:space="0" w:color="auto"/>
              <w:bottom w:val="outset" w:sz="6" w:space="0" w:color="auto"/>
              <w:right w:val="outset" w:sz="6" w:space="0" w:color="auto"/>
            </w:tcBorders>
          </w:tcPr>
          <w:p w:rsidR="00E4325E" w:rsidRPr="00E21AF2" w:rsidRDefault="00C668B9" w:rsidP="00C668B9">
            <w:pPr>
              <w:jc w:val="center"/>
              <w:rPr>
                <w:sz w:val="26"/>
                <w:szCs w:val="26"/>
                <w:lang w:val="lv-LV" w:eastAsia="lv-LV"/>
              </w:rPr>
            </w:pPr>
            <w:r w:rsidRPr="00E21AF2">
              <w:rPr>
                <w:sz w:val="26"/>
                <w:szCs w:val="26"/>
                <w:lang w:val="lv-LV" w:eastAsia="lv-LV"/>
              </w:rPr>
              <w:t>+28</w:t>
            </w:r>
            <w:r w:rsidR="00635ADD" w:rsidRPr="00E21AF2">
              <w:rPr>
                <w:sz w:val="26"/>
                <w:szCs w:val="26"/>
                <w:lang w:val="lv-LV" w:eastAsia="lv-LV"/>
              </w:rPr>
              <w:t>.0</w:t>
            </w:r>
          </w:p>
        </w:tc>
        <w:tc>
          <w:tcPr>
            <w:tcW w:w="1389" w:type="dxa"/>
            <w:tcBorders>
              <w:top w:val="outset" w:sz="6" w:space="0" w:color="auto"/>
              <w:left w:val="outset" w:sz="6" w:space="0" w:color="auto"/>
              <w:bottom w:val="outset" w:sz="6" w:space="0" w:color="auto"/>
            </w:tcBorders>
          </w:tcPr>
          <w:p w:rsidR="00E4325E" w:rsidRPr="00E21AF2" w:rsidRDefault="00635ADD" w:rsidP="00C668B9">
            <w:pPr>
              <w:jc w:val="center"/>
              <w:rPr>
                <w:sz w:val="26"/>
                <w:szCs w:val="26"/>
                <w:lang w:val="lv-LV" w:eastAsia="lv-LV"/>
              </w:rPr>
            </w:pPr>
            <w:r w:rsidRPr="00E21AF2">
              <w:rPr>
                <w:sz w:val="26"/>
                <w:szCs w:val="26"/>
                <w:lang w:val="lv-LV" w:eastAsia="lv-LV"/>
              </w:rPr>
              <w:t>+</w:t>
            </w:r>
            <w:r w:rsidR="00C668B9" w:rsidRPr="00E21AF2">
              <w:rPr>
                <w:sz w:val="26"/>
                <w:szCs w:val="26"/>
                <w:lang w:val="lv-LV" w:eastAsia="lv-LV"/>
              </w:rPr>
              <w:t>28</w:t>
            </w:r>
            <w:r w:rsidRPr="00E21AF2">
              <w:rPr>
                <w:sz w:val="26"/>
                <w:szCs w:val="26"/>
                <w:lang w:val="lv-LV" w:eastAsia="lv-LV"/>
              </w:rPr>
              <w:t>.0</w:t>
            </w:r>
          </w:p>
        </w:tc>
      </w:tr>
      <w:tr w:rsidR="00E4325E" w:rsidRPr="00E21AF2" w:rsidTr="00E21AF2">
        <w:trPr>
          <w:tblCellSpacing w:w="0" w:type="dxa"/>
        </w:trPr>
        <w:tc>
          <w:tcPr>
            <w:tcW w:w="1433" w:type="dxa"/>
            <w:tcBorders>
              <w:top w:val="outset" w:sz="6" w:space="0" w:color="auto"/>
              <w:bottom w:val="outset" w:sz="6" w:space="0" w:color="auto"/>
              <w:right w:val="outset" w:sz="6" w:space="0" w:color="auto"/>
            </w:tcBorders>
          </w:tcPr>
          <w:p w:rsidR="00E4325E" w:rsidRPr="00E21AF2" w:rsidRDefault="00E4325E" w:rsidP="00014D26">
            <w:pPr>
              <w:rPr>
                <w:sz w:val="26"/>
                <w:szCs w:val="26"/>
                <w:lang w:val="lv-LV" w:eastAsia="lv-LV"/>
              </w:rPr>
            </w:pPr>
            <w:r w:rsidRPr="00E21AF2">
              <w:rPr>
                <w:sz w:val="26"/>
                <w:szCs w:val="26"/>
                <w:lang w:val="lv-LV" w:eastAsia="lv-LV"/>
              </w:rPr>
              <w:t> 3.1. valsts pamatbudžets</w:t>
            </w:r>
          </w:p>
        </w:tc>
        <w:tc>
          <w:tcPr>
            <w:tcW w:w="1572"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c>
          <w:tcPr>
            <w:tcW w:w="1605"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c>
          <w:tcPr>
            <w:tcW w:w="1551" w:type="dxa"/>
            <w:tcBorders>
              <w:top w:val="outset" w:sz="6" w:space="0" w:color="auto"/>
              <w:left w:val="outset" w:sz="6" w:space="0" w:color="auto"/>
              <w:bottom w:val="outset" w:sz="6" w:space="0" w:color="auto"/>
              <w:right w:val="outset" w:sz="6" w:space="0" w:color="auto"/>
            </w:tcBorders>
          </w:tcPr>
          <w:p w:rsidR="00E4325E" w:rsidRPr="00E21AF2" w:rsidRDefault="00635ADD" w:rsidP="00C668B9">
            <w:pPr>
              <w:jc w:val="center"/>
              <w:rPr>
                <w:sz w:val="26"/>
                <w:szCs w:val="26"/>
                <w:lang w:val="lv-LV" w:eastAsia="lv-LV"/>
              </w:rPr>
            </w:pPr>
            <w:r w:rsidRPr="00E21AF2">
              <w:rPr>
                <w:sz w:val="26"/>
                <w:szCs w:val="26"/>
                <w:lang w:val="lv-LV" w:eastAsia="lv-LV"/>
              </w:rPr>
              <w:t>+</w:t>
            </w:r>
            <w:r w:rsidR="00C668B9" w:rsidRPr="00E21AF2">
              <w:rPr>
                <w:sz w:val="26"/>
                <w:szCs w:val="26"/>
                <w:lang w:val="lv-LV" w:eastAsia="lv-LV"/>
              </w:rPr>
              <w:t>28.</w:t>
            </w:r>
            <w:r w:rsidRPr="00E21AF2">
              <w:rPr>
                <w:sz w:val="26"/>
                <w:szCs w:val="26"/>
                <w:lang w:val="lv-LV" w:eastAsia="lv-LV"/>
              </w:rPr>
              <w:t>0</w:t>
            </w:r>
          </w:p>
        </w:tc>
        <w:tc>
          <w:tcPr>
            <w:tcW w:w="1551" w:type="dxa"/>
            <w:tcBorders>
              <w:top w:val="outset" w:sz="6" w:space="0" w:color="auto"/>
              <w:left w:val="outset" w:sz="6" w:space="0" w:color="auto"/>
              <w:bottom w:val="outset" w:sz="6" w:space="0" w:color="auto"/>
              <w:right w:val="outset" w:sz="6" w:space="0" w:color="auto"/>
            </w:tcBorders>
          </w:tcPr>
          <w:p w:rsidR="00E4325E" w:rsidRPr="00E21AF2" w:rsidRDefault="00635ADD" w:rsidP="00C668B9">
            <w:pPr>
              <w:jc w:val="center"/>
              <w:rPr>
                <w:sz w:val="26"/>
                <w:szCs w:val="26"/>
                <w:lang w:val="lv-LV" w:eastAsia="lv-LV"/>
              </w:rPr>
            </w:pPr>
            <w:r w:rsidRPr="00E21AF2">
              <w:rPr>
                <w:sz w:val="26"/>
                <w:szCs w:val="26"/>
                <w:lang w:val="lv-LV" w:eastAsia="lv-LV"/>
              </w:rPr>
              <w:t>+</w:t>
            </w:r>
            <w:r w:rsidR="00C668B9" w:rsidRPr="00E21AF2">
              <w:rPr>
                <w:sz w:val="26"/>
                <w:szCs w:val="26"/>
                <w:lang w:val="lv-LV" w:eastAsia="lv-LV"/>
              </w:rPr>
              <w:t>28</w:t>
            </w:r>
            <w:r w:rsidRPr="00E21AF2">
              <w:rPr>
                <w:sz w:val="26"/>
                <w:szCs w:val="26"/>
                <w:lang w:val="lv-LV" w:eastAsia="lv-LV"/>
              </w:rPr>
              <w:t>.0</w:t>
            </w:r>
          </w:p>
        </w:tc>
        <w:tc>
          <w:tcPr>
            <w:tcW w:w="1389" w:type="dxa"/>
            <w:tcBorders>
              <w:top w:val="outset" w:sz="6" w:space="0" w:color="auto"/>
              <w:left w:val="outset" w:sz="6" w:space="0" w:color="auto"/>
              <w:bottom w:val="outset" w:sz="6" w:space="0" w:color="auto"/>
            </w:tcBorders>
          </w:tcPr>
          <w:p w:rsidR="00E4325E" w:rsidRPr="00E21AF2" w:rsidRDefault="00635ADD" w:rsidP="00C668B9">
            <w:pPr>
              <w:jc w:val="center"/>
              <w:rPr>
                <w:sz w:val="26"/>
                <w:szCs w:val="26"/>
                <w:lang w:val="lv-LV" w:eastAsia="lv-LV"/>
              </w:rPr>
            </w:pPr>
            <w:r w:rsidRPr="00E21AF2">
              <w:rPr>
                <w:sz w:val="26"/>
                <w:szCs w:val="26"/>
                <w:lang w:val="lv-LV" w:eastAsia="lv-LV"/>
              </w:rPr>
              <w:t>+</w:t>
            </w:r>
            <w:r w:rsidR="00C668B9" w:rsidRPr="00E21AF2">
              <w:rPr>
                <w:sz w:val="26"/>
                <w:szCs w:val="26"/>
                <w:lang w:val="lv-LV" w:eastAsia="lv-LV"/>
              </w:rPr>
              <w:t>28</w:t>
            </w:r>
            <w:r w:rsidRPr="00E21AF2">
              <w:rPr>
                <w:sz w:val="26"/>
                <w:szCs w:val="26"/>
                <w:lang w:val="lv-LV" w:eastAsia="lv-LV"/>
              </w:rPr>
              <w:t>.0</w:t>
            </w:r>
          </w:p>
        </w:tc>
      </w:tr>
      <w:tr w:rsidR="00E4325E" w:rsidRPr="00E21AF2" w:rsidTr="00E21AF2">
        <w:trPr>
          <w:tblCellSpacing w:w="0" w:type="dxa"/>
        </w:trPr>
        <w:tc>
          <w:tcPr>
            <w:tcW w:w="1433" w:type="dxa"/>
            <w:tcBorders>
              <w:top w:val="outset" w:sz="6" w:space="0" w:color="auto"/>
              <w:bottom w:val="outset" w:sz="6" w:space="0" w:color="auto"/>
              <w:right w:val="outset" w:sz="6" w:space="0" w:color="auto"/>
            </w:tcBorders>
          </w:tcPr>
          <w:p w:rsidR="00E4325E" w:rsidRPr="00E21AF2" w:rsidRDefault="00E4325E" w:rsidP="00014D26">
            <w:pPr>
              <w:rPr>
                <w:sz w:val="26"/>
                <w:szCs w:val="26"/>
                <w:lang w:val="lv-LV" w:eastAsia="lv-LV"/>
              </w:rPr>
            </w:pPr>
            <w:r w:rsidRPr="00E21AF2">
              <w:rPr>
                <w:sz w:val="26"/>
                <w:szCs w:val="26"/>
                <w:lang w:val="lv-LV" w:eastAsia="lv-LV"/>
              </w:rPr>
              <w:t> 3.2. speciālais budžets</w:t>
            </w:r>
          </w:p>
        </w:tc>
        <w:tc>
          <w:tcPr>
            <w:tcW w:w="1572"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c>
          <w:tcPr>
            <w:tcW w:w="1605"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c>
          <w:tcPr>
            <w:tcW w:w="1551"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c>
          <w:tcPr>
            <w:tcW w:w="1551"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c>
          <w:tcPr>
            <w:tcW w:w="1389" w:type="dxa"/>
            <w:tcBorders>
              <w:top w:val="outset" w:sz="6" w:space="0" w:color="auto"/>
              <w:left w:val="outset" w:sz="6" w:space="0" w:color="auto"/>
              <w:bottom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r>
      <w:tr w:rsidR="00E4325E" w:rsidRPr="00E21AF2" w:rsidTr="00E21AF2">
        <w:trPr>
          <w:tblCellSpacing w:w="0" w:type="dxa"/>
        </w:trPr>
        <w:tc>
          <w:tcPr>
            <w:tcW w:w="1433" w:type="dxa"/>
            <w:tcBorders>
              <w:top w:val="outset" w:sz="6" w:space="0" w:color="auto"/>
              <w:bottom w:val="outset" w:sz="6" w:space="0" w:color="auto"/>
              <w:right w:val="outset" w:sz="6" w:space="0" w:color="auto"/>
            </w:tcBorders>
          </w:tcPr>
          <w:p w:rsidR="00E4325E" w:rsidRPr="00E21AF2" w:rsidRDefault="00E4325E" w:rsidP="00014D26">
            <w:pPr>
              <w:rPr>
                <w:sz w:val="26"/>
                <w:szCs w:val="26"/>
                <w:lang w:val="lv-LV" w:eastAsia="lv-LV"/>
              </w:rPr>
            </w:pPr>
            <w:r w:rsidRPr="00E21AF2">
              <w:rPr>
                <w:sz w:val="26"/>
                <w:szCs w:val="26"/>
                <w:lang w:val="lv-LV" w:eastAsia="lv-LV"/>
              </w:rPr>
              <w:t> 3.3. pašvaldību budžets</w:t>
            </w:r>
          </w:p>
        </w:tc>
        <w:tc>
          <w:tcPr>
            <w:tcW w:w="1572"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c>
          <w:tcPr>
            <w:tcW w:w="1605"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c>
          <w:tcPr>
            <w:tcW w:w="1551"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c>
          <w:tcPr>
            <w:tcW w:w="1551"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c>
          <w:tcPr>
            <w:tcW w:w="1389" w:type="dxa"/>
            <w:tcBorders>
              <w:top w:val="outset" w:sz="6" w:space="0" w:color="auto"/>
              <w:left w:val="outset" w:sz="6" w:space="0" w:color="auto"/>
              <w:bottom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r>
      <w:tr w:rsidR="00E4325E" w:rsidRPr="00E21AF2" w:rsidTr="00E21AF2">
        <w:trPr>
          <w:tblCellSpacing w:w="0" w:type="dxa"/>
        </w:trPr>
        <w:tc>
          <w:tcPr>
            <w:tcW w:w="1433" w:type="dxa"/>
            <w:vMerge w:val="restart"/>
            <w:tcBorders>
              <w:top w:val="outset" w:sz="6" w:space="0" w:color="auto"/>
              <w:bottom w:val="outset" w:sz="6" w:space="0" w:color="auto"/>
              <w:right w:val="outset" w:sz="6" w:space="0" w:color="auto"/>
            </w:tcBorders>
          </w:tcPr>
          <w:p w:rsidR="00E4325E" w:rsidRPr="00E21AF2" w:rsidRDefault="00E4325E" w:rsidP="00300206">
            <w:pPr>
              <w:rPr>
                <w:sz w:val="26"/>
                <w:szCs w:val="26"/>
                <w:lang w:val="lv-LV" w:eastAsia="lv-LV"/>
              </w:rPr>
            </w:pPr>
            <w:r w:rsidRPr="00E21AF2">
              <w:rPr>
                <w:sz w:val="26"/>
                <w:szCs w:val="26"/>
                <w:lang w:val="lv-LV" w:eastAsia="lv-LV"/>
              </w:rPr>
              <w:t> 4. Finanšu līdzekļi papildu izde</w:t>
            </w:r>
            <w:r w:rsidRPr="00E21AF2">
              <w:rPr>
                <w:sz w:val="26"/>
                <w:szCs w:val="26"/>
                <w:lang w:val="lv-LV" w:eastAsia="lv-LV"/>
              </w:rPr>
              <w:softHyphen/>
              <w:t xml:space="preserve">vumu finansēšanai (kompensējošu izdevumu samazinājumu norāda ar "+" zīmi) </w:t>
            </w:r>
          </w:p>
        </w:tc>
        <w:tc>
          <w:tcPr>
            <w:tcW w:w="1572" w:type="dxa"/>
            <w:vMerge w:val="restart"/>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X</w:t>
            </w:r>
          </w:p>
        </w:tc>
        <w:tc>
          <w:tcPr>
            <w:tcW w:w="1605"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p>
        </w:tc>
        <w:tc>
          <w:tcPr>
            <w:tcW w:w="1551"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p>
        </w:tc>
        <w:tc>
          <w:tcPr>
            <w:tcW w:w="1551" w:type="dxa"/>
            <w:tcBorders>
              <w:top w:val="outset" w:sz="6" w:space="0" w:color="auto"/>
              <w:left w:val="outset" w:sz="6" w:space="0" w:color="auto"/>
              <w:bottom w:val="outset" w:sz="6" w:space="0" w:color="auto"/>
              <w:right w:val="outset" w:sz="6" w:space="0" w:color="auto"/>
            </w:tcBorders>
          </w:tcPr>
          <w:p w:rsidR="00E4325E" w:rsidRPr="00E21AF2" w:rsidRDefault="004F1FAB" w:rsidP="0087231F">
            <w:pPr>
              <w:jc w:val="center"/>
              <w:rPr>
                <w:sz w:val="26"/>
                <w:szCs w:val="26"/>
                <w:lang w:val="lv-LV" w:eastAsia="lv-LV"/>
              </w:rPr>
            </w:pPr>
            <w:r w:rsidRPr="00E21AF2">
              <w:rPr>
                <w:sz w:val="26"/>
                <w:szCs w:val="26"/>
                <w:lang w:val="lv-LV" w:eastAsia="lv-LV"/>
              </w:rPr>
              <w:t>0</w:t>
            </w:r>
          </w:p>
        </w:tc>
        <w:tc>
          <w:tcPr>
            <w:tcW w:w="1389" w:type="dxa"/>
            <w:tcBorders>
              <w:top w:val="outset" w:sz="6" w:space="0" w:color="auto"/>
              <w:left w:val="outset" w:sz="6" w:space="0" w:color="auto"/>
              <w:bottom w:val="outset" w:sz="6" w:space="0" w:color="auto"/>
            </w:tcBorders>
          </w:tcPr>
          <w:p w:rsidR="00E4325E" w:rsidRPr="00E21AF2" w:rsidRDefault="004F1FAB" w:rsidP="004F1FAB">
            <w:pPr>
              <w:jc w:val="center"/>
              <w:rPr>
                <w:sz w:val="26"/>
                <w:szCs w:val="26"/>
                <w:lang w:val="lv-LV" w:eastAsia="lv-LV"/>
              </w:rPr>
            </w:pPr>
            <w:r w:rsidRPr="00E21AF2">
              <w:rPr>
                <w:sz w:val="26"/>
                <w:szCs w:val="26"/>
                <w:lang w:val="lv-LV" w:eastAsia="lv-LV"/>
              </w:rPr>
              <w:t>0</w:t>
            </w:r>
          </w:p>
        </w:tc>
      </w:tr>
      <w:tr w:rsidR="00E4325E" w:rsidRPr="00E21AF2" w:rsidTr="00E21AF2">
        <w:trPr>
          <w:tblCellSpacing w:w="0" w:type="dxa"/>
        </w:trPr>
        <w:tc>
          <w:tcPr>
            <w:tcW w:w="1433" w:type="dxa"/>
            <w:vMerge/>
            <w:tcBorders>
              <w:top w:val="outset" w:sz="6" w:space="0" w:color="auto"/>
              <w:bottom w:val="outset" w:sz="6" w:space="0" w:color="auto"/>
              <w:right w:val="outset" w:sz="6" w:space="0" w:color="auto"/>
            </w:tcBorders>
            <w:vAlign w:val="center"/>
          </w:tcPr>
          <w:p w:rsidR="00E4325E" w:rsidRPr="00E21AF2" w:rsidRDefault="00E4325E" w:rsidP="00014D26">
            <w:pPr>
              <w:rPr>
                <w:sz w:val="26"/>
                <w:szCs w:val="26"/>
                <w:lang w:val="lv-LV" w:eastAsia="lv-LV"/>
              </w:rPr>
            </w:pPr>
          </w:p>
        </w:tc>
        <w:tc>
          <w:tcPr>
            <w:tcW w:w="1572" w:type="dxa"/>
            <w:vMerge/>
            <w:tcBorders>
              <w:top w:val="outset" w:sz="6" w:space="0" w:color="auto"/>
              <w:left w:val="outset" w:sz="6" w:space="0" w:color="auto"/>
              <w:bottom w:val="outset" w:sz="6" w:space="0" w:color="auto"/>
              <w:right w:val="outset" w:sz="6" w:space="0" w:color="auto"/>
            </w:tcBorders>
            <w:vAlign w:val="center"/>
          </w:tcPr>
          <w:p w:rsidR="00E4325E" w:rsidRPr="00E21AF2" w:rsidRDefault="00E4325E" w:rsidP="00014D26">
            <w:pPr>
              <w:jc w:val="center"/>
              <w:rPr>
                <w:sz w:val="26"/>
                <w:szCs w:val="26"/>
                <w:lang w:val="lv-LV" w:eastAsia="lv-LV"/>
              </w:rPr>
            </w:pPr>
          </w:p>
        </w:tc>
        <w:tc>
          <w:tcPr>
            <w:tcW w:w="1605"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p>
        </w:tc>
        <w:tc>
          <w:tcPr>
            <w:tcW w:w="1551"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p>
        </w:tc>
        <w:tc>
          <w:tcPr>
            <w:tcW w:w="1551"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p>
        </w:tc>
        <w:tc>
          <w:tcPr>
            <w:tcW w:w="1389" w:type="dxa"/>
            <w:tcBorders>
              <w:top w:val="outset" w:sz="6" w:space="0" w:color="auto"/>
              <w:left w:val="outset" w:sz="6" w:space="0" w:color="auto"/>
              <w:bottom w:val="outset" w:sz="6" w:space="0" w:color="auto"/>
            </w:tcBorders>
          </w:tcPr>
          <w:p w:rsidR="00E4325E" w:rsidRPr="00E21AF2" w:rsidRDefault="00E4325E" w:rsidP="00014D26">
            <w:pPr>
              <w:jc w:val="center"/>
              <w:rPr>
                <w:sz w:val="26"/>
                <w:szCs w:val="26"/>
                <w:lang w:val="lv-LV" w:eastAsia="lv-LV"/>
              </w:rPr>
            </w:pPr>
          </w:p>
        </w:tc>
      </w:tr>
      <w:tr w:rsidR="00E4325E" w:rsidRPr="00E21AF2" w:rsidTr="00E21AF2">
        <w:trPr>
          <w:trHeight w:val="2770"/>
          <w:tblCellSpacing w:w="0" w:type="dxa"/>
        </w:trPr>
        <w:tc>
          <w:tcPr>
            <w:tcW w:w="1433" w:type="dxa"/>
            <w:vMerge/>
            <w:tcBorders>
              <w:top w:val="outset" w:sz="6" w:space="0" w:color="auto"/>
              <w:bottom w:val="outset" w:sz="6" w:space="0" w:color="auto"/>
              <w:right w:val="outset" w:sz="6" w:space="0" w:color="auto"/>
            </w:tcBorders>
            <w:vAlign w:val="center"/>
          </w:tcPr>
          <w:p w:rsidR="00E4325E" w:rsidRPr="00E21AF2" w:rsidRDefault="00E4325E" w:rsidP="00014D26">
            <w:pPr>
              <w:rPr>
                <w:sz w:val="26"/>
                <w:szCs w:val="26"/>
                <w:lang w:val="lv-LV" w:eastAsia="lv-LV"/>
              </w:rPr>
            </w:pPr>
          </w:p>
        </w:tc>
        <w:tc>
          <w:tcPr>
            <w:tcW w:w="1572" w:type="dxa"/>
            <w:vMerge/>
            <w:tcBorders>
              <w:top w:val="outset" w:sz="6" w:space="0" w:color="auto"/>
              <w:left w:val="outset" w:sz="6" w:space="0" w:color="auto"/>
              <w:bottom w:val="outset" w:sz="6" w:space="0" w:color="auto"/>
              <w:right w:val="outset" w:sz="6" w:space="0" w:color="auto"/>
            </w:tcBorders>
            <w:vAlign w:val="center"/>
          </w:tcPr>
          <w:p w:rsidR="00E4325E" w:rsidRPr="00E21AF2" w:rsidRDefault="00E4325E" w:rsidP="00014D26">
            <w:pPr>
              <w:jc w:val="center"/>
              <w:rPr>
                <w:sz w:val="26"/>
                <w:szCs w:val="26"/>
                <w:lang w:val="lv-LV" w:eastAsia="lv-LV"/>
              </w:rPr>
            </w:pPr>
          </w:p>
        </w:tc>
        <w:tc>
          <w:tcPr>
            <w:tcW w:w="1605"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c>
          <w:tcPr>
            <w:tcW w:w="1551"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c>
          <w:tcPr>
            <w:tcW w:w="1551"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c>
          <w:tcPr>
            <w:tcW w:w="1389" w:type="dxa"/>
            <w:tcBorders>
              <w:top w:val="outset" w:sz="6" w:space="0" w:color="auto"/>
              <w:left w:val="outset" w:sz="6" w:space="0" w:color="auto"/>
              <w:bottom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r>
      <w:tr w:rsidR="00E4325E" w:rsidRPr="00E21AF2" w:rsidTr="00E21AF2">
        <w:trPr>
          <w:tblCellSpacing w:w="0" w:type="dxa"/>
        </w:trPr>
        <w:tc>
          <w:tcPr>
            <w:tcW w:w="1433" w:type="dxa"/>
            <w:tcBorders>
              <w:top w:val="outset" w:sz="6" w:space="0" w:color="auto"/>
              <w:bottom w:val="outset" w:sz="6" w:space="0" w:color="auto"/>
              <w:right w:val="outset" w:sz="6" w:space="0" w:color="auto"/>
            </w:tcBorders>
          </w:tcPr>
          <w:p w:rsidR="00E4325E" w:rsidRPr="00E21AF2" w:rsidRDefault="00E4325E" w:rsidP="00014D26">
            <w:pPr>
              <w:rPr>
                <w:sz w:val="26"/>
                <w:szCs w:val="26"/>
                <w:lang w:val="lv-LV" w:eastAsia="lv-LV"/>
              </w:rPr>
            </w:pPr>
            <w:r w:rsidRPr="00E21AF2">
              <w:rPr>
                <w:sz w:val="26"/>
                <w:szCs w:val="26"/>
                <w:lang w:val="lv-LV" w:eastAsia="lv-LV"/>
              </w:rPr>
              <w:t> 5. Precizēta finansiālā ietekme:</w:t>
            </w:r>
          </w:p>
        </w:tc>
        <w:tc>
          <w:tcPr>
            <w:tcW w:w="1572" w:type="dxa"/>
            <w:vMerge w:val="restart"/>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X</w:t>
            </w:r>
          </w:p>
        </w:tc>
        <w:tc>
          <w:tcPr>
            <w:tcW w:w="1605"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c>
          <w:tcPr>
            <w:tcW w:w="1551"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c>
          <w:tcPr>
            <w:tcW w:w="1551" w:type="dxa"/>
            <w:tcBorders>
              <w:top w:val="outset" w:sz="6" w:space="0" w:color="auto"/>
              <w:left w:val="outset" w:sz="6" w:space="0" w:color="auto"/>
              <w:bottom w:val="outset" w:sz="6" w:space="0" w:color="auto"/>
              <w:right w:val="outset" w:sz="6" w:space="0" w:color="auto"/>
            </w:tcBorders>
          </w:tcPr>
          <w:p w:rsidR="00E4325E" w:rsidRPr="00E21AF2" w:rsidRDefault="0087231F" w:rsidP="00014D26">
            <w:pPr>
              <w:jc w:val="center"/>
              <w:rPr>
                <w:sz w:val="26"/>
                <w:szCs w:val="26"/>
                <w:lang w:val="lv-LV" w:eastAsia="lv-LV"/>
              </w:rPr>
            </w:pPr>
            <w:r w:rsidRPr="00E21AF2">
              <w:rPr>
                <w:sz w:val="26"/>
                <w:szCs w:val="26"/>
                <w:lang w:val="lv-LV" w:eastAsia="lv-LV"/>
              </w:rPr>
              <w:t>0</w:t>
            </w:r>
          </w:p>
        </w:tc>
        <w:tc>
          <w:tcPr>
            <w:tcW w:w="1389" w:type="dxa"/>
            <w:tcBorders>
              <w:top w:val="outset" w:sz="6" w:space="0" w:color="auto"/>
              <w:left w:val="outset" w:sz="6" w:space="0" w:color="auto"/>
              <w:bottom w:val="outset" w:sz="6" w:space="0" w:color="auto"/>
            </w:tcBorders>
          </w:tcPr>
          <w:p w:rsidR="00E4325E" w:rsidRPr="00E21AF2" w:rsidRDefault="0087231F" w:rsidP="00014D26">
            <w:pPr>
              <w:jc w:val="center"/>
              <w:rPr>
                <w:sz w:val="26"/>
                <w:szCs w:val="26"/>
                <w:lang w:val="lv-LV" w:eastAsia="lv-LV"/>
              </w:rPr>
            </w:pPr>
            <w:r w:rsidRPr="00E21AF2">
              <w:rPr>
                <w:sz w:val="26"/>
                <w:szCs w:val="26"/>
                <w:lang w:val="lv-LV" w:eastAsia="lv-LV"/>
              </w:rPr>
              <w:t>0</w:t>
            </w:r>
          </w:p>
        </w:tc>
      </w:tr>
      <w:tr w:rsidR="00E4325E" w:rsidRPr="00E21AF2" w:rsidTr="00E21AF2">
        <w:trPr>
          <w:tblCellSpacing w:w="0" w:type="dxa"/>
        </w:trPr>
        <w:tc>
          <w:tcPr>
            <w:tcW w:w="1433" w:type="dxa"/>
            <w:tcBorders>
              <w:top w:val="outset" w:sz="6" w:space="0" w:color="auto"/>
              <w:bottom w:val="outset" w:sz="6" w:space="0" w:color="auto"/>
              <w:right w:val="outset" w:sz="6" w:space="0" w:color="auto"/>
            </w:tcBorders>
          </w:tcPr>
          <w:p w:rsidR="00E4325E" w:rsidRPr="00E21AF2" w:rsidRDefault="00E4325E" w:rsidP="00014D26">
            <w:pPr>
              <w:rPr>
                <w:sz w:val="26"/>
                <w:szCs w:val="26"/>
                <w:lang w:val="lv-LV" w:eastAsia="lv-LV"/>
              </w:rPr>
            </w:pPr>
            <w:r w:rsidRPr="00E21AF2">
              <w:rPr>
                <w:sz w:val="26"/>
                <w:szCs w:val="26"/>
                <w:lang w:val="lv-LV" w:eastAsia="lv-LV"/>
              </w:rPr>
              <w:t> 5.1. valsts pamatbudžets</w:t>
            </w:r>
          </w:p>
        </w:tc>
        <w:tc>
          <w:tcPr>
            <w:tcW w:w="1572" w:type="dxa"/>
            <w:vMerge/>
            <w:tcBorders>
              <w:top w:val="outset" w:sz="6" w:space="0" w:color="auto"/>
              <w:left w:val="outset" w:sz="6" w:space="0" w:color="auto"/>
              <w:bottom w:val="outset" w:sz="6" w:space="0" w:color="auto"/>
              <w:right w:val="outset" w:sz="6" w:space="0" w:color="auto"/>
            </w:tcBorders>
            <w:vAlign w:val="center"/>
          </w:tcPr>
          <w:p w:rsidR="00E4325E" w:rsidRPr="00E21AF2" w:rsidRDefault="00E4325E" w:rsidP="00014D26">
            <w:pPr>
              <w:jc w:val="center"/>
              <w:rPr>
                <w:sz w:val="26"/>
                <w:szCs w:val="26"/>
                <w:lang w:val="lv-LV" w:eastAsia="lv-LV"/>
              </w:rPr>
            </w:pPr>
          </w:p>
        </w:tc>
        <w:tc>
          <w:tcPr>
            <w:tcW w:w="1605"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p>
        </w:tc>
        <w:tc>
          <w:tcPr>
            <w:tcW w:w="1551"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c>
          <w:tcPr>
            <w:tcW w:w="1551"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c>
          <w:tcPr>
            <w:tcW w:w="1389" w:type="dxa"/>
            <w:tcBorders>
              <w:top w:val="outset" w:sz="6" w:space="0" w:color="auto"/>
              <w:left w:val="outset" w:sz="6" w:space="0" w:color="auto"/>
              <w:bottom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r>
      <w:tr w:rsidR="00E4325E" w:rsidRPr="00E21AF2" w:rsidTr="00E21AF2">
        <w:trPr>
          <w:tblCellSpacing w:w="0" w:type="dxa"/>
        </w:trPr>
        <w:tc>
          <w:tcPr>
            <w:tcW w:w="1433" w:type="dxa"/>
            <w:tcBorders>
              <w:top w:val="outset" w:sz="6" w:space="0" w:color="auto"/>
              <w:bottom w:val="outset" w:sz="6" w:space="0" w:color="auto"/>
              <w:right w:val="outset" w:sz="6" w:space="0" w:color="auto"/>
            </w:tcBorders>
          </w:tcPr>
          <w:p w:rsidR="00E4325E" w:rsidRPr="00E21AF2" w:rsidRDefault="00E4325E" w:rsidP="00014D26">
            <w:pPr>
              <w:rPr>
                <w:sz w:val="26"/>
                <w:szCs w:val="26"/>
                <w:lang w:val="lv-LV" w:eastAsia="lv-LV"/>
              </w:rPr>
            </w:pPr>
            <w:r w:rsidRPr="00E21AF2">
              <w:rPr>
                <w:sz w:val="26"/>
                <w:szCs w:val="26"/>
                <w:lang w:val="lv-LV" w:eastAsia="lv-LV"/>
              </w:rPr>
              <w:lastRenderedPageBreak/>
              <w:t> 5.2. speciālais budžets</w:t>
            </w:r>
          </w:p>
        </w:tc>
        <w:tc>
          <w:tcPr>
            <w:tcW w:w="1572" w:type="dxa"/>
            <w:vMerge/>
            <w:tcBorders>
              <w:top w:val="outset" w:sz="6" w:space="0" w:color="auto"/>
              <w:left w:val="outset" w:sz="6" w:space="0" w:color="auto"/>
              <w:bottom w:val="outset" w:sz="6" w:space="0" w:color="auto"/>
              <w:right w:val="outset" w:sz="6" w:space="0" w:color="auto"/>
            </w:tcBorders>
            <w:vAlign w:val="center"/>
          </w:tcPr>
          <w:p w:rsidR="00E4325E" w:rsidRPr="00E21AF2" w:rsidRDefault="00E4325E" w:rsidP="00014D26">
            <w:pPr>
              <w:jc w:val="center"/>
              <w:rPr>
                <w:sz w:val="26"/>
                <w:szCs w:val="26"/>
                <w:lang w:val="lv-LV" w:eastAsia="lv-LV"/>
              </w:rPr>
            </w:pPr>
          </w:p>
        </w:tc>
        <w:tc>
          <w:tcPr>
            <w:tcW w:w="1605"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p>
        </w:tc>
        <w:tc>
          <w:tcPr>
            <w:tcW w:w="1551"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c>
          <w:tcPr>
            <w:tcW w:w="1551"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c>
          <w:tcPr>
            <w:tcW w:w="1389" w:type="dxa"/>
            <w:tcBorders>
              <w:top w:val="outset" w:sz="6" w:space="0" w:color="auto"/>
              <w:left w:val="outset" w:sz="6" w:space="0" w:color="auto"/>
              <w:bottom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r>
      <w:tr w:rsidR="00E4325E" w:rsidRPr="00E21AF2" w:rsidTr="00E21AF2">
        <w:trPr>
          <w:tblCellSpacing w:w="0" w:type="dxa"/>
        </w:trPr>
        <w:tc>
          <w:tcPr>
            <w:tcW w:w="1433" w:type="dxa"/>
            <w:tcBorders>
              <w:top w:val="outset" w:sz="6" w:space="0" w:color="auto"/>
              <w:bottom w:val="outset" w:sz="6" w:space="0" w:color="auto"/>
              <w:right w:val="outset" w:sz="6" w:space="0" w:color="auto"/>
            </w:tcBorders>
          </w:tcPr>
          <w:p w:rsidR="00E4325E" w:rsidRPr="00E21AF2" w:rsidRDefault="00E4325E" w:rsidP="00014D26">
            <w:pPr>
              <w:rPr>
                <w:sz w:val="26"/>
                <w:szCs w:val="26"/>
                <w:lang w:val="lv-LV" w:eastAsia="lv-LV"/>
              </w:rPr>
            </w:pPr>
            <w:r w:rsidRPr="00E21AF2">
              <w:rPr>
                <w:sz w:val="26"/>
                <w:szCs w:val="26"/>
                <w:lang w:val="lv-LV" w:eastAsia="lv-LV"/>
              </w:rPr>
              <w:t> 5.3. pašvaldību budžets</w:t>
            </w:r>
          </w:p>
        </w:tc>
        <w:tc>
          <w:tcPr>
            <w:tcW w:w="1572" w:type="dxa"/>
            <w:vMerge/>
            <w:tcBorders>
              <w:top w:val="outset" w:sz="6" w:space="0" w:color="auto"/>
              <w:left w:val="outset" w:sz="6" w:space="0" w:color="auto"/>
              <w:bottom w:val="outset" w:sz="6" w:space="0" w:color="auto"/>
              <w:right w:val="outset" w:sz="6" w:space="0" w:color="auto"/>
            </w:tcBorders>
            <w:vAlign w:val="center"/>
          </w:tcPr>
          <w:p w:rsidR="00E4325E" w:rsidRPr="00E21AF2" w:rsidRDefault="00E4325E" w:rsidP="00014D26">
            <w:pPr>
              <w:jc w:val="center"/>
              <w:rPr>
                <w:sz w:val="26"/>
                <w:szCs w:val="26"/>
                <w:lang w:val="lv-LV" w:eastAsia="lv-LV"/>
              </w:rPr>
            </w:pPr>
          </w:p>
        </w:tc>
        <w:tc>
          <w:tcPr>
            <w:tcW w:w="1605"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p>
        </w:tc>
        <w:tc>
          <w:tcPr>
            <w:tcW w:w="1551"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c>
          <w:tcPr>
            <w:tcW w:w="1551" w:type="dxa"/>
            <w:tcBorders>
              <w:top w:val="outset" w:sz="6" w:space="0" w:color="auto"/>
              <w:left w:val="outset" w:sz="6" w:space="0" w:color="auto"/>
              <w:bottom w:val="outset" w:sz="6" w:space="0" w:color="auto"/>
              <w:right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c>
          <w:tcPr>
            <w:tcW w:w="1389" w:type="dxa"/>
            <w:tcBorders>
              <w:top w:val="outset" w:sz="6" w:space="0" w:color="auto"/>
              <w:left w:val="outset" w:sz="6" w:space="0" w:color="auto"/>
              <w:bottom w:val="outset" w:sz="6" w:space="0" w:color="auto"/>
            </w:tcBorders>
          </w:tcPr>
          <w:p w:rsidR="00E4325E" w:rsidRPr="00E21AF2" w:rsidRDefault="00E4325E" w:rsidP="00014D26">
            <w:pPr>
              <w:jc w:val="center"/>
              <w:rPr>
                <w:sz w:val="26"/>
                <w:szCs w:val="26"/>
                <w:lang w:val="lv-LV" w:eastAsia="lv-LV"/>
              </w:rPr>
            </w:pPr>
            <w:r w:rsidRPr="00E21AF2">
              <w:rPr>
                <w:sz w:val="26"/>
                <w:szCs w:val="26"/>
                <w:lang w:val="lv-LV" w:eastAsia="lv-LV"/>
              </w:rPr>
              <w:t>0</w:t>
            </w:r>
          </w:p>
        </w:tc>
      </w:tr>
      <w:tr w:rsidR="00E4325E" w:rsidRPr="00EE37BB" w:rsidTr="00E21AF2">
        <w:trPr>
          <w:trHeight w:val="1319"/>
          <w:tblCellSpacing w:w="0" w:type="dxa"/>
        </w:trPr>
        <w:tc>
          <w:tcPr>
            <w:tcW w:w="1433" w:type="dxa"/>
            <w:tcBorders>
              <w:top w:val="outset" w:sz="6" w:space="0" w:color="auto"/>
              <w:bottom w:val="outset" w:sz="6" w:space="0" w:color="auto"/>
              <w:right w:val="outset" w:sz="6" w:space="0" w:color="auto"/>
            </w:tcBorders>
          </w:tcPr>
          <w:p w:rsidR="00E4325E" w:rsidRPr="00E21AF2" w:rsidRDefault="00E4325E" w:rsidP="00014D26">
            <w:pPr>
              <w:rPr>
                <w:sz w:val="26"/>
                <w:szCs w:val="26"/>
                <w:lang w:val="lv-LV" w:eastAsia="lv-LV"/>
              </w:rPr>
            </w:pPr>
            <w:r w:rsidRPr="00E21AF2">
              <w:rPr>
                <w:sz w:val="26"/>
                <w:szCs w:val="26"/>
                <w:lang w:val="lv-LV" w:eastAsia="lv-LV"/>
              </w:rPr>
              <w:t> 6. Detalizēts ieņēmumu un izdevu</w:t>
            </w:r>
            <w:r w:rsidRPr="00E21AF2">
              <w:rPr>
                <w:sz w:val="26"/>
                <w:szCs w:val="26"/>
                <w:lang w:val="lv-LV" w:eastAsia="lv-LV"/>
              </w:rPr>
              <w:softHyphen/>
              <w:t>mu aprēķins (ja nepieciešams, detalizētu ieņēmumu un izdevumu aprēķinu var pievienot anotācijas pielikumā):</w:t>
            </w:r>
          </w:p>
        </w:tc>
        <w:tc>
          <w:tcPr>
            <w:tcW w:w="7668" w:type="dxa"/>
            <w:gridSpan w:val="5"/>
            <w:vMerge w:val="restart"/>
            <w:tcBorders>
              <w:top w:val="outset" w:sz="6" w:space="0" w:color="auto"/>
              <w:left w:val="outset" w:sz="6" w:space="0" w:color="auto"/>
              <w:bottom w:val="outset" w:sz="6" w:space="0" w:color="auto"/>
            </w:tcBorders>
            <w:vAlign w:val="center"/>
          </w:tcPr>
          <w:p w:rsidR="00590F72" w:rsidRPr="00E21AF2" w:rsidRDefault="00590F72" w:rsidP="00406859">
            <w:pPr>
              <w:jc w:val="both"/>
              <w:rPr>
                <w:sz w:val="26"/>
                <w:szCs w:val="26"/>
                <w:lang w:val="lv-LV" w:eastAsia="lv-LV"/>
              </w:rPr>
            </w:pPr>
            <w:r w:rsidRPr="00E21AF2">
              <w:rPr>
                <w:sz w:val="26"/>
                <w:szCs w:val="26"/>
                <w:lang w:val="lv-LV" w:eastAsia="lv-LV"/>
              </w:rPr>
              <w:t>Tā kā vienošanas līguma noslēgšana prasa 6.mēnešus, maksa par vienošanās līguma noslēgšanu veido 8 000</w:t>
            </w:r>
          </w:p>
          <w:p w:rsidR="00635ADD" w:rsidRPr="00E21AF2" w:rsidRDefault="00635ADD" w:rsidP="00406859">
            <w:pPr>
              <w:jc w:val="both"/>
              <w:rPr>
                <w:sz w:val="26"/>
                <w:szCs w:val="26"/>
                <w:lang w:val="lv-LV" w:eastAsia="lv-LV"/>
              </w:rPr>
            </w:pPr>
            <w:r w:rsidRPr="00E21AF2">
              <w:rPr>
                <w:sz w:val="26"/>
                <w:szCs w:val="26"/>
                <w:lang w:val="lv-LV" w:eastAsia="lv-LV"/>
              </w:rPr>
              <w:t>Maksa par</w:t>
            </w:r>
            <w:r w:rsidR="00406859" w:rsidRPr="00E21AF2">
              <w:rPr>
                <w:sz w:val="26"/>
                <w:szCs w:val="26"/>
                <w:lang w:val="lv-LV" w:eastAsia="lv-LV"/>
              </w:rPr>
              <w:t xml:space="preserve"> </w:t>
            </w:r>
            <w:r w:rsidRPr="00E21AF2">
              <w:rPr>
                <w:sz w:val="26"/>
                <w:szCs w:val="26"/>
                <w:lang w:val="lv-LV" w:eastAsia="lv-LV"/>
              </w:rPr>
              <w:t>iepriekšējās vienošanās noslēgšanu, ņemot vērā izdevumu aprēķinu</w:t>
            </w:r>
            <w:r w:rsidR="00406859" w:rsidRPr="00E21AF2">
              <w:rPr>
                <w:sz w:val="26"/>
                <w:szCs w:val="26"/>
                <w:lang w:val="lv-LV" w:eastAsia="lv-LV"/>
              </w:rPr>
              <w:t>,</w:t>
            </w:r>
            <w:r w:rsidRPr="00E21AF2">
              <w:rPr>
                <w:sz w:val="26"/>
                <w:szCs w:val="26"/>
                <w:lang w:val="lv-LV" w:eastAsia="lv-LV"/>
              </w:rPr>
              <w:t xml:space="preserve"> ir Ls 8000</w:t>
            </w:r>
          </w:p>
          <w:p w:rsidR="00E4325E" w:rsidRPr="00E21AF2" w:rsidRDefault="00635ADD" w:rsidP="00406859">
            <w:pPr>
              <w:jc w:val="both"/>
              <w:rPr>
                <w:sz w:val="26"/>
                <w:szCs w:val="26"/>
                <w:lang w:val="lv-LV" w:eastAsia="lv-LV"/>
              </w:rPr>
            </w:pPr>
            <w:r w:rsidRPr="00E21AF2">
              <w:rPr>
                <w:sz w:val="26"/>
                <w:szCs w:val="26"/>
                <w:lang w:val="lv-LV" w:eastAsia="lv-LV"/>
              </w:rPr>
              <w:t>Pie nosacījuma, ka 2012.gadā 5 nodokļu maksātāji slēgs līgumus, ieņēmumi veidos 5 * 8000 = 40</w:t>
            </w:r>
            <w:r w:rsidR="00406859" w:rsidRPr="00E21AF2">
              <w:rPr>
                <w:sz w:val="26"/>
                <w:szCs w:val="26"/>
                <w:lang w:val="lv-LV" w:eastAsia="lv-LV"/>
              </w:rPr>
              <w:t> </w:t>
            </w:r>
            <w:r w:rsidRPr="00E21AF2">
              <w:rPr>
                <w:sz w:val="26"/>
                <w:szCs w:val="26"/>
                <w:lang w:val="lv-LV" w:eastAsia="lv-LV"/>
              </w:rPr>
              <w:t>000</w:t>
            </w:r>
          </w:p>
          <w:p w:rsidR="00406859" w:rsidRPr="00E21AF2" w:rsidRDefault="00406859" w:rsidP="00406859">
            <w:pPr>
              <w:jc w:val="both"/>
              <w:rPr>
                <w:sz w:val="26"/>
                <w:szCs w:val="26"/>
                <w:lang w:val="lv-LV" w:eastAsia="lv-LV"/>
              </w:rPr>
            </w:pPr>
            <w:r w:rsidRPr="00E21AF2">
              <w:rPr>
                <w:sz w:val="26"/>
                <w:szCs w:val="26"/>
                <w:lang w:val="lv-LV" w:eastAsia="lv-LV"/>
              </w:rPr>
              <w:t xml:space="preserve">Lai noslēgtu šo vienošanos, nepieciešami 6 mēneši, jo </w:t>
            </w:r>
            <w:r w:rsidR="00063F59" w:rsidRPr="00E21AF2">
              <w:rPr>
                <w:sz w:val="26"/>
                <w:szCs w:val="26"/>
                <w:lang w:val="lv-LV" w:eastAsia="lv-LV"/>
              </w:rPr>
              <w:t>VID</w:t>
            </w:r>
            <w:r w:rsidRPr="00E21AF2">
              <w:rPr>
                <w:sz w:val="26"/>
                <w:szCs w:val="26"/>
                <w:lang w:val="lv-LV" w:eastAsia="lv-LV"/>
              </w:rPr>
              <w:t xml:space="preserve"> ir jāiegu</w:t>
            </w:r>
            <w:r w:rsidR="00680B91" w:rsidRPr="00E21AF2">
              <w:rPr>
                <w:sz w:val="26"/>
                <w:szCs w:val="26"/>
                <w:lang w:val="lv-LV" w:eastAsia="lv-LV"/>
              </w:rPr>
              <w:t>lda liels un ļoti nopietns darbs (sešu mēnešu periods saistīts ar: plānoto darījumu ekonomiskās būtības izvērtēšanu, nesaistīto salīdzināmo uzņēmumu atlases izvērtēšanu, aprēķinu izvērtēšanu; kontroles pasākumu veikšanu nepieciešamības gadījumā; informācijas pieprasīšanu citām iestādēm, savukārt, lai pamatotu atteikumu līguma slēgšanā, VID ir jāveic salīdzināmo uzņēmumu atlase, jāsagatavo, jāsaskaņo un jāizdod administratīvais akts)</w:t>
            </w:r>
            <w:r w:rsidRPr="00E21AF2">
              <w:rPr>
                <w:sz w:val="26"/>
                <w:szCs w:val="26"/>
                <w:lang w:val="lv-LV" w:eastAsia="lv-LV"/>
              </w:rPr>
              <w:t>, ņemot vērā lielās darījumu vērtības un no šādas vienošanās noslēgtās sekas. Šādu līgumu noslēgšana radīs pozitīvu ietekmi uz komercdarbības vidi, jo nodokļu maksātāji ir ieinteresēti slēgt šādas vienošanās. Ja ir noslēgta šāda vienošanās, un tā tiek ievērota, VID nebūs tiesības audita rezultātā precizēt konkrētam darījumam vai darījumu veidam noteikto tirgus vērtību (cenu).  Taču tiek prognozēts neliels skaits nodokļu maksātāju, kas slēgs šādu vienošanos, jo, lai to varētu darīt, nodokļu maksātāja pārskata gada neto apgrozījumam jāpārsniedz vienu miljonu latu.</w:t>
            </w:r>
            <w:r w:rsidR="00F0276F" w:rsidRPr="00E21AF2">
              <w:rPr>
                <w:sz w:val="26"/>
                <w:szCs w:val="26"/>
                <w:lang w:val="lv-LV" w:eastAsia="lv-LV"/>
              </w:rPr>
              <w:t xml:space="preserve"> Ņemot vērā šīs vienošanās nozīmīgumu un no tās izrietošās sekas, tiek noteikta šāds maksājuma apmērs.</w:t>
            </w:r>
          </w:p>
          <w:p w:rsidR="00E4325E" w:rsidRPr="00E21AF2" w:rsidRDefault="00E4325E" w:rsidP="00014D26">
            <w:pPr>
              <w:rPr>
                <w:sz w:val="26"/>
                <w:szCs w:val="26"/>
                <w:lang w:val="lv-LV" w:eastAsia="lv-LV"/>
              </w:rPr>
            </w:pPr>
          </w:p>
          <w:p w:rsidR="00E4325E" w:rsidRPr="00E21AF2" w:rsidRDefault="00E4325E" w:rsidP="00590F72">
            <w:pPr>
              <w:rPr>
                <w:sz w:val="26"/>
                <w:szCs w:val="26"/>
                <w:lang w:val="lv-LV" w:eastAsia="lv-LV"/>
              </w:rPr>
            </w:pPr>
            <w:r w:rsidRPr="00E21AF2">
              <w:rPr>
                <w:sz w:val="26"/>
                <w:szCs w:val="26"/>
                <w:lang w:val="lv-LV" w:eastAsia="lv-LV"/>
              </w:rPr>
              <w:t xml:space="preserve"> </w:t>
            </w:r>
            <w:r w:rsidR="00590F72" w:rsidRPr="00E21AF2">
              <w:rPr>
                <w:sz w:val="26"/>
                <w:szCs w:val="26"/>
                <w:lang w:val="lv-LV" w:eastAsia="lv-LV"/>
              </w:rPr>
              <w:t xml:space="preserve"> </w:t>
            </w:r>
          </w:p>
        </w:tc>
      </w:tr>
      <w:tr w:rsidR="00E4325E" w:rsidRPr="00EE37BB" w:rsidTr="00E21AF2">
        <w:trPr>
          <w:tblCellSpacing w:w="0" w:type="dxa"/>
        </w:trPr>
        <w:tc>
          <w:tcPr>
            <w:tcW w:w="1433" w:type="dxa"/>
            <w:tcBorders>
              <w:top w:val="outset" w:sz="6" w:space="0" w:color="auto"/>
              <w:bottom w:val="outset" w:sz="6" w:space="0" w:color="auto"/>
              <w:right w:val="outset" w:sz="6" w:space="0" w:color="auto"/>
            </w:tcBorders>
          </w:tcPr>
          <w:p w:rsidR="00E4325E" w:rsidRPr="00E21AF2" w:rsidRDefault="00E4325E" w:rsidP="00014D26">
            <w:pPr>
              <w:rPr>
                <w:sz w:val="26"/>
                <w:szCs w:val="26"/>
                <w:lang w:val="lv-LV" w:eastAsia="lv-LV"/>
              </w:rPr>
            </w:pPr>
          </w:p>
        </w:tc>
        <w:tc>
          <w:tcPr>
            <w:tcW w:w="7668" w:type="dxa"/>
            <w:gridSpan w:val="5"/>
            <w:vMerge/>
            <w:tcBorders>
              <w:top w:val="outset" w:sz="6" w:space="0" w:color="auto"/>
              <w:left w:val="outset" w:sz="6" w:space="0" w:color="auto"/>
              <w:bottom w:val="outset" w:sz="6" w:space="0" w:color="auto"/>
            </w:tcBorders>
            <w:vAlign w:val="center"/>
          </w:tcPr>
          <w:p w:rsidR="00E4325E" w:rsidRPr="00E21AF2" w:rsidRDefault="00E4325E" w:rsidP="00014D26">
            <w:pPr>
              <w:rPr>
                <w:sz w:val="26"/>
                <w:szCs w:val="26"/>
                <w:lang w:val="lv-LV" w:eastAsia="lv-LV"/>
              </w:rPr>
            </w:pPr>
          </w:p>
        </w:tc>
      </w:tr>
      <w:tr w:rsidR="00E4325E" w:rsidRPr="00E21AF2" w:rsidTr="00E21AF2">
        <w:trPr>
          <w:trHeight w:val="525"/>
          <w:tblCellSpacing w:w="0" w:type="dxa"/>
        </w:trPr>
        <w:tc>
          <w:tcPr>
            <w:tcW w:w="1433" w:type="dxa"/>
            <w:tcBorders>
              <w:top w:val="outset" w:sz="6" w:space="0" w:color="auto"/>
              <w:bottom w:val="outset" w:sz="6" w:space="0" w:color="auto"/>
              <w:right w:val="outset" w:sz="6" w:space="0" w:color="auto"/>
            </w:tcBorders>
          </w:tcPr>
          <w:p w:rsidR="00E4325E" w:rsidRPr="00E21AF2" w:rsidRDefault="00E4325E" w:rsidP="00014D26">
            <w:pPr>
              <w:rPr>
                <w:sz w:val="26"/>
                <w:szCs w:val="26"/>
                <w:lang w:val="lv-LV" w:eastAsia="lv-LV"/>
              </w:rPr>
            </w:pPr>
            <w:r w:rsidRPr="00E21AF2">
              <w:rPr>
                <w:sz w:val="26"/>
                <w:szCs w:val="26"/>
                <w:lang w:val="lv-LV" w:eastAsia="lv-LV"/>
              </w:rPr>
              <w:t>6.2. detalizēts izdevumu aprēķins</w:t>
            </w:r>
          </w:p>
        </w:tc>
        <w:tc>
          <w:tcPr>
            <w:tcW w:w="7668" w:type="dxa"/>
            <w:gridSpan w:val="5"/>
            <w:tcBorders>
              <w:top w:val="outset" w:sz="6" w:space="0" w:color="auto"/>
              <w:left w:val="outset" w:sz="6" w:space="0" w:color="auto"/>
              <w:bottom w:val="outset" w:sz="6" w:space="0" w:color="auto"/>
            </w:tcBorders>
            <w:vAlign w:val="center"/>
          </w:tcPr>
          <w:tbl>
            <w:tblPr>
              <w:tblW w:w="10900" w:type="dxa"/>
              <w:tblLayout w:type="fixed"/>
              <w:tblLook w:val="04A0" w:firstRow="1" w:lastRow="0" w:firstColumn="1" w:lastColumn="0" w:noHBand="0" w:noVBand="1"/>
            </w:tblPr>
            <w:tblGrid>
              <w:gridCol w:w="4460"/>
              <w:gridCol w:w="960"/>
              <w:gridCol w:w="1000"/>
              <w:gridCol w:w="1460"/>
              <w:gridCol w:w="1500"/>
              <w:gridCol w:w="1520"/>
            </w:tblGrid>
            <w:tr w:rsidR="00635ADD" w:rsidRPr="00E21AF2" w:rsidTr="00E21AF2">
              <w:trPr>
                <w:trHeight w:val="765"/>
              </w:trPr>
              <w:tc>
                <w:tcPr>
                  <w:tcW w:w="4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5ADD" w:rsidRPr="00E21AF2" w:rsidRDefault="00635ADD" w:rsidP="00EE37BB">
                  <w:pPr>
                    <w:framePr w:hSpace="180" w:wrap="around" w:vAnchor="text" w:hAnchor="margin" w:x="-127" w:y="371"/>
                    <w:jc w:val="center"/>
                    <w:rPr>
                      <w:b/>
                      <w:bCs/>
                      <w:color w:val="000000"/>
                      <w:sz w:val="26"/>
                      <w:szCs w:val="26"/>
                    </w:rPr>
                  </w:pPr>
                  <w:proofErr w:type="spellStart"/>
                  <w:r w:rsidRPr="00E21AF2">
                    <w:rPr>
                      <w:b/>
                      <w:bCs/>
                      <w:color w:val="000000"/>
                      <w:sz w:val="26"/>
                      <w:szCs w:val="26"/>
                    </w:rPr>
                    <w:t>Pozīcija</w:t>
                  </w:r>
                  <w:proofErr w:type="spellEnd"/>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635ADD" w:rsidRPr="00E21AF2" w:rsidRDefault="00635ADD" w:rsidP="00EE37BB">
                  <w:pPr>
                    <w:framePr w:hSpace="180" w:wrap="around" w:vAnchor="text" w:hAnchor="margin" w:x="-127" w:y="371"/>
                    <w:jc w:val="center"/>
                    <w:rPr>
                      <w:b/>
                      <w:bCs/>
                      <w:color w:val="000000"/>
                      <w:sz w:val="26"/>
                      <w:szCs w:val="26"/>
                    </w:rPr>
                  </w:pPr>
                  <w:proofErr w:type="spellStart"/>
                  <w:r w:rsidRPr="00E21AF2">
                    <w:rPr>
                      <w:b/>
                      <w:bCs/>
                      <w:color w:val="000000"/>
                      <w:sz w:val="26"/>
                      <w:szCs w:val="26"/>
                    </w:rPr>
                    <w:t>Prognozējamās</w:t>
                  </w:r>
                  <w:proofErr w:type="spellEnd"/>
                  <w:r w:rsidRPr="00E21AF2">
                    <w:rPr>
                      <w:b/>
                      <w:bCs/>
                      <w:color w:val="000000"/>
                      <w:sz w:val="26"/>
                      <w:szCs w:val="26"/>
                    </w:rPr>
                    <w:t xml:space="preserve"> </w:t>
                  </w:r>
                  <w:proofErr w:type="spellStart"/>
                  <w:r w:rsidRPr="00E21AF2">
                    <w:rPr>
                      <w:b/>
                      <w:bCs/>
                      <w:color w:val="000000"/>
                      <w:sz w:val="26"/>
                      <w:szCs w:val="26"/>
                    </w:rPr>
                    <w:t>izmaksas</w:t>
                  </w:r>
                  <w:proofErr w:type="spellEnd"/>
                  <w:r w:rsidRPr="00E21AF2">
                    <w:rPr>
                      <w:b/>
                      <w:bCs/>
                      <w:color w:val="000000"/>
                      <w:sz w:val="26"/>
                      <w:szCs w:val="26"/>
                    </w:rPr>
                    <w:t xml:space="preserve"> (</w:t>
                  </w:r>
                  <w:proofErr w:type="spellStart"/>
                  <w:r w:rsidRPr="00E21AF2">
                    <w:rPr>
                      <w:b/>
                      <w:bCs/>
                      <w:color w:val="000000"/>
                      <w:sz w:val="26"/>
                      <w:szCs w:val="26"/>
                    </w:rPr>
                    <w:t>Ls</w:t>
                  </w:r>
                  <w:proofErr w:type="spellEnd"/>
                  <w:r w:rsidRPr="00E21AF2">
                    <w:rPr>
                      <w:b/>
                      <w:bCs/>
                      <w:color w:val="000000"/>
                      <w:sz w:val="26"/>
                      <w:szCs w:val="26"/>
                    </w:rPr>
                    <w:t>)</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5ADD" w:rsidRPr="00E21AF2" w:rsidRDefault="00635ADD" w:rsidP="00EE37BB">
                  <w:pPr>
                    <w:framePr w:hSpace="180" w:wrap="around" w:vAnchor="text" w:hAnchor="margin" w:x="-127" w:y="371"/>
                    <w:jc w:val="center"/>
                    <w:rPr>
                      <w:b/>
                      <w:bCs/>
                      <w:color w:val="000000"/>
                      <w:sz w:val="26"/>
                      <w:szCs w:val="26"/>
                    </w:rPr>
                  </w:pPr>
                  <w:proofErr w:type="spellStart"/>
                  <w:r w:rsidRPr="00E21AF2">
                    <w:rPr>
                      <w:b/>
                      <w:bCs/>
                      <w:color w:val="000000"/>
                      <w:sz w:val="26"/>
                      <w:szCs w:val="26"/>
                    </w:rPr>
                    <w:t>Vienreizējie</w:t>
                  </w:r>
                  <w:proofErr w:type="spellEnd"/>
                  <w:r w:rsidRPr="00E21AF2">
                    <w:rPr>
                      <w:b/>
                      <w:bCs/>
                      <w:color w:val="000000"/>
                      <w:sz w:val="26"/>
                      <w:szCs w:val="26"/>
                    </w:rPr>
                    <w:t xml:space="preserve"> </w:t>
                  </w:r>
                  <w:proofErr w:type="spellStart"/>
                  <w:r w:rsidRPr="00E21AF2">
                    <w:rPr>
                      <w:b/>
                      <w:bCs/>
                      <w:color w:val="000000"/>
                      <w:sz w:val="26"/>
                      <w:szCs w:val="26"/>
                    </w:rPr>
                    <w:t>izdevumi</w:t>
                  </w:r>
                  <w:proofErr w:type="spellEnd"/>
                  <w:r w:rsidRPr="00E21AF2">
                    <w:rPr>
                      <w:b/>
                      <w:bCs/>
                      <w:color w:val="000000"/>
                      <w:sz w:val="26"/>
                      <w:szCs w:val="26"/>
                    </w:rPr>
                    <w:t xml:space="preserve"> (</w:t>
                  </w:r>
                  <w:proofErr w:type="spellStart"/>
                  <w:r w:rsidRPr="00E21AF2">
                    <w:rPr>
                      <w:b/>
                      <w:bCs/>
                      <w:color w:val="000000"/>
                      <w:sz w:val="26"/>
                      <w:szCs w:val="26"/>
                    </w:rPr>
                    <w:t>Ls</w:t>
                  </w:r>
                  <w:proofErr w:type="spellEnd"/>
                  <w:r w:rsidRPr="00E21AF2">
                    <w:rPr>
                      <w:b/>
                      <w:bCs/>
                      <w:color w:val="000000"/>
                      <w:sz w:val="26"/>
                      <w:szCs w:val="26"/>
                    </w:rPr>
                    <w:t>)</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5ADD" w:rsidRPr="00E21AF2" w:rsidRDefault="00635ADD" w:rsidP="00EE37BB">
                  <w:pPr>
                    <w:framePr w:hSpace="180" w:wrap="around" w:vAnchor="text" w:hAnchor="margin" w:x="-127" w:y="371"/>
                    <w:jc w:val="center"/>
                    <w:rPr>
                      <w:b/>
                      <w:bCs/>
                      <w:color w:val="000000"/>
                      <w:sz w:val="26"/>
                      <w:szCs w:val="26"/>
                    </w:rPr>
                  </w:pPr>
                  <w:proofErr w:type="spellStart"/>
                  <w:r w:rsidRPr="00E21AF2">
                    <w:rPr>
                      <w:b/>
                      <w:bCs/>
                      <w:color w:val="000000"/>
                      <w:sz w:val="26"/>
                      <w:szCs w:val="26"/>
                    </w:rPr>
                    <w:t>Pirmā</w:t>
                  </w:r>
                  <w:proofErr w:type="spellEnd"/>
                  <w:r w:rsidRPr="00E21AF2">
                    <w:rPr>
                      <w:b/>
                      <w:bCs/>
                      <w:color w:val="000000"/>
                      <w:sz w:val="26"/>
                      <w:szCs w:val="26"/>
                    </w:rPr>
                    <w:t xml:space="preserve"> </w:t>
                  </w:r>
                  <w:proofErr w:type="spellStart"/>
                  <w:r w:rsidRPr="00E21AF2">
                    <w:rPr>
                      <w:b/>
                      <w:bCs/>
                      <w:color w:val="000000"/>
                      <w:sz w:val="26"/>
                      <w:szCs w:val="26"/>
                    </w:rPr>
                    <w:t>gada</w:t>
                  </w:r>
                  <w:proofErr w:type="spellEnd"/>
                  <w:r w:rsidRPr="00E21AF2">
                    <w:rPr>
                      <w:b/>
                      <w:bCs/>
                      <w:color w:val="000000"/>
                      <w:sz w:val="26"/>
                      <w:szCs w:val="26"/>
                    </w:rPr>
                    <w:t xml:space="preserve"> </w:t>
                  </w:r>
                  <w:proofErr w:type="spellStart"/>
                  <w:r w:rsidRPr="00E21AF2">
                    <w:rPr>
                      <w:b/>
                      <w:bCs/>
                      <w:color w:val="000000"/>
                      <w:sz w:val="26"/>
                      <w:szCs w:val="26"/>
                    </w:rPr>
                    <w:t>izdevumi</w:t>
                  </w:r>
                  <w:proofErr w:type="spellEnd"/>
                  <w:r w:rsidRPr="00E21AF2">
                    <w:rPr>
                      <w:b/>
                      <w:bCs/>
                      <w:color w:val="000000"/>
                      <w:sz w:val="26"/>
                      <w:szCs w:val="26"/>
                    </w:rPr>
                    <w:t xml:space="preserve"> (</w:t>
                  </w:r>
                  <w:proofErr w:type="spellStart"/>
                  <w:r w:rsidRPr="00E21AF2">
                    <w:rPr>
                      <w:b/>
                      <w:bCs/>
                      <w:color w:val="000000"/>
                      <w:sz w:val="26"/>
                      <w:szCs w:val="26"/>
                    </w:rPr>
                    <w:t>Ls</w:t>
                  </w:r>
                  <w:proofErr w:type="spellEnd"/>
                  <w:r w:rsidRPr="00E21AF2">
                    <w:rPr>
                      <w:b/>
                      <w:bCs/>
                      <w:color w:val="000000"/>
                      <w:sz w:val="26"/>
                      <w:szCs w:val="26"/>
                    </w:rPr>
                    <w:t xml:space="preserve">) </w:t>
                  </w:r>
                  <w:r w:rsidRPr="00E21AF2">
                    <w:rPr>
                      <w:color w:val="000000"/>
                      <w:sz w:val="26"/>
                      <w:szCs w:val="26"/>
                    </w:rPr>
                    <w:t>(</w:t>
                  </w:r>
                  <w:proofErr w:type="spellStart"/>
                  <w:r w:rsidRPr="00E21AF2">
                    <w:rPr>
                      <w:color w:val="000000"/>
                      <w:sz w:val="26"/>
                      <w:szCs w:val="26"/>
                    </w:rPr>
                    <w:t>tiek</w:t>
                  </w:r>
                  <w:proofErr w:type="spellEnd"/>
                  <w:r w:rsidRPr="00E21AF2">
                    <w:rPr>
                      <w:color w:val="000000"/>
                      <w:sz w:val="26"/>
                      <w:szCs w:val="26"/>
                    </w:rPr>
                    <w:t xml:space="preserve"> </w:t>
                  </w:r>
                  <w:proofErr w:type="spellStart"/>
                  <w:r w:rsidRPr="00E21AF2">
                    <w:rPr>
                      <w:color w:val="000000"/>
                      <w:sz w:val="26"/>
                      <w:szCs w:val="26"/>
                    </w:rPr>
                    <w:t>ņemts</w:t>
                  </w:r>
                  <w:proofErr w:type="spellEnd"/>
                  <w:r w:rsidRPr="00E21AF2">
                    <w:rPr>
                      <w:color w:val="000000"/>
                      <w:sz w:val="26"/>
                      <w:szCs w:val="26"/>
                    </w:rPr>
                    <w:t xml:space="preserve"> </w:t>
                  </w:r>
                  <w:proofErr w:type="spellStart"/>
                  <w:r w:rsidRPr="00E21AF2">
                    <w:rPr>
                      <w:color w:val="000000"/>
                      <w:sz w:val="26"/>
                      <w:szCs w:val="26"/>
                    </w:rPr>
                    <w:t>pilns</w:t>
                  </w:r>
                  <w:proofErr w:type="spellEnd"/>
                  <w:r w:rsidRPr="00E21AF2">
                    <w:rPr>
                      <w:color w:val="000000"/>
                      <w:sz w:val="26"/>
                      <w:szCs w:val="26"/>
                    </w:rPr>
                    <w:t xml:space="preserve"> gads)</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5ADD" w:rsidRPr="00E21AF2" w:rsidRDefault="00635ADD" w:rsidP="00EE37BB">
                  <w:pPr>
                    <w:framePr w:hSpace="180" w:wrap="around" w:vAnchor="text" w:hAnchor="margin" w:x="-127" w:y="371"/>
                    <w:jc w:val="center"/>
                    <w:rPr>
                      <w:b/>
                      <w:bCs/>
                      <w:color w:val="000000"/>
                      <w:sz w:val="26"/>
                      <w:szCs w:val="26"/>
                      <w:lang w:val="es-ES"/>
                    </w:rPr>
                  </w:pPr>
                  <w:proofErr w:type="spellStart"/>
                  <w:r w:rsidRPr="00E21AF2">
                    <w:rPr>
                      <w:b/>
                      <w:bCs/>
                      <w:color w:val="000000"/>
                      <w:sz w:val="26"/>
                      <w:szCs w:val="26"/>
                      <w:lang w:val="es-ES"/>
                    </w:rPr>
                    <w:t>Katra</w:t>
                  </w:r>
                  <w:proofErr w:type="spellEnd"/>
                  <w:r w:rsidRPr="00E21AF2">
                    <w:rPr>
                      <w:b/>
                      <w:bCs/>
                      <w:color w:val="000000"/>
                      <w:sz w:val="26"/>
                      <w:szCs w:val="26"/>
                      <w:lang w:val="es-ES"/>
                    </w:rPr>
                    <w:t xml:space="preserve"> </w:t>
                  </w:r>
                  <w:proofErr w:type="spellStart"/>
                  <w:r w:rsidRPr="00E21AF2">
                    <w:rPr>
                      <w:b/>
                      <w:bCs/>
                      <w:color w:val="000000"/>
                      <w:sz w:val="26"/>
                      <w:szCs w:val="26"/>
                      <w:lang w:val="es-ES"/>
                    </w:rPr>
                    <w:t>nākamā</w:t>
                  </w:r>
                  <w:proofErr w:type="spellEnd"/>
                  <w:r w:rsidRPr="00E21AF2">
                    <w:rPr>
                      <w:b/>
                      <w:bCs/>
                      <w:color w:val="000000"/>
                      <w:sz w:val="26"/>
                      <w:szCs w:val="26"/>
                      <w:lang w:val="es-ES"/>
                    </w:rPr>
                    <w:t xml:space="preserve"> </w:t>
                  </w:r>
                  <w:proofErr w:type="spellStart"/>
                  <w:r w:rsidRPr="00E21AF2">
                    <w:rPr>
                      <w:b/>
                      <w:bCs/>
                      <w:color w:val="000000"/>
                      <w:sz w:val="26"/>
                      <w:szCs w:val="26"/>
                      <w:lang w:val="es-ES"/>
                    </w:rPr>
                    <w:t>gada</w:t>
                  </w:r>
                  <w:proofErr w:type="spellEnd"/>
                  <w:r w:rsidRPr="00E21AF2">
                    <w:rPr>
                      <w:b/>
                      <w:bCs/>
                      <w:color w:val="000000"/>
                      <w:sz w:val="26"/>
                      <w:szCs w:val="26"/>
                      <w:lang w:val="es-ES"/>
                    </w:rPr>
                    <w:t xml:space="preserve"> </w:t>
                  </w:r>
                  <w:proofErr w:type="spellStart"/>
                  <w:r w:rsidRPr="00E21AF2">
                    <w:rPr>
                      <w:b/>
                      <w:bCs/>
                      <w:color w:val="000000"/>
                      <w:sz w:val="26"/>
                      <w:szCs w:val="26"/>
                      <w:lang w:val="es-ES"/>
                    </w:rPr>
                    <w:t>izdevumi</w:t>
                  </w:r>
                  <w:proofErr w:type="spellEnd"/>
                  <w:r w:rsidRPr="00E21AF2">
                    <w:rPr>
                      <w:b/>
                      <w:bCs/>
                      <w:color w:val="000000"/>
                      <w:sz w:val="26"/>
                      <w:szCs w:val="26"/>
                      <w:lang w:val="es-ES"/>
                    </w:rPr>
                    <w:t xml:space="preserve"> (</w:t>
                  </w:r>
                  <w:proofErr w:type="spellStart"/>
                  <w:r w:rsidRPr="00E21AF2">
                    <w:rPr>
                      <w:b/>
                      <w:bCs/>
                      <w:color w:val="000000"/>
                      <w:sz w:val="26"/>
                      <w:szCs w:val="26"/>
                      <w:lang w:val="es-ES"/>
                    </w:rPr>
                    <w:t>Ls</w:t>
                  </w:r>
                  <w:proofErr w:type="spellEnd"/>
                  <w:r w:rsidRPr="00E21AF2">
                    <w:rPr>
                      <w:b/>
                      <w:bCs/>
                      <w:color w:val="000000"/>
                      <w:sz w:val="26"/>
                      <w:szCs w:val="26"/>
                      <w:lang w:val="es-ES"/>
                    </w:rPr>
                    <w:t>)</w:t>
                  </w:r>
                </w:p>
              </w:tc>
            </w:tr>
            <w:tr w:rsidR="00635ADD" w:rsidRPr="00E21AF2" w:rsidTr="00E21AF2">
              <w:trPr>
                <w:trHeight w:val="600"/>
              </w:trPr>
              <w:tc>
                <w:tcPr>
                  <w:tcW w:w="4460" w:type="dxa"/>
                  <w:vMerge/>
                  <w:tcBorders>
                    <w:top w:val="single" w:sz="4" w:space="0" w:color="auto"/>
                    <w:left w:val="single" w:sz="4" w:space="0" w:color="auto"/>
                    <w:bottom w:val="single" w:sz="4" w:space="0" w:color="auto"/>
                    <w:right w:val="single" w:sz="4" w:space="0" w:color="auto"/>
                  </w:tcBorders>
                  <w:vAlign w:val="center"/>
                  <w:hideMark/>
                </w:tcPr>
                <w:p w:rsidR="00635ADD" w:rsidRPr="00E21AF2" w:rsidRDefault="00635ADD" w:rsidP="00EE37BB">
                  <w:pPr>
                    <w:framePr w:hSpace="180" w:wrap="around" w:vAnchor="text" w:hAnchor="margin" w:x="-127" w:y="371"/>
                    <w:rPr>
                      <w:b/>
                      <w:bCs/>
                      <w:color w:val="000000"/>
                      <w:sz w:val="26"/>
                      <w:szCs w:val="26"/>
                      <w:lang w:val="es-ES"/>
                    </w:rPr>
                  </w:pPr>
                </w:p>
              </w:tc>
              <w:tc>
                <w:tcPr>
                  <w:tcW w:w="960" w:type="dxa"/>
                  <w:tcBorders>
                    <w:top w:val="nil"/>
                    <w:left w:val="nil"/>
                    <w:bottom w:val="single" w:sz="4" w:space="0" w:color="auto"/>
                    <w:right w:val="single" w:sz="4" w:space="0" w:color="auto"/>
                  </w:tcBorders>
                  <w:shd w:val="clear" w:color="auto" w:fill="auto"/>
                  <w:vAlign w:val="center"/>
                  <w:hideMark/>
                </w:tcPr>
                <w:p w:rsidR="00635ADD" w:rsidRPr="00E21AF2" w:rsidRDefault="00635ADD" w:rsidP="00EE37BB">
                  <w:pPr>
                    <w:framePr w:hSpace="180" w:wrap="around" w:vAnchor="text" w:hAnchor="margin" w:x="-127" w:y="371"/>
                    <w:jc w:val="center"/>
                    <w:rPr>
                      <w:b/>
                      <w:bCs/>
                      <w:color w:val="000000"/>
                      <w:sz w:val="26"/>
                      <w:szCs w:val="26"/>
                    </w:rPr>
                  </w:pPr>
                  <w:proofErr w:type="spellStart"/>
                  <w:r w:rsidRPr="00E21AF2">
                    <w:rPr>
                      <w:b/>
                      <w:bCs/>
                      <w:color w:val="000000"/>
                      <w:sz w:val="26"/>
                      <w:szCs w:val="26"/>
                    </w:rPr>
                    <w:t>Mēnesī</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635ADD" w:rsidRPr="00E21AF2" w:rsidRDefault="00635ADD" w:rsidP="00EE37BB">
                  <w:pPr>
                    <w:framePr w:hSpace="180" w:wrap="around" w:vAnchor="text" w:hAnchor="margin" w:x="-127" w:y="371"/>
                    <w:jc w:val="center"/>
                    <w:rPr>
                      <w:b/>
                      <w:bCs/>
                      <w:color w:val="000000"/>
                      <w:sz w:val="26"/>
                      <w:szCs w:val="26"/>
                    </w:rPr>
                  </w:pPr>
                  <w:proofErr w:type="spellStart"/>
                  <w:r w:rsidRPr="00E21AF2">
                    <w:rPr>
                      <w:b/>
                      <w:bCs/>
                      <w:color w:val="000000"/>
                      <w:sz w:val="26"/>
                      <w:szCs w:val="26"/>
                    </w:rPr>
                    <w:t>Gadā</w:t>
                  </w:r>
                  <w:proofErr w:type="spellEnd"/>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635ADD" w:rsidRPr="00E21AF2" w:rsidRDefault="00635ADD" w:rsidP="00EE37BB">
                  <w:pPr>
                    <w:framePr w:hSpace="180" w:wrap="around" w:vAnchor="text" w:hAnchor="margin" w:x="-127" w:y="371"/>
                    <w:rPr>
                      <w:b/>
                      <w:bCs/>
                      <w:color w:val="000000"/>
                      <w:sz w:val="26"/>
                      <w:szCs w:val="26"/>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635ADD" w:rsidRPr="00E21AF2" w:rsidRDefault="00635ADD" w:rsidP="00EE37BB">
                  <w:pPr>
                    <w:framePr w:hSpace="180" w:wrap="around" w:vAnchor="text" w:hAnchor="margin" w:x="-127" w:y="371"/>
                    <w:rPr>
                      <w:b/>
                      <w:bCs/>
                      <w:color w:val="000000"/>
                      <w:sz w:val="26"/>
                      <w:szCs w:val="26"/>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635ADD" w:rsidRPr="00E21AF2" w:rsidRDefault="00635ADD" w:rsidP="00EE37BB">
                  <w:pPr>
                    <w:framePr w:hSpace="180" w:wrap="around" w:vAnchor="text" w:hAnchor="margin" w:x="-127" w:y="371"/>
                    <w:rPr>
                      <w:b/>
                      <w:bCs/>
                      <w:color w:val="000000"/>
                      <w:sz w:val="26"/>
                      <w:szCs w:val="26"/>
                    </w:rPr>
                  </w:pPr>
                </w:p>
              </w:tc>
            </w:tr>
            <w:tr w:rsidR="00635ADD" w:rsidRPr="00E21AF2" w:rsidTr="00E21AF2">
              <w:trPr>
                <w:trHeight w:val="1320"/>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635ADD" w:rsidRPr="00E21AF2" w:rsidRDefault="00635ADD" w:rsidP="00EE37BB">
                  <w:pPr>
                    <w:framePr w:hSpace="180" w:wrap="around" w:vAnchor="text" w:hAnchor="margin" w:x="-127" w:y="371"/>
                    <w:rPr>
                      <w:color w:val="000000"/>
                      <w:sz w:val="26"/>
                      <w:szCs w:val="26"/>
                    </w:rPr>
                  </w:pPr>
                  <w:proofErr w:type="spellStart"/>
                  <w:r w:rsidRPr="00E21AF2">
                    <w:rPr>
                      <w:color w:val="000000"/>
                      <w:sz w:val="26"/>
                      <w:szCs w:val="26"/>
                    </w:rPr>
                    <w:t>Atalgojums</w:t>
                  </w:r>
                  <w:proofErr w:type="spellEnd"/>
                  <w:r w:rsidRPr="00E21AF2">
                    <w:rPr>
                      <w:color w:val="000000"/>
                      <w:sz w:val="26"/>
                      <w:szCs w:val="26"/>
                    </w:rPr>
                    <w:t xml:space="preserve">                                                        (1 </w:t>
                  </w:r>
                  <w:proofErr w:type="spellStart"/>
                  <w:r w:rsidRPr="00E21AF2">
                    <w:rPr>
                      <w:color w:val="000000"/>
                      <w:sz w:val="26"/>
                      <w:szCs w:val="26"/>
                    </w:rPr>
                    <w:t>galvenā</w:t>
                  </w:r>
                  <w:proofErr w:type="spellEnd"/>
                  <w:r w:rsidRPr="00E21AF2">
                    <w:rPr>
                      <w:color w:val="000000"/>
                      <w:sz w:val="26"/>
                      <w:szCs w:val="26"/>
                    </w:rPr>
                    <w:t xml:space="preserve"> </w:t>
                  </w:r>
                  <w:proofErr w:type="spellStart"/>
                  <w:r w:rsidRPr="00E21AF2">
                    <w:rPr>
                      <w:color w:val="000000"/>
                      <w:sz w:val="26"/>
                      <w:szCs w:val="26"/>
                    </w:rPr>
                    <w:t>nodokļu</w:t>
                  </w:r>
                  <w:proofErr w:type="spellEnd"/>
                  <w:r w:rsidRPr="00E21AF2">
                    <w:rPr>
                      <w:color w:val="000000"/>
                      <w:sz w:val="26"/>
                      <w:szCs w:val="26"/>
                    </w:rPr>
                    <w:t xml:space="preserve"> </w:t>
                  </w:r>
                  <w:proofErr w:type="spellStart"/>
                  <w:r w:rsidRPr="00E21AF2">
                    <w:rPr>
                      <w:color w:val="000000"/>
                      <w:sz w:val="26"/>
                      <w:szCs w:val="26"/>
                    </w:rPr>
                    <w:t>inspektora</w:t>
                  </w:r>
                  <w:proofErr w:type="spellEnd"/>
                  <w:r w:rsidRPr="00E21AF2">
                    <w:rPr>
                      <w:color w:val="000000"/>
                      <w:sz w:val="26"/>
                      <w:szCs w:val="26"/>
                    </w:rPr>
                    <w:t xml:space="preserve"> </w:t>
                  </w:r>
                  <w:proofErr w:type="spellStart"/>
                  <w:r w:rsidRPr="00E21AF2">
                    <w:rPr>
                      <w:color w:val="000000"/>
                      <w:sz w:val="26"/>
                      <w:szCs w:val="26"/>
                    </w:rPr>
                    <w:t>amata</w:t>
                  </w:r>
                  <w:proofErr w:type="spellEnd"/>
                  <w:r w:rsidRPr="00E21AF2">
                    <w:rPr>
                      <w:color w:val="000000"/>
                      <w:sz w:val="26"/>
                      <w:szCs w:val="26"/>
                    </w:rPr>
                    <w:t xml:space="preserve"> </w:t>
                  </w:r>
                  <w:proofErr w:type="spellStart"/>
                  <w:r w:rsidRPr="00E21AF2">
                    <w:rPr>
                      <w:color w:val="000000"/>
                      <w:sz w:val="26"/>
                      <w:szCs w:val="26"/>
                    </w:rPr>
                    <w:t>vieta</w:t>
                  </w:r>
                  <w:proofErr w:type="spellEnd"/>
                  <w:r w:rsidRPr="00E21AF2">
                    <w:rPr>
                      <w:color w:val="000000"/>
                      <w:sz w:val="26"/>
                      <w:szCs w:val="26"/>
                    </w:rPr>
                    <w:t xml:space="preserve">, </w:t>
                  </w:r>
                  <w:proofErr w:type="spellStart"/>
                  <w:r w:rsidRPr="00E21AF2">
                    <w:rPr>
                      <w:color w:val="000000"/>
                      <w:sz w:val="26"/>
                      <w:szCs w:val="26"/>
                    </w:rPr>
                    <w:t>kura</w:t>
                  </w:r>
                  <w:proofErr w:type="spellEnd"/>
                  <w:r w:rsidRPr="00E21AF2">
                    <w:rPr>
                      <w:color w:val="000000"/>
                      <w:sz w:val="26"/>
                      <w:szCs w:val="26"/>
                    </w:rPr>
                    <w:t xml:space="preserve"> </w:t>
                  </w:r>
                  <w:proofErr w:type="spellStart"/>
                  <w:r w:rsidRPr="00E21AF2">
                    <w:rPr>
                      <w:color w:val="000000"/>
                      <w:sz w:val="26"/>
                      <w:szCs w:val="26"/>
                    </w:rPr>
                    <w:t>darba</w:t>
                  </w:r>
                  <w:proofErr w:type="spellEnd"/>
                  <w:r w:rsidRPr="00E21AF2">
                    <w:rPr>
                      <w:color w:val="000000"/>
                      <w:sz w:val="26"/>
                      <w:szCs w:val="26"/>
                    </w:rPr>
                    <w:t xml:space="preserve"> </w:t>
                  </w:r>
                  <w:proofErr w:type="spellStart"/>
                  <w:r w:rsidRPr="00E21AF2">
                    <w:rPr>
                      <w:color w:val="000000"/>
                      <w:sz w:val="26"/>
                      <w:szCs w:val="26"/>
                    </w:rPr>
                    <w:t>pienākumi</w:t>
                  </w:r>
                  <w:proofErr w:type="spellEnd"/>
                  <w:r w:rsidRPr="00E21AF2">
                    <w:rPr>
                      <w:color w:val="000000"/>
                      <w:sz w:val="26"/>
                      <w:szCs w:val="26"/>
                    </w:rPr>
                    <w:t xml:space="preserve"> </w:t>
                  </w:r>
                  <w:proofErr w:type="spellStart"/>
                  <w:r w:rsidRPr="00E21AF2">
                    <w:rPr>
                      <w:color w:val="000000"/>
                      <w:sz w:val="26"/>
                      <w:szCs w:val="26"/>
                    </w:rPr>
                    <w:t>prasa</w:t>
                  </w:r>
                  <w:proofErr w:type="spellEnd"/>
                  <w:r w:rsidRPr="00E21AF2">
                    <w:rPr>
                      <w:color w:val="000000"/>
                      <w:sz w:val="26"/>
                      <w:szCs w:val="26"/>
                    </w:rPr>
                    <w:t xml:space="preserve"> </w:t>
                  </w:r>
                  <w:proofErr w:type="spellStart"/>
                  <w:r w:rsidRPr="00E21AF2">
                    <w:rPr>
                      <w:color w:val="000000"/>
                      <w:sz w:val="26"/>
                      <w:szCs w:val="26"/>
                    </w:rPr>
                    <w:t>praktiskās</w:t>
                  </w:r>
                  <w:proofErr w:type="spellEnd"/>
                  <w:r w:rsidRPr="00E21AF2">
                    <w:rPr>
                      <w:color w:val="000000"/>
                      <w:sz w:val="26"/>
                      <w:szCs w:val="26"/>
                    </w:rPr>
                    <w:t xml:space="preserve"> un </w:t>
                  </w:r>
                  <w:proofErr w:type="spellStart"/>
                  <w:r w:rsidRPr="00E21AF2">
                    <w:rPr>
                      <w:color w:val="000000"/>
                      <w:sz w:val="26"/>
                      <w:szCs w:val="26"/>
                    </w:rPr>
                    <w:t>teorētiskās</w:t>
                  </w:r>
                  <w:proofErr w:type="spellEnd"/>
                  <w:r w:rsidRPr="00E21AF2">
                    <w:rPr>
                      <w:color w:val="000000"/>
                      <w:sz w:val="26"/>
                      <w:szCs w:val="26"/>
                    </w:rPr>
                    <w:t xml:space="preserve"> </w:t>
                  </w:r>
                  <w:proofErr w:type="spellStart"/>
                  <w:r w:rsidRPr="00E21AF2">
                    <w:rPr>
                      <w:color w:val="000000"/>
                      <w:sz w:val="26"/>
                      <w:szCs w:val="26"/>
                    </w:rPr>
                    <w:t>zināšanas</w:t>
                  </w:r>
                  <w:proofErr w:type="spellEnd"/>
                  <w:r w:rsidRPr="00E21AF2">
                    <w:rPr>
                      <w:color w:val="000000"/>
                      <w:sz w:val="26"/>
                      <w:szCs w:val="26"/>
                    </w:rPr>
                    <w:t xml:space="preserve"> </w:t>
                  </w:r>
                  <w:proofErr w:type="spellStart"/>
                  <w:r w:rsidRPr="00E21AF2">
                    <w:rPr>
                      <w:color w:val="000000"/>
                      <w:sz w:val="26"/>
                      <w:szCs w:val="26"/>
                    </w:rPr>
                    <w:t>darījumu</w:t>
                  </w:r>
                  <w:proofErr w:type="spellEnd"/>
                  <w:r w:rsidRPr="00E21AF2">
                    <w:rPr>
                      <w:color w:val="000000"/>
                      <w:sz w:val="26"/>
                      <w:szCs w:val="26"/>
                    </w:rPr>
                    <w:t xml:space="preserve"> </w:t>
                  </w:r>
                  <w:proofErr w:type="spellStart"/>
                  <w:r w:rsidRPr="00E21AF2">
                    <w:rPr>
                      <w:color w:val="000000"/>
                      <w:sz w:val="26"/>
                      <w:szCs w:val="26"/>
                    </w:rPr>
                    <w:t>tirgus</w:t>
                  </w:r>
                  <w:proofErr w:type="spellEnd"/>
                  <w:r w:rsidRPr="00E21AF2">
                    <w:rPr>
                      <w:color w:val="000000"/>
                      <w:sz w:val="26"/>
                      <w:szCs w:val="26"/>
                    </w:rPr>
                    <w:t xml:space="preserve"> </w:t>
                  </w:r>
                  <w:proofErr w:type="spellStart"/>
                  <w:r w:rsidRPr="00E21AF2">
                    <w:rPr>
                      <w:color w:val="000000"/>
                      <w:sz w:val="26"/>
                      <w:szCs w:val="26"/>
                    </w:rPr>
                    <w:t>cenu</w:t>
                  </w:r>
                  <w:proofErr w:type="spellEnd"/>
                  <w:r w:rsidRPr="00E21AF2">
                    <w:rPr>
                      <w:color w:val="000000"/>
                      <w:sz w:val="26"/>
                      <w:szCs w:val="26"/>
                    </w:rPr>
                    <w:t xml:space="preserve"> </w:t>
                  </w:r>
                  <w:proofErr w:type="spellStart"/>
                  <w:r w:rsidRPr="00E21AF2">
                    <w:rPr>
                      <w:color w:val="000000"/>
                      <w:sz w:val="26"/>
                      <w:szCs w:val="26"/>
                    </w:rPr>
                    <w:t>noteikšanā</w:t>
                  </w:r>
                  <w:proofErr w:type="spellEnd"/>
                  <w:r w:rsidRPr="00E21AF2">
                    <w:rPr>
                      <w:color w:val="000000"/>
                      <w:sz w:val="26"/>
                      <w:szCs w:val="26"/>
                    </w:rPr>
                    <w:t xml:space="preserve"> </w:t>
                  </w:r>
                  <w:proofErr w:type="spellStart"/>
                  <w:r w:rsidRPr="00E21AF2">
                    <w:rPr>
                      <w:color w:val="000000"/>
                      <w:sz w:val="26"/>
                      <w:szCs w:val="26"/>
                    </w:rPr>
                    <w:t>ar</w:t>
                  </w:r>
                  <w:proofErr w:type="spellEnd"/>
                  <w:r w:rsidRPr="00E21AF2">
                    <w:rPr>
                      <w:color w:val="000000"/>
                      <w:sz w:val="26"/>
                      <w:szCs w:val="26"/>
                    </w:rPr>
                    <w:t xml:space="preserve"> 11.mēnešalgu </w:t>
                  </w:r>
                  <w:proofErr w:type="spellStart"/>
                  <w:r w:rsidRPr="00E21AF2">
                    <w:rPr>
                      <w:color w:val="000000"/>
                      <w:sz w:val="26"/>
                      <w:szCs w:val="26"/>
                    </w:rPr>
                    <w:t>grupu</w:t>
                  </w:r>
                  <w:proofErr w:type="spellEnd"/>
                  <w:r w:rsidRPr="00E21AF2">
                    <w:rPr>
                      <w:color w:val="000000"/>
                      <w:sz w:val="26"/>
                      <w:szCs w:val="26"/>
                    </w:rPr>
                    <w:t xml:space="preserve"> un </w:t>
                  </w:r>
                  <w:proofErr w:type="spellStart"/>
                  <w:r w:rsidRPr="00E21AF2">
                    <w:rPr>
                      <w:color w:val="000000"/>
                      <w:sz w:val="26"/>
                      <w:szCs w:val="26"/>
                    </w:rPr>
                    <w:t>mēnešalgu</w:t>
                  </w:r>
                  <w:proofErr w:type="spellEnd"/>
                  <w:r w:rsidRPr="00E21AF2">
                    <w:rPr>
                      <w:color w:val="000000"/>
                      <w:sz w:val="26"/>
                      <w:szCs w:val="26"/>
                    </w:rPr>
                    <w:t xml:space="preserve"> </w:t>
                  </w:r>
                  <w:proofErr w:type="spellStart"/>
                  <w:r w:rsidRPr="00E21AF2">
                    <w:rPr>
                      <w:color w:val="000000"/>
                      <w:sz w:val="26"/>
                      <w:szCs w:val="26"/>
                    </w:rPr>
                    <w:t>Ls</w:t>
                  </w:r>
                  <w:proofErr w:type="spellEnd"/>
                  <w:r w:rsidRPr="00E21AF2">
                    <w:rPr>
                      <w:color w:val="000000"/>
                      <w:sz w:val="26"/>
                      <w:szCs w:val="26"/>
                    </w:rPr>
                    <w:t xml:space="preserve"> 971</w:t>
                  </w:r>
                </w:p>
              </w:tc>
              <w:tc>
                <w:tcPr>
                  <w:tcW w:w="960" w:type="dxa"/>
                  <w:tcBorders>
                    <w:top w:val="nil"/>
                    <w:left w:val="nil"/>
                    <w:bottom w:val="single" w:sz="4" w:space="0" w:color="auto"/>
                    <w:right w:val="single" w:sz="4" w:space="0" w:color="auto"/>
                  </w:tcBorders>
                  <w:shd w:val="clear" w:color="auto" w:fill="auto"/>
                  <w:noWrap/>
                  <w:vAlign w:val="center"/>
                  <w:hideMark/>
                </w:tcPr>
                <w:p w:rsidR="00635ADD" w:rsidRPr="00E21AF2" w:rsidRDefault="00635ADD" w:rsidP="00EE37BB">
                  <w:pPr>
                    <w:framePr w:hSpace="180" w:wrap="around" w:vAnchor="text" w:hAnchor="margin" w:x="-127" w:y="371"/>
                    <w:jc w:val="center"/>
                    <w:rPr>
                      <w:color w:val="000000"/>
                      <w:sz w:val="26"/>
                      <w:szCs w:val="26"/>
                    </w:rPr>
                  </w:pPr>
                  <w:r w:rsidRPr="00E21AF2">
                    <w:rPr>
                      <w:color w:val="000000"/>
                      <w:sz w:val="26"/>
                      <w:szCs w:val="26"/>
                    </w:rPr>
                    <w:t>971</w:t>
                  </w:r>
                </w:p>
              </w:tc>
              <w:tc>
                <w:tcPr>
                  <w:tcW w:w="1000" w:type="dxa"/>
                  <w:tcBorders>
                    <w:top w:val="nil"/>
                    <w:left w:val="nil"/>
                    <w:bottom w:val="single" w:sz="4" w:space="0" w:color="auto"/>
                    <w:right w:val="single" w:sz="4" w:space="0" w:color="auto"/>
                  </w:tcBorders>
                  <w:shd w:val="clear" w:color="auto" w:fill="auto"/>
                  <w:noWrap/>
                  <w:vAlign w:val="center"/>
                  <w:hideMark/>
                </w:tcPr>
                <w:p w:rsidR="00635ADD" w:rsidRPr="00E21AF2" w:rsidRDefault="00635ADD" w:rsidP="00EE37BB">
                  <w:pPr>
                    <w:framePr w:hSpace="180" w:wrap="around" w:vAnchor="text" w:hAnchor="margin" w:x="-127" w:y="371"/>
                    <w:jc w:val="center"/>
                    <w:rPr>
                      <w:color w:val="000000"/>
                      <w:sz w:val="26"/>
                      <w:szCs w:val="26"/>
                    </w:rPr>
                  </w:pPr>
                  <w:r w:rsidRPr="00E21AF2">
                    <w:rPr>
                      <w:color w:val="000000"/>
                      <w:sz w:val="26"/>
                      <w:szCs w:val="26"/>
                    </w:rPr>
                    <w:t>11652</w:t>
                  </w:r>
                </w:p>
              </w:tc>
              <w:tc>
                <w:tcPr>
                  <w:tcW w:w="1460" w:type="dxa"/>
                  <w:tcBorders>
                    <w:top w:val="nil"/>
                    <w:left w:val="nil"/>
                    <w:bottom w:val="single" w:sz="4" w:space="0" w:color="auto"/>
                    <w:right w:val="single" w:sz="4" w:space="0" w:color="auto"/>
                  </w:tcBorders>
                  <w:shd w:val="clear" w:color="auto" w:fill="auto"/>
                  <w:noWrap/>
                  <w:vAlign w:val="center"/>
                  <w:hideMark/>
                </w:tcPr>
                <w:p w:rsidR="00635ADD" w:rsidRPr="00E21AF2" w:rsidRDefault="00635ADD" w:rsidP="00EE37BB">
                  <w:pPr>
                    <w:framePr w:hSpace="180" w:wrap="around" w:vAnchor="text" w:hAnchor="margin" w:x="-127" w:y="371"/>
                    <w:jc w:val="center"/>
                    <w:rPr>
                      <w:color w:val="000000"/>
                      <w:sz w:val="26"/>
                      <w:szCs w:val="26"/>
                    </w:rPr>
                  </w:pPr>
                  <w:r w:rsidRPr="00E21AF2">
                    <w:rPr>
                      <w:color w:val="000000"/>
                      <w:sz w:val="26"/>
                      <w:szCs w:val="26"/>
                    </w:rPr>
                    <w:t> </w:t>
                  </w:r>
                </w:p>
              </w:tc>
              <w:tc>
                <w:tcPr>
                  <w:tcW w:w="1500" w:type="dxa"/>
                  <w:tcBorders>
                    <w:top w:val="nil"/>
                    <w:left w:val="nil"/>
                    <w:bottom w:val="single" w:sz="4" w:space="0" w:color="auto"/>
                    <w:right w:val="single" w:sz="4" w:space="0" w:color="auto"/>
                  </w:tcBorders>
                  <w:shd w:val="clear" w:color="auto" w:fill="auto"/>
                  <w:noWrap/>
                  <w:vAlign w:val="center"/>
                  <w:hideMark/>
                </w:tcPr>
                <w:p w:rsidR="00635ADD" w:rsidRPr="00E21AF2" w:rsidRDefault="00635ADD" w:rsidP="00EE37BB">
                  <w:pPr>
                    <w:framePr w:hSpace="180" w:wrap="around" w:vAnchor="text" w:hAnchor="margin" w:x="-127" w:y="371"/>
                    <w:jc w:val="center"/>
                    <w:rPr>
                      <w:color w:val="000000"/>
                      <w:sz w:val="26"/>
                      <w:szCs w:val="26"/>
                    </w:rPr>
                  </w:pPr>
                  <w:r w:rsidRPr="00E21AF2">
                    <w:rPr>
                      <w:color w:val="000000"/>
                      <w:sz w:val="26"/>
                      <w:szCs w:val="26"/>
                    </w:rPr>
                    <w:t>11652</w:t>
                  </w:r>
                </w:p>
              </w:tc>
              <w:tc>
                <w:tcPr>
                  <w:tcW w:w="1520" w:type="dxa"/>
                  <w:tcBorders>
                    <w:top w:val="nil"/>
                    <w:left w:val="nil"/>
                    <w:bottom w:val="single" w:sz="4" w:space="0" w:color="auto"/>
                    <w:right w:val="single" w:sz="4" w:space="0" w:color="auto"/>
                  </w:tcBorders>
                  <w:shd w:val="clear" w:color="auto" w:fill="auto"/>
                  <w:noWrap/>
                  <w:vAlign w:val="center"/>
                  <w:hideMark/>
                </w:tcPr>
                <w:p w:rsidR="00635ADD" w:rsidRPr="00E21AF2" w:rsidRDefault="00635ADD" w:rsidP="00EE37BB">
                  <w:pPr>
                    <w:framePr w:hSpace="180" w:wrap="around" w:vAnchor="text" w:hAnchor="margin" w:x="-127" w:y="371"/>
                    <w:jc w:val="center"/>
                    <w:rPr>
                      <w:color w:val="000000"/>
                      <w:sz w:val="26"/>
                      <w:szCs w:val="26"/>
                    </w:rPr>
                  </w:pPr>
                  <w:r w:rsidRPr="00E21AF2">
                    <w:rPr>
                      <w:color w:val="000000"/>
                      <w:sz w:val="26"/>
                      <w:szCs w:val="26"/>
                    </w:rPr>
                    <w:t>11652</w:t>
                  </w:r>
                </w:p>
              </w:tc>
            </w:tr>
            <w:tr w:rsidR="00635ADD" w:rsidRPr="00E21AF2" w:rsidTr="00E21AF2">
              <w:trPr>
                <w:trHeight w:val="630"/>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635ADD" w:rsidRPr="00E21AF2" w:rsidRDefault="00635ADD" w:rsidP="00EE37BB">
                  <w:pPr>
                    <w:framePr w:hSpace="180" w:wrap="around" w:vAnchor="text" w:hAnchor="margin" w:x="-127" w:y="371"/>
                    <w:rPr>
                      <w:color w:val="000000"/>
                      <w:sz w:val="26"/>
                      <w:szCs w:val="26"/>
                    </w:rPr>
                  </w:pPr>
                  <w:proofErr w:type="spellStart"/>
                  <w:r w:rsidRPr="00E21AF2">
                    <w:rPr>
                      <w:color w:val="000000"/>
                      <w:sz w:val="26"/>
                      <w:szCs w:val="26"/>
                    </w:rPr>
                    <w:t>Sociālās</w:t>
                  </w:r>
                  <w:proofErr w:type="spellEnd"/>
                  <w:r w:rsidRPr="00E21AF2">
                    <w:rPr>
                      <w:color w:val="000000"/>
                      <w:sz w:val="26"/>
                      <w:szCs w:val="26"/>
                    </w:rPr>
                    <w:t xml:space="preserve"> </w:t>
                  </w:r>
                  <w:proofErr w:type="spellStart"/>
                  <w:r w:rsidRPr="00E21AF2">
                    <w:rPr>
                      <w:color w:val="000000"/>
                      <w:sz w:val="26"/>
                      <w:szCs w:val="26"/>
                    </w:rPr>
                    <w:t>apdrošināšanas</w:t>
                  </w:r>
                  <w:proofErr w:type="spellEnd"/>
                  <w:r w:rsidRPr="00E21AF2">
                    <w:rPr>
                      <w:color w:val="000000"/>
                      <w:sz w:val="26"/>
                      <w:szCs w:val="26"/>
                    </w:rPr>
                    <w:t xml:space="preserve"> </w:t>
                  </w:r>
                  <w:proofErr w:type="spellStart"/>
                  <w:r w:rsidRPr="00E21AF2">
                    <w:rPr>
                      <w:color w:val="000000"/>
                      <w:sz w:val="26"/>
                      <w:szCs w:val="26"/>
                    </w:rPr>
                    <w:t>obligātās</w:t>
                  </w:r>
                  <w:proofErr w:type="spellEnd"/>
                  <w:r w:rsidRPr="00E21AF2">
                    <w:rPr>
                      <w:color w:val="000000"/>
                      <w:sz w:val="26"/>
                      <w:szCs w:val="26"/>
                    </w:rPr>
                    <w:t xml:space="preserve"> </w:t>
                  </w:r>
                  <w:proofErr w:type="spellStart"/>
                  <w:r w:rsidRPr="00E21AF2">
                    <w:rPr>
                      <w:color w:val="000000"/>
                      <w:sz w:val="26"/>
                      <w:szCs w:val="26"/>
                    </w:rPr>
                    <w:t>iemaksas</w:t>
                  </w:r>
                  <w:proofErr w:type="spellEnd"/>
                  <w:r w:rsidRPr="00E21AF2">
                    <w:rPr>
                      <w:color w:val="000000"/>
                      <w:sz w:val="26"/>
                      <w:szCs w:val="26"/>
                    </w:rPr>
                    <w:t xml:space="preserve"> 24,09%</w:t>
                  </w:r>
                </w:p>
              </w:tc>
              <w:tc>
                <w:tcPr>
                  <w:tcW w:w="960" w:type="dxa"/>
                  <w:tcBorders>
                    <w:top w:val="nil"/>
                    <w:left w:val="nil"/>
                    <w:bottom w:val="single" w:sz="4" w:space="0" w:color="auto"/>
                    <w:right w:val="single" w:sz="4" w:space="0" w:color="auto"/>
                  </w:tcBorders>
                  <w:shd w:val="clear" w:color="auto" w:fill="auto"/>
                  <w:noWrap/>
                  <w:vAlign w:val="center"/>
                  <w:hideMark/>
                </w:tcPr>
                <w:p w:rsidR="00635ADD" w:rsidRPr="00E21AF2" w:rsidRDefault="00635ADD" w:rsidP="00EE37BB">
                  <w:pPr>
                    <w:framePr w:hSpace="180" w:wrap="around" w:vAnchor="text" w:hAnchor="margin" w:x="-127" w:y="371"/>
                    <w:jc w:val="center"/>
                    <w:rPr>
                      <w:color w:val="000000"/>
                      <w:sz w:val="26"/>
                      <w:szCs w:val="26"/>
                    </w:rPr>
                  </w:pPr>
                  <w:r w:rsidRPr="00E21AF2">
                    <w:rPr>
                      <w:color w:val="000000"/>
                      <w:sz w:val="26"/>
                      <w:szCs w:val="26"/>
                    </w:rPr>
                    <w:t>234</w:t>
                  </w:r>
                </w:p>
              </w:tc>
              <w:tc>
                <w:tcPr>
                  <w:tcW w:w="1000" w:type="dxa"/>
                  <w:tcBorders>
                    <w:top w:val="nil"/>
                    <w:left w:val="nil"/>
                    <w:bottom w:val="single" w:sz="4" w:space="0" w:color="auto"/>
                    <w:right w:val="single" w:sz="4" w:space="0" w:color="auto"/>
                  </w:tcBorders>
                  <w:shd w:val="clear" w:color="auto" w:fill="auto"/>
                  <w:noWrap/>
                  <w:vAlign w:val="center"/>
                  <w:hideMark/>
                </w:tcPr>
                <w:p w:rsidR="00635ADD" w:rsidRPr="00E21AF2" w:rsidRDefault="00635ADD" w:rsidP="00EE37BB">
                  <w:pPr>
                    <w:framePr w:hSpace="180" w:wrap="around" w:vAnchor="text" w:hAnchor="margin" w:x="-127" w:y="371"/>
                    <w:jc w:val="center"/>
                    <w:rPr>
                      <w:color w:val="000000"/>
                      <w:sz w:val="26"/>
                      <w:szCs w:val="26"/>
                    </w:rPr>
                  </w:pPr>
                  <w:r w:rsidRPr="00E21AF2">
                    <w:rPr>
                      <w:color w:val="000000"/>
                      <w:sz w:val="26"/>
                      <w:szCs w:val="26"/>
                    </w:rPr>
                    <w:t>2808</w:t>
                  </w:r>
                </w:p>
              </w:tc>
              <w:tc>
                <w:tcPr>
                  <w:tcW w:w="1460" w:type="dxa"/>
                  <w:tcBorders>
                    <w:top w:val="nil"/>
                    <w:left w:val="nil"/>
                    <w:bottom w:val="single" w:sz="4" w:space="0" w:color="auto"/>
                    <w:right w:val="single" w:sz="4" w:space="0" w:color="auto"/>
                  </w:tcBorders>
                  <w:shd w:val="clear" w:color="auto" w:fill="auto"/>
                  <w:noWrap/>
                  <w:vAlign w:val="center"/>
                  <w:hideMark/>
                </w:tcPr>
                <w:p w:rsidR="00635ADD" w:rsidRPr="00E21AF2" w:rsidRDefault="00635ADD" w:rsidP="00EE37BB">
                  <w:pPr>
                    <w:framePr w:hSpace="180" w:wrap="around" w:vAnchor="text" w:hAnchor="margin" w:x="-127" w:y="371"/>
                    <w:jc w:val="center"/>
                    <w:rPr>
                      <w:color w:val="000000"/>
                      <w:sz w:val="26"/>
                      <w:szCs w:val="26"/>
                    </w:rPr>
                  </w:pPr>
                  <w:r w:rsidRPr="00E21AF2">
                    <w:rPr>
                      <w:color w:val="000000"/>
                      <w:sz w:val="26"/>
                      <w:szCs w:val="26"/>
                    </w:rPr>
                    <w:t> </w:t>
                  </w:r>
                </w:p>
              </w:tc>
              <w:tc>
                <w:tcPr>
                  <w:tcW w:w="1500" w:type="dxa"/>
                  <w:tcBorders>
                    <w:top w:val="nil"/>
                    <w:left w:val="nil"/>
                    <w:bottom w:val="single" w:sz="4" w:space="0" w:color="auto"/>
                    <w:right w:val="single" w:sz="4" w:space="0" w:color="auto"/>
                  </w:tcBorders>
                  <w:shd w:val="clear" w:color="auto" w:fill="auto"/>
                  <w:noWrap/>
                  <w:vAlign w:val="center"/>
                  <w:hideMark/>
                </w:tcPr>
                <w:p w:rsidR="00635ADD" w:rsidRPr="00E21AF2" w:rsidRDefault="00635ADD" w:rsidP="00EE37BB">
                  <w:pPr>
                    <w:framePr w:hSpace="180" w:wrap="around" w:vAnchor="text" w:hAnchor="margin" w:x="-127" w:y="371"/>
                    <w:jc w:val="center"/>
                    <w:rPr>
                      <w:color w:val="000000"/>
                      <w:sz w:val="26"/>
                      <w:szCs w:val="26"/>
                    </w:rPr>
                  </w:pPr>
                  <w:r w:rsidRPr="00E21AF2">
                    <w:rPr>
                      <w:color w:val="000000"/>
                      <w:sz w:val="26"/>
                      <w:szCs w:val="26"/>
                    </w:rPr>
                    <w:t>2808</w:t>
                  </w:r>
                </w:p>
              </w:tc>
              <w:tc>
                <w:tcPr>
                  <w:tcW w:w="1520" w:type="dxa"/>
                  <w:tcBorders>
                    <w:top w:val="nil"/>
                    <w:left w:val="nil"/>
                    <w:bottom w:val="single" w:sz="4" w:space="0" w:color="auto"/>
                    <w:right w:val="single" w:sz="4" w:space="0" w:color="auto"/>
                  </w:tcBorders>
                  <w:shd w:val="clear" w:color="auto" w:fill="auto"/>
                  <w:noWrap/>
                  <w:vAlign w:val="center"/>
                  <w:hideMark/>
                </w:tcPr>
                <w:p w:rsidR="00635ADD" w:rsidRPr="00E21AF2" w:rsidRDefault="00635ADD" w:rsidP="00EE37BB">
                  <w:pPr>
                    <w:framePr w:hSpace="180" w:wrap="around" w:vAnchor="text" w:hAnchor="margin" w:x="-127" w:y="371"/>
                    <w:jc w:val="center"/>
                    <w:rPr>
                      <w:color w:val="000000"/>
                      <w:sz w:val="26"/>
                      <w:szCs w:val="26"/>
                    </w:rPr>
                  </w:pPr>
                  <w:r w:rsidRPr="00E21AF2">
                    <w:rPr>
                      <w:color w:val="000000"/>
                      <w:sz w:val="26"/>
                      <w:szCs w:val="26"/>
                    </w:rPr>
                    <w:t>2808</w:t>
                  </w:r>
                </w:p>
              </w:tc>
            </w:tr>
            <w:tr w:rsidR="00635ADD" w:rsidRPr="00E21AF2" w:rsidTr="00E21AF2">
              <w:trPr>
                <w:trHeight w:val="31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635ADD" w:rsidRPr="00E21AF2" w:rsidRDefault="00635ADD" w:rsidP="00EE37BB">
                  <w:pPr>
                    <w:framePr w:hSpace="180" w:wrap="around" w:vAnchor="text" w:hAnchor="margin" w:x="-127" w:y="371"/>
                    <w:rPr>
                      <w:color w:val="000000"/>
                      <w:sz w:val="26"/>
                      <w:szCs w:val="26"/>
                    </w:rPr>
                  </w:pPr>
                </w:p>
              </w:tc>
              <w:tc>
                <w:tcPr>
                  <w:tcW w:w="960" w:type="dxa"/>
                  <w:tcBorders>
                    <w:top w:val="nil"/>
                    <w:left w:val="nil"/>
                    <w:bottom w:val="single" w:sz="4" w:space="0" w:color="auto"/>
                    <w:right w:val="single" w:sz="4" w:space="0" w:color="auto"/>
                  </w:tcBorders>
                  <w:shd w:val="clear" w:color="auto" w:fill="auto"/>
                  <w:noWrap/>
                  <w:vAlign w:val="center"/>
                </w:tcPr>
                <w:p w:rsidR="00635ADD" w:rsidRPr="00E21AF2" w:rsidRDefault="00635ADD" w:rsidP="00EE37BB">
                  <w:pPr>
                    <w:framePr w:hSpace="180" w:wrap="around" w:vAnchor="text" w:hAnchor="margin" w:x="-127" w:y="371"/>
                    <w:jc w:val="center"/>
                    <w:rPr>
                      <w:color w:val="000000"/>
                      <w:sz w:val="26"/>
                      <w:szCs w:val="26"/>
                    </w:rPr>
                  </w:pPr>
                </w:p>
              </w:tc>
              <w:tc>
                <w:tcPr>
                  <w:tcW w:w="1000" w:type="dxa"/>
                  <w:tcBorders>
                    <w:top w:val="nil"/>
                    <w:left w:val="nil"/>
                    <w:bottom w:val="single" w:sz="4" w:space="0" w:color="auto"/>
                    <w:right w:val="single" w:sz="4" w:space="0" w:color="auto"/>
                  </w:tcBorders>
                  <w:shd w:val="clear" w:color="auto" w:fill="auto"/>
                  <w:noWrap/>
                  <w:vAlign w:val="center"/>
                </w:tcPr>
                <w:p w:rsidR="00635ADD" w:rsidRPr="00E21AF2" w:rsidRDefault="00635ADD" w:rsidP="00EE37BB">
                  <w:pPr>
                    <w:framePr w:hSpace="180" w:wrap="around" w:vAnchor="text" w:hAnchor="margin" w:x="-127" w:y="371"/>
                    <w:jc w:val="center"/>
                    <w:rPr>
                      <w:color w:val="000000"/>
                      <w:sz w:val="26"/>
                      <w:szCs w:val="26"/>
                    </w:rPr>
                  </w:pPr>
                </w:p>
              </w:tc>
              <w:tc>
                <w:tcPr>
                  <w:tcW w:w="1460" w:type="dxa"/>
                  <w:tcBorders>
                    <w:top w:val="nil"/>
                    <w:left w:val="nil"/>
                    <w:bottom w:val="single" w:sz="4" w:space="0" w:color="auto"/>
                    <w:right w:val="single" w:sz="4" w:space="0" w:color="auto"/>
                  </w:tcBorders>
                  <w:shd w:val="clear" w:color="auto" w:fill="auto"/>
                  <w:noWrap/>
                  <w:vAlign w:val="center"/>
                </w:tcPr>
                <w:p w:rsidR="00635ADD" w:rsidRPr="00E21AF2" w:rsidRDefault="00635ADD" w:rsidP="00EE37BB">
                  <w:pPr>
                    <w:framePr w:hSpace="180" w:wrap="around" w:vAnchor="text" w:hAnchor="margin" w:x="-127" w:y="371"/>
                    <w:jc w:val="center"/>
                    <w:rPr>
                      <w:color w:val="000000"/>
                      <w:sz w:val="26"/>
                      <w:szCs w:val="26"/>
                    </w:rPr>
                  </w:pPr>
                </w:p>
              </w:tc>
              <w:tc>
                <w:tcPr>
                  <w:tcW w:w="1500" w:type="dxa"/>
                  <w:tcBorders>
                    <w:top w:val="nil"/>
                    <w:left w:val="nil"/>
                    <w:bottom w:val="single" w:sz="4" w:space="0" w:color="auto"/>
                    <w:right w:val="single" w:sz="4" w:space="0" w:color="auto"/>
                  </w:tcBorders>
                  <w:shd w:val="clear" w:color="auto" w:fill="auto"/>
                  <w:noWrap/>
                  <w:vAlign w:val="center"/>
                </w:tcPr>
                <w:p w:rsidR="00635ADD" w:rsidRPr="00E21AF2" w:rsidRDefault="00635ADD" w:rsidP="00EE37BB">
                  <w:pPr>
                    <w:framePr w:hSpace="180" w:wrap="around" w:vAnchor="text" w:hAnchor="margin" w:x="-127" w:y="371"/>
                    <w:jc w:val="center"/>
                    <w:rPr>
                      <w:color w:val="000000"/>
                      <w:sz w:val="26"/>
                      <w:szCs w:val="26"/>
                    </w:rPr>
                  </w:pPr>
                </w:p>
              </w:tc>
              <w:tc>
                <w:tcPr>
                  <w:tcW w:w="1520" w:type="dxa"/>
                  <w:tcBorders>
                    <w:top w:val="nil"/>
                    <w:left w:val="nil"/>
                    <w:bottom w:val="single" w:sz="4" w:space="0" w:color="auto"/>
                    <w:right w:val="single" w:sz="4" w:space="0" w:color="auto"/>
                  </w:tcBorders>
                  <w:shd w:val="clear" w:color="auto" w:fill="auto"/>
                  <w:noWrap/>
                  <w:vAlign w:val="center"/>
                </w:tcPr>
                <w:p w:rsidR="00635ADD" w:rsidRPr="00E21AF2" w:rsidRDefault="00635ADD" w:rsidP="00EE37BB">
                  <w:pPr>
                    <w:framePr w:hSpace="180" w:wrap="around" w:vAnchor="text" w:hAnchor="margin" w:x="-127" w:y="371"/>
                    <w:jc w:val="center"/>
                    <w:rPr>
                      <w:color w:val="000000"/>
                      <w:sz w:val="26"/>
                      <w:szCs w:val="26"/>
                    </w:rPr>
                  </w:pPr>
                </w:p>
              </w:tc>
            </w:tr>
            <w:tr w:rsidR="00635ADD" w:rsidRPr="00E21AF2" w:rsidTr="00E21AF2">
              <w:trPr>
                <w:trHeight w:val="315"/>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635ADD" w:rsidRPr="00E21AF2" w:rsidRDefault="00635ADD" w:rsidP="00EE37BB">
                  <w:pPr>
                    <w:framePr w:hSpace="180" w:wrap="around" w:vAnchor="text" w:hAnchor="margin" w:x="-127" w:y="371"/>
                    <w:rPr>
                      <w:color w:val="000000"/>
                      <w:sz w:val="26"/>
                      <w:szCs w:val="26"/>
                      <w:lang w:val="es-ES"/>
                    </w:rPr>
                  </w:pPr>
                  <w:proofErr w:type="spellStart"/>
                  <w:r w:rsidRPr="00E21AF2">
                    <w:rPr>
                      <w:color w:val="000000"/>
                      <w:sz w:val="26"/>
                      <w:szCs w:val="26"/>
                      <w:lang w:val="es-ES"/>
                    </w:rPr>
                    <w:t>Tālruņa</w:t>
                  </w:r>
                  <w:proofErr w:type="spellEnd"/>
                  <w:r w:rsidRPr="00E21AF2">
                    <w:rPr>
                      <w:color w:val="000000"/>
                      <w:sz w:val="26"/>
                      <w:szCs w:val="26"/>
                      <w:lang w:val="es-ES"/>
                    </w:rPr>
                    <w:t xml:space="preserve">, </w:t>
                  </w:r>
                  <w:proofErr w:type="spellStart"/>
                  <w:r w:rsidRPr="00E21AF2">
                    <w:rPr>
                      <w:color w:val="000000"/>
                      <w:sz w:val="26"/>
                      <w:szCs w:val="26"/>
                      <w:lang w:val="es-ES"/>
                    </w:rPr>
                    <w:t>interneta</w:t>
                  </w:r>
                  <w:proofErr w:type="spellEnd"/>
                  <w:r w:rsidRPr="00E21AF2">
                    <w:rPr>
                      <w:color w:val="000000"/>
                      <w:sz w:val="26"/>
                      <w:szCs w:val="26"/>
                      <w:lang w:val="es-ES"/>
                    </w:rPr>
                    <w:t xml:space="preserve"> un pasta </w:t>
                  </w:r>
                  <w:proofErr w:type="spellStart"/>
                  <w:r w:rsidRPr="00E21AF2">
                    <w:rPr>
                      <w:color w:val="000000"/>
                      <w:sz w:val="26"/>
                      <w:szCs w:val="26"/>
                      <w:lang w:val="es-ES"/>
                    </w:rPr>
                    <w:t>pakalpojumi</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635ADD" w:rsidRPr="00E21AF2" w:rsidRDefault="00635ADD" w:rsidP="00EE37BB">
                  <w:pPr>
                    <w:framePr w:hSpace="180" w:wrap="around" w:vAnchor="text" w:hAnchor="margin" w:x="-127" w:y="371"/>
                    <w:jc w:val="center"/>
                    <w:rPr>
                      <w:color w:val="000000"/>
                      <w:sz w:val="26"/>
                      <w:szCs w:val="26"/>
                    </w:rPr>
                  </w:pPr>
                  <w:r w:rsidRPr="00E21AF2">
                    <w:rPr>
                      <w:color w:val="000000"/>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635ADD" w:rsidRPr="00E21AF2" w:rsidRDefault="00635ADD" w:rsidP="00EE37BB">
                  <w:pPr>
                    <w:framePr w:hSpace="180" w:wrap="around" w:vAnchor="text" w:hAnchor="margin" w:x="-127" w:y="371"/>
                    <w:jc w:val="center"/>
                    <w:rPr>
                      <w:color w:val="000000"/>
                      <w:sz w:val="26"/>
                      <w:szCs w:val="26"/>
                    </w:rPr>
                  </w:pPr>
                  <w:r w:rsidRPr="00E21AF2">
                    <w:rPr>
                      <w:color w:val="000000"/>
                      <w:sz w:val="26"/>
                      <w:szCs w:val="26"/>
                    </w:rPr>
                    <w:t>192</w:t>
                  </w:r>
                </w:p>
              </w:tc>
              <w:tc>
                <w:tcPr>
                  <w:tcW w:w="1460" w:type="dxa"/>
                  <w:tcBorders>
                    <w:top w:val="nil"/>
                    <w:left w:val="nil"/>
                    <w:bottom w:val="single" w:sz="4" w:space="0" w:color="auto"/>
                    <w:right w:val="single" w:sz="4" w:space="0" w:color="auto"/>
                  </w:tcBorders>
                  <w:shd w:val="clear" w:color="auto" w:fill="auto"/>
                  <w:noWrap/>
                  <w:vAlign w:val="center"/>
                  <w:hideMark/>
                </w:tcPr>
                <w:p w:rsidR="00635ADD" w:rsidRPr="00E21AF2" w:rsidRDefault="00635ADD" w:rsidP="00EE37BB">
                  <w:pPr>
                    <w:framePr w:hSpace="180" w:wrap="around" w:vAnchor="text" w:hAnchor="margin" w:x="-127" w:y="371"/>
                    <w:jc w:val="center"/>
                    <w:rPr>
                      <w:color w:val="000000"/>
                      <w:sz w:val="26"/>
                      <w:szCs w:val="26"/>
                    </w:rPr>
                  </w:pPr>
                  <w:r w:rsidRPr="00E21AF2">
                    <w:rPr>
                      <w:color w:val="000000"/>
                      <w:sz w:val="26"/>
                      <w:szCs w:val="26"/>
                    </w:rPr>
                    <w:t>20</w:t>
                  </w:r>
                </w:p>
              </w:tc>
              <w:tc>
                <w:tcPr>
                  <w:tcW w:w="1500" w:type="dxa"/>
                  <w:tcBorders>
                    <w:top w:val="nil"/>
                    <w:left w:val="nil"/>
                    <w:bottom w:val="single" w:sz="4" w:space="0" w:color="auto"/>
                    <w:right w:val="single" w:sz="4" w:space="0" w:color="auto"/>
                  </w:tcBorders>
                  <w:shd w:val="clear" w:color="auto" w:fill="auto"/>
                  <w:noWrap/>
                  <w:vAlign w:val="center"/>
                  <w:hideMark/>
                </w:tcPr>
                <w:p w:rsidR="00635ADD" w:rsidRPr="00E21AF2" w:rsidRDefault="00635ADD" w:rsidP="00EE37BB">
                  <w:pPr>
                    <w:framePr w:hSpace="180" w:wrap="around" w:vAnchor="text" w:hAnchor="margin" w:x="-127" w:y="371"/>
                    <w:jc w:val="center"/>
                    <w:rPr>
                      <w:color w:val="000000"/>
                      <w:sz w:val="26"/>
                      <w:szCs w:val="26"/>
                    </w:rPr>
                  </w:pPr>
                  <w:r w:rsidRPr="00E21AF2">
                    <w:rPr>
                      <w:color w:val="000000"/>
                      <w:sz w:val="26"/>
                      <w:szCs w:val="26"/>
                    </w:rPr>
                    <w:t>212</w:t>
                  </w:r>
                </w:p>
              </w:tc>
              <w:tc>
                <w:tcPr>
                  <w:tcW w:w="1520" w:type="dxa"/>
                  <w:tcBorders>
                    <w:top w:val="nil"/>
                    <w:left w:val="nil"/>
                    <w:bottom w:val="single" w:sz="4" w:space="0" w:color="auto"/>
                    <w:right w:val="single" w:sz="4" w:space="0" w:color="auto"/>
                  </w:tcBorders>
                  <w:shd w:val="clear" w:color="auto" w:fill="auto"/>
                  <w:noWrap/>
                  <w:vAlign w:val="center"/>
                  <w:hideMark/>
                </w:tcPr>
                <w:p w:rsidR="00635ADD" w:rsidRPr="00E21AF2" w:rsidRDefault="00635ADD" w:rsidP="00EE37BB">
                  <w:pPr>
                    <w:framePr w:hSpace="180" w:wrap="around" w:vAnchor="text" w:hAnchor="margin" w:x="-127" w:y="371"/>
                    <w:jc w:val="center"/>
                    <w:rPr>
                      <w:color w:val="000000"/>
                      <w:sz w:val="26"/>
                      <w:szCs w:val="26"/>
                    </w:rPr>
                  </w:pPr>
                  <w:r w:rsidRPr="00E21AF2">
                    <w:rPr>
                      <w:color w:val="000000"/>
                      <w:sz w:val="26"/>
                      <w:szCs w:val="26"/>
                    </w:rPr>
                    <w:t>192</w:t>
                  </w:r>
                </w:p>
              </w:tc>
            </w:tr>
            <w:tr w:rsidR="00635ADD" w:rsidRPr="00E21AF2" w:rsidTr="00E21AF2">
              <w:trPr>
                <w:trHeight w:val="31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635ADD" w:rsidRPr="00E21AF2" w:rsidRDefault="00635ADD" w:rsidP="00EE37BB">
                  <w:pPr>
                    <w:framePr w:hSpace="180" w:wrap="around" w:vAnchor="text" w:hAnchor="margin" w:x="-127" w:y="371"/>
                    <w:rPr>
                      <w:color w:val="000000"/>
                      <w:sz w:val="26"/>
                      <w:szCs w:val="26"/>
                    </w:rPr>
                  </w:pPr>
                </w:p>
              </w:tc>
              <w:tc>
                <w:tcPr>
                  <w:tcW w:w="960" w:type="dxa"/>
                  <w:tcBorders>
                    <w:top w:val="nil"/>
                    <w:left w:val="nil"/>
                    <w:bottom w:val="single" w:sz="4" w:space="0" w:color="auto"/>
                    <w:right w:val="single" w:sz="4" w:space="0" w:color="auto"/>
                  </w:tcBorders>
                  <w:shd w:val="clear" w:color="auto" w:fill="auto"/>
                  <w:noWrap/>
                  <w:vAlign w:val="center"/>
                </w:tcPr>
                <w:p w:rsidR="00635ADD" w:rsidRPr="00E21AF2" w:rsidRDefault="00635ADD" w:rsidP="00EE37BB">
                  <w:pPr>
                    <w:framePr w:hSpace="180" w:wrap="around" w:vAnchor="text" w:hAnchor="margin" w:x="-127" w:y="371"/>
                    <w:jc w:val="center"/>
                    <w:rPr>
                      <w:color w:val="000000"/>
                      <w:sz w:val="26"/>
                      <w:szCs w:val="26"/>
                    </w:rPr>
                  </w:pPr>
                </w:p>
              </w:tc>
              <w:tc>
                <w:tcPr>
                  <w:tcW w:w="1000" w:type="dxa"/>
                  <w:tcBorders>
                    <w:top w:val="nil"/>
                    <w:left w:val="nil"/>
                    <w:bottom w:val="single" w:sz="4" w:space="0" w:color="auto"/>
                    <w:right w:val="single" w:sz="4" w:space="0" w:color="auto"/>
                  </w:tcBorders>
                  <w:shd w:val="clear" w:color="auto" w:fill="auto"/>
                  <w:noWrap/>
                  <w:vAlign w:val="center"/>
                </w:tcPr>
                <w:p w:rsidR="00635ADD" w:rsidRPr="00E21AF2" w:rsidRDefault="00635ADD" w:rsidP="00EE37BB">
                  <w:pPr>
                    <w:framePr w:hSpace="180" w:wrap="around" w:vAnchor="text" w:hAnchor="margin" w:x="-127" w:y="371"/>
                    <w:jc w:val="center"/>
                    <w:rPr>
                      <w:color w:val="000000"/>
                      <w:sz w:val="26"/>
                      <w:szCs w:val="26"/>
                    </w:rPr>
                  </w:pPr>
                </w:p>
              </w:tc>
              <w:tc>
                <w:tcPr>
                  <w:tcW w:w="1460" w:type="dxa"/>
                  <w:tcBorders>
                    <w:top w:val="nil"/>
                    <w:left w:val="nil"/>
                    <w:bottom w:val="single" w:sz="4" w:space="0" w:color="auto"/>
                    <w:right w:val="single" w:sz="4" w:space="0" w:color="auto"/>
                  </w:tcBorders>
                  <w:shd w:val="clear" w:color="auto" w:fill="auto"/>
                  <w:noWrap/>
                  <w:vAlign w:val="center"/>
                </w:tcPr>
                <w:p w:rsidR="00635ADD" w:rsidRPr="00E21AF2" w:rsidRDefault="00635ADD" w:rsidP="00EE37BB">
                  <w:pPr>
                    <w:framePr w:hSpace="180" w:wrap="around" w:vAnchor="text" w:hAnchor="margin" w:x="-127" w:y="371"/>
                    <w:jc w:val="center"/>
                    <w:rPr>
                      <w:color w:val="000000"/>
                      <w:sz w:val="26"/>
                      <w:szCs w:val="26"/>
                    </w:rPr>
                  </w:pPr>
                </w:p>
              </w:tc>
              <w:tc>
                <w:tcPr>
                  <w:tcW w:w="1500" w:type="dxa"/>
                  <w:tcBorders>
                    <w:top w:val="nil"/>
                    <w:left w:val="nil"/>
                    <w:bottom w:val="single" w:sz="4" w:space="0" w:color="auto"/>
                    <w:right w:val="single" w:sz="4" w:space="0" w:color="auto"/>
                  </w:tcBorders>
                  <w:shd w:val="clear" w:color="auto" w:fill="auto"/>
                  <w:noWrap/>
                  <w:vAlign w:val="center"/>
                </w:tcPr>
                <w:p w:rsidR="00635ADD" w:rsidRPr="00E21AF2" w:rsidRDefault="00635ADD" w:rsidP="00EE37BB">
                  <w:pPr>
                    <w:framePr w:hSpace="180" w:wrap="around" w:vAnchor="text" w:hAnchor="margin" w:x="-127" w:y="371"/>
                    <w:jc w:val="center"/>
                    <w:rPr>
                      <w:color w:val="000000"/>
                      <w:sz w:val="26"/>
                      <w:szCs w:val="26"/>
                    </w:rPr>
                  </w:pPr>
                </w:p>
              </w:tc>
              <w:tc>
                <w:tcPr>
                  <w:tcW w:w="1520" w:type="dxa"/>
                  <w:tcBorders>
                    <w:top w:val="nil"/>
                    <w:left w:val="nil"/>
                    <w:bottom w:val="single" w:sz="4" w:space="0" w:color="auto"/>
                    <w:right w:val="single" w:sz="4" w:space="0" w:color="auto"/>
                  </w:tcBorders>
                  <w:shd w:val="clear" w:color="auto" w:fill="auto"/>
                  <w:noWrap/>
                  <w:vAlign w:val="center"/>
                </w:tcPr>
                <w:p w:rsidR="00635ADD" w:rsidRPr="00E21AF2" w:rsidRDefault="00635ADD" w:rsidP="00EE37BB">
                  <w:pPr>
                    <w:framePr w:hSpace="180" w:wrap="around" w:vAnchor="text" w:hAnchor="margin" w:x="-127" w:y="371"/>
                    <w:jc w:val="center"/>
                    <w:rPr>
                      <w:color w:val="000000"/>
                      <w:sz w:val="26"/>
                      <w:szCs w:val="26"/>
                    </w:rPr>
                  </w:pPr>
                </w:p>
              </w:tc>
            </w:tr>
            <w:tr w:rsidR="00635ADD" w:rsidRPr="00E21AF2" w:rsidTr="00E21AF2">
              <w:trPr>
                <w:trHeight w:val="315"/>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635ADD" w:rsidRPr="00E21AF2" w:rsidRDefault="00635ADD" w:rsidP="00EE37BB">
                  <w:pPr>
                    <w:framePr w:hSpace="180" w:wrap="around" w:vAnchor="text" w:hAnchor="margin" w:x="-127" w:y="371"/>
                    <w:rPr>
                      <w:color w:val="000000"/>
                      <w:sz w:val="26"/>
                      <w:szCs w:val="26"/>
                    </w:rPr>
                  </w:pPr>
                  <w:proofErr w:type="spellStart"/>
                  <w:r w:rsidRPr="00E21AF2">
                    <w:rPr>
                      <w:color w:val="000000"/>
                      <w:sz w:val="26"/>
                      <w:szCs w:val="26"/>
                    </w:rPr>
                    <w:t>Specializētā</w:t>
                  </w:r>
                  <w:proofErr w:type="spellEnd"/>
                  <w:r w:rsidRPr="00E21AF2">
                    <w:rPr>
                      <w:color w:val="000000"/>
                      <w:sz w:val="26"/>
                      <w:szCs w:val="26"/>
                    </w:rPr>
                    <w:t xml:space="preserve"> </w:t>
                  </w:r>
                  <w:proofErr w:type="spellStart"/>
                  <w:r w:rsidRPr="00E21AF2">
                    <w:rPr>
                      <w:color w:val="000000"/>
                      <w:sz w:val="26"/>
                      <w:szCs w:val="26"/>
                    </w:rPr>
                    <w:t>programmatūra</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635ADD" w:rsidRPr="00E21AF2" w:rsidRDefault="00635ADD" w:rsidP="00EE37BB">
                  <w:pPr>
                    <w:framePr w:hSpace="180" w:wrap="around" w:vAnchor="text" w:hAnchor="margin" w:x="-127" w:y="371"/>
                    <w:jc w:val="center"/>
                    <w:rPr>
                      <w:color w:val="000000"/>
                      <w:sz w:val="26"/>
                      <w:szCs w:val="26"/>
                    </w:rPr>
                  </w:pPr>
                  <w:r w:rsidRPr="00E21AF2">
                    <w:rPr>
                      <w:color w:val="000000"/>
                      <w:sz w:val="26"/>
                      <w:szCs w:val="26"/>
                    </w:rPr>
                    <w:t>23</w:t>
                  </w:r>
                </w:p>
              </w:tc>
              <w:tc>
                <w:tcPr>
                  <w:tcW w:w="1000" w:type="dxa"/>
                  <w:tcBorders>
                    <w:top w:val="nil"/>
                    <w:left w:val="nil"/>
                    <w:bottom w:val="single" w:sz="4" w:space="0" w:color="auto"/>
                    <w:right w:val="single" w:sz="4" w:space="0" w:color="auto"/>
                  </w:tcBorders>
                  <w:shd w:val="clear" w:color="auto" w:fill="auto"/>
                  <w:noWrap/>
                  <w:vAlign w:val="center"/>
                  <w:hideMark/>
                </w:tcPr>
                <w:p w:rsidR="00635ADD" w:rsidRPr="00E21AF2" w:rsidRDefault="00635ADD" w:rsidP="00EE37BB">
                  <w:pPr>
                    <w:framePr w:hSpace="180" w:wrap="around" w:vAnchor="text" w:hAnchor="margin" w:x="-127" w:y="371"/>
                    <w:jc w:val="center"/>
                    <w:rPr>
                      <w:color w:val="000000"/>
                      <w:sz w:val="26"/>
                      <w:szCs w:val="26"/>
                    </w:rPr>
                  </w:pPr>
                  <w:r w:rsidRPr="00E21AF2">
                    <w:rPr>
                      <w:color w:val="000000"/>
                      <w:sz w:val="26"/>
                      <w:szCs w:val="26"/>
                    </w:rPr>
                    <w:t>276</w:t>
                  </w:r>
                </w:p>
              </w:tc>
              <w:tc>
                <w:tcPr>
                  <w:tcW w:w="1460" w:type="dxa"/>
                  <w:tcBorders>
                    <w:top w:val="nil"/>
                    <w:left w:val="nil"/>
                    <w:bottom w:val="single" w:sz="4" w:space="0" w:color="auto"/>
                    <w:right w:val="single" w:sz="4" w:space="0" w:color="auto"/>
                  </w:tcBorders>
                  <w:shd w:val="clear" w:color="auto" w:fill="auto"/>
                  <w:noWrap/>
                  <w:vAlign w:val="center"/>
                  <w:hideMark/>
                </w:tcPr>
                <w:p w:rsidR="00635ADD" w:rsidRPr="00E21AF2" w:rsidRDefault="00635ADD" w:rsidP="00EE37BB">
                  <w:pPr>
                    <w:framePr w:hSpace="180" w:wrap="around" w:vAnchor="text" w:hAnchor="margin" w:x="-127" w:y="371"/>
                    <w:jc w:val="center"/>
                    <w:rPr>
                      <w:color w:val="000000"/>
                      <w:sz w:val="26"/>
                      <w:szCs w:val="26"/>
                    </w:rPr>
                  </w:pPr>
                  <w:r w:rsidRPr="00E21AF2">
                    <w:rPr>
                      <w:color w:val="000000"/>
                      <w:sz w:val="26"/>
                      <w:szCs w:val="26"/>
                    </w:rPr>
                    <w:t> </w:t>
                  </w:r>
                </w:p>
              </w:tc>
              <w:tc>
                <w:tcPr>
                  <w:tcW w:w="1500" w:type="dxa"/>
                  <w:tcBorders>
                    <w:top w:val="nil"/>
                    <w:left w:val="nil"/>
                    <w:bottom w:val="single" w:sz="4" w:space="0" w:color="auto"/>
                    <w:right w:val="single" w:sz="4" w:space="0" w:color="auto"/>
                  </w:tcBorders>
                  <w:shd w:val="clear" w:color="auto" w:fill="auto"/>
                  <w:noWrap/>
                  <w:vAlign w:val="center"/>
                  <w:hideMark/>
                </w:tcPr>
                <w:p w:rsidR="00635ADD" w:rsidRPr="00E21AF2" w:rsidRDefault="00635ADD" w:rsidP="00EE37BB">
                  <w:pPr>
                    <w:framePr w:hSpace="180" w:wrap="around" w:vAnchor="text" w:hAnchor="margin" w:x="-127" w:y="371"/>
                    <w:jc w:val="center"/>
                    <w:rPr>
                      <w:color w:val="000000"/>
                      <w:sz w:val="26"/>
                      <w:szCs w:val="26"/>
                    </w:rPr>
                  </w:pPr>
                  <w:r w:rsidRPr="00E21AF2">
                    <w:rPr>
                      <w:color w:val="000000"/>
                      <w:sz w:val="26"/>
                      <w:szCs w:val="26"/>
                    </w:rPr>
                    <w:t>276</w:t>
                  </w:r>
                </w:p>
              </w:tc>
              <w:tc>
                <w:tcPr>
                  <w:tcW w:w="1520" w:type="dxa"/>
                  <w:tcBorders>
                    <w:top w:val="nil"/>
                    <w:left w:val="nil"/>
                    <w:bottom w:val="single" w:sz="4" w:space="0" w:color="auto"/>
                    <w:right w:val="single" w:sz="4" w:space="0" w:color="auto"/>
                  </w:tcBorders>
                  <w:shd w:val="clear" w:color="auto" w:fill="auto"/>
                  <w:noWrap/>
                  <w:vAlign w:val="center"/>
                  <w:hideMark/>
                </w:tcPr>
                <w:p w:rsidR="00635ADD" w:rsidRPr="00E21AF2" w:rsidRDefault="00635ADD" w:rsidP="00EE37BB">
                  <w:pPr>
                    <w:framePr w:hSpace="180" w:wrap="around" w:vAnchor="text" w:hAnchor="margin" w:x="-127" w:y="371"/>
                    <w:jc w:val="center"/>
                    <w:rPr>
                      <w:color w:val="000000"/>
                      <w:sz w:val="26"/>
                      <w:szCs w:val="26"/>
                    </w:rPr>
                  </w:pPr>
                  <w:r w:rsidRPr="00E21AF2">
                    <w:rPr>
                      <w:color w:val="000000"/>
                      <w:sz w:val="26"/>
                      <w:szCs w:val="26"/>
                    </w:rPr>
                    <w:t>276</w:t>
                  </w:r>
                </w:p>
              </w:tc>
            </w:tr>
            <w:tr w:rsidR="00635ADD" w:rsidRPr="00E21AF2" w:rsidTr="00E21AF2">
              <w:trPr>
                <w:trHeight w:val="31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635ADD" w:rsidRPr="00E21AF2" w:rsidRDefault="00635ADD" w:rsidP="00EE37BB">
                  <w:pPr>
                    <w:framePr w:hSpace="180" w:wrap="around" w:vAnchor="text" w:hAnchor="margin" w:x="-127" w:y="371"/>
                    <w:rPr>
                      <w:sz w:val="26"/>
                      <w:szCs w:val="26"/>
                    </w:rPr>
                  </w:pPr>
                </w:p>
              </w:tc>
              <w:tc>
                <w:tcPr>
                  <w:tcW w:w="960" w:type="dxa"/>
                  <w:tcBorders>
                    <w:top w:val="nil"/>
                    <w:left w:val="nil"/>
                    <w:bottom w:val="single" w:sz="4" w:space="0" w:color="auto"/>
                    <w:right w:val="single" w:sz="4" w:space="0" w:color="auto"/>
                  </w:tcBorders>
                  <w:shd w:val="clear" w:color="auto" w:fill="auto"/>
                  <w:noWrap/>
                  <w:vAlign w:val="center"/>
                </w:tcPr>
                <w:p w:rsidR="00635ADD" w:rsidRPr="00E21AF2" w:rsidRDefault="00635ADD" w:rsidP="00EE37BB">
                  <w:pPr>
                    <w:framePr w:hSpace="180" w:wrap="around" w:vAnchor="text" w:hAnchor="margin" w:x="-127" w:y="371"/>
                    <w:jc w:val="center"/>
                    <w:rPr>
                      <w:color w:val="000000"/>
                      <w:sz w:val="26"/>
                      <w:szCs w:val="26"/>
                    </w:rPr>
                  </w:pPr>
                </w:p>
              </w:tc>
              <w:tc>
                <w:tcPr>
                  <w:tcW w:w="1000" w:type="dxa"/>
                  <w:tcBorders>
                    <w:top w:val="nil"/>
                    <w:left w:val="nil"/>
                    <w:bottom w:val="single" w:sz="4" w:space="0" w:color="auto"/>
                    <w:right w:val="single" w:sz="4" w:space="0" w:color="auto"/>
                  </w:tcBorders>
                  <w:shd w:val="clear" w:color="auto" w:fill="auto"/>
                  <w:noWrap/>
                  <w:vAlign w:val="center"/>
                </w:tcPr>
                <w:p w:rsidR="00635ADD" w:rsidRPr="00E21AF2" w:rsidRDefault="00635ADD" w:rsidP="00EE37BB">
                  <w:pPr>
                    <w:framePr w:hSpace="180" w:wrap="around" w:vAnchor="text" w:hAnchor="margin" w:x="-127" w:y="371"/>
                    <w:jc w:val="center"/>
                    <w:rPr>
                      <w:color w:val="000000"/>
                      <w:sz w:val="26"/>
                      <w:szCs w:val="26"/>
                    </w:rPr>
                  </w:pPr>
                </w:p>
              </w:tc>
              <w:tc>
                <w:tcPr>
                  <w:tcW w:w="1460" w:type="dxa"/>
                  <w:tcBorders>
                    <w:top w:val="nil"/>
                    <w:left w:val="nil"/>
                    <w:bottom w:val="single" w:sz="4" w:space="0" w:color="auto"/>
                    <w:right w:val="single" w:sz="4" w:space="0" w:color="auto"/>
                  </w:tcBorders>
                  <w:shd w:val="clear" w:color="auto" w:fill="auto"/>
                  <w:noWrap/>
                  <w:vAlign w:val="center"/>
                </w:tcPr>
                <w:p w:rsidR="00635ADD" w:rsidRPr="00E21AF2" w:rsidRDefault="00635ADD" w:rsidP="00EE37BB">
                  <w:pPr>
                    <w:framePr w:hSpace="180" w:wrap="around" w:vAnchor="text" w:hAnchor="margin" w:x="-127" w:y="371"/>
                    <w:jc w:val="center"/>
                    <w:rPr>
                      <w:color w:val="000000"/>
                      <w:sz w:val="26"/>
                      <w:szCs w:val="26"/>
                    </w:rPr>
                  </w:pPr>
                </w:p>
              </w:tc>
              <w:tc>
                <w:tcPr>
                  <w:tcW w:w="1500" w:type="dxa"/>
                  <w:tcBorders>
                    <w:top w:val="nil"/>
                    <w:left w:val="nil"/>
                    <w:bottom w:val="single" w:sz="4" w:space="0" w:color="auto"/>
                    <w:right w:val="single" w:sz="4" w:space="0" w:color="auto"/>
                  </w:tcBorders>
                  <w:shd w:val="clear" w:color="auto" w:fill="auto"/>
                  <w:noWrap/>
                  <w:vAlign w:val="center"/>
                </w:tcPr>
                <w:p w:rsidR="00635ADD" w:rsidRPr="00E21AF2" w:rsidRDefault="00635ADD" w:rsidP="00EE37BB">
                  <w:pPr>
                    <w:framePr w:hSpace="180" w:wrap="around" w:vAnchor="text" w:hAnchor="margin" w:x="-127" w:y="371"/>
                    <w:jc w:val="center"/>
                    <w:rPr>
                      <w:color w:val="000000"/>
                      <w:sz w:val="26"/>
                      <w:szCs w:val="26"/>
                    </w:rPr>
                  </w:pPr>
                </w:p>
              </w:tc>
              <w:tc>
                <w:tcPr>
                  <w:tcW w:w="1520" w:type="dxa"/>
                  <w:tcBorders>
                    <w:top w:val="nil"/>
                    <w:left w:val="nil"/>
                    <w:bottom w:val="single" w:sz="4" w:space="0" w:color="auto"/>
                    <w:right w:val="single" w:sz="4" w:space="0" w:color="auto"/>
                  </w:tcBorders>
                  <w:shd w:val="clear" w:color="auto" w:fill="auto"/>
                  <w:noWrap/>
                  <w:vAlign w:val="center"/>
                </w:tcPr>
                <w:p w:rsidR="00635ADD" w:rsidRPr="00E21AF2" w:rsidRDefault="00635ADD" w:rsidP="00EE37BB">
                  <w:pPr>
                    <w:framePr w:hSpace="180" w:wrap="around" w:vAnchor="text" w:hAnchor="margin" w:x="-127" w:y="371"/>
                    <w:jc w:val="center"/>
                    <w:rPr>
                      <w:color w:val="000000"/>
                      <w:sz w:val="26"/>
                      <w:szCs w:val="26"/>
                    </w:rPr>
                  </w:pPr>
                </w:p>
              </w:tc>
            </w:tr>
            <w:tr w:rsidR="00635ADD" w:rsidRPr="00E21AF2" w:rsidTr="00E21AF2">
              <w:trPr>
                <w:trHeight w:val="31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635ADD" w:rsidRPr="00E21AF2" w:rsidRDefault="00635ADD" w:rsidP="00EE37BB">
                  <w:pPr>
                    <w:framePr w:hSpace="180" w:wrap="around" w:vAnchor="text" w:hAnchor="margin" w:x="-127" w:y="371"/>
                    <w:rPr>
                      <w:color w:val="000000"/>
                      <w:sz w:val="26"/>
                      <w:szCs w:val="26"/>
                    </w:rPr>
                  </w:pPr>
                </w:p>
              </w:tc>
              <w:tc>
                <w:tcPr>
                  <w:tcW w:w="960" w:type="dxa"/>
                  <w:tcBorders>
                    <w:top w:val="nil"/>
                    <w:left w:val="nil"/>
                    <w:bottom w:val="single" w:sz="4" w:space="0" w:color="auto"/>
                    <w:right w:val="single" w:sz="4" w:space="0" w:color="auto"/>
                  </w:tcBorders>
                  <w:shd w:val="clear" w:color="auto" w:fill="auto"/>
                  <w:noWrap/>
                  <w:vAlign w:val="center"/>
                </w:tcPr>
                <w:p w:rsidR="00635ADD" w:rsidRPr="00E21AF2" w:rsidRDefault="00635ADD" w:rsidP="00EE37BB">
                  <w:pPr>
                    <w:framePr w:hSpace="180" w:wrap="around" w:vAnchor="text" w:hAnchor="margin" w:x="-127" w:y="371"/>
                    <w:jc w:val="center"/>
                    <w:rPr>
                      <w:color w:val="000000"/>
                      <w:sz w:val="26"/>
                      <w:szCs w:val="26"/>
                    </w:rPr>
                  </w:pPr>
                </w:p>
              </w:tc>
              <w:tc>
                <w:tcPr>
                  <w:tcW w:w="1000" w:type="dxa"/>
                  <w:tcBorders>
                    <w:top w:val="nil"/>
                    <w:left w:val="nil"/>
                    <w:bottom w:val="single" w:sz="4" w:space="0" w:color="auto"/>
                    <w:right w:val="single" w:sz="4" w:space="0" w:color="auto"/>
                  </w:tcBorders>
                  <w:shd w:val="clear" w:color="auto" w:fill="auto"/>
                  <w:noWrap/>
                  <w:vAlign w:val="center"/>
                </w:tcPr>
                <w:p w:rsidR="00635ADD" w:rsidRPr="00E21AF2" w:rsidRDefault="00635ADD" w:rsidP="00EE37BB">
                  <w:pPr>
                    <w:framePr w:hSpace="180" w:wrap="around" w:vAnchor="text" w:hAnchor="margin" w:x="-127" w:y="371"/>
                    <w:jc w:val="center"/>
                    <w:rPr>
                      <w:color w:val="000000"/>
                      <w:sz w:val="26"/>
                      <w:szCs w:val="26"/>
                    </w:rPr>
                  </w:pPr>
                </w:p>
              </w:tc>
              <w:tc>
                <w:tcPr>
                  <w:tcW w:w="1460" w:type="dxa"/>
                  <w:tcBorders>
                    <w:top w:val="nil"/>
                    <w:left w:val="nil"/>
                    <w:bottom w:val="single" w:sz="4" w:space="0" w:color="auto"/>
                    <w:right w:val="single" w:sz="4" w:space="0" w:color="auto"/>
                  </w:tcBorders>
                  <w:shd w:val="clear" w:color="auto" w:fill="auto"/>
                  <w:noWrap/>
                  <w:vAlign w:val="center"/>
                </w:tcPr>
                <w:p w:rsidR="00635ADD" w:rsidRPr="00E21AF2" w:rsidRDefault="00635ADD" w:rsidP="00EE37BB">
                  <w:pPr>
                    <w:framePr w:hSpace="180" w:wrap="around" w:vAnchor="text" w:hAnchor="margin" w:x="-127" w:y="371"/>
                    <w:jc w:val="center"/>
                    <w:rPr>
                      <w:color w:val="000000"/>
                      <w:sz w:val="26"/>
                      <w:szCs w:val="26"/>
                    </w:rPr>
                  </w:pPr>
                </w:p>
              </w:tc>
              <w:tc>
                <w:tcPr>
                  <w:tcW w:w="1500" w:type="dxa"/>
                  <w:tcBorders>
                    <w:top w:val="nil"/>
                    <w:left w:val="nil"/>
                    <w:bottom w:val="single" w:sz="4" w:space="0" w:color="auto"/>
                    <w:right w:val="single" w:sz="4" w:space="0" w:color="auto"/>
                  </w:tcBorders>
                  <w:shd w:val="clear" w:color="auto" w:fill="auto"/>
                  <w:noWrap/>
                  <w:vAlign w:val="center"/>
                </w:tcPr>
                <w:p w:rsidR="00635ADD" w:rsidRPr="00E21AF2" w:rsidRDefault="00635ADD" w:rsidP="00EE37BB">
                  <w:pPr>
                    <w:framePr w:hSpace="180" w:wrap="around" w:vAnchor="text" w:hAnchor="margin" w:x="-127" w:y="371"/>
                    <w:jc w:val="center"/>
                    <w:rPr>
                      <w:color w:val="000000"/>
                      <w:sz w:val="26"/>
                      <w:szCs w:val="26"/>
                    </w:rPr>
                  </w:pPr>
                </w:p>
              </w:tc>
              <w:tc>
                <w:tcPr>
                  <w:tcW w:w="1520" w:type="dxa"/>
                  <w:tcBorders>
                    <w:top w:val="nil"/>
                    <w:left w:val="nil"/>
                    <w:bottom w:val="single" w:sz="4" w:space="0" w:color="auto"/>
                    <w:right w:val="single" w:sz="4" w:space="0" w:color="auto"/>
                  </w:tcBorders>
                  <w:shd w:val="clear" w:color="auto" w:fill="auto"/>
                  <w:noWrap/>
                  <w:vAlign w:val="center"/>
                </w:tcPr>
                <w:p w:rsidR="00635ADD" w:rsidRPr="00E21AF2" w:rsidRDefault="00635ADD" w:rsidP="00EE37BB">
                  <w:pPr>
                    <w:framePr w:hSpace="180" w:wrap="around" w:vAnchor="text" w:hAnchor="margin" w:x="-127" w:y="371"/>
                    <w:jc w:val="center"/>
                    <w:rPr>
                      <w:color w:val="000000"/>
                      <w:sz w:val="26"/>
                      <w:szCs w:val="26"/>
                    </w:rPr>
                  </w:pPr>
                </w:p>
              </w:tc>
            </w:tr>
            <w:tr w:rsidR="00635ADD" w:rsidRPr="00E21AF2" w:rsidTr="00E21AF2">
              <w:trPr>
                <w:trHeight w:val="31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635ADD" w:rsidRPr="00E21AF2" w:rsidRDefault="00635ADD" w:rsidP="00EE37BB">
                  <w:pPr>
                    <w:framePr w:hSpace="180" w:wrap="around" w:vAnchor="text" w:hAnchor="margin" w:x="-127" w:y="371"/>
                    <w:ind w:firstLineChars="200" w:firstLine="520"/>
                    <w:rPr>
                      <w:i/>
                      <w:iCs/>
                      <w:color w:val="000000"/>
                      <w:sz w:val="26"/>
                      <w:szCs w:val="26"/>
                    </w:rPr>
                  </w:pPr>
                </w:p>
              </w:tc>
              <w:tc>
                <w:tcPr>
                  <w:tcW w:w="960" w:type="dxa"/>
                  <w:tcBorders>
                    <w:top w:val="nil"/>
                    <w:left w:val="nil"/>
                    <w:bottom w:val="single" w:sz="4" w:space="0" w:color="auto"/>
                    <w:right w:val="single" w:sz="4" w:space="0" w:color="auto"/>
                  </w:tcBorders>
                  <w:shd w:val="clear" w:color="auto" w:fill="auto"/>
                  <w:noWrap/>
                  <w:vAlign w:val="center"/>
                </w:tcPr>
                <w:p w:rsidR="00635ADD" w:rsidRPr="00E21AF2" w:rsidRDefault="00635ADD" w:rsidP="00EE37BB">
                  <w:pPr>
                    <w:framePr w:hSpace="180" w:wrap="around" w:vAnchor="text" w:hAnchor="margin" w:x="-127" w:y="371"/>
                    <w:jc w:val="center"/>
                    <w:rPr>
                      <w:i/>
                      <w:iCs/>
                      <w:color w:val="000000"/>
                      <w:sz w:val="26"/>
                      <w:szCs w:val="26"/>
                    </w:rPr>
                  </w:pPr>
                </w:p>
              </w:tc>
              <w:tc>
                <w:tcPr>
                  <w:tcW w:w="1000" w:type="dxa"/>
                  <w:tcBorders>
                    <w:top w:val="nil"/>
                    <w:left w:val="nil"/>
                    <w:bottom w:val="single" w:sz="4" w:space="0" w:color="auto"/>
                    <w:right w:val="single" w:sz="4" w:space="0" w:color="auto"/>
                  </w:tcBorders>
                  <w:shd w:val="clear" w:color="auto" w:fill="auto"/>
                  <w:noWrap/>
                  <w:vAlign w:val="center"/>
                </w:tcPr>
                <w:p w:rsidR="00635ADD" w:rsidRPr="00E21AF2" w:rsidRDefault="00635ADD" w:rsidP="00EE37BB">
                  <w:pPr>
                    <w:framePr w:hSpace="180" w:wrap="around" w:vAnchor="text" w:hAnchor="margin" w:x="-127" w:y="371"/>
                    <w:jc w:val="center"/>
                    <w:rPr>
                      <w:i/>
                      <w:iCs/>
                      <w:color w:val="000000"/>
                      <w:sz w:val="26"/>
                      <w:szCs w:val="26"/>
                    </w:rPr>
                  </w:pPr>
                </w:p>
              </w:tc>
              <w:tc>
                <w:tcPr>
                  <w:tcW w:w="1460" w:type="dxa"/>
                  <w:tcBorders>
                    <w:top w:val="nil"/>
                    <w:left w:val="nil"/>
                    <w:bottom w:val="single" w:sz="4" w:space="0" w:color="auto"/>
                    <w:right w:val="single" w:sz="4" w:space="0" w:color="auto"/>
                  </w:tcBorders>
                  <w:shd w:val="clear" w:color="auto" w:fill="auto"/>
                  <w:noWrap/>
                  <w:vAlign w:val="center"/>
                </w:tcPr>
                <w:p w:rsidR="00635ADD" w:rsidRPr="00E21AF2" w:rsidRDefault="00635ADD" w:rsidP="00EE37BB">
                  <w:pPr>
                    <w:framePr w:hSpace="180" w:wrap="around" w:vAnchor="text" w:hAnchor="margin" w:x="-127" w:y="371"/>
                    <w:jc w:val="center"/>
                    <w:rPr>
                      <w:i/>
                      <w:iCs/>
                      <w:color w:val="000000"/>
                      <w:sz w:val="26"/>
                      <w:szCs w:val="26"/>
                    </w:rPr>
                  </w:pPr>
                </w:p>
              </w:tc>
              <w:tc>
                <w:tcPr>
                  <w:tcW w:w="1500" w:type="dxa"/>
                  <w:tcBorders>
                    <w:top w:val="nil"/>
                    <w:left w:val="nil"/>
                    <w:bottom w:val="single" w:sz="4" w:space="0" w:color="auto"/>
                    <w:right w:val="single" w:sz="4" w:space="0" w:color="auto"/>
                  </w:tcBorders>
                  <w:shd w:val="clear" w:color="auto" w:fill="auto"/>
                  <w:noWrap/>
                  <w:vAlign w:val="center"/>
                </w:tcPr>
                <w:p w:rsidR="00635ADD" w:rsidRPr="00E21AF2" w:rsidRDefault="00635ADD" w:rsidP="00EE37BB">
                  <w:pPr>
                    <w:framePr w:hSpace="180" w:wrap="around" w:vAnchor="text" w:hAnchor="margin" w:x="-127" w:y="371"/>
                    <w:jc w:val="center"/>
                    <w:rPr>
                      <w:i/>
                      <w:iCs/>
                      <w:color w:val="000000"/>
                      <w:sz w:val="26"/>
                      <w:szCs w:val="26"/>
                    </w:rPr>
                  </w:pPr>
                </w:p>
              </w:tc>
              <w:tc>
                <w:tcPr>
                  <w:tcW w:w="1520" w:type="dxa"/>
                  <w:tcBorders>
                    <w:top w:val="nil"/>
                    <w:left w:val="nil"/>
                    <w:bottom w:val="single" w:sz="4" w:space="0" w:color="auto"/>
                    <w:right w:val="single" w:sz="4" w:space="0" w:color="auto"/>
                  </w:tcBorders>
                  <w:shd w:val="clear" w:color="auto" w:fill="auto"/>
                  <w:noWrap/>
                  <w:vAlign w:val="center"/>
                </w:tcPr>
                <w:p w:rsidR="00635ADD" w:rsidRPr="00E21AF2" w:rsidRDefault="00635ADD" w:rsidP="00EE37BB">
                  <w:pPr>
                    <w:framePr w:hSpace="180" w:wrap="around" w:vAnchor="text" w:hAnchor="margin" w:x="-127" w:y="371"/>
                    <w:jc w:val="center"/>
                    <w:rPr>
                      <w:i/>
                      <w:iCs/>
                      <w:color w:val="000000"/>
                      <w:sz w:val="26"/>
                      <w:szCs w:val="26"/>
                    </w:rPr>
                  </w:pPr>
                </w:p>
              </w:tc>
            </w:tr>
            <w:tr w:rsidR="00635ADD" w:rsidRPr="00E21AF2" w:rsidTr="00E21AF2">
              <w:trPr>
                <w:trHeight w:val="31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635ADD" w:rsidRPr="00E21AF2" w:rsidRDefault="00635ADD" w:rsidP="00EE37BB">
                  <w:pPr>
                    <w:framePr w:hSpace="180" w:wrap="around" w:vAnchor="text" w:hAnchor="margin" w:x="-127" w:y="371"/>
                    <w:ind w:firstLineChars="200" w:firstLine="520"/>
                    <w:rPr>
                      <w:i/>
                      <w:iCs/>
                      <w:color w:val="000000"/>
                      <w:sz w:val="26"/>
                      <w:szCs w:val="26"/>
                    </w:rPr>
                  </w:pPr>
                </w:p>
              </w:tc>
              <w:tc>
                <w:tcPr>
                  <w:tcW w:w="960" w:type="dxa"/>
                  <w:tcBorders>
                    <w:top w:val="nil"/>
                    <w:left w:val="nil"/>
                    <w:bottom w:val="single" w:sz="4" w:space="0" w:color="auto"/>
                    <w:right w:val="single" w:sz="4" w:space="0" w:color="auto"/>
                  </w:tcBorders>
                  <w:shd w:val="clear" w:color="auto" w:fill="auto"/>
                  <w:noWrap/>
                  <w:vAlign w:val="center"/>
                </w:tcPr>
                <w:p w:rsidR="00635ADD" w:rsidRPr="00E21AF2" w:rsidRDefault="00635ADD" w:rsidP="00EE37BB">
                  <w:pPr>
                    <w:framePr w:hSpace="180" w:wrap="around" w:vAnchor="text" w:hAnchor="margin" w:x="-127" w:y="371"/>
                    <w:jc w:val="center"/>
                    <w:rPr>
                      <w:i/>
                      <w:iCs/>
                      <w:color w:val="000000"/>
                      <w:sz w:val="26"/>
                      <w:szCs w:val="26"/>
                    </w:rPr>
                  </w:pPr>
                </w:p>
              </w:tc>
              <w:tc>
                <w:tcPr>
                  <w:tcW w:w="1000" w:type="dxa"/>
                  <w:tcBorders>
                    <w:top w:val="nil"/>
                    <w:left w:val="nil"/>
                    <w:bottom w:val="single" w:sz="4" w:space="0" w:color="auto"/>
                    <w:right w:val="single" w:sz="4" w:space="0" w:color="auto"/>
                  </w:tcBorders>
                  <w:shd w:val="clear" w:color="auto" w:fill="auto"/>
                  <w:noWrap/>
                  <w:vAlign w:val="center"/>
                </w:tcPr>
                <w:p w:rsidR="00635ADD" w:rsidRPr="00E21AF2" w:rsidRDefault="00635ADD" w:rsidP="00EE37BB">
                  <w:pPr>
                    <w:framePr w:hSpace="180" w:wrap="around" w:vAnchor="text" w:hAnchor="margin" w:x="-127" w:y="371"/>
                    <w:jc w:val="center"/>
                    <w:rPr>
                      <w:i/>
                      <w:iCs/>
                      <w:color w:val="000000"/>
                      <w:sz w:val="26"/>
                      <w:szCs w:val="26"/>
                    </w:rPr>
                  </w:pPr>
                </w:p>
              </w:tc>
              <w:tc>
                <w:tcPr>
                  <w:tcW w:w="1460" w:type="dxa"/>
                  <w:tcBorders>
                    <w:top w:val="nil"/>
                    <w:left w:val="nil"/>
                    <w:bottom w:val="single" w:sz="4" w:space="0" w:color="auto"/>
                    <w:right w:val="single" w:sz="4" w:space="0" w:color="auto"/>
                  </w:tcBorders>
                  <w:shd w:val="clear" w:color="auto" w:fill="auto"/>
                  <w:noWrap/>
                  <w:vAlign w:val="center"/>
                </w:tcPr>
                <w:p w:rsidR="00635ADD" w:rsidRPr="00E21AF2" w:rsidRDefault="00635ADD" w:rsidP="00EE37BB">
                  <w:pPr>
                    <w:framePr w:hSpace="180" w:wrap="around" w:vAnchor="text" w:hAnchor="margin" w:x="-127" w:y="371"/>
                    <w:jc w:val="center"/>
                    <w:rPr>
                      <w:i/>
                      <w:iCs/>
                      <w:color w:val="000000"/>
                      <w:sz w:val="26"/>
                      <w:szCs w:val="26"/>
                    </w:rPr>
                  </w:pPr>
                </w:p>
              </w:tc>
              <w:tc>
                <w:tcPr>
                  <w:tcW w:w="1500" w:type="dxa"/>
                  <w:tcBorders>
                    <w:top w:val="nil"/>
                    <w:left w:val="nil"/>
                    <w:bottom w:val="single" w:sz="4" w:space="0" w:color="auto"/>
                    <w:right w:val="single" w:sz="4" w:space="0" w:color="auto"/>
                  </w:tcBorders>
                  <w:shd w:val="clear" w:color="auto" w:fill="auto"/>
                  <w:noWrap/>
                  <w:vAlign w:val="center"/>
                </w:tcPr>
                <w:p w:rsidR="00635ADD" w:rsidRPr="00E21AF2" w:rsidRDefault="00635ADD" w:rsidP="00EE37BB">
                  <w:pPr>
                    <w:framePr w:hSpace="180" w:wrap="around" w:vAnchor="text" w:hAnchor="margin" w:x="-127" w:y="371"/>
                    <w:jc w:val="center"/>
                    <w:rPr>
                      <w:i/>
                      <w:iCs/>
                      <w:color w:val="000000"/>
                      <w:sz w:val="26"/>
                      <w:szCs w:val="26"/>
                    </w:rPr>
                  </w:pPr>
                </w:p>
              </w:tc>
              <w:tc>
                <w:tcPr>
                  <w:tcW w:w="1520" w:type="dxa"/>
                  <w:tcBorders>
                    <w:top w:val="nil"/>
                    <w:left w:val="nil"/>
                    <w:bottom w:val="single" w:sz="4" w:space="0" w:color="auto"/>
                    <w:right w:val="single" w:sz="4" w:space="0" w:color="auto"/>
                  </w:tcBorders>
                  <w:shd w:val="clear" w:color="auto" w:fill="auto"/>
                  <w:noWrap/>
                  <w:vAlign w:val="center"/>
                </w:tcPr>
                <w:p w:rsidR="00635ADD" w:rsidRPr="00E21AF2" w:rsidRDefault="00635ADD" w:rsidP="00EE37BB">
                  <w:pPr>
                    <w:framePr w:hSpace="180" w:wrap="around" w:vAnchor="text" w:hAnchor="margin" w:x="-127" w:y="371"/>
                    <w:jc w:val="center"/>
                    <w:rPr>
                      <w:i/>
                      <w:iCs/>
                      <w:color w:val="000000"/>
                      <w:sz w:val="26"/>
                      <w:szCs w:val="26"/>
                    </w:rPr>
                  </w:pPr>
                </w:p>
              </w:tc>
            </w:tr>
            <w:tr w:rsidR="00635ADD" w:rsidRPr="00E21AF2" w:rsidTr="00E21AF2">
              <w:trPr>
                <w:trHeight w:val="315"/>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635ADD" w:rsidRPr="00E21AF2" w:rsidRDefault="00635ADD" w:rsidP="00EE37BB">
                  <w:pPr>
                    <w:framePr w:hSpace="180" w:wrap="around" w:vAnchor="text" w:hAnchor="margin" w:x="-127" w:y="371"/>
                    <w:rPr>
                      <w:color w:val="000000"/>
                      <w:sz w:val="26"/>
                      <w:szCs w:val="26"/>
                    </w:rPr>
                  </w:pPr>
                  <w:proofErr w:type="spellStart"/>
                  <w:r w:rsidRPr="00E21AF2">
                    <w:rPr>
                      <w:color w:val="000000"/>
                      <w:sz w:val="26"/>
                      <w:szCs w:val="26"/>
                    </w:rPr>
                    <w:t>Komandējumi</w:t>
                  </w:r>
                  <w:proofErr w:type="spellEnd"/>
                  <w:r w:rsidRPr="00E21AF2">
                    <w:rPr>
                      <w:color w:val="000000"/>
                      <w:sz w:val="26"/>
                      <w:szCs w:val="26"/>
                    </w:rPr>
                    <w:t xml:space="preserve"> un </w:t>
                  </w:r>
                  <w:proofErr w:type="spellStart"/>
                  <w:r w:rsidRPr="00E21AF2">
                    <w:rPr>
                      <w:color w:val="000000"/>
                      <w:sz w:val="26"/>
                      <w:szCs w:val="26"/>
                    </w:rPr>
                    <w:t>dienesta</w:t>
                  </w:r>
                  <w:proofErr w:type="spellEnd"/>
                  <w:r w:rsidRPr="00E21AF2">
                    <w:rPr>
                      <w:color w:val="000000"/>
                      <w:sz w:val="26"/>
                      <w:szCs w:val="26"/>
                    </w:rPr>
                    <w:t xml:space="preserve"> </w:t>
                  </w:r>
                  <w:proofErr w:type="spellStart"/>
                  <w:r w:rsidRPr="00E21AF2">
                    <w:rPr>
                      <w:color w:val="000000"/>
                      <w:sz w:val="26"/>
                      <w:szCs w:val="26"/>
                    </w:rPr>
                    <w:t>braucieni</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635ADD" w:rsidRPr="00E21AF2" w:rsidRDefault="00635ADD" w:rsidP="00EE37BB">
                  <w:pPr>
                    <w:framePr w:hSpace="180" w:wrap="around" w:vAnchor="text" w:hAnchor="margin" w:x="-127" w:y="371"/>
                    <w:jc w:val="center"/>
                    <w:rPr>
                      <w:color w:val="000000"/>
                      <w:sz w:val="26"/>
                      <w:szCs w:val="26"/>
                    </w:rPr>
                  </w:pPr>
                  <w:r w:rsidRPr="00E21AF2">
                    <w:rPr>
                      <w:color w:val="000000"/>
                      <w:sz w:val="26"/>
                      <w:szCs w:val="26"/>
                    </w:rPr>
                    <w:t>6</w:t>
                  </w:r>
                </w:p>
              </w:tc>
              <w:tc>
                <w:tcPr>
                  <w:tcW w:w="1000" w:type="dxa"/>
                  <w:tcBorders>
                    <w:top w:val="nil"/>
                    <w:left w:val="nil"/>
                    <w:bottom w:val="single" w:sz="4" w:space="0" w:color="auto"/>
                    <w:right w:val="single" w:sz="4" w:space="0" w:color="auto"/>
                  </w:tcBorders>
                  <w:shd w:val="clear" w:color="auto" w:fill="auto"/>
                  <w:noWrap/>
                  <w:vAlign w:val="center"/>
                  <w:hideMark/>
                </w:tcPr>
                <w:p w:rsidR="00635ADD" w:rsidRPr="00E21AF2" w:rsidRDefault="00635ADD" w:rsidP="00EE37BB">
                  <w:pPr>
                    <w:framePr w:hSpace="180" w:wrap="around" w:vAnchor="text" w:hAnchor="margin" w:x="-127" w:y="371"/>
                    <w:jc w:val="center"/>
                    <w:rPr>
                      <w:color w:val="000000"/>
                      <w:sz w:val="26"/>
                      <w:szCs w:val="26"/>
                    </w:rPr>
                  </w:pPr>
                  <w:r w:rsidRPr="00E21AF2">
                    <w:rPr>
                      <w:color w:val="000000"/>
                      <w:sz w:val="26"/>
                      <w:szCs w:val="26"/>
                    </w:rPr>
                    <w:t>72</w:t>
                  </w:r>
                </w:p>
              </w:tc>
              <w:tc>
                <w:tcPr>
                  <w:tcW w:w="1460" w:type="dxa"/>
                  <w:tcBorders>
                    <w:top w:val="nil"/>
                    <w:left w:val="nil"/>
                    <w:bottom w:val="single" w:sz="4" w:space="0" w:color="auto"/>
                    <w:right w:val="single" w:sz="4" w:space="0" w:color="auto"/>
                  </w:tcBorders>
                  <w:shd w:val="clear" w:color="auto" w:fill="auto"/>
                  <w:noWrap/>
                  <w:vAlign w:val="center"/>
                  <w:hideMark/>
                </w:tcPr>
                <w:p w:rsidR="00635ADD" w:rsidRPr="00E21AF2" w:rsidRDefault="00635ADD" w:rsidP="00EE37BB">
                  <w:pPr>
                    <w:framePr w:hSpace="180" w:wrap="around" w:vAnchor="text" w:hAnchor="margin" w:x="-127" w:y="371"/>
                    <w:jc w:val="center"/>
                    <w:rPr>
                      <w:color w:val="000000"/>
                      <w:sz w:val="26"/>
                      <w:szCs w:val="26"/>
                    </w:rPr>
                  </w:pPr>
                  <w:r w:rsidRPr="00E21AF2">
                    <w:rPr>
                      <w:color w:val="000000"/>
                      <w:sz w:val="26"/>
                      <w:szCs w:val="26"/>
                    </w:rPr>
                    <w:t> </w:t>
                  </w:r>
                </w:p>
              </w:tc>
              <w:tc>
                <w:tcPr>
                  <w:tcW w:w="1500" w:type="dxa"/>
                  <w:tcBorders>
                    <w:top w:val="nil"/>
                    <w:left w:val="nil"/>
                    <w:bottom w:val="single" w:sz="4" w:space="0" w:color="auto"/>
                    <w:right w:val="single" w:sz="4" w:space="0" w:color="auto"/>
                  </w:tcBorders>
                  <w:shd w:val="clear" w:color="auto" w:fill="auto"/>
                  <w:noWrap/>
                  <w:vAlign w:val="center"/>
                  <w:hideMark/>
                </w:tcPr>
                <w:p w:rsidR="00635ADD" w:rsidRPr="00E21AF2" w:rsidRDefault="00635ADD" w:rsidP="00EE37BB">
                  <w:pPr>
                    <w:framePr w:hSpace="180" w:wrap="around" w:vAnchor="text" w:hAnchor="margin" w:x="-127" w:y="371"/>
                    <w:jc w:val="center"/>
                    <w:rPr>
                      <w:color w:val="000000"/>
                      <w:sz w:val="26"/>
                      <w:szCs w:val="26"/>
                    </w:rPr>
                  </w:pPr>
                  <w:r w:rsidRPr="00E21AF2">
                    <w:rPr>
                      <w:color w:val="000000"/>
                      <w:sz w:val="26"/>
                      <w:szCs w:val="26"/>
                    </w:rPr>
                    <w:t>72</w:t>
                  </w:r>
                </w:p>
              </w:tc>
              <w:tc>
                <w:tcPr>
                  <w:tcW w:w="1520" w:type="dxa"/>
                  <w:tcBorders>
                    <w:top w:val="nil"/>
                    <w:left w:val="nil"/>
                    <w:bottom w:val="single" w:sz="4" w:space="0" w:color="auto"/>
                    <w:right w:val="single" w:sz="4" w:space="0" w:color="auto"/>
                  </w:tcBorders>
                  <w:shd w:val="clear" w:color="auto" w:fill="auto"/>
                  <w:noWrap/>
                  <w:vAlign w:val="center"/>
                  <w:hideMark/>
                </w:tcPr>
                <w:p w:rsidR="00635ADD" w:rsidRPr="00E21AF2" w:rsidRDefault="00635ADD" w:rsidP="00EE37BB">
                  <w:pPr>
                    <w:framePr w:hSpace="180" w:wrap="around" w:vAnchor="text" w:hAnchor="margin" w:x="-127" w:y="371"/>
                    <w:jc w:val="center"/>
                    <w:rPr>
                      <w:color w:val="000000"/>
                      <w:sz w:val="26"/>
                      <w:szCs w:val="26"/>
                    </w:rPr>
                  </w:pPr>
                  <w:r w:rsidRPr="00E21AF2">
                    <w:rPr>
                      <w:color w:val="000000"/>
                      <w:sz w:val="26"/>
                      <w:szCs w:val="26"/>
                    </w:rPr>
                    <w:t>72</w:t>
                  </w:r>
                </w:p>
              </w:tc>
            </w:tr>
            <w:tr w:rsidR="00635ADD" w:rsidRPr="00E21AF2" w:rsidTr="00E21AF2">
              <w:trPr>
                <w:trHeight w:val="31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635ADD" w:rsidRPr="00E21AF2" w:rsidRDefault="00635ADD" w:rsidP="00EE37BB">
                  <w:pPr>
                    <w:framePr w:hSpace="180" w:wrap="around" w:vAnchor="text" w:hAnchor="margin" w:x="-127" w:y="371"/>
                    <w:rPr>
                      <w:color w:val="000000"/>
                      <w:sz w:val="26"/>
                      <w:szCs w:val="26"/>
                    </w:rPr>
                  </w:pPr>
                </w:p>
              </w:tc>
              <w:tc>
                <w:tcPr>
                  <w:tcW w:w="960" w:type="dxa"/>
                  <w:tcBorders>
                    <w:top w:val="nil"/>
                    <w:left w:val="nil"/>
                    <w:bottom w:val="single" w:sz="4" w:space="0" w:color="auto"/>
                    <w:right w:val="single" w:sz="4" w:space="0" w:color="auto"/>
                  </w:tcBorders>
                  <w:shd w:val="clear" w:color="auto" w:fill="auto"/>
                  <w:noWrap/>
                  <w:vAlign w:val="center"/>
                </w:tcPr>
                <w:p w:rsidR="00635ADD" w:rsidRPr="00E21AF2" w:rsidRDefault="00635ADD" w:rsidP="00EE37BB">
                  <w:pPr>
                    <w:framePr w:hSpace="180" w:wrap="around" w:vAnchor="text" w:hAnchor="margin" w:x="-127" w:y="371"/>
                    <w:jc w:val="center"/>
                    <w:rPr>
                      <w:color w:val="000000"/>
                      <w:sz w:val="26"/>
                      <w:szCs w:val="26"/>
                    </w:rPr>
                  </w:pPr>
                </w:p>
              </w:tc>
              <w:tc>
                <w:tcPr>
                  <w:tcW w:w="1000" w:type="dxa"/>
                  <w:tcBorders>
                    <w:top w:val="nil"/>
                    <w:left w:val="nil"/>
                    <w:bottom w:val="single" w:sz="4" w:space="0" w:color="auto"/>
                    <w:right w:val="single" w:sz="4" w:space="0" w:color="auto"/>
                  </w:tcBorders>
                  <w:shd w:val="clear" w:color="auto" w:fill="auto"/>
                  <w:noWrap/>
                  <w:vAlign w:val="center"/>
                </w:tcPr>
                <w:p w:rsidR="00635ADD" w:rsidRPr="00E21AF2" w:rsidRDefault="00635ADD" w:rsidP="00EE37BB">
                  <w:pPr>
                    <w:framePr w:hSpace="180" w:wrap="around" w:vAnchor="text" w:hAnchor="margin" w:x="-127" w:y="371"/>
                    <w:jc w:val="center"/>
                    <w:rPr>
                      <w:color w:val="000000"/>
                      <w:sz w:val="26"/>
                      <w:szCs w:val="26"/>
                    </w:rPr>
                  </w:pPr>
                </w:p>
              </w:tc>
              <w:tc>
                <w:tcPr>
                  <w:tcW w:w="1460" w:type="dxa"/>
                  <w:tcBorders>
                    <w:top w:val="nil"/>
                    <w:left w:val="nil"/>
                    <w:bottom w:val="single" w:sz="4" w:space="0" w:color="auto"/>
                    <w:right w:val="single" w:sz="4" w:space="0" w:color="auto"/>
                  </w:tcBorders>
                  <w:shd w:val="clear" w:color="auto" w:fill="auto"/>
                  <w:noWrap/>
                  <w:vAlign w:val="center"/>
                </w:tcPr>
                <w:p w:rsidR="00635ADD" w:rsidRPr="00E21AF2" w:rsidRDefault="00635ADD" w:rsidP="00EE37BB">
                  <w:pPr>
                    <w:framePr w:hSpace="180" w:wrap="around" w:vAnchor="text" w:hAnchor="margin" w:x="-127" w:y="371"/>
                    <w:jc w:val="center"/>
                    <w:rPr>
                      <w:color w:val="000000"/>
                      <w:sz w:val="26"/>
                      <w:szCs w:val="26"/>
                    </w:rPr>
                  </w:pPr>
                </w:p>
              </w:tc>
              <w:tc>
                <w:tcPr>
                  <w:tcW w:w="1500" w:type="dxa"/>
                  <w:tcBorders>
                    <w:top w:val="nil"/>
                    <w:left w:val="nil"/>
                    <w:bottom w:val="single" w:sz="4" w:space="0" w:color="auto"/>
                    <w:right w:val="single" w:sz="4" w:space="0" w:color="auto"/>
                  </w:tcBorders>
                  <w:shd w:val="clear" w:color="auto" w:fill="auto"/>
                  <w:noWrap/>
                  <w:vAlign w:val="center"/>
                </w:tcPr>
                <w:p w:rsidR="00635ADD" w:rsidRPr="00E21AF2" w:rsidRDefault="00635ADD" w:rsidP="00EE37BB">
                  <w:pPr>
                    <w:framePr w:hSpace="180" w:wrap="around" w:vAnchor="text" w:hAnchor="margin" w:x="-127" w:y="371"/>
                    <w:jc w:val="center"/>
                    <w:rPr>
                      <w:color w:val="000000"/>
                      <w:sz w:val="26"/>
                      <w:szCs w:val="26"/>
                    </w:rPr>
                  </w:pPr>
                </w:p>
              </w:tc>
              <w:tc>
                <w:tcPr>
                  <w:tcW w:w="1520" w:type="dxa"/>
                  <w:tcBorders>
                    <w:top w:val="nil"/>
                    <w:left w:val="nil"/>
                    <w:bottom w:val="single" w:sz="4" w:space="0" w:color="auto"/>
                    <w:right w:val="single" w:sz="4" w:space="0" w:color="auto"/>
                  </w:tcBorders>
                  <w:shd w:val="clear" w:color="auto" w:fill="auto"/>
                  <w:noWrap/>
                  <w:vAlign w:val="center"/>
                </w:tcPr>
                <w:p w:rsidR="00635ADD" w:rsidRPr="00E21AF2" w:rsidRDefault="00635ADD" w:rsidP="00EE37BB">
                  <w:pPr>
                    <w:framePr w:hSpace="180" w:wrap="around" w:vAnchor="text" w:hAnchor="margin" w:x="-127" w:y="371"/>
                    <w:jc w:val="center"/>
                    <w:rPr>
                      <w:color w:val="000000"/>
                      <w:sz w:val="26"/>
                      <w:szCs w:val="26"/>
                    </w:rPr>
                  </w:pPr>
                </w:p>
              </w:tc>
            </w:tr>
            <w:tr w:rsidR="00635ADD" w:rsidRPr="00E21AF2" w:rsidTr="00E21AF2">
              <w:trPr>
                <w:trHeight w:val="31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635ADD" w:rsidRPr="00E21AF2" w:rsidRDefault="00635ADD" w:rsidP="00EE37BB">
                  <w:pPr>
                    <w:framePr w:hSpace="180" w:wrap="around" w:vAnchor="text" w:hAnchor="margin" w:x="-127" w:y="371"/>
                    <w:rPr>
                      <w:sz w:val="26"/>
                      <w:szCs w:val="26"/>
                    </w:rPr>
                  </w:pPr>
                </w:p>
              </w:tc>
              <w:tc>
                <w:tcPr>
                  <w:tcW w:w="960" w:type="dxa"/>
                  <w:tcBorders>
                    <w:top w:val="nil"/>
                    <w:left w:val="nil"/>
                    <w:bottom w:val="single" w:sz="4" w:space="0" w:color="auto"/>
                    <w:right w:val="single" w:sz="4" w:space="0" w:color="auto"/>
                  </w:tcBorders>
                  <w:shd w:val="clear" w:color="auto" w:fill="auto"/>
                  <w:noWrap/>
                  <w:vAlign w:val="center"/>
                </w:tcPr>
                <w:p w:rsidR="00635ADD" w:rsidRPr="00E21AF2" w:rsidRDefault="00635ADD" w:rsidP="00EE37BB">
                  <w:pPr>
                    <w:framePr w:hSpace="180" w:wrap="around" w:vAnchor="text" w:hAnchor="margin" w:x="-127" w:y="371"/>
                    <w:jc w:val="center"/>
                    <w:rPr>
                      <w:color w:val="000000"/>
                      <w:sz w:val="26"/>
                      <w:szCs w:val="26"/>
                    </w:rPr>
                  </w:pPr>
                </w:p>
              </w:tc>
              <w:tc>
                <w:tcPr>
                  <w:tcW w:w="1000" w:type="dxa"/>
                  <w:tcBorders>
                    <w:top w:val="nil"/>
                    <w:left w:val="nil"/>
                    <w:bottom w:val="single" w:sz="4" w:space="0" w:color="auto"/>
                    <w:right w:val="single" w:sz="4" w:space="0" w:color="auto"/>
                  </w:tcBorders>
                  <w:shd w:val="clear" w:color="auto" w:fill="auto"/>
                  <w:noWrap/>
                  <w:vAlign w:val="center"/>
                </w:tcPr>
                <w:p w:rsidR="00635ADD" w:rsidRPr="00E21AF2" w:rsidRDefault="00635ADD" w:rsidP="00EE37BB">
                  <w:pPr>
                    <w:framePr w:hSpace="180" w:wrap="around" w:vAnchor="text" w:hAnchor="margin" w:x="-127" w:y="371"/>
                    <w:jc w:val="center"/>
                    <w:rPr>
                      <w:color w:val="000000"/>
                      <w:sz w:val="26"/>
                      <w:szCs w:val="26"/>
                    </w:rPr>
                  </w:pPr>
                </w:p>
              </w:tc>
              <w:tc>
                <w:tcPr>
                  <w:tcW w:w="1460" w:type="dxa"/>
                  <w:tcBorders>
                    <w:top w:val="nil"/>
                    <w:left w:val="nil"/>
                    <w:bottom w:val="single" w:sz="4" w:space="0" w:color="auto"/>
                    <w:right w:val="single" w:sz="4" w:space="0" w:color="auto"/>
                  </w:tcBorders>
                  <w:shd w:val="clear" w:color="auto" w:fill="auto"/>
                  <w:noWrap/>
                  <w:vAlign w:val="center"/>
                </w:tcPr>
                <w:p w:rsidR="00635ADD" w:rsidRPr="00E21AF2" w:rsidRDefault="00635ADD" w:rsidP="00EE37BB">
                  <w:pPr>
                    <w:framePr w:hSpace="180" w:wrap="around" w:vAnchor="text" w:hAnchor="margin" w:x="-127" w:y="371"/>
                    <w:jc w:val="center"/>
                    <w:rPr>
                      <w:color w:val="000000"/>
                      <w:sz w:val="26"/>
                      <w:szCs w:val="26"/>
                    </w:rPr>
                  </w:pPr>
                </w:p>
              </w:tc>
              <w:tc>
                <w:tcPr>
                  <w:tcW w:w="1500" w:type="dxa"/>
                  <w:tcBorders>
                    <w:top w:val="nil"/>
                    <w:left w:val="nil"/>
                    <w:bottom w:val="single" w:sz="4" w:space="0" w:color="auto"/>
                    <w:right w:val="single" w:sz="4" w:space="0" w:color="auto"/>
                  </w:tcBorders>
                  <w:shd w:val="clear" w:color="auto" w:fill="auto"/>
                  <w:noWrap/>
                  <w:vAlign w:val="center"/>
                </w:tcPr>
                <w:p w:rsidR="00635ADD" w:rsidRPr="00E21AF2" w:rsidRDefault="00635ADD" w:rsidP="00EE37BB">
                  <w:pPr>
                    <w:framePr w:hSpace="180" w:wrap="around" w:vAnchor="text" w:hAnchor="margin" w:x="-127" w:y="371"/>
                    <w:jc w:val="center"/>
                    <w:rPr>
                      <w:color w:val="000000"/>
                      <w:sz w:val="26"/>
                      <w:szCs w:val="26"/>
                    </w:rPr>
                  </w:pPr>
                </w:p>
              </w:tc>
              <w:tc>
                <w:tcPr>
                  <w:tcW w:w="1520" w:type="dxa"/>
                  <w:tcBorders>
                    <w:top w:val="nil"/>
                    <w:left w:val="nil"/>
                    <w:bottom w:val="single" w:sz="4" w:space="0" w:color="auto"/>
                    <w:right w:val="single" w:sz="4" w:space="0" w:color="auto"/>
                  </w:tcBorders>
                  <w:shd w:val="clear" w:color="auto" w:fill="auto"/>
                  <w:noWrap/>
                  <w:vAlign w:val="center"/>
                </w:tcPr>
                <w:p w:rsidR="00635ADD" w:rsidRPr="00E21AF2" w:rsidRDefault="00635ADD" w:rsidP="00EE37BB">
                  <w:pPr>
                    <w:framePr w:hSpace="180" w:wrap="around" w:vAnchor="text" w:hAnchor="margin" w:x="-127" w:y="371"/>
                    <w:jc w:val="center"/>
                    <w:rPr>
                      <w:color w:val="000000"/>
                      <w:sz w:val="26"/>
                      <w:szCs w:val="26"/>
                    </w:rPr>
                  </w:pPr>
                </w:p>
              </w:tc>
            </w:tr>
            <w:tr w:rsidR="00635ADD" w:rsidRPr="00E21AF2" w:rsidTr="00E21AF2">
              <w:trPr>
                <w:trHeight w:val="31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635ADD" w:rsidRPr="00E21AF2" w:rsidRDefault="00635ADD" w:rsidP="00EE37BB">
                  <w:pPr>
                    <w:framePr w:hSpace="180" w:wrap="around" w:vAnchor="text" w:hAnchor="margin" w:x="-127" w:y="371"/>
                    <w:rPr>
                      <w:sz w:val="26"/>
                      <w:szCs w:val="26"/>
                    </w:rPr>
                  </w:pPr>
                </w:p>
              </w:tc>
              <w:tc>
                <w:tcPr>
                  <w:tcW w:w="960" w:type="dxa"/>
                  <w:tcBorders>
                    <w:top w:val="nil"/>
                    <w:left w:val="nil"/>
                    <w:bottom w:val="single" w:sz="4" w:space="0" w:color="auto"/>
                    <w:right w:val="single" w:sz="4" w:space="0" w:color="auto"/>
                  </w:tcBorders>
                  <w:shd w:val="clear" w:color="auto" w:fill="auto"/>
                  <w:noWrap/>
                  <w:vAlign w:val="center"/>
                </w:tcPr>
                <w:p w:rsidR="00635ADD" w:rsidRPr="00E21AF2" w:rsidRDefault="00635ADD" w:rsidP="00EE37BB">
                  <w:pPr>
                    <w:framePr w:hSpace="180" w:wrap="around" w:vAnchor="text" w:hAnchor="margin" w:x="-127" w:y="371"/>
                    <w:jc w:val="center"/>
                    <w:rPr>
                      <w:color w:val="000000"/>
                      <w:sz w:val="26"/>
                      <w:szCs w:val="26"/>
                    </w:rPr>
                  </w:pPr>
                </w:p>
              </w:tc>
              <w:tc>
                <w:tcPr>
                  <w:tcW w:w="1000" w:type="dxa"/>
                  <w:tcBorders>
                    <w:top w:val="nil"/>
                    <w:left w:val="nil"/>
                    <w:bottom w:val="single" w:sz="4" w:space="0" w:color="auto"/>
                    <w:right w:val="single" w:sz="4" w:space="0" w:color="auto"/>
                  </w:tcBorders>
                  <w:shd w:val="clear" w:color="auto" w:fill="auto"/>
                  <w:noWrap/>
                  <w:vAlign w:val="center"/>
                </w:tcPr>
                <w:p w:rsidR="00635ADD" w:rsidRPr="00E21AF2" w:rsidRDefault="00635ADD" w:rsidP="00EE37BB">
                  <w:pPr>
                    <w:framePr w:hSpace="180" w:wrap="around" w:vAnchor="text" w:hAnchor="margin" w:x="-127" w:y="371"/>
                    <w:jc w:val="center"/>
                    <w:rPr>
                      <w:color w:val="000000"/>
                      <w:sz w:val="26"/>
                      <w:szCs w:val="26"/>
                    </w:rPr>
                  </w:pPr>
                </w:p>
              </w:tc>
              <w:tc>
                <w:tcPr>
                  <w:tcW w:w="1460" w:type="dxa"/>
                  <w:tcBorders>
                    <w:top w:val="nil"/>
                    <w:left w:val="nil"/>
                    <w:bottom w:val="single" w:sz="4" w:space="0" w:color="auto"/>
                    <w:right w:val="single" w:sz="4" w:space="0" w:color="auto"/>
                  </w:tcBorders>
                  <w:shd w:val="clear" w:color="auto" w:fill="auto"/>
                  <w:noWrap/>
                  <w:vAlign w:val="center"/>
                </w:tcPr>
                <w:p w:rsidR="00635ADD" w:rsidRPr="00E21AF2" w:rsidRDefault="00635ADD" w:rsidP="00EE37BB">
                  <w:pPr>
                    <w:framePr w:hSpace="180" w:wrap="around" w:vAnchor="text" w:hAnchor="margin" w:x="-127" w:y="371"/>
                    <w:jc w:val="center"/>
                    <w:rPr>
                      <w:color w:val="000000"/>
                      <w:sz w:val="26"/>
                      <w:szCs w:val="26"/>
                    </w:rPr>
                  </w:pPr>
                </w:p>
              </w:tc>
              <w:tc>
                <w:tcPr>
                  <w:tcW w:w="1500" w:type="dxa"/>
                  <w:tcBorders>
                    <w:top w:val="nil"/>
                    <w:left w:val="nil"/>
                    <w:bottom w:val="single" w:sz="4" w:space="0" w:color="auto"/>
                    <w:right w:val="single" w:sz="4" w:space="0" w:color="auto"/>
                  </w:tcBorders>
                  <w:shd w:val="clear" w:color="auto" w:fill="auto"/>
                  <w:noWrap/>
                  <w:vAlign w:val="center"/>
                </w:tcPr>
                <w:p w:rsidR="00635ADD" w:rsidRPr="00E21AF2" w:rsidRDefault="00635ADD" w:rsidP="00EE37BB">
                  <w:pPr>
                    <w:framePr w:hSpace="180" w:wrap="around" w:vAnchor="text" w:hAnchor="margin" w:x="-127" w:y="371"/>
                    <w:jc w:val="center"/>
                    <w:rPr>
                      <w:color w:val="000000"/>
                      <w:sz w:val="26"/>
                      <w:szCs w:val="26"/>
                    </w:rPr>
                  </w:pPr>
                </w:p>
              </w:tc>
              <w:tc>
                <w:tcPr>
                  <w:tcW w:w="1520" w:type="dxa"/>
                  <w:tcBorders>
                    <w:top w:val="nil"/>
                    <w:left w:val="nil"/>
                    <w:bottom w:val="single" w:sz="4" w:space="0" w:color="auto"/>
                    <w:right w:val="single" w:sz="4" w:space="0" w:color="auto"/>
                  </w:tcBorders>
                  <w:shd w:val="clear" w:color="auto" w:fill="auto"/>
                  <w:noWrap/>
                  <w:vAlign w:val="center"/>
                </w:tcPr>
                <w:p w:rsidR="00635ADD" w:rsidRPr="00E21AF2" w:rsidRDefault="00635ADD" w:rsidP="00EE37BB">
                  <w:pPr>
                    <w:framePr w:hSpace="180" w:wrap="around" w:vAnchor="text" w:hAnchor="margin" w:x="-127" w:y="371"/>
                    <w:jc w:val="center"/>
                    <w:rPr>
                      <w:color w:val="000000"/>
                      <w:sz w:val="26"/>
                      <w:szCs w:val="26"/>
                    </w:rPr>
                  </w:pPr>
                </w:p>
              </w:tc>
            </w:tr>
            <w:tr w:rsidR="00635ADD" w:rsidRPr="00E21AF2" w:rsidTr="00E21AF2">
              <w:trPr>
                <w:trHeight w:val="315"/>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635ADD" w:rsidRPr="00E21AF2" w:rsidRDefault="00635ADD" w:rsidP="00EE37BB">
                  <w:pPr>
                    <w:framePr w:hSpace="180" w:wrap="around" w:vAnchor="text" w:hAnchor="margin" w:x="-127" w:y="371"/>
                    <w:jc w:val="right"/>
                    <w:rPr>
                      <w:b/>
                      <w:bCs/>
                      <w:color w:val="000000"/>
                      <w:sz w:val="26"/>
                      <w:szCs w:val="26"/>
                    </w:rPr>
                  </w:pPr>
                  <w:proofErr w:type="spellStart"/>
                  <w:r w:rsidRPr="00E21AF2">
                    <w:rPr>
                      <w:b/>
                      <w:bCs/>
                      <w:color w:val="000000"/>
                      <w:sz w:val="26"/>
                      <w:szCs w:val="26"/>
                    </w:rPr>
                    <w:t>Kopā</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635ADD" w:rsidRPr="00E21AF2" w:rsidRDefault="00635ADD" w:rsidP="00EE37BB">
                  <w:pPr>
                    <w:framePr w:hSpace="180" w:wrap="around" w:vAnchor="text" w:hAnchor="margin" w:x="-127" w:y="371"/>
                    <w:jc w:val="center"/>
                    <w:rPr>
                      <w:b/>
                      <w:bCs/>
                      <w:color w:val="000000"/>
                      <w:sz w:val="26"/>
                      <w:szCs w:val="26"/>
                    </w:rPr>
                  </w:pPr>
                  <w:r w:rsidRPr="00E21AF2">
                    <w:rPr>
                      <w:b/>
                      <w:bCs/>
                      <w:color w:val="000000"/>
                      <w:sz w:val="26"/>
                      <w:szCs w:val="26"/>
                    </w:rPr>
                    <w:t>1295</w:t>
                  </w:r>
                </w:p>
              </w:tc>
              <w:tc>
                <w:tcPr>
                  <w:tcW w:w="1000" w:type="dxa"/>
                  <w:tcBorders>
                    <w:top w:val="nil"/>
                    <w:left w:val="nil"/>
                    <w:bottom w:val="single" w:sz="4" w:space="0" w:color="auto"/>
                    <w:right w:val="single" w:sz="4" w:space="0" w:color="auto"/>
                  </w:tcBorders>
                  <w:shd w:val="clear" w:color="auto" w:fill="auto"/>
                  <w:noWrap/>
                  <w:vAlign w:val="center"/>
                  <w:hideMark/>
                </w:tcPr>
                <w:p w:rsidR="00635ADD" w:rsidRPr="00E21AF2" w:rsidRDefault="00635ADD" w:rsidP="00EE37BB">
                  <w:pPr>
                    <w:framePr w:hSpace="180" w:wrap="around" w:vAnchor="text" w:hAnchor="margin" w:x="-127" w:y="371"/>
                    <w:jc w:val="center"/>
                    <w:rPr>
                      <w:b/>
                      <w:bCs/>
                      <w:color w:val="000000"/>
                      <w:sz w:val="26"/>
                      <w:szCs w:val="26"/>
                    </w:rPr>
                  </w:pPr>
                  <w:r w:rsidRPr="00E21AF2">
                    <w:rPr>
                      <w:b/>
                      <w:bCs/>
                      <w:color w:val="000000"/>
                      <w:sz w:val="26"/>
                      <w:szCs w:val="26"/>
                    </w:rPr>
                    <w:t>15540</w:t>
                  </w:r>
                </w:p>
              </w:tc>
              <w:tc>
                <w:tcPr>
                  <w:tcW w:w="1460" w:type="dxa"/>
                  <w:tcBorders>
                    <w:top w:val="nil"/>
                    <w:left w:val="nil"/>
                    <w:bottom w:val="single" w:sz="4" w:space="0" w:color="auto"/>
                    <w:right w:val="single" w:sz="4" w:space="0" w:color="auto"/>
                  </w:tcBorders>
                  <w:shd w:val="clear" w:color="auto" w:fill="auto"/>
                  <w:noWrap/>
                  <w:vAlign w:val="center"/>
                  <w:hideMark/>
                </w:tcPr>
                <w:p w:rsidR="00635ADD" w:rsidRPr="00E21AF2" w:rsidRDefault="00635ADD" w:rsidP="00EE37BB">
                  <w:pPr>
                    <w:framePr w:hSpace="180" w:wrap="around" w:vAnchor="text" w:hAnchor="margin" w:x="-127" w:y="371"/>
                    <w:jc w:val="center"/>
                    <w:rPr>
                      <w:b/>
                      <w:bCs/>
                      <w:color w:val="000000"/>
                      <w:sz w:val="26"/>
                      <w:szCs w:val="26"/>
                    </w:rPr>
                  </w:pPr>
                  <w:r w:rsidRPr="00E21AF2">
                    <w:rPr>
                      <w:b/>
                      <w:bCs/>
                      <w:color w:val="000000"/>
                      <w:sz w:val="26"/>
                      <w:szCs w:val="26"/>
                    </w:rPr>
                    <w:t>420</w:t>
                  </w:r>
                </w:p>
              </w:tc>
              <w:tc>
                <w:tcPr>
                  <w:tcW w:w="1500" w:type="dxa"/>
                  <w:tcBorders>
                    <w:top w:val="nil"/>
                    <w:left w:val="nil"/>
                    <w:bottom w:val="single" w:sz="4" w:space="0" w:color="auto"/>
                    <w:right w:val="single" w:sz="4" w:space="0" w:color="auto"/>
                  </w:tcBorders>
                  <w:shd w:val="clear" w:color="auto" w:fill="auto"/>
                  <w:noWrap/>
                  <w:vAlign w:val="center"/>
                  <w:hideMark/>
                </w:tcPr>
                <w:p w:rsidR="00635ADD" w:rsidRPr="00E21AF2" w:rsidRDefault="00635ADD" w:rsidP="00EE37BB">
                  <w:pPr>
                    <w:framePr w:hSpace="180" w:wrap="around" w:vAnchor="text" w:hAnchor="margin" w:x="-127" w:y="371"/>
                    <w:jc w:val="center"/>
                    <w:rPr>
                      <w:b/>
                      <w:bCs/>
                      <w:color w:val="000000"/>
                      <w:sz w:val="26"/>
                      <w:szCs w:val="26"/>
                    </w:rPr>
                  </w:pPr>
                  <w:r w:rsidRPr="00E21AF2">
                    <w:rPr>
                      <w:b/>
                      <w:bCs/>
                      <w:color w:val="000000"/>
                      <w:sz w:val="26"/>
                      <w:szCs w:val="26"/>
                    </w:rPr>
                    <w:t>15960</w:t>
                  </w:r>
                </w:p>
              </w:tc>
              <w:tc>
                <w:tcPr>
                  <w:tcW w:w="1520" w:type="dxa"/>
                  <w:tcBorders>
                    <w:top w:val="nil"/>
                    <w:left w:val="nil"/>
                    <w:bottom w:val="single" w:sz="4" w:space="0" w:color="auto"/>
                    <w:right w:val="single" w:sz="4" w:space="0" w:color="auto"/>
                  </w:tcBorders>
                  <w:shd w:val="clear" w:color="auto" w:fill="auto"/>
                  <w:noWrap/>
                  <w:vAlign w:val="center"/>
                  <w:hideMark/>
                </w:tcPr>
                <w:p w:rsidR="00635ADD" w:rsidRPr="00E21AF2" w:rsidRDefault="00635ADD" w:rsidP="00EE37BB">
                  <w:pPr>
                    <w:framePr w:hSpace="180" w:wrap="around" w:vAnchor="text" w:hAnchor="margin" w:x="-127" w:y="371"/>
                    <w:jc w:val="center"/>
                    <w:rPr>
                      <w:b/>
                      <w:bCs/>
                      <w:color w:val="000000"/>
                      <w:sz w:val="26"/>
                      <w:szCs w:val="26"/>
                    </w:rPr>
                  </w:pPr>
                  <w:r w:rsidRPr="00E21AF2">
                    <w:rPr>
                      <w:b/>
                      <w:bCs/>
                      <w:color w:val="000000"/>
                      <w:sz w:val="26"/>
                      <w:szCs w:val="26"/>
                    </w:rPr>
                    <w:t>15540</w:t>
                  </w:r>
                </w:p>
              </w:tc>
            </w:tr>
          </w:tbl>
          <w:p w:rsidR="00E4325E" w:rsidRPr="00E21AF2" w:rsidRDefault="00E4325E" w:rsidP="00014D26">
            <w:pPr>
              <w:rPr>
                <w:sz w:val="26"/>
                <w:szCs w:val="26"/>
                <w:lang w:val="lv-LV" w:eastAsia="lv-LV"/>
              </w:rPr>
            </w:pPr>
          </w:p>
        </w:tc>
      </w:tr>
      <w:tr w:rsidR="00E4325E" w:rsidRPr="00EE37BB" w:rsidTr="00E21AF2">
        <w:trPr>
          <w:tblCellSpacing w:w="0" w:type="dxa"/>
        </w:trPr>
        <w:tc>
          <w:tcPr>
            <w:tcW w:w="1433" w:type="dxa"/>
            <w:tcBorders>
              <w:top w:val="outset" w:sz="6" w:space="0" w:color="auto"/>
              <w:bottom w:val="outset" w:sz="6" w:space="0" w:color="auto"/>
              <w:right w:val="outset" w:sz="6" w:space="0" w:color="auto"/>
            </w:tcBorders>
          </w:tcPr>
          <w:p w:rsidR="00E4325E" w:rsidRPr="00E21AF2" w:rsidRDefault="00E4325E" w:rsidP="00014D26">
            <w:pPr>
              <w:rPr>
                <w:sz w:val="26"/>
                <w:szCs w:val="26"/>
                <w:lang w:val="lv-LV" w:eastAsia="lv-LV"/>
              </w:rPr>
            </w:pPr>
            <w:r w:rsidRPr="00E21AF2">
              <w:rPr>
                <w:sz w:val="26"/>
                <w:szCs w:val="26"/>
                <w:lang w:val="lv-LV" w:eastAsia="lv-LV"/>
              </w:rPr>
              <w:lastRenderedPageBreak/>
              <w:t>7. Cita informācija</w:t>
            </w:r>
          </w:p>
        </w:tc>
        <w:tc>
          <w:tcPr>
            <w:tcW w:w="7668" w:type="dxa"/>
            <w:gridSpan w:val="5"/>
            <w:tcBorders>
              <w:top w:val="outset" w:sz="6" w:space="0" w:color="auto"/>
              <w:left w:val="outset" w:sz="6" w:space="0" w:color="auto"/>
              <w:bottom w:val="outset" w:sz="6" w:space="0" w:color="auto"/>
            </w:tcBorders>
          </w:tcPr>
          <w:p w:rsidR="00E4325E" w:rsidRPr="00E21AF2" w:rsidRDefault="00DA15A1" w:rsidP="00014D26">
            <w:pPr>
              <w:ind w:right="52"/>
              <w:jc w:val="both"/>
              <w:rPr>
                <w:sz w:val="26"/>
                <w:szCs w:val="26"/>
                <w:lang w:val="lv-LV" w:eastAsia="lv-LV"/>
              </w:rPr>
            </w:pPr>
            <w:r w:rsidRPr="00E21AF2">
              <w:rPr>
                <w:sz w:val="26"/>
                <w:szCs w:val="26"/>
                <w:lang w:val="lv-LV" w:eastAsia="lv-LV"/>
              </w:rPr>
              <w:t>Attiecībā uz ieraksta izdarīšanu 2013.gadā Uzņēmuma reģistra žurnālā/komercreģistrā par Valsts ieņēmumu dienesta pieņemto lēmumu par nodokļu maksātāja saimnieciskās darbības apturēšanu provizoriski Uzņēmumu reģistram varētu būt nepieciešami valsts budžeta līdzekļi 8712 latu apmērā (gadā veicami aptuveni 2904 ieraksti, no kuriem 1936 ieraksti par pieņemto lēmumu par saimnieciskās darbības apturēšanu, 968 ieraksti par saimnieciskās darbības atjaunošanu).</w:t>
            </w:r>
          </w:p>
        </w:tc>
      </w:tr>
    </w:tbl>
    <w:p w:rsidR="00E4325E" w:rsidRPr="00E21AF2" w:rsidRDefault="00E4325E" w:rsidP="0013525F">
      <w:pPr>
        <w:jc w:val="both"/>
        <w:rPr>
          <w:sz w:val="26"/>
          <w:szCs w:val="26"/>
          <w:lang w:val="lv-LV"/>
        </w:rPr>
      </w:pP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6"/>
        <w:gridCol w:w="3070"/>
        <w:gridCol w:w="5103"/>
      </w:tblGrid>
      <w:tr w:rsidR="00474212" w:rsidRPr="00EE37BB" w:rsidTr="00F234D7">
        <w:trPr>
          <w:tblCellSpacing w:w="0" w:type="dxa"/>
        </w:trPr>
        <w:tc>
          <w:tcPr>
            <w:tcW w:w="9229" w:type="dxa"/>
            <w:gridSpan w:val="3"/>
            <w:tcBorders>
              <w:top w:val="outset" w:sz="6" w:space="0" w:color="auto"/>
              <w:left w:val="outset" w:sz="6" w:space="0" w:color="auto"/>
              <w:bottom w:val="outset" w:sz="6" w:space="0" w:color="auto"/>
              <w:right w:val="outset" w:sz="6" w:space="0" w:color="auto"/>
            </w:tcBorders>
            <w:hideMark/>
          </w:tcPr>
          <w:p w:rsidR="00474212" w:rsidRPr="00E21AF2" w:rsidRDefault="00474212">
            <w:pPr>
              <w:spacing w:before="100" w:beforeAutospacing="1" w:after="100" w:afterAutospacing="1"/>
              <w:jc w:val="center"/>
              <w:rPr>
                <w:b/>
                <w:sz w:val="26"/>
                <w:szCs w:val="26"/>
                <w:lang w:val="lv-LV"/>
              </w:rPr>
            </w:pPr>
            <w:r w:rsidRPr="00E21AF2">
              <w:rPr>
                <w:i/>
                <w:iCs/>
                <w:sz w:val="26"/>
                <w:szCs w:val="26"/>
                <w:lang w:val="lv-LV"/>
              </w:rPr>
              <w:t> </w:t>
            </w:r>
            <w:r w:rsidRPr="00E21AF2">
              <w:rPr>
                <w:b/>
                <w:sz w:val="26"/>
                <w:szCs w:val="26"/>
                <w:lang w:val="lv-LV"/>
              </w:rPr>
              <w:t>IV. Tiesību akta projekta ietekme uz spēkā esošo tiesību normu sistēmu</w:t>
            </w:r>
          </w:p>
        </w:tc>
      </w:tr>
      <w:tr w:rsidR="00474212" w:rsidRPr="00EE37BB" w:rsidTr="000C5038">
        <w:trPr>
          <w:tblCellSpacing w:w="0" w:type="dxa"/>
        </w:trPr>
        <w:tc>
          <w:tcPr>
            <w:tcW w:w="1056" w:type="dxa"/>
            <w:tcBorders>
              <w:top w:val="outset" w:sz="6" w:space="0" w:color="auto"/>
              <w:left w:val="outset" w:sz="6" w:space="0" w:color="auto"/>
              <w:bottom w:val="outset" w:sz="6" w:space="0" w:color="auto"/>
              <w:right w:val="outset" w:sz="6" w:space="0" w:color="auto"/>
            </w:tcBorders>
            <w:hideMark/>
          </w:tcPr>
          <w:p w:rsidR="00474212" w:rsidRPr="00E21AF2" w:rsidRDefault="00474212">
            <w:pPr>
              <w:spacing w:before="100" w:beforeAutospacing="1" w:after="100" w:afterAutospacing="1"/>
              <w:rPr>
                <w:sz w:val="26"/>
                <w:szCs w:val="26"/>
                <w:lang w:val="lv-LV"/>
              </w:rPr>
            </w:pPr>
            <w:r w:rsidRPr="00E21AF2">
              <w:rPr>
                <w:sz w:val="26"/>
                <w:szCs w:val="26"/>
                <w:lang w:val="lv-LV"/>
              </w:rPr>
              <w:t> 1.</w:t>
            </w:r>
          </w:p>
        </w:tc>
        <w:tc>
          <w:tcPr>
            <w:tcW w:w="3070" w:type="dxa"/>
            <w:tcBorders>
              <w:top w:val="outset" w:sz="6" w:space="0" w:color="auto"/>
              <w:left w:val="outset" w:sz="6" w:space="0" w:color="auto"/>
              <w:bottom w:val="outset" w:sz="6" w:space="0" w:color="auto"/>
              <w:right w:val="outset" w:sz="6" w:space="0" w:color="auto"/>
            </w:tcBorders>
            <w:hideMark/>
          </w:tcPr>
          <w:p w:rsidR="00474212" w:rsidRPr="00E21AF2" w:rsidRDefault="00474212">
            <w:pPr>
              <w:spacing w:before="100" w:beforeAutospacing="1" w:after="100" w:afterAutospacing="1"/>
              <w:rPr>
                <w:sz w:val="26"/>
                <w:szCs w:val="26"/>
                <w:lang w:val="lv-LV"/>
              </w:rPr>
            </w:pPr>
            <w:r w:rsidRPr="00E21AF2">
              <w:rPr>
                <w:sz w:val="26"/>
                <w:szCs w:val="26"/>
                <w:lang w:val="lv-LV"/>
              </w:rPr>
              <w:t> Nepieciešamie saistītie tiesību aktu projekti</w:t>
            </w:r>
          </w:p>
        </w:tc>
        <w:tc>
          <w:tcPr>
            <w:tcW w:w="5103" w:type="dxa"/>
            <w:tcBorders>
              <w:top w:val="outset" w:sz="6" w:space="0" w:color="auto"/>
              <w:left w:val="outset" w:sz="6" w:space="0" w:color="auto"/>
              <w:bottom w:val="outset" w:sz="6" w:space="0" w:color="auto"/>
              <w:right w:val="outset" w:sz="6" w:space="0" w:color="auto"/>
            </w:tcBorders>
            <w:hideMark/>
          </w:tcPr>
          <w:p w:rsidR="00B26528" w:rsidRPr="00E21AF2" w:rsidRDefault="00B26528" w:rsidP="00B26528">
            <w:pPr>
              <w:tabs>
                <w:tab w:val="left" w:pos="2628"/>
              </w:tabs>
              <w:jc w:val="both"/>
              <w:rPr>
                <w:iCs/>
                <w:sz w:val="26"/>
                <w:szCs w:val="26"/>
                <w:lang w:val="lv-LV" w:eastAsia="lv-LV"/>
              </w:rPr>
            </w:pPr>
            <w:r w:rsidRPr="00E21AF2">
              <w:rPr>
                <w:iCs/>
                <w:sz w:val="26"/>
                <w:szCs w:val="26"/>
                <w:lang w:val="lv-LV" w:eastAsia="lv-LV"/>
              </w:rPr>
              <w:t>Likumprojekts Ministru kabinetā un Saeimā ir izskatāms vienlaicīgi ar:</w:t>
            </w:r>
          </w:p>
          <w:p w:rsidR="00B26528" w:rsidRPr="00E21AF2" w:rsidRDefault="00472C63" w:rsidP="00A47111">
            <w:pPr>
              <w:spacing w:before="100" w:beforeAutospacing="1" w:after="100" w:afterAutospacing="1"/>
              <w:jc w:val="both"/>
              <w:rPr>
                <w:sz w:val="26"/>
                <w:szCs w:val="26"/>
                <w:lang w:val="lv-LV"/>
              </w:rPr>
            </w:pPr>
            <w:r w:rsidRPr="00E21AF2">
              <w:rPr>
                <w:sz w:val="26"/>
                <w:szCs w:val="26"/>
                <w:lang w:val="lv-LV"/>
              </w:rPr>
              <w:t>likumprojektu</w:t>
            </w:r>
            <w:r w:rsidR="00B26528" w:rsidRPr="00E21AF2">
              <w:rPr>
                <w:sz w:val="26"/>
                <w:szCs w:val="26"/>
                <w:lang w:val="lv-LV"/>
              </w:rPr>
              <w:t xml:space="preserve"> „Grozījumi Latvijas Administratīvo pārkāpumu kodeksā”</w:t>
            </w:r>
            <w:r w:rsidR="00A47111" w:rsidRPr="00E21AF2">
              <w:rPr>
                <w:sz w:val="26"/>
                <w:szCs w:val="26"/>
                <w:lang w:val="lv-LV"/>
              </w:rPr>
              <w:t xml:space="preserve">, kas paredz administratīvo atbildību gadījumā, ja nodokļu maksātājs pēc saimnieciskās darbības apturēšanas turpina veikt darījumus vai arī tas nav novērsis normatīvo aktu pārkāpumus un ir likvidēts, kā arī noteikt atbildību, ja persona uzsāk jaunu darījumu ar nodokļu maksātāju, kam </w:t>
            </w:r>
            <w:r w:rsidR="00063F59" w:rsidRPr="00E21AF2">
              <w:rPr>
                <w:sz w:val="26"/>
                <w:szCs w:val="26"/>
                <w:lang w:val="lv-LV"/>
              </w:rPr>
              <w:t>VID</w:t>
            </w:r>
            <w:r w:rsidR="00A47111" w:rsidRPr="00E21AF2">
              <w:rPr>
                <w:sz w:val="26"/>
                <w:szCs w:val="26"/>
                <w:lang w:val="lv-LV"/>
              </w:rPr>
              <w:t xml:space="preserve"> ir apturējis tā saimniecisko darbību un precizē un papildina normas attiecībā uz atbildību par skaidras naudas lietošanas ierobežojumu neievērošanu.</w:t>
            </w:r>
          </w:p>
          <w:p w:rsidR="00B26528" w:rsidRPr="00E21AF2" w:rsidRDefault="00472C63" w:rsidP="00B26528">
            <w:pPr>
              <w:spacing w:before="100" w:beforeAutospacing="1" w:after="100" w:afterAutospacing="1"/>
              <w:jc w:val="both"/>
              <w:rPr>
                <w:sz w:val="26"/>
                <w:szCs w:val="26"/>
                <w:lang w:val="lv-LV"/>
              </w:rPr>
            </w:pPr>
            <w:r w:rsidRPr="00E21AF2">
              <w:rPr>
                <w:sz w:val="26"/>
                <w:szCs w:val="26"/>
                <w:lang w:val="lv-LV"/>
              </w:rPr>
              <w:t>likumprojektu</w:t>
            </w:r>
            <w:r w:rsidR="00B26528" w:rsidRPr="00E21AF2">
              <w:rPr>
                <w:sz w:val="26"/>
                <w:szCs w:val="26"/>
                <w:lang w:val="lv-LV"/>
              </w:rPr>
              <w:t xml:space="preserve"> „Grozījumi likumā “Par Valsts ieņēmumu dienestu””, kas nosaka  tiesības </w:t>
            </w:r>
            <w:r w:rsidR="00063F59" w:rsidRPr="00E21AF2">
              <w:rPr>
                <w:sz w:val="26"/>
                <w:szCs w:val="26"/>
                <w:lang w:val="lv-LV"/>
              </w:rPr>
              <w:t>VID</w:t>
            </w:r>
            <w:r w:rsidR="00B26528" w:rsidRPr="00E21AF2">
              <w:rPr>
                <w:sz w:val="26"/>
                <w:szCs w:val="26"/>
                <w:lang w:val="lv-LV"/>
              </w:rPr>
              <w:t xml:space="preserve"> ģenerāldirektoram un viņa vietniekiem, </w:t>
            </w:r>
            <w:r w:rsidR="00063F59" w:rsidRPr="00E21AF2">
              <w:rPr>
                <w:sz w:val="26"/>
                <w:szCs w:val="26"/>
                <w:lang w:val="lv-LV"/>
              </w:rPr>
              <w:t>VID</w:t>
            </w:r>
            <w:r w:rsidR="00B26528" w:rsidRPr="00E21AF2">
              <w:rPr>
                <w:sz w:val="26"/>
                <w:szCs w:val="26"/>
                <w:lang w:val="lv-LV"/>
              </w:rPr>
              <w:t xml:space="preserve"> ģenerāldirektora pilnvarotajiem struktūrvienību vadītājiem un viņu vietniekiem nodokļu administrēšanā pieņemt lēmumu par kapitālsabiedrības darbības piespiedu izbeigšanu un likvidāciju – atbildīgā Finanšu ministrija</w:t>
            </w:r>
          </w:p>
          <w:p w:rsidR="008F752E" w:rsidRPr="00E21AF2" w:rsidRDefault="008F752E" w:rsidP="004F4372">
            <w:pPr>
              <w:spacing w:before="100" w:beforeAutospacing="1" w:after="100" w:afterAutospacing="1"/>
              <w:jc w:val="both"/>
              <w:rPr>
                <w:sz w:val="26"/>
                <w:szCs w:val="26"/>
                <w:lang w:val="lv-LV"/>
              </w:rPr>
            </w:pPr>
            <w:r w:rsidRPr="00E21AF2">
              <w:rPr>
                <w:sz w:val="26"/>
                <w:szCs w:val="26"/>
                <w:lang w:val="lv-LV"/>
              </w:rPr>
              <w:lastRenderedPageBreak/>
              <w:t xml:space="preserve">Tieslietu ministrija ir izstrādājusi </w:t>
            </w:r>
            <w:r w:rsidRPr="00E21AF2">
              <w:rPr>
                <w:iCs/>
                <w:sz w:val="26"/>
                <w:szCs w:val="26"/>
                <w:lang w:val="lv-LV"/>
              </w:rPr>
              <w:t xml:space="preserve">likumprojektu „Grozījumi Komerclikumā”, kas ir saistīts ar Finanšu ministrijas izstrādātajiem likumprojektiem, un nosaka, kādus statusus komercsabiedrībā aizliegts ieņemt personai, kurai ir atņemtas vai ierobežotas tiesības uz visu veidu komercdarbību vai uz noteiktiem amatiem komercsabiedrības pārvaldes institūcijās, kā arī paredz regulējumu attiecībā uz sabiedrības darbības izbeigšanu, pamatojoties uz nodokļu administrācijas lēmumu  </w:t>
            </w:r>
            <w:r w:rsidRPr="00E21AF2">
              <w:rPr>
                <w:sz w:val="26"/>
                <w:szCs w:val="26"/>
                <w:lang w:val="lv-LV"/>
              </w:rPr>
              <w:t xml:space="preserve">  - atbildīgā Tieslietu ministrija      </w:t>
            </w:r>
          </w:p>
          <w:p w:rsidR="00474212" w:rsidRPr="00E21AF2" w:rsidRDefault="000C6BE1" w:rsidP="004F4372">
            <w:pPr>
              <w:spacing w:before="100" w:beforeAutospacing="1" w:after="100" w:afterAutospacing="1"/>
              <w:jc w:val="both"/>
              <w:rPr>
                <w:sz w:val="26"/>
                <w:szCs w:val="26"/>
                <w:lang w:val="lv-LV"/>
              </w:rPr>
            </w:pPr>
            <w:r w:rsidRPr="00E21AF2">
              <w:rPr>
                <w:sz w:val="26"/>
                <w:szCs w:val="26"/>
                <w:lang w:val="lv-LV"/>
              </w:rPr>
              <w:t>Ministru kabineta noteikumi, kas nosaka kārtību, kādā sagatavojama un uzglabājama informācija, kas pamato darījumu vērtības (cenas) atbilstību tirgus vērtībai (cenai) darījumos ar saistītajām personām</w:t>
            </w:r>
            <w:r w:rsidR="00EE2361" w:rsidRPr="00E21AF2">
              <w:rPr>
                <w:sz w:val="26"/>
                <w:szCs w:val="26"/>
                <w:lang w:val="lv-LV"/>
              </w:rPr>
              <w:t>.</w:t>
            </w:r>
            <w:r w:rsidR="006B6A87" w:rsidRPr="00E21AF2">
              <w:rPr>
                <w:sz w:val="26"/>
                <w:szCs w:val="26"/>
                <w:lang w:val="lv-LV"/>
              </w:rPr>
              <w:t xml:space="preserve"> – atbildīgā </w:t>
            </w:r>
            <w:r w:rsidR="00F80E22" w:rsidRPr="00E21AF2">
              <w:rPr>
                <w:sz w:val="26"/>
                <w:szCs w:val="26"/>
                <w:lang w:val="lv-LV"/>
              </w:rPr>
              <w:t xml:space="preserve">Finanšu </w:t>
            </w:r>
            <w:r w:rsidR="006B6A87" w:rsidRPr="00E21AF2">
              <w:rPr>
                <w:sz w:val="26"/>
                <w:szCs w:val="26"/>
                <w:lang w:val="lv-LV"/>
              </w:rPr>
              <w:t>ministrija</w:t>
            </w:r>
          </w:p>
          <w:p w:rsidR="008D1432" w:rsidRPr="00E21AF2" w:rsidRDefault="008D1432" w:rsidP="00A20034">
            <w:pPr>
              <w:spacing w:before="100" w:beforeAutospacing="1" w:after="100" w:afterAutospacing="1"/>
              <w:jc w:val="both"/>
              <w:rPr>
                <w:sz w:val="26"/>
                <w:szCs w:val="26"/>
                <w:lang w:val="lv-LV"/>
              </w:rPr>
            </w:pPr>
            <w:r w:rsidRPr="00E21AF2">
              <w:rPr>
                <w:sz w:val="26"/>
                <w:szCs w:val="26"/>
                <w:lang w:val="lv-LV"/>
              </w:rPr>
              <w:t>Saistībā ar likumprojektā iekļautajām normām attiecībā uz saimnieciskās darbības apturēšanu būs nepieciešami grozījumi</w:t>
            </w:r>
            <w:r w:rsidR="00E262F5" w:rsidRPr="00E21AF2">
              <w:rPr>
                <w:sz w:val="26"/>
                <w:szCs w:val="26"/>
                <w:lang w:val="lv-LV"/>
              </w:rPr>
              <w:t xml:space="preserve"> likumā „Par pievienotās vērtības nodokli” un Ministru kabineta 2006.gada 14.novembra noteikumos Nr.933 „Likuma „Par pievienotās vērtības nodokli” normu piemērošanas kārtība”.</w:t>
            </w:r>
          </w:p>
          <w:p w:rsidR="000C6BE1" w:rsidRPr="00E21AF2" w:rsidRDefault="00A20034" w:rsidP="00A20034">
            <w:pPr>
              <w:spacing w:before="100" w:beforeAutospacing="1" w:after="100" w:afterAutospacing="1"/>
              <w:jc w:val="both"/>
              <w:rPr>
                <w:sz w:val="26"/>
                <w:szCs w:val="26"/>
                <w:lang w:val="lv-LV"/>
              </w:rPr>
            </w:pPr>
            <w:r w:rsidRPr="00E21AF2">
              <w:rPr>
                <w:sz w:val="26"/>
                <w:szCs w:val="26"/>
                <w:lang w:val="lv-LV"/>
              </w:rPr>
              <w:t xml:space="preserve">Tiks veikti grozījumi </w:t>
            </w:r>
            <w:r w:rsidR="00EE2361" w:rsidRPr="00E21AF2">
              <w:rPr>
                <w:sz w:val="26"/>
                <w:szCs w:val="26"/>
                <w:lang w:val="lv-LV"/>
              </w:rPr>
              <w:t xml:space="preserve">Ministru kabineta </w:t>
            </w:r>
            <w:r w:rsidRPr="00E21AF2">
              <w:rPr>
                <w:sz w:val="26"/>
                <w:szCs w:val="26"/>
                <w:lang w:val="lv-LV"/>
              </w:rPr>
              <w:t>2007.gada 10.aprīļa noteikumos Nr.237 "Skaidrā naudā veikto darījumu deklarēšanas noteikumi" - nosakāma kārtība</w:t>
            </w:r>
            <w:r w:rsidR="005C66E7" w:rsidRPr="00E21AF2">
              <w:rPr>
                <w:sz w:val="26"/>
                <w:szCs w:val="26"/>
                <w:lang w:val="lv-LV"/>
              </w:rPr>
              <w:t>, kādā deklarējami skaidrās naudas darījum</w:t>
            </w:r>
            <w:r w:rsidR="0069215E" w:rsidRPr="00E21AF2">
              <w:rPr>
                <w:sz w:val="26"/>
                <w:szCs w:val="26"/>
                <w:lang w:val="lv-LV"/>
              </w:rPr>
              <w:t>i starp juridisko un fizisko personu</w:t>
            </w:r>
            <w:r w:rsidR="006B6A87" w:rsidRPr="00E21AF2">
              <w:rPr>
                <w:sz w:val="26"/>
                <w:szCs w:val="26"/>
                <w:lang w:val="lv-LV"/>
              </w:rPr>
              <w:t xml:space="preserve"> – atbildīgā  Finanšu ministrija</w:t>
            </w:r>
          </w:p>
        </w:tc>
      </w:tr>
      <w:tr w:rsidR="00474212" w:rsidRPr="00E21AF2" w:rsidTr="000C5038">
        <w:trPr>
          <w:tblCellSpacing w:w="0" w:type="dxa"/>
        </w:trPr>
        <w:tc>
          <w:tcPr>
            <w:tcW w:w="1056" w:type="dxa"/>
            <w:tcBorders>
              <w:top w:val="outset" w:sz="6" w:space="0" w:color="auto"/>
              <w:left w:val="outset" w:sz="6" w:space="0" w:color="auto"/>
              <w:bottom w:val="outset" w:sz="6" w:space="0" w:color="auto"/>
              <w:right w:val="outset" w:sz="6" w:space="0" w:color="auto"/>
            </w:tcBorders>
            <w:hideMark/>
          </w:tcPr>
          <w:p w:rsidR="00474212" w:rsidRPr="00E21AF2" w:rsidRDefault="00474212">
            <w:pPr>
              <w:spacing w:before="100" w:beforeAutospacing="1" w:after="100" w:afterAutospacing="1"/>
              <w:rPr>
                <w:sz w:val="26"/>
                <w:szCs w:val="26"/>
                <w:lang w:val="lv-LV"/>
              </w:rPr>
            </w:pPr>
            <w:r w:rsidRPr="00E21AF2">
              <w:rPr>
                <w:sz w:val="26"/>
                <w:szCs w:val="26"/>
                <w:lang w:val="lv-LV"/>
              </w:rPr>
              <w:lastRenderedPageBreak/>
              <w:t> 2.</w:t>
            </w:r>
          </w:p>
        </w:tc>
        <w:tc>
          <w:tcPr>
            <w:tcW w:w="3070" w:type="dxa"/>
            <w:tcBorders>
              <w:top w:val="outset" w:sz="6" w:space="0" w:color="auto"/>
              <w:left w:val="outset" w:sz="6" w:space="0" w:color="auto"/>
              <w:bottom w:val="outset" w:sz="6" w:space="0" w:color="auto"/>
              <w:right w:val="outset" w:sz="6" w:space="0" w:color="auto"/>
            </w:tcBorders>
            <w:hideMark/>
          </w:tcPr>
          <w:p w:rsidR="00474212" w:rsidRPr="00E21AF2" w:rsidRDefault="00474212">
            <w:pPr>
              <w:spacing w:before="100" w:beforeAutospacing="1" w:after="100" w:afterAutospacing="1"/>
              <w:rPr>
                <w:sz w:val="26"/>
                <w:szCs w:val="26"/>
                <w:lang w:val="lv-LV"/>
              </w:rPr>
            </w:pPr>
            <w:r w:rsidRPr="00E21AF2">
              <w:rPr>
                <w:sz w:val="26"/>
                <w:szCs w:val="26"/>
                <w:lang w:val="lv-LV"/>
              </w:rPr>
              <w:t> Cita informācija</w:t>
            </w:r>
          </w:p>
        </w:tc>
        <w:tc>
          <w:tcPr>
            <w:tcW w:w="5103" w:type="dxa"/>
            <w:tcBorders>
              <w:top w:val="outset" w:sz="6" w:space="0" w:color="auto"/>
              <w:left w:val="outset" w:sz="6" w:space="0" w:color="auto"/>
              <w:bottom w:val="outset" w:sz="6" w:space="0" w:color="auto"/>
              <w:right w:val="outset" w:sz="6" w:space="0" w:color="auto"/>
            </w:tcBorders>
          </w:tcPr>
          <w:p w:rsidR="00474212" w:rsidRPr="00E21AF2" w:rsidRDefault="00474212">
            <w:pPr>
              <w:spacing w:before="100" w:beforeAutospacing="1" w:after="100" w:afterAutospacing="1"/>
              <w:rPr>
                <w:sz w:val="26"/>
                <w:szCs w:val="26"/>
                <w:lang w:val="lv-LV"/>
              </w:rPr>
            </w:pPr>
            <w:r w:rsidRPr="00E21AF2">
              <w:rPr>
                <w:sz w:val="26"/>
                <w:szCs w:val="26"/>
                <w:lang w:val="lv-LV"/>
              </w:rPr>
              <w:t>Nav</w:t>
            </w:r>
          </w:p>
        </w:tc>
      </w:tr>
    </w:tbl>
    <w:p w:rsidR="006B6A87" w:rsidRPr="00E21AF2" w:rsidRDefault="006B6A87" w:rsidP="006B6A87">
      <w:pPr>
        <w:jc w:val="both"/>
        <w:rPr>
          <w:sz w:val="26"/>
          <w:szCs w:val="26"/>
          <w:lang w:val="lv-LV"/>
        </w:rPr>
      </w:pPr>
    </w:p>
    <w:p w:rsidR="009B36AC" w:rsidRPr="00E21AF2" w:rsidRDefault="009B36AC" w:rsidP="009B36AC">
      <w:pPr>
        <w:pStyle w:val="naiskr"/>
        <w:spacing w:before="0" w:after="0"/>
        <w:jc w:val="both"/>
        <w:rPr>
          <w:i/>
          <w:sz w:val="26"/>
          <w:szCs w:val="2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9B36AC" w:rsidRPr="00E21AF2" w:rsidTr="00014D26">
        <w:tc>
          <w:tcPr>
            <w:tcW w:w="9640" w:type="dxa"/>
          </w:tcPr>
          <w:p w:rsidR="009B36AC" w:rsidRPr="00E21AF2" w:rsidRDefault="009B36AC" w:rsidP="00014D26">
            <w:pPr>
              <w:jc w:val="center"/>
              <w:rPr>
                <w:b/>
                <w:sz w:val="26"/>
                <w:szCs w:val="26"/>
              </w:rPr>
            </w:pPr>
            <w:r w:rsidRPr="00E21AF2">
              <w:rPr>
                <w:b/>
                <w:sz w:val="26"/>
                <w:szCs w:val="26"/>
              </w:rPr>
              <w:t xml:space="preserve">V. </w:t>
            </w:r>
            <w:proofErr w:type="spellStart"/>
            <w:r w:rsidRPr="00E21AF2">
              <w:rPr>
                <w:b/>
                <w:sz w:val="26"/>
                <w:szCs w:val="26"/>
              </w:rPr>
              <w:t>Tiesību</w:t>
            </w:r>
            <w:proofErr w:type="spellEnd"/>
            <w:r w:rsidRPr="00E21AF2">
              <w:rPr>
                <w:b/>
                <w:sz w:val="26"/>
                <w:szCs w:val="26"/>
              </w:rPr>
              <w:t xml:space="preserve"> </w:t>
            </w:r>
            <w:proofErr w:type="spellStart"/>
            <w:r w:rsidRPr="00E21AF2">
              <w:rPr>
                <w:b/>
                <w:sz w:val="26"/>
                <w:szCs w:val="26"/>
              </w:rPr>
              <w:t>akta</w:t>
            </w:r>
            <w:proofErr w:type="spellEnd"/>
            <w:r w:rsidRPr="00E21AF2">
              <w:rPr>
                <w:b/>
                <w:sz w:val="26"/>
                <w:szCs w:val="26"/>
              </w:rPr>
              <w:t xml:space="preserve"> </w:t>
            </w:r>
            <w:proofErr w:type="spellStart"/>
            <w:r w:rsidRPr="00E21AF2">
              <w:rPr>
                <w:b/>
                <w:sz w:val="26"/>
                <w:szCs w:val="26"/>
              </w:rPr>
              <w:t>projekta</w:t>
            </w:r>
            <w:proofErr w:type="spellEnd"/>
            <w:r w:rsidRPr="00E21AF2">
              <w:rPr>
                <w:b/>
                <w:sz w:val="26"/>
                <w:szCs w:val="26"/>
              </w:rPr>
              <w:t xml:space="preserve"> </w:t>
            </w:r>
            <w:proofErr w:type="spellStart"/>
            <w:r w:rsidRPr="00E21AF2">
              <w:rPr>
                <w:b/>
                <w:sz w:val="26"/>
                <w:szCs w:val="26"/>
              </w:rPr>
              <w:t>atbilstība</w:t>
            </w:r>
            <w:proofErr w:type="spellEnd"/>
            <w:r w:rsidRPr="00E21AF2">
              <w:rPr>
                <w:b/>
                <w:sz w:val="26"/>
                <w:szCs w:val="26"/>
              </w:rPr>
              <w:t xml:space="preserve"> </w:t>
            </w:r>
            <w:proofErr w:type="spellStart"/>
            <w:r w:rsidRPr="00E21AF2">
              <w:rPr>
                <w:b/>
                <w:sz w:val="26"/>
                <w:szCs w:val="26"/>
              </w:rPr>
              <w:t>Latvijas</w:t>
            </w:r>
            <w:proofErr w:type="spellEnd"/>
            <w:r w:rsidRPr="00E21AF2">
              <w:rPr>
                <w:b/>
                <w:sz w:val="26"/>
                <w:szCs w:val="26"/>
              </w:rPr>
              <w:t xml:space="preserve"> </w:t>
            </w:r>
            <w:proofErr w:type="spellStart"/>
            <w:r w:rsidRPr="00E21AF2">
              <w:rPr>
                <w:b/>
                <w:sz w:val="26"/>
                <w:szCs w:val="26"/>
              </w:rPr>
              <w:t>Republikas</w:t>
            </w:r>
            <w:proofErr w:type="spellEnd"/>
            <w:r w:rsidRPr="00E21AF2">
              <w:rPr>
                <w:b/>
                <w:sz w:val="26"/>
                <w:szCs w:val="26"/>
              </w:rPr>
              <w:t xml:space="preserve"> </w:t>
            </w:r>
            <w:proofErr w:type="spellStart"/>
            <w:r w:rsidRPr="00E21AF2">
              <w:rPr>
                <w:b/>
                <w:sz w:val="26"/>
                <w:szCs w:val="26"/>
              </w:rPr>
              <w:t>starptautiskajām</w:t>
            </w:r>
            <w:proofErr w:type="spellEnd"/>
            <w:r w:rsidRPr="00E21AF2">
              <w:rPr>
                <w:b/>
                <w:sz w:val="26"/>
                <w:szCs w:val="26"/>
              </w:rPr>
              <w:t xml:space="preserve"> </w:t>
            </w:r>
            <w:proofErr w:type="spellStart"/>
            <w:r w:rsidRPr="00E21AF2">
              <w:rPr>
                <w:b/>
                <w:sz w:val="26"/>
                <w:szCs w:val="26"/>
              </w:rPr>
              <w:t>saistībām</w:t>
            </w:r>
            <w:proofErr w:type="spellEnd"/>
          </w:p>
        </w:tc>
      </w:tr>
      <w:tr w:rsidR="009B36AC" w:rsidRPr="00E21AF2" w:rsidTr="00014D26">
        <w:trPr>
          <w:trHeight w:val="279"/>
        </w:trPr>
        <w:tc>
          <w:tcPr>
            <w:tcW w:w="9640" w:type="dxa"/>
            <w:vAlign w:val="center"/>
          </w:tcPr>
          <w:p w:rsidR="009B36AC" w:rsidRPr="00E21AF2" w:rsidRDefault="009B36AC" w:rsidP="00014D26">
            <w:pPr>
              <w:jc w:val="center"/>
              <w:rPr>
                <w:sz w:val="26"/>
                <w:szCs w:val="26"/>
              </w:rPr>
            </w:pPr>
            <w:proofErr w:type="spellStart"/>
            <w:r w:rsidRPr="00E21AF2">
              <w:rPr>
                <w:sz w:val="26"/>
                <w:szCs w:val="26"/>
              </w:rPr>
              <w:t>Likumprojekts</w:t>
            </w:r>
            <w:proofErr w:type="spellEnd"/>
            <w:r w:rsidRPr="00E21AF2">
              <w:rPr>
                <w:sz w:val="26"/>
                <w:szCs w:val="26"/>
              </w:rPr>
              <w:t xml:space="preserve"> </w:t>
            </w:r>
            <w:proofErr w:type="spellStart"/>
            <w:r w:rsidRPr="00E21AF2">
              <w:rPr>
                <w:sz w:val="26"/>
                <w:szCs w:val="26"/>
              </w:rPr>
              <w:t>šo</w:t>
            </w:r>
            <w:proofErr w:type="spellEnd"/>
            <w:r w:rsidRPr="00E21AF2">
              <w:rPr>
                <w:sz w:val="26"/>
                <w:szCs w:val="26"/>
              </w:rPr>
              <w:t xml:space="preserve"> </w:t>
            </w:r>
            <w:proofErr w:type="spellStart"/>
            <w:r w:rsidRPr="00E21AF2">
              <w:rPr>
                <w:sz w:val="26"/>
                <w:szCs w:val="26"/>
              </w:rPr>
              <w:t>jomu</w:t>
            </w:r>
            <w:proofErr w:type="spellEnd"/>
            <w:r w:rsidRPr="00E21AF2">
              <w:rPr>
                <w:sz w:val="26"/>
                <w:szCs w:val="26"/>
              </w:rPr>
              <w:t xml:space="preserve"> </w:t>
            </w:r>
            <w:proofErr w:type="spellStart"/>
            <w:r w:rsidRPr="00E21AF2">
              <w:rPr>
                <w:sz w:val="26"/>
                <w:szCs w:val="26"/>
              </w:rPr>
              <w:t>neskar</w:t>
            </w:r>
            <w:proofErr w:type="spellEnd"/>
            <w:r w:rsidRPr="00E21AF2">
              <w:rPr>
                <w:sz w:val="26"/>
                <w:szCs w:val="26"/>
              </w:rPr>
              <w:t>.</w:t>
            </w:r>
          </w:p>
        </w:tc>
      </w:tr>
    </w:tbl>
    <w:p w:rsidR="009B36AC" w:rsidRPr="00E21AF2" w:rsidRDefault="009B36AC" w:rsidP="009B36AC">
      <w:pPr>
        <w:pStyle w:val="naiskr"/>
        <w:spacing w:before="0" w:after="0"/>
        <w:jc w:val="both"/>
        <w:rPr>
          <w:i/>
          <w:sz w:val="26"/>
          <w:szCs w:val="26"/>
        </w:rPr>
      </w:pPr>
    </w:p>
    <w:tbl>
      <w:tblPr>
        <w:tblW w:w="9395"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6"/>
        <w:gridCol w:w="339"/>
        <w:gridCol w:w="2912"/>
        <w:gridCol w:w="5812"/>
        <w:gridCol w:w="166"/>
      </w:tblGrid>
      <w:tr w:rsidR="00014D26" w:rsidRPr="00EE37BB" w:rsidTr="00014D26">
        <w:trPr>
          <w:gridBefore w:val="1"/>
          <w:wBefore w:w="166" w:type="dxa"/>
          <w:jc w:val="center"/>
        </w:trPr>
        <w:tc>
          <w:tcPr>
            <w:tcW w:w="9229" w:type="dxa"/>
            <w:gridSpan w:val="4"/>
            <w:tcBorders>
              <w:top w:val="single" w:sz="4" w:space="0" w:color="auto"/>
              <w:left w:val="single" w:sz="4" w:space="0" w:color="auto"/>
              <w:bottom w:val="single" w:sz="4" w:space="0" w:color="auto"/>
              <w:right w:val="single" w:sz="4" w:space="0" w:color="auto"/>
            </w:tcBorders>
          </w:tcPr>
          <w:p w:rsidR="00014D26" w:rsidRPr="00E21AF2" w:rsidRDefault="00014D26" w:rsidP="000C5038">
            <w:pPr>
              <w:pStyle w:val="naisnod"/>
              <w:spacing w:before="0" w:after="0"/>
              <w:ind w:left="57" w:right="57"/>
              <w:jc w:val="center"/>
              <w:rPr>
                <w:b/>
                <w:sz w:val="26"/>
                <w:szCs w:val="26"/>
              </w:rPr>
            </w:pPr>
            <w:r w:rsidRPr="00E21AF2">
              <w:rPr>
                <w:b/>
                <w:sz w:val="26"/>
                <w:szCs w:val="26"/>
              </w:rPr>
              <w:t>VI. Sabiedrības līdzdalība un šīs līdzdalības rezultāti</w:t>
            </w:r>
          </w:p>
        </w:tc>
      </w:tr>
      <w:tr w:rsidR="00014D26" w:rsidRPr="00E21AF2" w:rsidTr="00014D26">
        <w:tblPrEx>
          <w:jc w:val="left"/>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gridAfter w:val="1"/>
          <w:wAfter w:w="166" w:type="dxa"/>
          <w:trHeight w:val="553"/>
          <w:tblCellSpacing w:w="0" w:type="dxa"/>
        </w:trPr>
        <w:tc>
          <w:tcPr>
            <w:tcW w:w="505" w:type="dxa"/>
            <w:gridSpan w:val="2"/>
            <w:tcBorders>
              <w:top w:val="outset" w:sz="6" w:space="0" w:color="auto"/>
              <w:left w:val="outset" w:sz="6" w:space="0" w:color="auto"/>
              <w:bottom w:val="outset" w:sz="6" w:space="0" w:color="auto"/>
              <w:right w:val="outset" w:sz="6" w:space="0" w:color="auto"/>
            </w:tcBorders>
          </w:tcPr>
          <w:p w:rsidR="00014D26" w:rsidRPr="00E21AF2" w:rsidRDefault="00014D26" w:rsidP="00014D26">
            <w:pPr>
              <w:spacing w:before="75" w:after="75"/>
              <w:rPr>
                <w:sz w:val="26"/>
                <w:szCs w:val="26"/>
                <w:lang w:val="lv-LV" w:eastAsia="lv-LV"/>
              </w:rPr>
            </w:pPr>
            <w:r w:rsidRPr="00E21AF2">
              <w:rPr>
                <w:sz w:val="26"/>
                <w:szCs w:val="26"/>
                <w:lang w:val="lv-LV" w:eastAsia="lv-LV"/>
              </w:rPr>
              <w:t> 1.</w:t>
            </w:r>
          </w:p>
        </w:tc>
        <w:tc>
          <w:tcPr>
            <w:tcW w:w="2912" w:type="dxa"/>
            <w:tcBorders>
              <w:top w:val="outset" w:sz="6" w:space="0" w:color="auto"/>
              <w:left w:val="outset" w:sz="6" w:space="0" w:color="auto"/>
              <w:bottom w:val="outset" w:sz="6" w:space="0" w:color="auto"/>
              <w:right w:val="outset" w:sz="6" w:space="0" w:color="auto"/>
            </w:tcBorders>
          </w:tcPr>
          <w:p w:rsidR="00014D26" w:rsidRPr="00E21AF2" w:rsidRDefault="00014D26" w:rsidP="00014D26">
            <w:pPr>
              <w:spacing w:before="75" w:after="75"/>
              <w:rPr>
                <w:sz w:val="26"/>
                <w:szCs w:val="26"/>
                <w:lang w:val="lv-LV" w:eastAsia="lv-LV"/>
              </w:rPr>
            </w:pPr>
            <w:r w:rsidRPr="00E21AF2">
              <w:rPr>
                <w:sz w:val="26"/>
                <w:szCs w:val="26"/>
                <w:lang w:val="lv-LV" w:eastAsia="lv-LV"/>
              </w:rPr>
              <w:t xml:space="preserve"> Sabiedrības informēšana par projekta izstrādes </w:t>
            </w:r>
            <w:r w:rsidRPr="00E21AF2">
              <w:rPr>
                <w:sz w:val="26"/>
                <w:szCs w:val="26"/>
                <w:lang w:val="lv-LV" w:eastAsia="lv-LV"/>
              </w:rPr>
              <w:lastRenderedPageBreak/>
              <w:t>uzsākšanu</w:t>
            </w:r>
          </w:p>
        </w:tc>
        <w:tc>
          <w:tcPr>
            <w:tcW w:w="5812" w:type="dxa"/>
            <w:tcBorders>
              <w:top w:val="outset" w:sz="6" w:space="0" w:color="auto"/>
              <w:left w:val="outset" w:sz="6" w:space="0" w:color="auto"/>
              <w:bottom w:val="outset" w:sz="6" w:space="0" w:color="auto"/>
              <w:right w:val="outset" w:sz="6" w:space="0" w:color="auto"/>
            </w:tcBorders>
          </w:tcPr>
          <w:p w:rsidR="00014D26" w:rsidRPr="00E21AF2" w:rsidRDefault="00014D26" w:rsidP="00014D26">
            <w:pPr>
              <w:spacing w:before="75" w:after="75"/>
              <w:ind w:firstLine="278"/>
              <w:jc w:val="both"/>
              <w:rPr>
                <w:sz w:val="26"/>
                <w:szCs w:val="26"/>
                <w:lang w:val="lv-LV" w:eastAsia="lv-LV"/>
              </w:rPr>
            </w:pPr>
            <w:r w:rsidRPr="00E21AF2">
              <w:rPr>
                <w:sz w:val="26"/>
                <w:szCs w:val="26"/>
                <w:lang w:val="lv-LV" w:eastAsia="lv-LV"/>
              </w:rPr>
              <w:lastRenderedPageBreak/>
              <w:t>Ministrijā ir notikusi sanāksme par transfertcenu regulējumu.</w:t>
            </w:r>
          </w:p>
        </w:tc>
      </w:tr>
      <w:tr w:rsidR="00014D26" w:rsidRPr="00E21AF2" w:rsidTr="00014D26">
        <w:tblPrEx>
          <w:jc w:val="left"/>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gridAfter w:val="1"/>
          <w:wAfter w:w="166" w:type="dxa"/>
          <w:trHeight w:val="339"/>
          <w:tblCellSpacing w:w="0" w:type="dxa"/>
        </w:trPr>
        <w:tc>
          <w:tcPr>
            <w:tcW w:w="505" w:type="dxa"/>
            <w:gridSpan w:val="2"/>
            <w:tcBorders>
              <w:top w:val="outset" w:sz="6" w:space="0" w:color="auto"/>
              <w:left w:val="outset" w:sz="6" w:space="0" w:color="auto"/>
              <w:bottom w:val="outset" w:sz="6" w:space="0" w:color="auto"/>
              <w:right w:val="outset" w:sz="6" w:space="0" w:color="auto"/>
            </w:tcBorders>
          </w:tcPr>
          <w:p w:rsidR="00014D26" w:rsidRPr="00E21AF2" w:rsidRDefault="00014D26" w:rsidP="00014D26">
            <w:pPr>
              <w:spacing w:before="75" w:after="75"/>
              <w:rPr>
                <w:sz w:val="26"/>
                <w:szCs w:val="26"/>
                <w:lang w:val="lv-LV" w:eastAsia="lv-LV"/>
              </w:rPr>
            </w:pPr>
            <w:r w:rsidRPr="00E21AF2">
              <w:rPr>
                <w:sz w:val="26"/>
                <w:szCs w:val="26"/>
                <w:lang w:val="lv-LV" w:eastAsia="lv-LV"/>
              </w:rPr>
              <w:lastRenderedPageBreak/>
              <w:t> 2.</w:t>
            </w:r>
          </w:p>
        </w:tc>
        <w:tc>
          <w:tcPr>
            <w:tcW w:w="2912" w:type="dxa"/>
            <w:tcBorders>
              <w:top w:val="outset" w:sz="6" w:space="0" w:color="auto"/>
              <w:left w:val="outset" w:sz="6" w:space="0" w:color="auto"/>
              <w:bottom w:val="outset" w:sz="6" w:space="0" w:color="auto"/>
              <w:right w:val="outset" w:sz="6" w:space="0" w:color="auto"/>
            </w:tcBorders>
          </w:tcPr>
          <w:p w:rsidR="00014D26" w:rsidRPr="00E21AF2" w:rsidRDefault="00014D26" w:rsidP="00014D26">
            <w:pPr>
              <w:spacing w:before="75" w:after="75"/>
              <w:rPr>
                <w:sz w:val="26"/>
                <w:szCs w:val="26"/>
                <w:lang w:val="lv-LV" w:eastAsia="lv-LV"/>
              </w:rPr>
            </w:pPr>
            <w:r w:rsidRPr="00E21AF2">
              <w:rPr>
                <w:sz w:val="26"/>
                <w:szCs w:val="26"/>
                <w:lang w:val="lv-LV" w:eastAsia="lv-LV"/>
              </w:rPr>
              <w:t> Sabiedrības līdzdalība projekta izstrādē</w:t>
            </w:r>
          </w:p>
        </w:tc>
        <w:tc>
          <w:tcPr>
            <w:tcW w:w="5812" w:type="dxa"/>
            <w:tcBorders>
              <w:top w:val="outset" w:sz="6" w:space="0" w:color="auto"/>
              <w:left w:val="outset" w:sz="6" w:space="0" w:color="auto"/>
              <w:bottom w:val="outset" w:sz="6" w:space="0" w:color="auto"/>
              <w:right w:val="outset" w:sz="6" w:space="0" w:color="auto"/>
            </w:tcBorders>
          </w:tcPr>
          <w:p w:rsidR="00014D26" w:rsidRPr="00E21AF2" w:rsidRDefault="00014D26" w:rsidP="00014D26">
            <w:pPr>
              <w:spacing w:before="75" w:after="75"/>
              <w:ind w:firstLine="165"/>
              <w:jc w:val="both"/>
              <w:rPr>
                <w:sz w:val="26"/>
                <w:szCs w:val="26"/>
                <w:lang w:val="lv-LV" w:eastAsia="lv-LV"/>
              </w:rPr>
            </w:pPr>
            <w:r w:rsidRPr="00E21AF2">
              <w:rPr>
                <w:sz w:val="26"/>
                <w:szCs w:val="26"/>
                <w:lang w:val="lv-LV" w:eastAsia="lv-LV"/>
              </w:rPr>
              <w:t>Sanāksmē piedalījās SIA „</w:t>
            </w:r>
            <w:proofErr w:type="spellStart"/>
            <w:r w:rsidRPr="00E21AF2">
              <w:rPr>
                <w:sz w:val="26"/>
                <w:szCs w:val="26"/>
                <w:lang w:val="lv-LV" w:eastAsia="lv-LV"/>
              </w:rPr>
              <w:t>Pricewaterhousecoopers</w:t>
            </w:r>
            <w:proofErr w:type="spellEnd"/>
            <w:r w:rsidRPr="00E21AF2">
              <w:rPr>
                <w:sz w:val="26"/>
                <w:szCs w:val="26"/>
                <w:lang w:val="lv-LV" w:eastAsia="lv-LV"/>
              </w:rPr>
              <w:t xml:space="preserve">”, </w:t>
            </w:r>
            <w:proofErr w:type="spellStart"/>
            <w:r w:rsidRPr="00E21AF2">
              <w:rPr>
                <w:sz w:val="26"/>
                <w:szCs w:val="26"/>
                <w:lang w:val="lv-LV" w:eastAsia="lv-LV"/>
              </w:rPr>
              <w:t>Deloitte</w:t>
            </w:r>
            <w:proofErr w:type="spellEnd"/>
            <w:r w:rsidRPr="00E21AF2">
              <w:rPr>
                <w:sz w:val="26"/>
                <w:szCs w:val="26"/>
                <w:lang w:val="lv-LV" w:eastAsia="lv-LV"/>
              </w:rPr>
              <w:t>,</w:t>
            </w:r>
            <w:r w:rsidRPr="00E21AF2">
              <w:rPr>
                <w:color w:val="2F2F2F"/>
                <w:sz w:val="26"/>
                <w:szCs w:val="26"/>
                <w:lang w:val="lv-LV"/>
              </w:rPr>
              <w:t xml:space="preserve"> SIA „</w:t>
            </w:r>
            <w:proofErr w:type="spellStart"/>
            <w:r w:rsidRPr="00E21AF2">
              <w:rPr>
                <w:color w:val="2F2F2F"/>
                <w:sz w:val="26"/>
                <w:szCs w:val="26"/>
                <w:lang w:val="lv-LV"/>
              </w:rPr>
              <w:t>Ernst</w:t>
            </w:r>
            <w:proofErr w:type="spellEnd"/>
            <w:r w:rsidRPr="00E21AF2">
              <w:rPr>
                <w:color w:val="2F2F2F"/>
                <w:sz w:val="26"/>
                <w:szCs w:val="26"/>
                <w:lang w:val="lv-LV"/>
              </w:rPr>
              <w:t xml:space="preserve"> &amp; </w:t>
            </w:r>
            <w:proofErr w:type="spellStart"/>
            <w:r w:rsidRPr="00E21AF2">
              <w:rPr>
                <w:color w:val="2F2F2F"/>
                <w:sz w:val="26"/>
                <w:szCs w:val="26"/>
                <w:lang w:val="lv-LV"/>
              </w:rPr>
              <w:t>Young</w:t>
            </w:r>
            <w:proofErr w:type="spellEnd"/>
            <w:r w:rsidRPr="00E21AF2">
              <w:rPr>
                <w:color w:val="2F2F2F"/>
                <w:sz w:val="26"/>
                <w:szCs w:val="26"/>
                <w:lang w:val="lv-LV"/>
              </w:rPr>
              <w:t xml:space="preserve"> </w:t>
            </w:r>
            <w:proofErr w:type="spellStart"/>
            <w:r w:rsidRPr="00E21AF2">
              <w:rPr>
                <w:color w:val="2F2F2F"/>
                <w:sz w:val="26"/>
                <w:szCs w:val="26"/>
                <w:lang w:val="lv-LV"/>
              </w:rPr>
              <w:t>Baltic</w:t>
            </w:r>
            <w:proofErr w:type="spellEnd"/>
            <w:r w:rsidRPr="00E21AF2">
              <w:rPr>
                <w:color w:val="2F2F2F"/>
                <w:sz w:val="26"/>
                <w:szCs w:val="26"/>
                <w:lang w:val="lv-LV"/>
              </w:rPr>
              <w:t>”</w:t>
            </w:r>
            <w:r w:rsidRPr="00E21AF2">
              <w:rPr>
                <w:sz w:val="26"/>
                <w:szCs w:val="26"/>
                <w:lang w:val="lv-LV"/>
              </w:rPr>
              <w:t>, Latvijas Zvērinātu revidentu asociācija</w:t>
            </w:r>
          </w:p>
        </w:tc>
      </w:tr>
      <w:tr w:rsidR="00014D26" w:rsidRPr="00EE37BB" w:rsidTr="00014D26">
        <w:tblPrEx>
          <w:jc w:val="left"/>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gridAfter w:val="1"/>
          <w:wAfter w:w="166" w:type="dxa"/>
          <w:trHeight w:val="375"/>
          <w:tblCellSpacing w:w="0" w:type="dxa"/>
        </w:trPr>
        <w:tc>
          <w:tcPr>
            <w:tcW w:w="505" w:type="dxa"/>
            <w:gridSpan w:val="2"/>
            <w:tcBorders>
              <w:top w:val="outset" w:sz="6" w:space="0" w:color="auto"/>
              <w:left w:val="outset" w:sz="6" w:space="0" w:color="auto"/>
              <w:bottom w:val="outset" w:sz="6" w:space="0" w:color="auto"/>
              <w:right w:val="outset" w:sz="6" w:space="0" w:color="auto"/>
            </w:tcBorders>
          </w:tcPr>
          <w:p w:rsidR="00014D26" w:rsidRPr="00E21AF2" w:rsidRDefault="00014D26" w:rsidP="00014D26">
            <w:pPr>
              <w:spacing w:before="75" w:after="75"/>
              <w:rPr>
                <w:sz w:val="26"/>
                <w:szCs w:val="26"/>
                <w:lang w:val="lv-LV" w:eastAsia="lv-LV"/>
              </w:rPr>
            </w:pPr>
            <w:r w:rsidRPr="00E21AF2">
              <w:rPr>
                <w:sz w:val="26"/>
                <w:szCs w:val="26"/>
                <w:lang w:val="lv-LV" w:eastAsia="lv-LV"/>
              </w:rPr>
              <w:t> 3.</w:t>
            </w:r>
          </w:p>
        </w:tc>
        <w:tc>
          <w:tcPr>
            <w:tcW w:w="2912" w:type="dxa"/>
            <w:tcBorders>
              <w:top w:val="outset" w:sz="6" w:space="0" w:color="auto"/>
              <w:left w:val="outset" w:sz="6" w:space="0" w:color="auto"/>
              <w:bottom w:val="outset" w:sz="6" w:space="0" w:color="auto"/>
              <w:right w:val="outset" w:sz="6" w:space="0" w:color="auto"/>
            </w:tcBorders>
          </w:tcPr>
          <w:p w:rsidR="00014D26" w:rsidRPr="00E21AF2" w:rsidRDefault="00014D26" w:rsidP="00014D26">
            <w:pPr>
              <w:spacing w:before="75" w:after="75"/>
              <w:rPr>
                <w:sz w:val="26"/>
                <w:szCs w:val="26"/>
                <w:lang w:val="lv-LV" w:eastAsia="lv-LV"/>
              </w:rPr>
            </w:pPr>
            <w:r w:rsidRPr="00E21AF2">
              <w:rPr>
                <w:sz w:val="26"/>
                <w:szCs w:val="26"/>
                <w:lang w:val="lv-LV" w:eastAsia="lv-LV"/>
              </w:rPr>
              <w:t> Sabiedrības līdzdalības rezultāti</w:t>
            </w:r>
          </w:p>
        </w:tc>
        <w:tc>
          <w:tcPr>
            <w:tcW w:w="5812" w:type="dxa"/>
            <w:tcBorders>
              <w:top w:val="outset" w:sz="6" w:space="0" w:color="auto"/>
              <w:left w:val="outset" w:sz="6" w:space="0" w:color="auto"/>
              <w:bottom w:val="outset" w:sz="6" w:space="0" w:color="auto"/>
              <w:right w:val="outset" w:sz="6" w:space="0" w:color="auto"/>
            </w:tcBorders>
          </w:tcPr>
          <w:p w:rsidR="00014D26" w:rsidRPr="00E21AF2" w:rsidRDefault="000C5038" w:rsidP="00014D26">
            <w:pPr>
              <w:spacing w:before="75" w:after="75"/>
              <w:ind w:firstLine="165"/>
              <w:jc w:val="both"/>
              <w:rPr>
                <w:sz w:val="26"/>
                <w:szCs w:val="26"/>
                <w:lang w:val="lv-LV" w:eastAsia="lv-LV"/>
              </w:rPr>
            </w:pPr>
            <w:r w:rsidRPr="00E21AF2">
              <w:rPr>
                <w:sz w:val="26"/>
                <w:szCs w:val="26"/>
                <w:lang w:val="lv-LV" w:eastAsia="lv-LV"/>
              </w:rPr>
              <w:t>Sanāksmes</w:t>
            </w:r>
            <w:r w:rsidR="00014D26" w:rsidRPr="00E21AF2">
              <w:rPr>
                <w:sz w:val="26"/>
                <w:szCs w:val="26"/>
                <w:lang w:val="lv-LV" w:eastAsia="lv-LV"/>
              </w:rPr>
              <w:t xml:space="preserve"> rezultātā tika panākta vienošanās par transfertcenu regulējuma iekļaušanu likumā „Par nodokļiem un nodevām, kā arī panākta vienošanās par maksas noteikšanu par iepriekšējās vienošanās noslēgšanu.</w:t>
            </w:r>
          </w:p>
          <w:p w:rsidR="00E70F2E" w:rsidRPr="00E21AF2" w:rsidRDefault="00E70F2E" w:rsidP="00014D26">
            <w:pPr>
              <w:spacing w:before="75" w:after="75"/>
              <w:ind w:firstLine="165"/>
              <w:jc w:val="both"/>
              <w:rPr>
                <w:sz w:val="26"/>
                <w:szCs w:val="26"/>
                <w:lang w:val="lv-LV" w:eastAsia="lv-LV"/>
              </w:rPr>
            </w:pPr>
            <w:r w:rsidRPr="00E21AF2">
              <w:rPr>
                <w:sz w:val="26"/>
                <w:szCs w:val="26"/>
                <w:lang w:val="lv-LV" w:eastAsia="lv-LV"/>
              </w:rPr>
              <w:t>Ar Latvijas Darba devēju konfederāciju ir notikusi vienošanās par vienkāršotās likvidācijas virzīšanu, kā rezultātā tiks nodrošināta „tīra” uzņēmējdarbības vide un darījuma partneri tiks pasargāti no dažādiem negatīviem procesiem, kuros var tikt iesaistīti negodīgo uzņēmumu rīcības dēļ.</w:t>
            </w:r>
          </w:p>
        </w:tc>
      </w:tr>
      <w:tr w:rsidR="00014D26" w:rsidRPr="00E21AF2" w:rsidTr="00014D26">
        <w:tblPrEx>
          <w:jc w:val="left"/>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gridAfter w:val="1"/>
          <w:wAfter w:w="166" w:type="dxa"/>
          <w:trHeight w:val="397"/>
          <w:tblCellSpacing w:w="0" w:type="dxa"/>
        </w:trPr>
        <w:tc>
          <w:tcPr>
            <w:tcW w:w="505" w:type="dxa"/>
            <w:gridSpan w:val="2"/>
            <w:tcBorders>
              <w:top w:val="outset" w:sz="6" w:space="0" w:color="auto"/>
              <w:left w:val="outset" w:sz="6" w:space="0" w:color="auto"/>
              <w:bottom w:val="outset" w:sz="6" w:space="0" w:color="auto"/>
              <w:right w:val="outset" w:sz="6" w:space="0" w:color="auto"/>
            </w:tcBorders>
          </w:tcPr>
          <w:p w:rsidR="00014D26" w:rsidRPr="00E21AF2" w:rsidRDefault="00014D26" w:rsidP="00014D26">
            <w:pPr>
              <w:spacing w:before="75" w:after="75"/>
              <w:rPr>
                <w:sz w:val="26"/>
                <w:szCs w:val="26"/>
                <w:lang w:val="lv-LV" w:eastAsia="lv-LV"/>
              </w:rPr>
            </w:pPr>
            <w:r w:rsidRPr="00E21AF2">
              <w:rPr>
                <w:sz w:val="26"/>
                <w:szCs w:val="26"/>
                <w:lang w:val="lv-LV" w:eastAsia="lv-LV"/>
              </w:rPr>
              <w:t> 4.</w:t>
            </w:r>
          </w:p>
        </w:tc>
        <w:tc>
          <w:tcPr>
            <w:tcW w:w="2912" w:type="dxa"/>
            <w:tcBorders>
              <w:top w:val="outset" w:sz="6" w:space="0" w:color="auto"/>
              <w:left w:val="outset" w:sz="6" w:space="0" w:color="auto"/>
              <w:bottom w:val="outset" w:sz="6" w:space="0" w:color="auto"/>
              <w:right w:val="outset" w:sz="6" w:space="0" w:color="auto"/>
            </w:tcBorders>
          </w:tcPr>
          <w:p w:rsidR="00014D26" w:rsidRPr="00E21AF2" w:rsidRDefault="00014D26" w:rsidP="00014D26">
            <w:pPr>
              <w:spacing w:before="75" w:after="75"/>
              <w:rPr>
                <w:sz w:val="26"/>
                <w:szCs w:val="26"/>
                <w:lang w:val="lv-LV" w:eastAsia="lv-LV"/>
              </w:rPr>
            </w:pPr>
            <w:r w:rsidRPr="00E21AF2">
              <w:rPr>
                <w:sz w:val="26"/>
                <w:szCs w:val="26"/>
                <w:lang w:val="lv-LV" w:eastAsia="lv-LV"/>
              </w:rPr>
              <w:t> Saeimas un ekspertu līdzdalība</w:t>
            </w:r>
          </w:p>
        </w:tc>
        <w:tc>
          <w:tcPr>
            <w:tcW w:w="5812" w:type="dxa"/>
            <w:tcBorders>
              <w:top w:val="outset" w:sz="6" w:space="0" w:color="auto"/>
              <w:left w:val="outset" w:sz="6" w:space="0" w:color="auto"/>
              <w:bottom w:val="outset" w:sz="6" w:space="0" w:color="auto"/>
              <w:right w:val="outset" w:sz="6" w:space="0" w:color="auto"/>
            </w:tcBorders>
          </w:tcPr>
          <w:p w:rsidR="00014D26" w:rsidRPr="00E21AF2" w:rsidRDefault="000C5038" w:rsidP="00014D26">
            <w:pPr>
              <w:spacing w:before="75" w:after="75"/>
              <w:ind w:firstLine="165"/>
              <w:jc w:val="both"/>
              <w:rPr>
                <w:sz w:val="26"/>
                <w:szCs w:val="26"/>
                <w:lang w:val="lv-LV" w:eastAsia="lv-LV"/>
              </w:rPr>
            </w:pPr>
            <w:r w:rsidRPr="00E21AF2">
              <w:rPr>
                <w:sz w:val="26"/>
                <w:szCs w:val="26"/>
                <w:lang w:val="lv-LV" w:eastAsia="lv-LV"/>
              </w:rPr>
              <w:t>Nav</w:t>
            </w:r>
          </w:p>
        </w:tc>
      </w:tr>
      <w:tr w:rsidR="00014D26" w:rsidRPr="00E21AF2" w:rsidTr="00014D26">
        <w:tblPrEx>
          <w:jc w:val="left"/>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gridAfter w:val="1"/>
          <w:wAfter w:w="166" w:type="dxa"/>
          <w:trHeight w:val="476"/>
          <w:tblCellSpacing w:w="0" w:type="dxa"/>
        </w:trPr>
        <w:tc>
          <w:tcPr>
            <w:tcW w:w="505" w:type="dxa"/>
            <w:gridSpan w:val="2"/>
            <w:tcBorders>
              <w:top w:val="outset" w:sz="6" w:space="0" w:color="auto"/>
              <w:left w:val="outset" w:sz="6" w:space="0" w:color="auto"/>
              <w:bottom w:val="outset" w:sz="6" w:space="0" w:color="auto"/>
              <w:right w:val="outset" w:sz="6" w:space="0" w:color="auto"/>
            </w:tcBorders>
          </w:tcPr>
          <w:p w:rsidR="00014D26" w:rsidRPr="00E21AF2" w:rsidRDefault="00014D26" w:rsidP="00014D26">
            <w:pPr>
              <w:spacing w:before="75" w:after="75"/>
              <w:rPr>
                <w:sz w:val="26"/>
                <w:szCs w:val="26"/>
                <w:lang w:val="lv-LV" w:eastAsia="lv-LV"/>
              </w:rPr>
            </w:pPr>
            <w:r w:rsidRPr="00E21AF2">
              <w:rPr>
                <w:sz w:val="26"/>
                <w:szCs w:val="26"/>
                <w:lang w:val="lv-LV" w:eastAsia="lv-LV"/>
              </w:rPr>
              <w:t> 5.</w:t>
            </w:r>
          </w:p>
        </w:tc>
        <w:tc>
          <w:tcPr>
            <w:tcW w:w="2912" w:type="dxa"/>
            <w:tcBorders>
              <w:top w:val="outset" w:sz="6" w:space="0" w:color="auto"/>
              <w:left w:val="outset" w:sz="6" w:space="0" w:color="auto"/>
              <w:bottom w:val="outset" w:sz="6" w:space="0" w:color="auto"/>
              <w:right w:val="outset" w:sz="6" w:space="0" w:color="auto"/>
            </w:tcBorders>
          </w:tcPr>
          <w:p w:rsidR="00014D26" w:rsidRPr="00E21AF2" w:rsidRDefault="00014D26" w:rsidP="00014D26">
            <w:pPr>
              <w:spacing w:before="75" w:after="75"/>
              <w:rPr>
                <w:sz w:val="26"/>
                <w:szCs w:val="26"/>
                <w:lang w:val="lv-LV" w:eastAsia="lv-LV"/>
              </w:rPr>
            </w:pPr>
            <w:r w:rsidRPr="00E21AF2">
              <w:rPr>
                <w:sz w:val="26"/>
                <w:szCs w:val="26"/>
                <w:lang w:val="lv-LV" w:eastAsia="lv-LV"/>
              </w:rPr>
              <w:t> Cita informācija</w:t>
            </w:r>
          </w:p>
        </w:tc>
        <w:tc>
          <w:tcPr>
            <w:tcW w:w="5812" w:type="dxa"/>
            <w:tcBorders>
              <w:top w:val="outset" w:sz="6" w:space="0" w:color="auto"/>
              <w:left w:val="outset" w:sz="6" w:space="0" w:color="auto"/>
              <w:bottom w:val="outset" w:sz="6" w:space="0" w:color="auto"/>
              <w:right w:val="outset" w:sz="6" w:space="0" w:color="auto"/>
            </w:tcBorders>
          </w:tcPr>
          <w:p w:rsidR="00014D26" w:rsidRPr="00E21AF2" w:rsidRDefault="00014D26" w:rsidP="00014D26">
            <w:pPr>
              <w:spacing w:before="75" w:after="75"/>
              <w:ind w:firstLine="165"/>
              <w:rPr>
                <w:sz w:val="26"/>
                <w:szCs w:val="26"/>
                <w:lang w:val="lv-LV" w:eastAsia="lv-LV"/>
              </w:rPr>
            </w:pPr>
            <w:r w:rsidRPr="00E21AF2">
              <w:rPr>
                <w:sz w:val="26"/>
                <w:szCs w:val="26"/>
                <w:lang w:val="lv-LV" w:eastAsia="lv-LV"/>
              </w:rPr>
              <w:t>Nav</w:t>
            </w:r>
          </w:p>
        </w:tc>
      </w:tr>
    </w:tbl>
    <w:p w:rsidR="009B36AC" w:rsidRPr="00E21AF2" w:rsidRDefault="009B36AC" w:rsidP="009B36AC">
      <w:pPr>
        <w:rPr>
          <w:color w:val="000000"/>
          <w:sz w:val="26"/>
          <w:szCs w:val="26"/>
          <w:lang w:val="lv-LV"/>
        </w:rPr>
      </w:pPr>
    </w:p>
    <w:p w:rsidR="006B6A87" w:rsidRPr="00E21AF2" w:rsidRDefault="006B6A87" w:rsidP="006B6A87">
      <w:pPr>
        <w:jc w:val="both"/>
        <w:rPr>
          <w:sz w:val="26"/>
          <w:szCs w:val="26"/>
          <w:lang w:val="lv-LV"/>
        </w:rPr>
      </w:pPr>
    </w:p>
    <w:p w:rsidR="006B6A87" w:rsidRPr="00E21AF2" w:rsidRDefault="006B6A87" w:rsidP="0013525F">
      <w:pPr>
        <w:jc w:val="both"/>
        <w:rPr>
          <w:sz w:val="26"/>
          <w:szCs w:val="26"/>
          <w:lang w:val="lv-LV"/>
        </w:rPr>
      </w:pPr>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08"/>
        <w:gridCol w:w="2909"/>
        <w:gridCol w:w="5778"/>
      </w:tblGrid>
      <w:tr w:rsidR="0013525F" w:rsidRPr="00EE37BB" w:rsidTr="00014D26">
        <w:trPr>
          <w:tblCellSpacing w:w="0" w:type="dxa"/>
        </w:trPr>
        <w:tc>
          <w:tcPr>
            <w:tcW w:w="9195" w:type="dxa"/>
            <w:gridSpan w:val="3"/>
            <w:tcBorders>
              <w:top w:val="outset" w:sz="6" w:space="0" w:color="auto"/>
              <w:left w:val="outset" w:sz="6" w:space="0" w:color="auto"/>
              <w:bottom w:val="outset" w:sz="6" w:space="0" w:color="auto"/>
              <w:right w:val="outset" w:sz="6" w:space="0" w:color="auto"/>
            </w:tcBorders>
          </w:tcPr>
          <w:p w:rsidR="0013525F" w:rsidRPr="00E21AF2" w:rsidRDefault="0013525F" w:rsidP="00014D26">
            <w:pPr>
              <w:pStyle w:val="naisc"/>
              <w:jc w:val="center"/>
              <w:rPr>
                <w:sz w:val="26"/>
                <w:szCs w:val="26"/>
              </w:rPr>
            </w:pPr>
            <w:r w:rsidRPr="00E21AF2">
              <w:rPr>
                <w:b/>
                <w:bCs/>
                <w:sz w:val="26"/>
                <w:szCs w:val="26"/>
              </w:rPr>
              <w:t>VII. Tiesību akta projekta izpildes nodrošināšana un tās ietekme uz institūcijām</w:t>
            </w:r>
          </w:p>
        </w:tc>
      </w:tr>
      <w:tr w:rsidR="0013525F" w:rsidRPr="00E21AF2" w:rsidTr="000C5038">
        <w:trPr>
          <w:trHeight w:val="427"/>
          <w:tblCellSpacing w:w="0" w:type="dxa"/>
        </w:trPr>
        <w:tc>
          <w:tcPr>
            <w:tcW w:w="508" w:type="dxa"/>
            <w:tcBorders>
              <w:top w:val="outset" w:sz="6" w:space="0" w:color="auto"/>
              <w:left w:val="outset" w:sz="6" w:space="0" w:color="auto"/>
              <w:bottom w:val="outset" w:sz="6" w:space="0" w:color="auto"/>
              <w:right w:val="outset" w:sz="6" w:space="0" w:color="auto"/>
            </w:tcBorders>
          </w:tcPr>
          <w:p w:rsidR="0013525F" w:rsidRPr="00E21AF2" w:rsidRDefault="0013525F" w:rsidP="00014D26">
            <w:pPr>
              <w:pStyle w:val="naiskr"/>
              <w:rPr>
                <w:sz w:val="26"/>
                <w:szCs w:val="26"/>
              </w:rPr>
            </w:pPr>
            <w:r w:rsidRPr="00E21AF2">
              <w:rPr>
                <w:sz w:val="26"/>
                <w:szCs w:val="26"/>
              </w:rPr>
              <w:t> 1.</w:t>
            </w:r>
          </w:p>
        </w:tc>
        <w:tc>
          <w:tcPr>
            <w:tcW w:w="2909" w:type="dxa"/>
            <w:tcBorders>
              <w:top w:val="outset" w:sz="6" w:space="0" w:color="auto"/>
              <w:left w:val="outset" w:sz="6" w:space="0" w:color="auto"/>
              <w:bottom w:val="outset" w:sz="6" w:space="0" w:color="auto"/>
              <w:right w:val="outset" w:sz="6" w:space="0" w:color="auto"/>
            </w:tcBorders>
          </w:tcPr>
          <w:p w:rsidR="0013525F" w:rsidRPr="00E21AF2" w:rsidRDefault="0013525F" w:rsidP="00014D26">
            <w:pPr>
              <w:pStyle w:val="naiskr"/>
              <w:rPr>
                <w:sz w:val="26"/>
                <w:szCs w:val="26"/>
              </w:rPr>
            </w:pPr>
            <w:r w:rsidRPr="00E21AF2">
              <w:rPr>
                <w:sz w:val="26"/>
                <w:szCs w:val="26"/>
              </w:rPr>
              <w:t> Projekta izpildē iesaistītās institūcijas</w:t>
            </w:r>
          </w:p>
        </w:tc>
        <w:tc>
          <w:tcPr>
            <w:tcW w:w="5778" w:type="dxa"/>
            <w:tcBorders>
              <w:top w:val="outset" w:sz="6" w:space="0" w:color="auto"/>
              <w:left w:val="outset" w:sz="6" w:space="0" w:color="auto"/>
              <w:bottom w:val="outset" w:sz="6" w:space="0" w:color="auto"/>
              <w:right w:val="outset" w:sz="6" w:space="0" w:color="auto"/>
            </w:tcBorders>
          </w:tcPr>
          <w:p w:rsidR="0013525F" w:rsidRPr="00E21AF2" w:rsidRDefault="0013525F" w:rsidP="00063F59">
            <w:pPr>
              <w:pStyle w:val="naiskr"/>
              <w:jc w:val="both"/>
              <w:rPr>
                <w:sz w:val="26"/>
                <w:szCs w:val="26"/>
              </w:rPr>
            </w:pPr>
            <w:r w:rsidRPr="00E21AF2">
              <w:rPr>
                <w:sz w:val="26"/>
                <w:szCs w:val="26"/>
              </w:rPr>
              <w:t> </w:t>
            </w:r>
            <w:r w:rsidR="002173FE" w:rsidRPr="00E21AF2">
              <w:rPr>
                <w:sz w:val="26"/>
                <w:szCs w:val="26"/>
              </w:rPr>
              <w:t xml:space="preserve">Finanšu ministrija un </w:t>
            </w:r>
            <w:r w:rsidR="00063F59" w:rsidRPr="00E21AF2">
              <w:rPr>
                <w:sz w:val="26"/>
                <w:szCs w:val="26"/>
              </w:rPr>
              <w:t>VID</w:t>
            </w:r>
            <w:r w:rsidRPr="00E21AF2">
              <w:rPr>
                <w:sz w:val="26"/>
                <w:szCs w:val="26"/>
              </w:rPr>
              <w:t>.</w:t>
            </w:r>
          </w:p>
        </w:tc>
      </w:tr>
      <w:tr w:rsidR="0013525F" w:rsidRPr="00EE37BB" w:rsidTr="000C5038">
        <w:trPr>
          <w:trHeight w:val="463"/>
          <w:tblCellSpacing w:w="0" w:type="dxa"/>
        </w:trPr>
        <w:tc>
          <w:tcPr>
            <w:tcW w:w="508" w:type="dxa"/>
            <w:tcBorders>
              <w:top w:val="outset" w:sz="6" w:space="0" w:color="auto"/>
              <w:left w:val="outset" w:sz="6" w:space="0" w:color="auto"/>
              <w:bottom w:val="outset" w:sz="6" w:space="0" w:color="auto"/>
              <w:right w:val="outset" w:sz="6" w:space="0" w:color="auto"/>
            </w:tcBorders>
          </w:tcPr>
          <w:p w:rsidR="0013525F" w:rsidRPr="00E21AF2" w:rsidRDefault="0013525F" w:rsidP="00014D26">
            <w:pPr>
              <w:pStyle w:val="naiskr"/>
              <w:rPr>
                <w:sz w:val="26"/>
                <w:szCs w:val="26"/>
              </w:rPr>
            </w:pPr>
            <w:r w:rsidRPr="00E21AF2">
              <w:rPr>
                <w:sz w:val="26"/>
                <w:szCs w:val="26"/>
              </w:rPr>
              <w:t> 2.</w:t>
            </w:r>
          </w:p>
        </w:tc>
        <w:tc>
          <w:tcPr>
            <w:tcW w:w="2909" w:type="dxa"/>
            <w:tcBorders>
              <w:top w:val="outset" w:sz="6" w:space="0" w:color="auto"/>
              <w:left w:val="outset" w:sz="6" w:space="0" w:color="auto"/>
              <w:bottom w:val="outset" w:sz="6" w:space="0" w:color="auto"/>
              <w:right w:val="outset" w:sz="6" w:space="0" w:color="auto"/>
            </w:tcBorders>
          </w:tcPr>
          <w:p w:rsidR="0013525F" w:rsidRPr="00E21AF2" w:rsidRDefault="0013525F" w:rsidP="00014D26">
            <w:pPr>
              <w:pStyle w:val="naiskr"/>
              <w:rPr>
                <w:sz w:val="26"/>
                <w:szCs w:val="26"/>
              </w:rPr>
            </w:pPr>
            <w:r w:rsidRPr="00E21AF2">
              <w:rPr>
                <w:sz w:val="26"/>
                <w:szCs w:val="26"/>
              </w:rPr>
              <w:t> Projekta izpildes ietekme uz pārvaldes funkcijām</w:t>
            </w:r>
          </w:p>
        </w:tc>
        <w:tc>
          <w:tcPr>
            <w:tcW w:w="5778" w:type="dxa"/>
            <w:tcBorders>
              <w:top w:val="outset" w:sz="6" w:space="0" w:color="auto"/>
              <w:left w:val="outset" w:sz="6" w:space="0" w:color="auto"/>
              <w:bottom w:val="outset" w:sz="6" w:space="0" w:color="auto"/>
              <w:right w:val="outset" w:sz="6" w:space="0" w:color="auto"/>
            </w:tcBorders>
          </w:tcPr>
          <w:p w:rsidR="0013525F" w:rsidRPr="00E21AF2" w:rsidRDefault="0013525F" w:rsidP="00063F59">
            <w:pPr>
              <w:pStyle w:val="naiskr"/>
              <w:jc w:val="both"/>
              <w:rPr>
                <w:sz w:val="26"/>
                <w:szCs w:val="26"/>
              </w:rPr>
            </w:pPr>
            <w:r w:rsidRPr="00E21AF2">
              <w:rPr>
                <w:sz w:val="26"/>
                <w:szCs w:val="26"/>
              </w:rPr>
              <w:t> </w:t>
            </w:r>
            <w:r w:rsidR="006B3505" w:rsidRPr="00E21AF2">
              <w:rPr>
                <w:sz w:val="26"/>
                <w:szCs w:val="26"/>
              </w:rPr>
              <w:t xml:space="preserve">Projektā paredzēto regulējumu nodrošinās </w:t>
            </w:r>
            <w:r w:rsidR="00063F59" w:rsidRPr="00E21AF2">
              <w:rPr>
                <w:sz w:val="26"/>
                <w:szCs w:val="26"/>
              </w:rPr>
              <w:t>VID</w:t>
            </w:r>
            <w:r w:rsidR="006B3505" w:rsidRPr="00E21AF2">
              <w:rPr>
                <w:sz w:val="26"/>
                <w:szCs w:val="26"/>
              </w:rPr>
              <w:t xml:space="preserve"> savu funkciju ietvaros</w:t>
            </w:r>
          </w:p>
        </w:tc>
      </w:tr>
      <w:tr w:rsidR="0013525F" w:rsidRPr="00EE37BB" w:rsidTr="000C5038">
        <w:trPr>
          <w:trHeight w:val="725"/>
          <w:tblCellSpacing w:w="0" w:type="dxa"/>
        </w:trPr>
        <w:tc>
          <w:tcPr>
            <w:tcW w:w="508" w:type="dxa"/>
            <w:tcBorders>
              <w:top w:val="outset" w:sz="6" w:space="0" w:color="auto"/>
              <w:left w:val="outset" w:sz="6" w:space="0" w:color="auto"/>
              <w:bottom w:val="outset" w:sz="6" w:space="0" w:color="auto"/>
              <w:right w:val="outset" w:sz="6" w:space="0" w:color="auto"/>
            </w:tcBorders>
          </w:tcPr>
          <w:p w:rsidR="0013525F" w:rsidRPr="00E21AF2" w:rsidRDefault="0013525F" w:rsidP="00014D26">
            <w:pPr>
              <w:pStyle w:val="naiskr"/>
              <w:rPr>
                <w:sz w:val="26"/>
                <w:szCs w:val="26"/>
              </w:rPr>
            </w:pPr>
            <w:r w:rsidRPr="00E21AF2">
              <w:rPr>
                <w:sz w:val="26"/>
                <w:szCs w:val="26"/>
              </w:rPr>
              <w:t> 3.</w:t>
            </w:r>
          </w:p>
        </w:tc>
        <w:tc>
          <w:tcPr>
            <w:tcW w:w="2909" w:type="dxa"/>
            <w:tcBorders>
              <w:top w:val="outset" w:sz="6" w:space="0" w:color="auto"/>
              <w:left w:val="outset" w:sz="6" w:space="0" w:color="auto"/>
              <w:bottom w:val="outset" w:sz="6" w:space="0" w:color="auto"/>
              <w:right w:val="outset" w:sz="6" w:space="0" w:color="auto"/>
            </w:tcBorders>
          </w:tcPr>
          <w:p w:rsidR="0013525F" w:rsidRPr="00E21AF2" w:rsidRDefault="0013525F" w:rsidP="00014D26">
            <w:pPr>
              <w:pStyle w:val="naiskr"/>
              <w:rPr>
                <w:sz w:val="26"/>
                <w:szCs w:val="26"/>
              </w:rPr>
            </w:pPr>
            <w:r w:rsidRPr="00E21AF2">
              <w:rPr>
                <w:sz w:val="26"/>
                <w:szCs w:val="26"/>
              </w:rPr>
              <w:t> Projekta izpildes ietekme uz pārvaldes institucionālo struktūru.</w:t>
            </w:r>
          </w:p>
          <w:p w:rsidR="0013525F" w:rsidRPr="00E21AF2" w:rsidRDefault="0013525F" w:rsidP="00014D26">
            <w:pPr>
              <w:pStyle w:val="naiskr"/>
              <w:rPr>
                <w:sz w:val="26"/>
                <w:szCs w:val="26"/>
              </w:rPr>
            </w:pPr>
            <w:r w:rsidRPr="00E21AF2">
              <w:rPr>
                <w:sz w:val="26"/>
                <w:szCs w:val="26"/>
              </w:rPr>
              <w:t>Jaunu institūciju izveide</w:t>
            </w:r>
          </w:p>
        </w:tc>
        <w:tc>
          <w:tcPr>
            <w:tcW w:w="5778" w:type="dxa"/>
            <w:tcBorders>
              <w:top w:val="outset" w:sz="6" w:space="0" w:color="auto"/>
              <w:left w:val="outset" w:sz="6" w:space="0" w:color="auto"/>
              <w:bottom w:val="outset" w:sz="6" w:space="0" w:color="auto"/>
              <w:right w:val="outset" w:sz="6" w:space="0" w:color="auto"/>
            </w:tcBorders>
          </w:tcPr>
          <w:p w:rsidR="0013525F" w:rsidRPr="00E21AF2" w:rsidRDefault="0013525F" w:rsidP="00063F59">
            <w:pPr>
              <w:pStyle w:val="naiskr"/>
              <w:jc w:val="both"/>
              <w:rPr>
                <w:sz w:val="26"/>
                <w:szCs w:val="26"/>
              </w:rPr>
            </w:pPr>
            <w:r w:rsidRPr="00E21AF2">
              <w:rPr>
                <w:sz w:val="26"/>
                <w:szCs w:val="26"/>
              </w:rPr>
              <w:t> </w:t>
            </w:r>
            <w:r w:rsidR="006B3505" w:rsidRPr="00E21AF2">
              <w:rPr>
                <w:sz w:val="26"/>
                <w:szCs w:val="26"/>
              </w:rPr>
              <w:t xml:space="preserve">Projektā paredzēto regulējumu nodrošinās </w:t>
            </w:r>
            <w:r w:rsidR="00063F59" w:rsidRPr="00E21AF2">
              <w:rPr>
                <w:sz w:val="26"/>
                <w:szCs w:val="26"/>
              </w:rPr>
              <w:t>VID</w:t>
            </w:r>
            <w:r w:rsidR="006B3505" w:rsidRPr="00E21AF2">
              <w:rPr>
                <w:sz w:val="26"/>
                <w:szCs w:val="26"/>
              </w:rPr>
              <w:t xml:space="preserve"> savu funkciju ietvaros</w:t>
            </w:r>
          </w:p>
        </w:tc>
      </w:tr>
      <w:tr w:rsidR="0013525F" w:rsidRPr="00E21AF2" w:rsidTr="000C5038">
        <w:trPr>
          <w:trHeight w:val="780"/>
          <w:tblCellSpacing w:w="0" w:type="dxa"/>
        </w:trPr>
        <w:tc>
          <w:tcPr>
            <w:tcW w:w="508" w:type="dxa"/>
            <w:tcBorders>
              <w:top w:val="outset" w:sz="6" w:space="0" w:color="auto"/>
              <w:left w:val="outset" w:sz="6" w:space="0" w:color="auto"/>
              <w:bottom w:val="outset" w:sz="6" w:space="0" w:color="auto"/>
              <w:right w:val="outset" w:sz="6" w:space="0" w:color="auto"/>
            </w:tcBorders>
          </w:tcPr>
          <w:p w:rsidR="0013525F" w:rsidRPr="00E21AF2" w:rsidRDefault="0013525F" w:rsidP="00014D26">
            <w:pPr>
              <w:pStyle w:val="naiskr"/>
              <w:rPr>
                <w:sz w:val="26"/>
                <w:szCs w:val="26"/>
              </w:rPr>
            </w:pPr>
            <w:r w:rsidRPr="00E21AF2">
              <w:rPr>
                <w:sz w:val="26"/>
                <w:szCs w:val="26"/>
              </w:rPr>
              <w:t> 4.</w:t>
            </w:r>
          </w:p>
        </w:tc>
        <w:tc>
          <w:tcPr>
            <w:tcW w:w="2909" w:type="dxa"/>
            <w:tcBorders>
              <w:top w:val="outset" w:sz="6" w:space="0" w:color="auto"/>
              <w:left w:val="outset" w:sz="6" w:space="0" w:color="auto"/>
              <w:bottom w:val="outset" w:sz="6" w:space="0" w:color="auto"/>
              <w:right w:val="outset" w:sz="6" w:space="0" w:color="auto"/>
            </w:tcBorders>
          </w:tcPr>
          <w:p w:rsidR="0013525F" w:rsidRPr="00E21AF2" w:rsidRDefault="0013525F" w:rsidP="00014D26">
            <w:pPr>
              <w:pStyle w:val="naiskr"/>
              <w:rPr>
                <w:sz w:val="26"/>
                <w:szCs w:val="26"/>
              </w:rPr>
            </w:pPr>
            <w:r w:rsidRPr="00E21AF2">
              <w:rPr>
                <w:sz w:val="26"/>
                <w:szCs w:val="26"/>
              </w:rPr>
              <w:t> Projekta izpildes ietekme uz pārvaldes institucionālo struktūru.</w:t>
            </w:r>
          </w:p>
          <w:p w:rsidR="0013525F" w:rsidRPr="00E21AF2" w:rsidRDefault="0013525F" w:rsidP="00014D26">
            <w:pPr>
              <w:pStyle w:val="naiskr"/>
              <w:rPr>
                <w:sz w:val="26"/>
                <w:szCs w:val="26"/>
              </w:rPr>
            </w:pPr>
            <w:r w:rsidRPr="00E21AF2">
              <w:rPr>
                <w:sz w:val="26"/>
                <w:szCs w:val="26"/>
              </w:rPr>
              <w:t>Esošu institūciju likvidācija</w:t>
            </w:r>
          </w:p>
        </w:tc>
        <w:tc>
          <w:tcPr>
            <w:tcW w:w="5778" w:type="dxa"/>
            <w:tcBorders>
              <w:top w:val="outset" w:sz="6" w:space="0" w:color="auto"/>
              <w:left w:val="outset" w:sz="6" w:space="0" w:color="auto"/>
              <w:bottom w:val="outset" w:sz="6" w:space="0" w:color="auto"/>
              <w:right w:val="outset" w:sz="6" w:space="0" w:color="auto"/>
            </w:tcBorders>
          </w:tcPr>
          <w:p w:rsidR="0013525F" w:rsidRPr="00E21AF2" w:rsidRDefault="0013525F" w:rsidP="002173FE">
            <w:pPr>
              <w:pStyle w:val="naiskr"/>
              <w:jc w:val="both"/>
              <w:rPr>
                <w:sz w:val="26"/>
                <w:szCs w:val="26"/>
              </w:rPr>
            </w:pPr>
            <w:r w:rsidRPr="00E21AF2">
              <w:rPr>
                <w:sz w:val="26"/>
                <w:szCs w:val="26"/>
              </w:rPr>
              <w:t xml:space="preserve"> Esošās institūcijas netiek likvidētas. </w:t>
            </w:r>
            <w:r w:rsidR="002173FE" w:rsidRPr="00E21AF2">
              <w:rPr>
                <w:sz w:val="26"/>
                <w:szCs w:val="26"/>
              </w:rPr>
              <w:t>Likum</w:t>
            </w:r>
            <w:r w:rsidRPr="00E21AF2">
              <w:rPr>
                <w:sz w:val="26"/>
                <w:szCs w:val="26"/>
              </w:rPr>
              <w:t>projekta izpilde notiks esošo valsts institūciju ietvaros.</w:t>
            </w:r>
          </w:p>
        </w:tc>
      </w:tr>
      <w:tr w:rsidR="0013525F" w:rsidRPr="00E21AF2" w:rsidTr="000C5038">
        <w:trPr>
          <w:trHeight w:val="703"/>
          <w:tblCellSpacing w:w="0" w:type="dxa"/>
        </w:trPr>
        <w:tc>
          <w:tcPr>
            <w:tcW w:w="508" w:type="dxa"/>
            <w:tcBorders>
              <w:top w:val="outset" w:sz="6" w:space="0" w:color="auto"/>
              <w:left w:val="outset" w:sz="6" w:space="0" w:color="auto"/>
              <w:bottom w:val="outset" w:sz="6" w:space="0" w:color="auto"/>
              <w:right w:val="outset" w:sz="6" w:space="0" w:color="auto"/>
            </w:tcBorders>
          </w:tcPr>
          <w:p w:rsidR="0013525F" w:rsidRPr="00E21AF2" w:rsidRDefault="0013525F" w:rsidP="00014D26">
            <w:pPr>
              <w:pStyle w:val="naiskr"/>
              <w:rPr>
                <w:sz w:val="26"/>
                <w:szCs w:val="26"/>
              </w:rPr>
            </w:pPr>
            <w:r w:rsidRPr="00E21AF2">
              <w:rPr>
                <w:sz w:val="26"/>
                <w:szCs w:val="26"/>
              </w:rPr>
              <w:t> 5.</w:t>
            </w:r>
          </w:p>
        </w:tc>
        <w:tc>
          <w:tcPr>
            <w:tcW w:w="2909" w:type="dxa"/>
            <w:tcBorders>
              <w:top w:val="outset" w:sz="6" w:space="0" w:color="auto"/>
              <w:left w:val="outset" w:sz="6" w:space="0" w:color="auto"/>
              <w:bottom w:val="outset" w:sz="6" w:space="0" w:color="auto"/>
              <w:right w:val="outset" w:sz="6" w:space="0" w:color="auto"/>
            </w:tcBorders>
          </w:tcPr>
          <w:p w:rsidR="0013525F" w:rsidRPr="00E21AF2" w:rsidRDefault="0013525F" w:rsidP="00014D26">
            <w:pPr>
              <w:pStyle w:val="naiskr"/>
              <w:rPr>
                <w:sz w:val="26"/>
                <w:szCs w:val="26"/>
              </w:rPr>
            </w:pPr>
            <w:r w:rsidRPr="00E21AF2">
              <w:rPr>
                <w:sz w:val="26"/>
                <w:szCs w:val="26"/>
              </w:rPr>
              <w:t> Projekta izpildes ietekme uz pārvaldes institucionālo struktūru.</w:t>
            </w:r>
          </w:p>
          <w:p w:rsidR="0013525F" w:rsidRPr="00E21AF2" w:rsidRDefault="0013525F" w:rsidP="00014D26">
            <w:pPr>
              <w:pStyle w:val="naiskr"/>
              <w:rPr>
                <w:sz w:val="26"/>
                <w:szCs w:val="26"/>
              </w:rPr>
            </w:pPr>
            <w:r w:rsidRPr="00E21AF2">
              <w:rPr>
                <w:sz w:val="26"/>
                <w:szCs w:val="26"/>
              </w:rPr>
              <w:t>Esošu institūciju reorganizācija</w:t>
            </w:r>
          </w:p>
        </w:tc>
        <w:tc>
          <w:tcPr>
            <w:tcW w:w="5778" w:type="dxa"/>
            <w:tcBorders>
              <w:top w:val="outset" w:sz="6" w:space="0" w:color="auto"/>
              <w:left w:val="outset" w:sz="6" w:space="0" w:color="auto"/>
              <w:bottom w:val="outset" w:sz="6" w:space="0" w:color="auto"/>
              <w:right w:val="outset" w:sz="6" w:space="0" w:color="auto"/>
            </w:tcBorders>
          </w:tcPr>
          <w:p w:rsidR="0013525F" w:rsidRPr="00E21AF2" w:rsidRDefault="0013525F" w:rsidP="000C5038">
            <w:pPr>
              <w:pStyle w:val="naiskr"/>
              <w:jc w:val="both"/>
              <w:rPr>
                <w:sz w:val="26"/>
                <w:szCs w:val="26"/>
              </w:rPr>
            </w:pPr>
            <w:r w:rsidRPr="00E21AF2">
              <w:rPr>
                <w:sz w:val="26"/>
                <w:szCs w:val="26"/>
              </w:rPr>
              <w:t xml:space="preserve"> Esošās institūcijas netiks reorganizētas vai arī apvienotas. </w:t>
            </w:r>
            <w:r w:rsidR="00D0066F" w:rsidRPr="00E21AF2">
              <w:rPr>
                <w:sz w:val="26"/>
                <w:szCs w:val="26"/>
              </w:rPr>
              <w:t>Likum</w:t>
            </w:r>
            <w:r w:rsidRPr="00E21AF2">
              <w:rPr>
                <w:sz w:val="26"/>
                <w:szCs w:val="26"/>
              </w:rPr>
              <w:t>projekta izpilde notiks esošo valsts institūciju ietvaros.</w:t>
            </w:r>
          </w:p>
        </w:tc>
      </w:tr>
      <w:tr w:rsidR="0013525F" w:rsidRPr="00E21AF2" w:rsidTr="000C5038">
        <w:trPr>
          <w:trHeight w:val="476"/>
          <w:tblCellSpacing w:w="0" w:type="dxa"/>
        </w:trPr>
        <w:tc>
          <w:tcPr>
            <w:tcW w:w="508" w:type="dxa"/>
            <w:tcBorders>
              <w:top w:val="outset" w:sz="6" w:space="0" w:color="auto"/>
              <w:left w:val="outset" w:sz="6" w:space="0" w:color="auto"/>
              <w:bottom w:val="outset" w:sz="6" w:space="0" w:color="auto"/>
              <w:right w:val="outset" w:sz="6" w:space="0" w:color="auto"/>
            </w:tcBorders>
          </w:tcPr>
          <w:p w:rsidR="0013525F" w:rsidRPr="00E21AF2" w:rsidRDefault="0013525F" w:rsidP="00014D26">
            <w:pPr>
              <w:pStyle w:val="naiskr"/>
              <w:rPr>
                <w:sz w:val="26"/>
                <w:szCs w:val="26"/>
              </w:rPr>
            </w:pPr>
            <w:r w:rsidRPr="00E21AF2">
              <w:rPr>
                <w:sz w:val="26"/>
                <w:szCs w:val="26"/>
              </w:rPr>
              <w:lastRenderedPageBreak/>
              <w:t> 6.</w:t>
            </w:r>
          </w:p>
        </w:tc>
        <w:tc>
          <w:tcPr>
            <w:tcW w:w="2909" w:type="dxa"/>
            <w:tcBorders>
              <w:top w:val="outset" w:sz="6" w:space="0" w:color="auto"/>
              <w:left w:val="outset" w:sz="6" w:space="0" w:color="auto"/>
              <w:bottom w:val="outset" w:sz="6" w:space="0" w:color="auto"/>
              <w:right w:val="outset" w:sz="6" w:space="0" w:color="auto"/>
            </w:tcBorders>
          </w:tcPr>
          <w:p w:rsidR="0013525F" w:rsidRPr="00E21AF2" w:rsidRDefault="0013525F" w:rsidP="00014D26">
            <w:pPr>
              <w:pStyle w:val="naiskr"/>
              <w:rPr>
                <w:sz w:val="26"/>
                <w:szCs w:val="26"/>
              </w:rPr>
            </w:pPr>
            <w:r w:rsidRPr="00E21AF2">
              <w:rPr>
                <w:sz w:val="26"/>
                <w:szCs w:val="26"/>
              </w:rPr>
              <w:t> Cita informācija</w:t>
            </w:r>
          </w:p>
        </w:tc>
        <w:tc>
          <w:tcPr>
            <w:tcW w:w="5778" w:type="dxa"/>
            <w:tcBorders>
              <w:top w:val="outset" w:sz="6" w:space="0" w:color="auto"/>
              <w:left w:val="outset" w:sz="6" w:space="0" w:color="auto"/>
              <w:bottom w:val="outset" w:sz="6" w:space="0" w:color="auto"/>
              <w:right w:val="outset" w:sz="6" w:space="0" w:color="auto"/>
            </w:tcBorders>
          </w:tcPr>
          <w:p w:rsidR="0013525F" w:rsidRPr="00E21AF2" w:rsidRDefault="0013525F" w:rsidP="00014D26">
            <w:pPr>
              <w:pStyle w:val="naiskr"/>
              <w:rPr>
                <w:sz w:val="26"/>
                <w:szCs w:val="26"/>
              </w:rPr>
            </w:pPr>
            <w:r w:rsidRPr="00E21AF2">
              <w:rPr>
                <w:sz w:val="26"/>
                <w:szCs w:val="26"/>
              </w:rPr>
              <w:t> Nav.</w:t>
            </w:r>
          </w:p>
        </w:tc>
      </w:tr>
    </w:tbl>
    <w:p w:rsidR="0013525F" w:rsidRPr="00E21AF2" w:rsidRDefault="0013525F" w:rsidP="0013525F">
      <w:pPr>
        <w:jc w:val="both"/>
        <w:rPr>
          <w:sz w:val="26"/>
          <w:szCs w:val="26"/>
          <w:lang w:val="lv-LV"/>
        </w:rPr>
      </w:pPr>
    </w:p>
    <w:p w:rsidR="0013525F" w:rsidRDefault="0013525F" w:rsidP="0013525F">
      <w:pPr>
        <w:jc w:val="both"/>
        <w:rPr>
          <w:sz w:val="26"/>
          <w:szCs w:val="26"/>
          <w:lang w:val="lv-LV"/>
        </w:rPr>
      </w:pPr>
    </w:p>
    <w:p w:rsidR="00E21AF2" w:rsidRPr="00E21AF2" w:rsidRDefault="00E21AF2" w:rsidP="0013525F">
      <w:pPr>
        <w:jc w:val="both"/>
        <w:rPr>
          <w:sz w:val="26"/>
          <w:szCs w:val="26"/>
          <w:lang w:val="lv-LV"/>
        </w:rPr>
      </w:pPr>
    </w:p>
    <w:p w:rsidR="0013525F" w:rsidRPr="00E21AF2" w:rsidRDefault="0013525F" w:rsidP="0013525F">
      <w:pPr>
        <w:tabs>
          <w:tab w:val="left" w:pos="720"/>
          <w:tab w:val="left" w:pos="7088"/>
        </w:tabs>
        <w:ind w:firstLine="720"/>
        <w:rPr>
          <w:sz w:val="26"/>
          <w:szCs w:val="26"/>
          <w:lang w:val="lv-LV"/>
        </w:rPr>
      </w:pPr>
      <w:r w:rsidRPr="00E21AF2">
        <w:rPr>
          <w:sz w:val="26"/>
          <w:szCs w:val="26"/>
          <w:lang w:val="lv-LV"/>
        </w:rPr>
        <w:t>Finanšu ministrs</w:t>
      </w:r>
      <w:r w:rsidRPr="00E21AF2">
        <w:rPr>
          <w:sz w:val="26"/>
          <w:szCs w:val="26"/>
          <w:lang w:val="lv-LV"/>
        </w:rPr>
        <w:tab/>
      </w:r>
      <w:r w:rsidRPr="00E21AF2">
        <w:rPr>
          <w:sz w:val="26"/>
          <w:szCs w:val="26"/>
          <w:lang w:val="lv-LV"/>
        </w:rPr>
        <w:tab/>
      </w:r>
      <w:r w:rsidRPr="00E21AF2">
        <w:rPr>
          <w:sz w:val="26"/>
          <w:szCs w:val="26"/>
          <w:lang w:val="lv-LV"/>
        </w:rPr>
        <w:tab/>
        <w:t>A.Vilks</w:t>
      </w:r>
    </w:p>
    <w:p w:rsidR="0013525F" w:rsidRPr="00E21AF2" w:rsidRDefault="0013525F" w:rsidP="0013525F">
      <w:pPr>
        <w:ind w:firstLine="720"/>
        <w:jc w:val="both"/>
        <w:rPr>
          <w:sz w:val="26"/>
          <w:szCs w:val="26"/>
          <w:lang w:val="lv-LV"/>
        </w:rPr>
      </w:pPr>
    </w:p>
    <w:p w:rsidR="001637A7" w:rsidRPr="008C2EC1" w:rsidRDefault="001637A7" w:rsidP="002173FE">
      <w:pPr>
        <w:tabs>
          <w:tab w:val="left" w:pos="4065"/>
        </w:tabs>
        <w:jc w:val="both"/>
        <w:rPr>
          <w:lang w:val="lv-LV"/>
        </w:rPr>
      </w:pPr>
    </w:p>
    <w:p w:rsidR="001637A7" w:rsidRPr="008C2EC1" w:rsidRDefault="001637A7" w:rsidP="002173FE">
      <w:pPr>
        <w:tabs>
          <w:tab w:val="left" w:pos="4065"/>
        </w:tabs>
        <w:jc w:val="both"/>
        <w:rPr>
          <w:lang w:val="lv-LV"/>
        </w:rPr>
      </w:pPr>
    </w:p>
    <w:p w:rsidR="001637A7" w:rsidRPr="008C2EC1" w:rsidRDefault="001637A7" w:rsidP="002173FE">
      <w:pPr>
        <w:tabs>
          <w:tab w:val="left" w:pos="4065"/>
        </w:tabs>
        <w:jc w:val="both"/>
        <w:rPr>
          <w:lang w:val="lv-LV"/>
        </w:rPr>
      </w:pPr>
    </w:p>
    <w:p w:rsidR="001637A7" w:rsidRPr="008C2EC1" w:rsidRDefault="001637A7" w:rsidP="002173FE">
      <w:pPr>
        <w:tabs>
          <w:tab w:val="left" w:pos="4065"/>
        </w:tabs>
        <w:jc w:val="both"/>
        <w:rPr>
          <w:lang w:val="lv-LV"/>
        </w:rPr>
      </w:pPr>
    </w:p>
    <w:p w:rsidR="001637A7" w:rsidRDefault="001637A7" w:rsidP="002173FE">
      <w:pPr>
        <w:tabs>
          <w:tab w:val="left" w:pos="4065"/>
        </w:tabs>
        <w:jc w:val="both"/>
        <w:rPr>
          <w:lang w:val="lv-LV"/>
        </w:rPr>
      </w:pPr>
    </w:p>
    <w:p w:rsidR="00E21AF2" w:rsidRDefault="00E21AF2" w:rsidP="002173FE">
      <w:pPr>
        <w:tabs>
          <w:tab w:val="left" w:pos="4065"/>
        </w:tabs>
        <w:jc w:val="both"/>
        <w:rPr>
          <w:lang w:val="lv-LV"/>
        </w:rPr>
      </w:pPr>
    </w:p>
    <w:p w:rsidR="00E21AF2" w:rsidRDefault="00E21AF2" w:rsidP="002173FE">
      <w:pPr>
        <w:tabs>
          <w:tab w:val="left" w:pos="4065"/>
        </w:tabs>
        <w:jc w:val="both"/>
        <w:rPr>
          <w:lang w:val="lv-LV"/>
        </w:rPr>
      </w:pPr>
    </w:p>
    <w:p w:rsidR="00E21AF2" w:rsidRPr="008C2EC1" w:rsidRDefault="00E21AF2" w:rsidP="002173FE">
      <w:pPr>
        <w:tabs>
          <w:tab w:val="left" w:pos="4065"/>
        </w:tabs>
        <w:jc w:val="both"/>
        <w:rPr>
          <w:lang w:val="lv-LV"/>
        </w:rPr>
      </w:pPr>
    </w:p>
    <w:p w:rsidR="001637A7" w:rsidRPr="008C2EC1" w:rsidRDefault="001637A7" w:rsidP="002173FE">
      <w:pPr>
        <w:tabs>
          <w:tab w:val="left" w:pos="4065"/>
        </w:tabs>
        <w:jc w:val="both"/>
        <w:rPr>
          <w:lang w:val="lv-LV"/>
        </w:rPr>
      </w:pPr>
    </w:p>
    <w:p w:rsidR="001F74EE" w:rsidRPr="00FA7812" w:rsidRDefault="00EE37BB" w:rsidP="0095774C">
      <w:pPr>
        <w:tabs>
          <w:tab w:val="left" w:pos="4065"/>
        </w:tabs>
        <w:jc w:val="both"/>
        <w:rPr>
          <w:sz w:val="22"/>
          <w:szCs w:val="22"/>
          <w:lang w:val="lv-LV"/>
        </w:rPr>
      </w:pPr>
      <w:r>
        <w:rPr>
          <w:sz w:val="22"/>
          <w:szCs w:val="22"/>
        </w:rPr>
        <w:t>2011.08.31. 10:26</w:t>
      </w:r>
      <w:bookmarkStart w:id="6" w:name="_GoBack"/>
      <w:bookmarkEnd w:id="6"/>
    </w:p>
    <w:p w:rsidR="001F74EE" w:rsidRPr="00FA7812" w:rsidRDefault="001F74EE" w:rsidP="001F74EE">
      <w:pPr>
        <w:rPr>
          <w:sz w:val="22"/>
          <w:szCs w:val="22"/>
        </w:rPr>
      </w:pPr>
      <w:r w:rsidRPr="00FA7812">
        <w:rPr>
          <w:sz w:val="22"/>
          <w:szCs w:val="22"/>
        </w:rPr>
        <w:fldChar w:fldCharType="begin"/>
      </w:r>
      <w:r w:rsidRPr="00FA7812">
        <w:rPr>
          <w:sz w:val="22"/>
          <w:szCs w:val="22"/>
        </w:rPr>
        <w:instrText xml:space="preserve"> NUMWORDS  </w:instrText>
      </w:r>
      <w:r w:rsidRPr="00FA7812">
        <w:rPr>
          <w:sz w:val="22"/>
          <w:szCs w:val="22"/>
        </w:rPr>
        <w:fldChar w:fldCharType="separate"/>
      </w:r>
      <w:r w:rsidR="00E21AF2">
        <w:rPr>
          <w:noProof/>
          <w:sz w:val="22"/>
          <w:szCs w:val="22"/>
        </w:rPr>
        <w:t>4063</w:t>
      </w:r>
      <w:r w:rsidRPr="00FA7812">
        <w:rPr>
          <w:sz w:val="22"/>
          <w:szCs w:val="22"/>
        </w:rPr>
        <w:fldChar w:fldCharType="end"/>
      </w:r>
    </w:p>
    <w:p w:rsidR="001F74EE" w:rsidRPr="00FA7812" w:rsidRDefault="001F74EE" w:rsidP="001F74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sz w:val="22"/>
          <w:szCs w:val="22"/>
        </w:rPr>
      </w:pPr>
      <w:r w:rsidRPr="00FA7812">
        <w:rPr>
          <w:rFonts w:ascii="Times New Roman" w:eastAsia="Times New Roman" w:hAnsi="Times New Roman" w:cs="Times New Roman"/>
          <w:sz w:val="22"/>
          <w:szCs w:val="22"/>
        </w:rPr>
        <w:t>Tatjana Trenko, 67083983</w:t>
      </w:r>
    </w:p>
    <w:p w:rsidR="001F74EE" w:rsidRPr="008C2EC1" w:rsidRDefault="0094191D" w:rsidP="001F74EE">
      <w:hyperlink r:id="rId9" w:history="1">
        <w:r w:rsidR="001F74EE" w:rsidRPr="00FA7812">
          <w:rPr>
            <w:rStyle w:val="Hyperlink"/>
            <w:sz w:val="22"/>
            <w:szCs w:val="22"/>
          </w:rPr>
          <w:t>Tatjana.Trenko@fm.gov.lv</w:t>
        </w:r>
      </w:hyperlink>
    </w:p>
    <w:p w:rsidR="002173FE" w:rsidRPr="008C2EC1" w:rsidRDefault="002173FE" w:rsidP="001F74EE">
      <w:pPr>
        <w:ind w:firstLine="720"/>
        <w:jc w:val="both"/>
        <w:rPr>
          <w:b/>
          <w:lang w:val="lv-LV"/>
        </w:rPr>
      </w:pPr>
    </w:p>
    <w:sectPr w:rsidR="002173FE" w:rsidRPr="008C2EC1" w:rsidSect="00014D26">
      <w:headerReference w:type="even" r:id="rId10"/>
      <w:headerReference w:type="default" r:id="rId11"/>
      <w:footerReference w:type="default" r:id="rId12"/>
      <w:footerReference w:type="first" r:id="rId13"/>
      <w:pgSz w:w="11906" w:h="16838" w:code="9"/>
      <w:pgMar w:top="1077" w:right="1134" w:bottom="1134" w:left="1701" w:header="70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91D" w:rsidRDefault="0094191D" w:rsidP="007C15F6">
      <w:r>
        <w:separator/>
      </w:r>
    </w:p>
  </w:endnote>
  <w:endnote w:type="continuationSeparator" w:id="0">
    <w:p w:rsidR="0094191D" w:rsidRDefault="0094191D" w:rsidP="007C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52E" w:rsidRPr="00B23C4C" w:rsidRDefault="003D157B" w:rsidP="00F12A55">
    <w:pPr>
      <w:pStyle w:val="Footer"/>
      <w:rPr>
        <w:sz w:val="20"/>
        <w:szCs w:val="20"/>
      </w:rPr>
    </w:pPr>
    <w:r>
      <w:rPr>
        <w:sz w:val="20"/>
        <w:szCs w:val="20"/>
        <w:lang w:val="lv-LV"/>
      </w:rPr>
      <w:t>FMAnot_31</w:t>
    </w:r>
    <w:r w:rsidR="008F752E">
      <w:rPr>
        <w:sz w:val="20"/>
        <w:szCs w:val="20"/>
        <w:lang w:val="lv-LV"/>
      </w:rPr>
      <w:t>08</w:t>
    </w:r>
    <w:r w:rsidR="008F752E" w:rsidRPr="00B23C4C">
      <w:rPr>
        <w:sz w:val="20"/>
        <w:szCs w:val="20"/>
        <w:lang w:val="lv-LV"/>
      </w:rPr>
      <w:t>11_NN</w:t>
    </w:r>
    <w:r w:rsidR="008F752E">
      <w:rPr>
        <w:sz w:val="20"/>
        <w:szCs w:val="20"/>
        <w:lang w:val="lv-LV"/>
      </w:rPr>
      <w:t>L_saimn</w:t>
    </w:r>
    <w:r w:rsidR="008F752E" w:rsidRPr="00B23C4C">
      <w:rPr>
        <w:sz w:val="20"/>
        <w:szCs w:val="20"/>
        <w:lang w:val="lv-LV"/>
      </w:rPr>
      <w:t>; Likumprojekta „Grozījumi likumā „Par nodokļiem un nodevām””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52E" w:rsidRPr="00B23C4C" w:rsidRDefault="008F752E" w:rsidP="00014D26">
    <w:pPr>
      <w:pStyle w:val="Footer"/>
      <w:jc w:val="both"/>
      <w:rPr>
        <w:sz w:val="20"/>
        <w:szCs w:val="20"/>
        <w:lang w:val="lv-LV"/>
      </w:rPr>
    </w:pPr>
    <w:r w:rsidRPr="00B23C4C">
      <w:rPr>
        <w:sz w:val="20"/>
        <w:szCs w:val="20"/>
        <w:lang w:val="lv-LV"/>
      </w:rPr>
      <w:t>FMAnot_</w:t>
    </w:r>
    <w:r w:rsidR="003D157B">
      <w:rPr>
        <w:sz w:val="20"/>
        <w:szCs w:val="20"/>
        <w:lang w:val="lv-LV"/>
      </w:rPr>
      <w:t>31</w:t>
    </w:r>
    <w:r>
      <w:rPr>
        <w:sz w:val="20"/>
        <w:szCs w:val="20"/>
        <w:lang w:val="lv-LV"/>
      </w:rPr>
      <w:t>08</w:t>
    </w:r>
    <w:r w:rsidRPr="00B23C4C">
      <w:rPr>
        <w:sz w:val="20"/>
        <w:szCs w:val="20"/>
        <w:lang w:val="lv-LV"/>
      </w:rPr>
      <w:t>11_NN</w:t>
    </w:r>
    <w:r>
      <w:rPr>
        <w:sz w:val="20"/>
        <w:szCs w:val="20"/>
        <w:lang w:val="lv-LV"/>
      </w:rPr>
      <w:t>L_saimn</w:t>
    </w:r>
    <w:r w:rsidRPr="00B23C4C">
      <w:rPr>
        <w:sz w:val="20"/>
        <w:szCs w:val="20"/>
        <w:lang w:val="lv-LV"/>
      </w:rPr>
      <w:t>; Likumprojekta „Grozījumi likumā „Par nodokļiem un nodevām””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91D" w:rsidRDefault="0094191D" w:rsidP="007C15F6">
      <w:r>
        <w:separator/>
      </w:r>
    </w:p>
  </w:footnote>
  <w:footnote w:type="continuationSeparator" w:id="0">
    <w:p w:rsidR="0094191D" w:rsidRDefault="0094191D" w:rsidP="007C1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52E" w:rsidRDefault="008F75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752E" w:rsidRDefault="008F75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52E" w:rsidRPr="00D41C45" w:rsidRDefault="008F752E">
    <w:pPr>
      <w:pStyle w:val="Header"/>
      <w:framePr w:wrap="around" w:vAnchor="text" w:hAnchor="margin" w:xAlign="center" w:y="1"/>
      <w:rPr>
        <w:rStyle w:val="PageNumber"/>
        <w:sz w:val="22"/>
        <w:szCs w:val="22"/>
      </w:rPr>
    </w:pPr>
    <w:r w:rsidRPr="00D41C45">
      <w:rPr>
        <w:rStyle w:val="PageNumber"/>
        <w:sz w:val="22"/>
        <w:szCs w:val="22"/>
      </w:rPr>
      <w:fldChar w:fldCharType="begin"/>
    </w:r>
    <w:r w:rsidRPr="00D41C45">
      <w:rPr>
        <w:rStyle w:val="PageNumber"/>
        <w:sz w:val="22"/>
        <w:szCs w:val="22"/>
      </w:rPr>
      <w:instrText xml:space="preserve">PAGE  </w:instrText>
    </w:r>
    <w:r w:rsidRPr="00D41C45">
      <w:rPr>
        <w:rStyle w:val="PageNumber"/>
        <w:sz w:val="22"/>
        <w:szCs w:val="22"/>
      </w:rPr>
      <w:fldChar w:fldCharType="separate"/>
    </w:r>
    <w:r w:rsidR="00EE37BB">
      <w:rPr>
        <w:rStyle w:val="PageNumber"/>
        <w:noProof/>
        <w:sz w:val="22"/>
        <w:szCs w:val="22"/>
      </w:rPr>
      <w:t>16</w:t>
    </w:r>
    <w:r w:rsidRPr="00D41C45">
      <w:rPr>
        <w:rStyle w:val="PageNumber"/>
        <w:sz w:val="22"/>
        <w:szCs w:val="22"/>
      </w:rPr>
      <w:fldChar w:fldCharType="end"/>
    </w:r>
  </w:p>
  <w:p w:rsidR="008F752E" w:rsidRDefault="008F75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F7540"/>
    <w:multiLevelType w:val="hybridMultilevel"/>
    <w:tmpl w:val="EC80AA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C564695"/>
    <w:multiLevelType w:val="hybridMultilevel"/>
    <w:tmpl w:val="5950B1C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nsid w:val="22542598"/>
    <w:multiLevelType w:val="hybridMultilevel"/>
    <w:tmpl w:val="90707DA0"/>
    <w:lvl w:ilvl="0" w:tplc="9DD6BE5E">
      <w:start w:val="27"/>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nsid w:val="3E910F31"/>
    <w:multiLevelType w:val="hybridMultilevel"/>
    <w:tmpl w:val="FCEC777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nsid w:val="5EC33176"/>
    <w:multiLevelType w:val="hybridMultilevel"/>
    <w:tmpl w:val="596CF3B6"/>
    <w:lvl w:ilvl="0" w:tplc="04260011">
      <w:start w:val="1"/>
      <w:numFmt w:val="decimal"/>
      <w:lvlText w:val="%1)"/>
      <w:lvlJc w:val="left"/>
      <w:pPr>
        <w:ind w:left="1259" w:hanging="360"/>
      </w:pPr>
    </w:lvl>
    <w:lvl w:ilvl="1" w:tplc="04260019" w:tentative="1">
      <w:start w:val="1"/>
      <w:numFmt w:val="lowerLetter"/>
      <w:lvlText w:val="%2."/>
      <w:lvlJc w:val="left"/>
      <w:pPr>
        <w:ind w:left="1979" w:hanging="360"/>
      </w:pPr>
    </w:lvl>
    <w:lvl w:ilvl="2" w:tplc="0426001B" w:tentative="1">
      <w:start w:val="1"/>
      <w:numFmt w:val="lowerRoman"/>
      <w:lvlText w:val="%3."/>
      <w:lvlJc w:val="right"/>
      <w:pPr>
        <w:ind w:left="2699" w:hanging="180"/>
      </w:pPr>
    </w:lvl>
    <w:lvl w:ilvl="3" w:tplc="0426000F" w:tentative="1">
      <w:start w:val="1"/>
      <w:numFmt w:val="decimal"/>
      <w:lvlText w:val="%4."/>
      <w:lvlJc w:val="left"/>
      <w:pPr>
        <w:ind w:left="3419" w:hanging="360"/>
      </w:pPr>
    </w:lvl>
    <w:lvl w:ilvl="4" w:tplc="04260019" w:tentative="1">
      <w:start w:val="1"/>
      <w:numFmt w:val="lowerLetter"/>
      <w:lvlText w:val="%5."/>
      <w:lvlJc w:val="left"/>
      <w:pPr>
        <w:ind w:left="4139" w:hanging="360"/>
      </w:pPr>
    </w:lvl>
    <w:lvl w:ilvl="5" w:tplc="0426001B" w:tentative="1">
      <w:start w:val="1"/>
      <w:numFmt w:val="lowerRoman"/>
      <w:lvlText w:val="%6."/>
      <w:lvlJc w:val="right"/>
      <w:pPr>
        <w:ind w:left="4859" w:hanging="180"/>
      </w:pPr>
    </w:lvl>
    <w:lvl w:ilvl="6" w:tplc="0426000F" w:tentative="1">
      <w:start w:val="1"/>
      <w:numFmt w:val="decimal"/>
      <w:lvlText w:val="%7."/>
      <w:lvlJc w:val="left"/>
      <w:pPr>
        <w:ind w:left="5579" w:hanging="360"/>
      </w:pPr>
    </w:lvl>
    <w:lvl w:ilvl="7" w:tplc="04260019" w:tentative="1">
      <w:start w:val="1"/>
      <w:numFmt w:val="lowerLetter"/>
      <w:lvlText w:val="%8."/>
      <w:lvlJc w:val="left"/>
      <w:pPr>
        <w:ind w:left="6299" w:hanging="360"/>
      </w:pPr>
    </w:lvl>
    <w:lvl w:ilvl="8" w:tplc="0426001B" w:tentative="1">
      <w:start w:val="1"/>
      <w:numFmt w:val="lowerRoman"/>
      <w:lvlText w:val="%9."/>
      <w:lvlJc w:val="right"/>
      <w:pPr>
        <w:ind w:left="7019" w:hanging="180"/>
      </w:pPr>
    </w:lvl>
  </w:abstractNum>
  <w:abstractNum w:abstractNumId="5">
    <w:nsid w:val="77A13380"/>
    <w:multiLevelType w:val="hybridMultilevel"/>
    <w:tmpl w:val="261A05BA"/>
    <w:lvl w:ilvl="0" w:tplc="1B6A255A">
      <w:start w:val="2010"/>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5F"/>
    <w:rsid w:val="00001466"/>
    <w:rsid w:val="00012EE3"/>
    <w:rsid w:val="00014D26"/>
    <w:rsid w:val="00016CAC"/>
    <w:rsid w:val="0002615E"/>
    <w:rsid w:val="000324D0"/>
    <w:rsid w:val="000459D8"/>
    <w:rsid w:val="0004723B"/>
    <w:rsid w:val="00050731"/>
    <w:rsid w:val="00054D87"/>
    <w:rsid w:val="00054EC4"/>
    <w:rsid w:val="00063F59"/>
    <w:rsid w:val="00066028"/>
    <w:rsid w:val="00084604"/>
    <w:rsid w:val="00092E6D"/>
    <w:rsid w:val="00094E04"/>
    <w:rsid w:val="00094FF4"/>
    <w:rsid w:val="000A3FF0"/>
    <w:rsid w:val="000A7130"/>
    <w:rsid w:val="000B322E"/>
    <w:rsid w:val="000C5038"/>
    <w:rsid w:val="000C6BE1"/>
    <w:rsid w:val="00103703"/>
    <w:rsid w:val="00124F4E"/>
    <w:rsid w:val="00130089"/>
    <w:rsid w:val="0013525F"/>
    <w:rsid w:val="00135535"/>
    <w:rsid w:val="001403DE"/>
    <w:rsid w:val="001637A7"/>
    <w:rsid w:val="00186EEC"/>
    <w:rsid w:val="001F74EE"/>
    <w:rsid w:val="00200267"/>
    <w:rsid w:val="002173FE"/>
    <w:rsid w:val="002236D8"/>
    <w:rsid w:val="00225A81"/>
    <w:rsid w:val="002375AD"/>
    <w:rsid w:val="00237CAA"/>
    <w:rsid w:val="00247CE3"/>
    <w:rsid w:val="00270356"/>
    <w:rsid w:val="002847C1"/>
    <w:rsid w:val="002871D6"/>
    <w:rsid w:val="002B2BBB"/>
    <w:rsid w:val="002B2CEE"/>
    <w:rsid w:val="002C0A94"/>
    <w:rsid w:val="002E10B3"/>
    <w:rsid w:val="002F2324"/>
    <w:rsid w:val="00300206"/>
    <w:rsid w:val="0030706F"/>
    <w:rsid w:val="003502D3"/>
    <w:rsid w:val="003505FA"/>
    <w:rsid w:val="003B5F8C"/>
    <w:rsid w:val="003D157B"/>
    <w:rsid w:val="003E6990"/>
    <w:rsid w:val="003F114C"/>
    <w:rsid w:val="00406859"/>
    <w:rsid w:val="00410A98"/>
    <w:rsid w:val="004219C2"/>
    <w:rsid w:val="00451002"/>
    <w:rsid w:val="004540C1"/>
    <w:rsid w:val="00462776"/>
    <w:rsid w:val="00472C63"/>
    <w:rsid w:val="00474212"/>
    <w:rsid w:val="0048408E"/>
    <w:rsid w:val="00485EE5"/>
    <w:rsid w:val="004943E1"/>
    <w:rsid w:val="004E5B36"/>
    <w:rsid w:val="004F096B"/>
    <w:rsid w:val="004F1FAB"/>
    <w:rsid w:val="004F4372"/>
    <w:rsid w:val="004F5AF8"/>
    <w:rsid w:val="00503AAB"/>
    <w:rsid w:val="00514FCE"/>
    <w:rsid w:val="00516C10"/>
    <w:rsid w:val="00527356"/>
    <w:rsid w:val="00535701"/>
    <w:rsid w:val="00536B3A"/>
    <w:rsid w:val="00565E3E"/>
    <w:rsid w:val="005875F3"/>
    <w:rsid w:val="00590F72"/>
    <w:rsid w:val="005922F5"/>
    <w:rsid w:val="005C4065"/>
    <w:rsid w:val="005C66E7"/>
    <w:rsid w:val="005D370C"/>
    <w:rsid w:val="005D444E"/>
    <w:rsid w:val="005D6518"/>
    <w:rsid w:val="005D6B85"/>
    <w:rsid w:val="0061796B"/>
    <w:rsid w:val="0063102F"/>
    <w:rsid w:val="00635ADD"/>
    <w:rsid w:val="00635D8F"/>
    <w:rsid w:val="006413A5"/>
    <w:rsid w:val="00645575"/>
    <w:rsid w:val="0065742F"/>
    <w:rsid w:val="00680B91"/>
    <w:rsid w:val="006844CC"/>
    <w:rsid w:val="00685675"/>
    <w:rsid w:val="00686890"/>
    <w:rsid w:val="0069001C"/>
    <w:rsid w:val="0069215E"/>
    <w:rsid w:val="006A768D"/>
    <w:rsid w:val="006B3505"/>
    <w:rsid w:val="006B6A87"/>
    <w:rsid w:val="006D42CC"/>
    <w:rsid w:val="006E451A"/>
    <w:rsid w:val="006F7864"/>
    <w:rsid w:val="007071A5"/>
    <w:rsid w:val="0071042E"/>
    <w:rsid w:val="0071434C"/>
    <w:rsid w:val="00734296"/>
    <w:rsid w:val="00743C98"/>
    <w:rsid w:val="00766C66"/>
    <w:rsid w:val="007B0948"/>
    <w:rsid w:val="007B3B79"/>
    <w:rsid w:val="007B430E"/>
    <w:rsid w:val="007C15F6"/>
    <w:rsid w:val="007E0D84"/>
    <w:rsid w:val="00810264"/>
    <w:rsid w:val="00813F00"/>
    <w:rsid w:val="00832A2E"/>
    <w:rsid w:val="008426DD"/>
    <w:rsid w:val="0087231F"/>
    <w:rsid w:val="00883A89"/>
    <w:rsid w:val="008B4FEC"/>
    <w:rsid w:val="008C2EC1"/>
    <w:rsid w:val="008D1432"/>
    <w:rsid w:val="008F4A34"/>
    <w:rsid w:val="008F752E"/>
    <w:rsid w:val="0090506A"/>
    <w:rsid w:val="0094191D"/>
    <w:rsid w:val="0094379E"/>
    <w:rsid w:val="00944EF3"/>
    <w:rsid w:val="0095774C"/>
    <w:rsid w:val="00960D4A"/>
    <w:rsid w:val="0098191E"/>
    <w:rsid w:val="00995D38"/>
    <w:rsid w:val="009B36AC"/>
    <w:rsid w:val="009C3D6A"/>
    <w:rsid w:val="00A00556"/>
    <w:rsid w:val="00A04658"/>
    <w:rsid w:val="00A20034"/>
    <w:rsid w:val="00A21A33"/>
    <w:rsid w:val="00A23AA2"/>
    <w:rsid w:val="00A454EC"/>
    <w:rsid w:val="00A47111"/>
    <w:rsid w:val="00A66B18"/>
    <w:rsid w:val="00A67197"/>
    <w:rsid w:val="00A951DB"/>
    <w:rsid w:val="00A95A79"/>
    <w:rsid w:val="00AC02E5"/>
    <w:rsid w:val="00AC2AA8"/>
    <w:rsid w:val="00AD2743"/>
    <w:rsid w:val="00AF14FA"/>
    <w:rsid w:val="00B23C4C"/>
    <w:rsid w:val="00B258D5"/>
    <w:rsid w:val="00B26528"/>
    <w:rsid w:val="00B46210"/>
    <w:rsid w:val="00B46C4B"/>
    <w:rsid w:val="00B63BE3"/>
    <w:rsid w:val="00B767B5"/>
    <w:rsid w:val="00B83FA9"/>
    <w:rsid w:val="00B8655A"/>
    <w:rsid w:val="00BA0528"/>
    <w:rsid w:val="00BA262B"/>
    <w:rsid w:val="00BA5FED"/>
    <w:rsid w:val="00BB42BC"/>
    <w:rsid w:val="00BC00D7"/>
    <w:rsid w:val="00BD3C3A"/>
    <w:rsid w:val="00BD56CE"/>
    <w:rsid w:val="00BE1003"/>
    <w:rsid w:val="00BE5338"/>
    <w:rsid w:val="00C217CE"/>
    <w:rsid w:val="00C22E5B"/>
    <w:rsid w:val="00C23BAE"/>
    <w:rsid w:val="00C26E74"/>
    <w:rsid w:val="00C47922"/>
    <w:rsid w:val="00C50810"/>
    <w:rsid w:val="00C57284"/>
    <w:rsid w:val="00C647B8"/>
    <w:rsid w:val="00C668B9"/>
    <w:rsid w:val="00C87F73"/>
    <w:rsid w:val="00C949A3"/>
    <w:rsid w:val="00C95DF6"/>
    <w:rsid w:val="00C97755"/>
    <w:rsid w:val="00CA6B42"/>
    <w:rsid w:val="00CB233B"/>
    <w:rsid w:val="00CD2925"/>
    <w:rsid w:val="00CD724D"/>
    <w:rsid w:val="00CE79ED"/>
    <w:rsid w:val="00CF24A1"/>
    <w:rsid w:val="00D0066F"/>
    <w:rsid w:val="00D02F14"/>
    <w:rsid w:val="00D03749"/>
    <w:rsid w:val="00D135CC"/>
    <w:rsid w:val="00D27E89"/>
    <w:rsid w:val="00D33B15"/>
    <w:rsid w:val="00D405B3"/>
    <w:rsid w:val="00D5685B"/>
    <w:rsid w:val="00D6781D"/>
    <w:rsid w:val="00D8744F"/>
    <w:rsid w:val="00DA15A1"/>
    <w:rsid w:val="00DA2939"/>
    <w:rsid w:val="00DA7F22"/>
    <w:rsid w:val="00DB6F8D"/>
    <w:rsid w:val="00DC49E2"/>
    <w:rsid w:val="00DD0319"/>
    <w:rsid w:val="00DD0C92"/>
    <w:rsid w:val="00E00CD8"/>
    <w:rsid w:val="00E12658"/>
    <w:rsid w:val="00E21AF2"/>
    <w:rsid w:val="00E262F5"/>
    <w:rsid w:val="00E379B0"/>
    <w:rsid w:val="00E4325E"/>
    <w:rsid w:val="00E70F2E"/>
    <w:rsid w:val="00E82B16"/>
    <w:rsid w:val="00E9027E"/>
    <w:rsid w:val="00E92581"/>
    <w:rsid w:val="00E9788A"/>
    <w:rsid w:val="00EB3C2E"/>
    <w:rsid w:val="00EC15DD"/>
    <w:rsid w:val="00ED35C4"/>
    <w:rsid w:val="00ED68EA"/>
    <w:rsid w:val="00EE0B26"/>
    <w:rsid w:val="00EE2361"/>
    <w:rsid w:val="00EE37BB"/>
    <w:rsid w:val="00EE64F5"/>
    <w:rsid w:val="00EE71B8"/>
    <w:rsid w:val="00EF24FF"/>
    <w:rsid w:val="00F0276F"/>
    <w:rsid w:val="00F12A55"/>
    <w:rsid w:val="00F234D7"/>
    <w:rsid w:val="00F2442A"/>
    <w:rsid w:val="00F376D4"/>
    <w:rsid w:val="00F4045F"/>
    <w:rsid w:val="00F72600"/>
    <w:rsid w:val="00F80E22"/>
    <w:rsid w:val="00F90729"/>
    <w:rsid w:val="00F94C98"/>
    <w:rsid w:val="00FA7812"/>
    <w:rsid w:val="00FB1B3C"/>
    <w:rsid w:val="00FC1D94"/>
    <w:rsid w:val="00FD4530"/>
    <w:rsid w:val="00FF6047"/>
    <w:rsid w:val="00FF61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5F"/>
    <w:rPr>
      <w:rFonts w:eastAsia="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525F"/>
    <w:pPr>
      <w:jc w:val="center"/>
    </w:pPr>
    <w:rPr>
      <w:sz w:val="28"/>
      <w:lang w:val="lv-LV"/>
    </w:rPr>
  </w:style>
  <w:style w:type="character" w:customStyle="1" w:styleId="BodyTextChar">
    <w:name w:val="Body Text Char"/>
    <w:basedOn w:val="DefaultParagraphFont"/>
    <w:link w:val="BodyText"/>
    <w:rsid w:val="0013525F"/>
    <w:rPr>
      <w:rFonts w:eastAsia="Times New Roman" w:cs="Times New Roman"/>
      <w:sz w:val="28"/>
      <w:szCs w:val="24"/>
    </w:rPr>
  </w:style>
  <w:style w:type="character" w:styleId="Hyperlink">
    <w:name w:val="Hyperlink"/>
    <w:basedOn w:val="DefaultParagraphFont"/>
    <w:rsid w:val="0013525F"/>
    <w:rPr>
      <w:color w:val="0000FF"/>
      <w:u w:val="single"/>
    </w:rPr>
  </w:style>
  <w:style w:type="paragraph" w:styleId="Footer">
    <w:name w:val="footer"/>
    <w:basedOn w:val="Normal"/>
    <w:link w:val="FooterChar"/>
    <w:rsid w:val="0013525F"/>
    <w:pPr>
      <w:tabs>
        <w:tab w:val="center" w:pos="4153"/>
        <w:tab w:val="right" w:pos="8306"/>
      </w:tabs>
    </w:pPr>
  </w:style>
  <w:style w:type="character" w:customStyle="1" w:styleId="FooterChar">
    <w:name w:val="Footer Char"/>
    <w:basedOn w:val="DefaultParagraphFont"/>
    <w:link w:val="Footer"/>
    <w:rsid w:val="0013525F"/>
    <w:rPr>
      <w:rFonts w:eastAsia="Times New Roman" w:cs="Times New Roman"/>
      <w:szCs w:val="24"/>
      <w:lang w:val="en-GB"/>
    </w:rPr>
  </w:style>
  <w:style w:type="paragraph" w:styleId="Header">
    <w:name w:val="header"/>
    <w:basedOn w:val="Normal"/>
    <w:link w:val="HeaderChar"/>
    <w:rsid w:val="0013525F"/>
    <w:pPr>
      <w:tabs>
        <w:tab w:val="center" w:pos="4153"/>
        <w:tab w:val="right" w:pos="8306"/>
      </w:tabs>
    </w:pPr>
  </w:style>
  <w:style w:type="character" w:customStyle="1" w:styleId="HeaderChar">
    <w:name w:val="Header Char"/>
    <w:basedOn w:val="DefaultParagraphFont"/>
    <w:link w:val="Header"/>
    <w:rsid w:val="0013525F"/>
    <w:rPr>
      <w:rFonts w:eastAsia="Times New Roman" w:cs="Times New Roman"/>
      <w:szCs w:val="24"/>
      <w:lang w:val="en-GB"/>
    </w:rPr>
  </w:style>
  <w:style w:type="paragraph" w:customStyle="1" w:styleId="naislab">
    <w:name w:val="naislab"/>
    <w:basedOn w:val="Normal"/>
    <w:rsid w:val="0013525F"/>
    <w:pPr>
      <w:spacing w:before="100" w:beforeAutospacing="1" w:after="100" w:afterAutospacing="1"/>
    </w:pPr>
    <w:rPr>
      <w:lang w:val="lv-LV" w:eastAsia="lv-LV"/>
    </w:rPr>
  </w:style>
  <w:style w:type="paragraph" w:customStyle="1" w:styleId="naisc">
    <w:name w:val="naisc"/>
    <w:basedOn w:val="Normal"/>
    <w:rsid w:val="0013525F"/>
    <w:pPr>
      <w:spacing w:before="100" w:beforeAutospacing="1" w:after="100" w:afterAutospacing="1"/>
    </w:pPr>
    <w:rPr>
      <w:lang w:val="lv-LV" w:eastAsia="lv-LV"/>
    </w:rPr>
  </w:style>
  <w:style w:type="paragraph" w:customStyle="1" w:styleId="naisnod">
    <w:name w:val="naisnod"/>
    <w:basedOn w:val="Normal"/>
    <w:rsid w:val="0013525F"/>
    <w:pPr>
      <w:spacing w:before="100" w:beforeAutospacing="1" w:after="100" w:afterAutospacing="1"/>
    </w:pPr>
    <w:rPr>
      <w:lang w:val="lv-LV" w:eastAsia="lv-LV"/>
    </w:rPr>
  </w:style>
  <w:style w:type="paragraph" w:customStyle="1" w:styleId="naiskr">
    <w:name w:val="naiskr"/>
    <w:basedOn w:val="Normal"/>
    <w:rsid w:val="0013525F"/>
    <w:pPr>
      <w:spacing w:before="100" w:beforeAutospacing="1" w:after="100" w:afterAutospacing="1"/>
    </w:pPr>
    <w:rPr>
      <w:lang w:val="lv-LV" w:eastAsia="lv-LV"/>
    </w:rPr>
  </w:style>
  <w:style w:type="character" w:styleId="PageNumber">
    <w:name w:val="page number"/>
    <w:basedOn w:val="DefaultParagraphFont"/>
    <w:rsid w:val="0013525F"/>
  </w:style>
  <w:style w:type="character" w:customStyle="1" w:styleId="spelle">
    <w:name w:val="spelle"/>
    <w:basedOn w:val="DefaultParagraphFont"/>
    <w:rsid w:val="0013525F"/>
  </w:style>
  <w:style w:type="paragraph" w:styleId="ListParagraph">
    <w:name w:val="List Paragraph"/>
    <w:basedOn w:val="Normal"/>
    <w:uiPriority w:val="34"/>
    <w:qFormat/>
    <w:rsid w:val="00EF24FF"/>
    <w:pPr>
      <w:ind w:left="720"/>
      <w:contextualSpacing/>
    </w:pPr>
  </w:style>
  <w:style w:type="paragraph" w:styleId="BalloonText">
    <w:name w:val="Balloon Text"/>
    <w:basedOn w:val="Normal"/>
    <w:link w:val="BalloonTextChar"/>
    <w:uiPriority w:val="99"/>
    <w:semiHidden/>
    <w:unhideWhenUsed/>
    <w:rsid w:val="00DA7F22"/>
    <w:rPr>
      <w:rFonts w:ascii="Tahoma" w:hAnsi="Tahoma" w:cs="Tahoma"/>
      <w:sz w:val="16"/>
      <w:szCs w:val="16"/>
    </w:rPr>
  </w:style>
  <w:style w:type="character" w:customStyle="1" w:styleId="BalloonTextChar">
    <w:name w:val="Balloon Text Char"/>
    <w:basedOn w:val="DefaultParagraphFont"/>
    <w:link w:val="BalloonText"/>
    <w:uiPriority w:val="99"/>
    <w:semiHidden/>
    <w:rsid w:val="00DA7F22"/>
    <w:rPr>
      <w:rFonts w:ascii="Tahoma" w:eastAsia="Times New Roman" w:hAnsi="Tahoma" w:cs="Tahoma"/>
      <w:sz w:val="16"/>
      <w:szCs w:val="16"/>
      <w:lang w:val="en-GB"/>
    </w:rPr>
  </w:style>
  <w:style w:type="paragraph" w:styleId="HTMLPreformatted">
    <w:name w:val="HTML Preformatted"/>
    <w:basedOn w:val="Normal"/>
    <w:link w:val="HTMLPreformattedChar"/>
    <w:rsid w:val="001F7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lv-LV"/>
    </w:rPr>
  </w:style>
  <w:style w:type="character" w:customStyle="1" w:styleId="HTMLPreformattedChar">
    <w:name w:val="HTML Preformatted Char"/>
    <w:basedOn w:val="DefaultParagraphFont"/>
    <w:link w:val="HTMLPreformatted"/>
    <w:rsid w:val="001F74EE"/>
    <w:rPr>
      <w:rFonts w:ascii="Arial Unicode MS" w:eastAsia="Arial Unicode MS" w:hAnsi="Arial Unicode MS" w:cs="Arial Unicode MS"/>
      <w:sz w:val="20"/>
      <w:szCs w:val="20"/>
    </w:rPr>
  </w:style>
  <w:style w:type="character" w:styleId="CommentReference">
    <w:name w:val="annotation reference"/>
    <w:basedOn w:val="DefaultParagraphFont"/>
    <w:uiPriority w:val="99"/>
    <w:semiHidden/>
    <w:unhideWhenUsed/>
    <w:rsid w:val="00680B91"/>
    <w:rPr>
      <w:sz w:val="16"/>
      <w:szCs w:val="16"/>
    </w:rPr>
  </w:style>
  <w:style w:type="paragraph" w:styleId="CommentText">
    <w:name w:val="annotation text"/>
    <w:basedOn w:val="Normal"/>
    <w:link w:val="CommentTextChar"/>
    <w:uiPriority w:val="99"/>
    <w:unhideWhenUsed/>
    <w:rsid w:val="00680B91"/>
    <w:pPr>
      <w:spacing w:after="200"/>
    </w:pPr>
    <w:rPr>
      <w:rFonts w:ascii="Calibri" w:eastAsia="Calibri" w:hAnsi="Calibri"/>
      <w:sz w:val="20"/>
      <w:szCs w:val="20"/>
      <w:lang w:val="lv-LV"/>
    </w:rPr>
  </w:style>
  <w:style w:type="character" w:customStyle="1" w:styleId="CommentTextChar">
    <w:name w:val="Comment Text Char"/>
    <w:basedOn w:val="DefaultParagraphFont"/>
    <w:link w:val="CommentText"/>
    <w:uiPriority w:val="99"/>
    <w:rsid w:val="00680B91"/>
    <w:rPr>
      <w:rFonts w:ascii="Calibri" w:eastAsia="Calibri" w:hAnsi="Calibri" w:cs="Times New Roman"/>
      <w:sz w:val="20"/>
      <w:szCs w:val="20"/>
    </w:rPr>
  </w:style>
  <w:style w:type="paragraph" w:styleId="BodyTextIndent">
    <w:name w:val="Body Text Indent"/>
    <w:basedOn w:val="Normal"/>
    <w:link w:val="BodyTextIndentChar"/>
    <w:uiPriority w:val="99"/>
    <w:semiHidden/>
    <w:unhideWhenUsed/>
    <w:rsid w:val="00C26E74"/>
    <w:pPr>
      <w:spacing w:after="120"/>
      <w:ind w:left="283"/>
    </w:pPr>
  </w:style>
  <w:style w:type="character" w:customStyle="1" w:styleId="BodyTextIndentChar">
    <w:name w:val="Body Text Indent Char"/>
    <w:basedOn w:val="DefaultParagraphFont"/>
    <w:link w:val="BodyTextIndent"/>
    <w:uiPriority w:val="99"/>
    <w:semiHidden/>
    <w:rsid w:val="00C26E74"/>
    <w:rPr>
      <w:rFonts w:eastAsia="Times New Roman" w:cs="Times New Roman"/>
      <w:szCs w:val="24"/>
      <w:lang w:val="en-GB"/>
    </w:rPr>
  </w:style>
  <w:style w:type="paragraph" w:styleId="CommentSubject">
    <w:name w:val="annotation subject"/>
    <w:basedOn w:val="CommentText"/>
    <w:next w:val="CommentText"/>
    <w:link w:val="CommentSubjectChar"/>
    <w:uiPriority w:val="99"/>
    <w:semiHidden/>
    <w:unhideWhenUsed/>
    <w:rsid w:val="00FF61E0"/>
    <w:pPr>
      <w:spacing w:after="0"/>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F61E0"/>
    <w:rPr>
      <w:rFonts w:ascii="Calibri" w:eastAsia="Times New Roman" w:hAnsi="Calibri"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5F"/>
    <w:rPr>
      <w:rFonts w:eastAsia="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525F"/>
    <w:pPr>
      <w:jc w:val="center"/>
    </w:pPr>
    <w:rPr>
      <w:sz w:val="28"/>
      <w:lang w:val="lv-LV"/>
    </w:rPr>
  </w:style>
  <w:style w:type="character" w:customStyle="1" w:styleId="BodyTextChar">
    <w:name w:val="Body Text Char"/>
    <w:basedOn w:val="DefaultParagraphFont"/>
    <w:link w:val="BodyText"/>
    <w:rsid w:val="0013525F"/>
    <w:rPr>
      <w:rFonts w:eastAsia="Times New Roman" w:cs="Times New Roman"/>
      <w:sz w:val="28"/>
      <w:szCs w:val="24"/>
    </w:rPr>
  </w:style>
  <w:style w:type="character" w:styleId="Hyperlink">
    <w:name w:val="Hyperlink"/>
    <w:basedOn w:val="DefaultParagraphFont"/>
    <w:rsid w:val="0013525F"/>
    <w:rPr>
      <w:color w:val="0000FF"/>
      <w:u w:val="single"/>
    </w:rPr>
  </w:style>
  <w:style w:type="paragraph" w:styleId="Footer">
    <w:name w:val="footer"/>
    <w:basedOn w:val="Normal"/>
    <w:link w:val="FooterChar"/>
    <w:rsid w:val="0013525F"/>
    <w:pPr>
      <w:tabs>
        <w:tab w:val="center" w:pos="4153"/>
        <w:tab w:val="right" w:pos="8306"/>
      </w:tabs>
    </w:pPr>
  </w:style>
  <w:style w:type="character" w:customStyle="1" w:styleId="FooterChar">
    <w:name w:val="Footer Char"/>
    <w:basedOn w:val="DefaultParagraphFont"/>
    <w:link w:val="Footer"/>
    <w:rsid w:val="0013525F"/>
    <w:rPr>
      <w:rFonts w:eastAsia="Times New Roman" w:cs="Times New Roman"/>
      <w:szCs w:val="24"/>
      <w:lang w:val="en-GB"/>
    </w:rPr>
  </w:style>
  <w:style w:type="paragraph" w:styleId="Header">
    <w:name w:val="header"/>
    <w:basedOn w:val="Normal"/>
    <w:link w:val="HeaderChar"/>
    <w:rsid w:val="0013525F"/>
    <w:pPr>
      <w:tabs>
        <w:tab w:val="center" w:pos="4153"/>
        <w:tab w:val="right" w:pos="8306"/>
      </w:tabs>
    </w:pPr>
  </w:style>
  <w:style w:type="character" w:customStyle="1" w:styleId="HeaderChar">
    <w:name w:val="Header Char"/>
    <w:basedOn w:val="DefaultParagraphFont"/>
    <w:link w:val="Header"/>
    <w:rsid w:val="0013525F"/>
    <w:rPr>
      <w:rFonts w:eastAsia="Times New Roman" w:cs="Times New Roman"/>
      <w:szCs w:val="24"/>
      <w:lang w:val="en-GB"/>
    </w:rPr>
  </w:style>
  <w:style w:type="paragraph" w:customStyle="1" w:styleId="naislab">
    <w:name w:val="naislab"/>
    <w:basedOn w:val="Normal"/>
    <w:rsid w:val="0013525F"/>
    <w:pPr>
      <w:spacing w:before="100" w:beforeAutospacing="1" w:after="100" w:afterAutospacing="1"/>
    </w:pPr>
    <w:rPr>
      <w:lang w:val="lv-LV" w:eastAsia="lv-LV"/>
    </w:rPr>
  </w:style>
  <w:style w:type="paragraph" w:customStyle="1" w:styleId="naisc">
    <w:name w:val="naisc"/>
    <w:basedOn w:val="Normal"/>
    <w:rsid w:val="0013525F"/>
    <w:pPr>
      <w:spacing w:before="100" w:beforeAutospacing="1" w:after="100" w:afterAutospacing="1"/>
    </w:pPr>
    <w:rPr>
      <w:lang w:val="lv-LV" w:eastAsia="lv-LV"/>
    </w:rPr>
  </w:style>
  <w:style w:type="paragraph" w:customStyle="1" w:styleId="naisnod">
    <w:name w:val="naisnod"/>
    <w:basedOn w:val="Normal"/>
    <w:rsid w:val="0013525F"/>
    <w:pPr>
      <w:spacing w:before="100" w:beforeAutospacing="1" w:after="100" w:afterAutospacing="1"/>
    </w:pPr>
    <w:rPr>
      <w:lang w:val="lv-LV" w:eastAsia="lv-LV"/>
    </w:rPr>
  </w:style>
  <w:style w:type="paragraph" w:customStyle="1" w:styleId="naiskr">
    <w:name w:val="naiskr"/>
    <w:basedOn w:val="Normal"/>
    <w:rsid w:val="0013525F"/>
    <w:pPr>
      <w:spacing w:before="100" w:beforeAutospacing="1" w:after="100" w:afterAutospacing="1"/>
    </w:pPr>
    <w:rPr>
      <w:lang w:val="lv-LV" w:eastAsia="lv-LV"/>
    </w:rPr>
  </w:style>
  <w:style w:type="character" w:styleId="PageNumber">
    <w:name w:val="page number"/>
    <w:basedOn w:val="DefaultParagraphFont"/>
    <w:rsid w:val="0013525F"/>
  </w:style>
  <w:style w:type="character" w:customStyle="1" w:styleId="spelle">
    <w:name w:val="spelle"/>
    <w:basedOn w:val="DefaultParagraphFont"/>
    <w:rsid w:val="0013525F"/>
  </w:style>
  <w:style w:type="paragraph" w:styleId="ListParagraph">
    <w:name w:val="List Paragraph"/>
    <w:basedOn w:val="Normal"/>
    <w:uiPriority w:val="34"/>
    <w:qFormat/>
    <w:rsid w:val="00EF24FF"/>
    <w:pPr>
      <w:ind w:left="720"/>
      <w:contextualSpacing/>
    </w:pPr>
  </w:style>
  <w:style w:type="paragraph" w:styleId="BalloonText">
    <w:name w:val="Balloon Text"/>
    <w:basedOn w:val="Normal"/>
    <w:link w:val="BalloonTextChar"/>
    <w:uiPriority w:val="99"/>
    <w:semiHidden/>
    <w:unhideWhenUsed/>
    <w:rsid w:val="00DA7F22"/>
    <w:rPr>
      <w:rFonts w:ascii="Tahoma" w:hAnsi="Tahoma" w:cs="Tahoma"/>
      <w:sz w:val="16"/>
      <w:szCs w:val="16"/>
    </w:rPr>
  </w:style>
  <w:style w:type="character" w:customStyle="1" w:styleId="BalloonTextChar">
    <w:name w:val="Balloon Text Char"/>
    <w:basedOn w:val="DefaultParagraphFont"/>
    <w:link w:val="BalloonText"/>
    <w:uiPriority w:val="99"/>
    <w:semiHidden/>
    <w:rsid w:val="00DA7F22"/>
    <w:rPr>
      <w:rFonts w:ascii="Tahoma" w:eastAsia="Times New Roman" w:hAnsi="Tahoma" w:cs="Tahoma"/>
      <w:sz w:val="16"/>
      <w:szCs w:val="16"/>
      <w:lang w:val="en-GB"/>
    </w:rPr>
  </w:style>
  <w:style w:type="paragraph" w:styleId="HTMLPreformatted">
    <w:name w:val="HTML Preformatted"/>
    <w:basedOn w:val="Normal"/>
    <w:link w:val="HTMLPreformattedChar"/>
    <w:rsid w:val="001F7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lv-LV"/>
    </w:rPr>
  </w:style>
  <w:style w:type="character" w:customStyle="1" w:styleId="HTMLPreformattedChar">
    <w:name w:val="HTML Preformatted Char"/>
    <w:basedOn w:val="DefaultParagraphFont"/>
    <w:link w:val="HTMLPreformatted"/>
    <w:rsid w:val="001F74EE"/>
    <w:rPr>
      <w:rFonts w:ascii="Arial Unicode MS" w:eastAsia="Arial Unicode MS" w:hAnsi="Arial Unicode MS" w:cs="Arial Unicode MS"/>
      <w:sz w:val="20"/>
      <w:szCs w:val="20"/>
    </w:rPr>
  </w:style>
  <w:style w:type="character" w:styleId="CommentReference">
    <w:name w:val="annotation reference"/>
    <w:basedOn w:val="DefaultParagraphFont"/>
    <w:uiPriority w:val="99"/>
    <w:semiHidden/>
    <w:unhideWhenUsed/>
    <w:rsid w:val="00680B91"/>
    <w:rPr>
      <w:sz w:val="16"/>
      <w:szCs w:val="16"/>
    </w:rPr>
  </w:style>
  <w:style w:type="paragraph" w:styleId="CommentText">
    <w:name w:val="annotation text"/>
    <w:basedOn w:val="Normal"/>
    <w:link w:val="CommentTextChar"/>
    <w:uiPriority w:val="99"/>
    <w:unhideWhenUsed/>
    <w:rsid w:val="00680B91"/>
    <w:pPr>
      <w:spacing w:after="200"/>
    </w:pPr>
    <w:rPr>
      <w:rFonts w:ascii="Calibri" w:eastAsia="Calibri" w:hAnsi="Calibri"/>
      <w:sz w:val="20"/>
      <w:szCs w:val="20"/>
      <w:lang w:val="lv-LV"/>
    </w:rPr>
  </w:style>
  <w:style w:type="character" w:customStyle="1" w:styleId="CommentTextChar">
    <w:name w:val="Comment Text Char"/>
    <w:basedOn w:val="DefaultParagraphFont"/>
    <w:link w:val="CommentText"/>
    <w:uiPriority w:val="99"/>
    <w:rsid w:val="00680B91"/>
    <w:rPr>
      <w:rFonts w:ascii="Calibri" w:eastAsia="Calibri" w:hAnsi="Calibri" w:cs="Times New Roman"/>
      <w:sz w:val="20"/>
      <w:szCs w:val="20"/>
    </w:rPr>
  </w:style>
  <w:style w:type="paragraph" w:styleId="BodyTextIndent">
    <w:name w:val="Body Text Indent"/>
    <w:basedOn w:val="Normal"/>
    <w:link w:val="BodyTextIndentChar"/>
    <w:uiPriority w:val="99"/>
    <w:semiHidden/>
    <w:unhideWhenUsed/>
    <w:rsid w:val="00C26E74"/>
    <w:pPr>
      <w:spacing w:after="120"/>
      <w:ind w:left="283"/>
    </w:pPr>
  </w:style>
  <w:style w:type="character" w:customStyle="1" w:styleId="BodyTextIndentChar">
    <w:name w:val="Body Text Indent Char"/>
    <w:basedOn w:val="DefaultParagraphFont"/>
    <w:link w:val="BodyTextIndent"/>
    <w:uiPriority w:val="99"/>
    <w:semiHidden/>
    <w:rsid w:val="00C26E74"/>
    <w:rPr>
      <w:rFonts w:eastAsia="Times New Roman" w:cs="Times New Roman"/>
      <w:szCs w:val="24"/>
      <w:lang w:val="en-GB"/>
    </w:rPr>
  </w:style>
  <w:style w:type="paragraph" w:styleId="CommentSubject">
    <w:name w:val="annotation subject"/>
    <w:basedOn w:val="CommentText"/>
    <w:next w:val="CommentText"/>
    <w:link w:val="CommentSubjectChar"/>
    <w:uiPriority w:val="99"/>
    <w:semiHidden/>
    <w:unhideWhenUsed/>
    <w:rsid w:val="00FF61E0"/>
    <w:pPr>
      <w:spacing w:after="0"/>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F61E0"/>
    <w:rPr>
      <w:rFonts w:ascii="Calibri" w:eastAsia="Times New Roman"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538352">
      <w:bodyDiv w:val="1"/>
      <w:marLeft w:val="0"/>
      <w:marRight w:val="0"/>
      <w:marTop w:val="0"/>
      <w:marBottom w:val="0"/>
      <w:divBdr>
        <w:top w:val="none" w:sz="0" w:space="0" w:color="auto"/>
        <w:left w:val="none" w:sz="0" w:space="0" w:color="auto"/>
        <w:bottom w:val="none" w:sz="0" w:space="0" w:color="auto"/>
        <w:right w:val="none" w:sz="0" w:space="0" w:color="auto"/>
      </w:divBdr>
    </w:div>
    <w:div w:id="731539862">
      <w:bodyDiv w:val="1"/>
      <w:marLeft w:val="0"/>
      <w:marRight w:val="0"/>
      <w:marTop w:val="0"/>
      <w:marBottom w:val="0"/>
      <w:divBdr>
        <w:top w:val="none" w:sz="0" w:space="0" w:color="auto"/>
        <w:left w:val="none" w:sz="0" w:space="0" w:color="auto"/>
        <w:bottom w:val="none" w:sz="0" w:space="0" w:color="auto"/>
        <w:right w:val="none" w:sz="0" w:space="0" w:color="auto"/>
      </w:divBdr>
    </w:div>
    <w:div w:id="748423528">
      <w:bodyDiv w:val="1"/>
      <w:marLeft w:val="0"/>
      <w:marRight w:val="0"/>
      <w:marTop w:val="0"/>
      <w:marBottom w:val="0"/>
      <w:divBdr>
        <w:top w:val="none" w:sz="0" w:space="0" w:color="auto"/>
        <w:left w:val="none" w:sz="0" w:space="0" w:color="auto"/>
        <w:bottom w:val="none" w:sz="0" w:space="0" w:color="auto"/>
        <w:right w:val="none" w:sz="0" w:space="0" w:color="auto"/>
      </w:divBdr>
    </w:div>
    <w:div w:id="1163398503">
      <w:bodyDiv w:val="1"/>
      <w:marLeft w:val="0"/>
      <w:marRight w:val="0"/>
      <w:marTop w:val="0"/>
      <w:marBottom w:val="0"/>
      <w:divBdr>
        <w:top w:val="none" w:sz="0" w:space="0" w:color="auto"/>
        <w:left w:val="none" w:sz="0" w:space="0" w:color="auto"/>
        <w:bottom w:val="none" w:sz="0" w:space="0" w:color="auto"/>
        <w:right w:val="none" w:sz="0" w:space="0" w:color="auto"/>
      </w:divBdr>
    </w:div>
    <w:div w:id="1573781806">
      <w:bodyDiv w:val="1"/>
      <w:marLeft w:val="0"/>
      <w:marRight w:val="0"/>
      <w:marTop w:val="0"/>
      <w:marBottom w:val="0"/>
      <w:divBdr>
        <w:top w:val="none" w:sz="0" w:space="0" w:color="auto"/>
        <w:left w:val="none" w:sz="0" w:space="0" w:color="auto"/>
        <w:bottom w:val="none" w:sz="0" w:space="0" w:color="auto"/>
        <w:right w:val="none" w:sz="0" w:space="0" w:color="auto"/>
      </w:divBdr>
    </w:div>
    <w:div w:id="20516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unta.Puzule@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EA8BF-36AD-499F-9756-901FA0B5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16</Pages>
  <Words>20763</Words>
  <Characters>11835</Characters>
  <Application>Microsoft Office Word</Application>
  <DocSecurity>0</DocSecurity>
  <Lines>98</Lines>
  <Paragraphs>65</Paragraphs>
  <ScaleCrop>false</ScaleCrop>
  <HeadingPairs>
    <vt:vector size="2" baseType="variant">
      <vt:variant>
        <vt:lpstr>Title</vt:lpstr>
      </vt:variant>
      <vt:variant>
        <vt:i4>1</vt:i4>
      </vt:variant>
    </vt:vector>
  </HeadingPairs>
  <TitlesOfParts>
    <vt:vector size="1" baseType="lpstr">
      <vt:lpstr>likumprojekta "Grozījumi likumā "Par nodokļiem un nodevām" anotācija</vt:lpstr>
    </vt:vector>
  </TitlesOfParts>
  <Company>VID</Company>
  <LinksUpToDate>false</LinksUpToDate>
  <CharactersWithSpaces>32533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nodokļiem un nodevām" anotācija</dc:title>
  <dc:subject>anotācija</dc:subject>
  <dc:creator>Tatjana Trenko</dc:creator>
  <cp:keywords/>
  <dc:description>Tatjana.Trenko
Tālrunis 67083983</dc:description>
  <cp:lastModifiedBy>kc-siman</cp:lastModifiedBy>
  <cp:revision>37</cp:revision>
  <cp:lastPrinted>2011-08-31T07:26:00Z</cp:lastPrinted>
  <dcterms:created xsi:type="dcterms:W3CDTF">2011-07-07T11:47:00Z</dcterms:created>
  <dcterms:modified xsi:type="dcterms:W3CDTF">2011-09-02T13:19:00Z</dcterms:modified>
</cp:coreProperties>
</file>