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5F" w:rsidRPr="00D41C45" w:rsidRDefault="0013525F" w:rsidP="0013525F">
      <w:pPr>
        <w:pStyle w:val="BodyText"/>
        <w:rPr>
          <w:b/>
          <w:sz w:val="26"/>
          <w:szCs w:val="26"/>
        </w:rPr>
      </w:pPr>
      <w:bookmarkStart w:id="0" w:name="OLE_LINK1"/>
      <w:bookmarkStart w:id="1" w:name="OLE_LINK2"/>
      <w:bookmarkStart w:id="2" w:name="OLE_LINK6"/>
      <w:bookmarkStart w:id="3" w:name="OLE_LINK7"/>
      <w:r w:rsidRPr="00D41C45">
        <w:rPr>
          <w:b/>
          <w:sz w:val="26"/>
          <w:szCs w:val="26"/>
        </w:rPr>
        <w:t>Likumprojekta</w:t>
      </w:r>
    </w:p>
    <w:p w:rsidR="0013525F" w:rsidRPr="00EF24FF" w:rsidRDefault="0013525F" w:rsidP="0013525F">
      <w:pPr>
        <w:jc w:val="center"/>
        <w:rPr>
          <w:b/>
          <w:sz w:val="26"/>
          <w:szCs w:val="26"/>
          <w:lang w:val="lv-LV"/>
        </w:rPr>
      </w:pPr>
      <w:r w:rsidRPr="00EF24FF">
        <w:rPr>
          <w:b/>
          <w:bCs/>
          <w:sz w:val="26"/>
          <w:szCs w:val="26"/>
          <w:lang w:val="lv-LV"/>
        </w:rPr>
        <w:t>"</w:t>
      </w:r>
      <w:r w:rsidR="00EF24FF" w:rsidRPr="00EF24FF">
        <w:rPr>
          <w:b/>
          <w:sz w:val="26"/>
          <w:szCs w:val="26"/>
          <w:lang w:val="lv-LV"/>
        </w:rPr>
        <w:t>Grozījumi</w:t>
      </w:r>
      <w:r w:rsidRPr="00EF24FF">
        <w:rPr>
          <w:b/>
          <w:sz w:val="26"/>
          <w:szCs w:val="26"/>
          <w:lang w:val="lv-LV"/>
        </w:rPr>
        <w:t xml:space="preserve"> </w:t>
      </w:r>
      <w:bookmarkStart w:id="4" w:name="OLE_LINK3"/>
      <w:bookmarkStart w:id="5" w:name="OLE_LINK4"/>
      <w:r w:rsidRPr="00EF24FF">
        <w:rPr>
          <w:b/>
          <w:sz w:val="26"/>
          <w:szCs w:val="26"/>
          <w:lang w:val="lv-LV"/>
        </w:rPr>
        <w:t>likumā "</w:t>
      </w:r>
      <w:r w:rsidR="004E307F">
        <w:rPr>
          <w:b/>
          <w:sz w:val="26"/>
          <w:szCs w:val="26"/>
          <w:lang w:val="lv-LV"/>
        </w:rPr>
        <w:t>Par Valsts ieņēmumu dienestu</w:t>
      </w:r>
      <w:r w:rsidRPr="00EF24FF">
        <w:rPr>
          <w:b/>
          <w:sz w:val="26"/>
          <w:szCs w:val="26"/>
          <w:lang w:val="lv-LV"/>
        </w:rPr>
        <w:t>"</w:t>
      </w:r>
      <w:bookmarkEnd w:id="4"/>
      <w:bookmarkEnd w:id="5"/>
      <w:r w:rsidRPr="00EF24FF">
        <w:rPr>
          <w:b/>
          <w:sz w:val="26"/>
          <w:szCs w:val="26"/>
          <w:lang w:val="lv-LV"/>
        </w:rPr>
        <w:t>"</w:t>
      </w:r>
      <w:bookmarkEnd w:id="0"/>
      <w:bookmarkEnd w:id="1"/>
    </w:p>
    <w:p w:rsidR="0013525F" w:rsidRPr="0013525F" w:rsidRDefault="0013525F" w:rsidP="0013525F">
      <w:pPr>
        <w:pStyle w:val="BodyText"/>
        <w:rPr>
          <w:b/>
          <w:sz w:val="26"/>
          <w:szCs w:val="26"/>
        </w:rPr>
      </w:pPr>
      <w:r w:rsidRPr="0013525F">
        <w:rPr>
          <w:b/>
          <w:sz w:val="26"/>
          <w:szCs w:val="26"/>
        </w:rPr>
        <w:t>sākotnējās ietekmes novērtējuma ziņojums (anotācija</w:t>
      </w:r>
      <w:bookmarkEnd w:id="2"/>
      <w:bookmarkEnd w:id="3"/>
      <w:r w:rsidRPr="0013525F">
        <w:rPr>
          <w:b/>
          <w:sz w:val="26"/>
          <w:szCs w:val="26"/>
        </w:rPr>
        <w:t>)</w:t>
      </w:r>
    </w:p>
    <w:p w:rsidR="0013525F" w:rsidRPr="00D41C45" w:rsidRDefault="0013525F" w:rsidP="0013525F">
      <w:pPr>
        <w:pStyle w:val="BodyText"/>
        <w:rPr>
          <w:b/>
          <w:color w:val="000000"/>
          <w:sz w:val="26"/>
          <w:szCs w:val="26"/>
        </w:rPr>
      </w:pPr>
    </w:p>
    <w:tbl>
      <w:tblPr>
        <w:tblW w:w="92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824"/>
      </w:tblGrid>
      <w:tr w:rsidR="0013525F" w:rsidRPr="00D41C45" w:rsidTr="00FA24A9">
        <w:trPr>
          <w:trHeight w:val="564"/>
          <w:tblCellSpacing w:w="0" w:type="dxa"/>
        </w:trPr>
        <w:tc>
          <w:tcPr>
            <w:tcW w:w="9249"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FA24A9">
            <w:pPr>
              <w:pStyle w:val="naisc"/>
              <w:jc w:val="center"/>
              <w:rPr>
                <w:sz w:val="26"/>
                <w:szCs w:val="26"/>
              </w:rPr>
            </w:pPr>
            <w:proofErr w:type="spellStart"/>
            <w:r w:rsidRPr="00D41C45">
              <w:rPr>
                <w:b/>
                <w:bCs/>
                <w:sz w:val="26"/>
                <w:szCs w:val="26"/>
              </w:rPr>
              <w:t>I. Tiesību</w:t>
            </w:r>
            <w:proofErr w:type="spellEnd"/>
            <w:r w:rsidRPr="00D41C45">
              <w:rPr>
                <w:b/>
                <w:bCs/>
                <w:sz w:val="26"/>
                <w:szCs w:val="26"/>
              </w:rPr>
              <w:t xml:space="preserve"> akta projekta izstrādes nepieciešamība</w:t>
            </w:r>
          </w:p>
        </w:tc>
      </w:tr>
      <w:tr w:rsidR="0013525F" w:rsidRPr="00F4112A" w:rsidTr="00DD0319">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lab"/>
              <w:rPr>
                <w:sz w:val="26"/>
                <w:szCs w:val="26"/>
              </w:rPr>
            </w:pPr>
            <w:r w:rsidRPr="00D41C45">
              <w:rPr>
                <w:sz w:val="26"/>
                <w:szCs w:val="26"/>
              </w:rPr>
              <w:t> Pamatojums</w:t>
            </w:r>
          </w:p>
        </w:tc>
        <w:tc>
          <w:tcPr>
            <w:tcW w:w="6824" w:type="dxa"/>
            <w:tcBorders>
              <w:top w:val="outset" w:sz="6" w:space="0" w:color="auto"/>
              <w:left w:val="outset" w:sz="6" w:space="0" w:color="auto"/>
              <w:bottom w:val="outset" w:sz="6" w:space="0" w:color="auto"/>
              <w:right w:val="outset" w:sz="6" w:space="0" w:color="auto"/>
            </w:tcBorders>
          </w:tcPr>
          <w:p w:rsidR="00952F6D" w:rsidRPr="00130089" w:rsidRDefault="0013525F" w:rsidP="00952F6D">
            <w:pPr>
              <w:jc w:val="both"/>
              <w:rPr>
                <w:sz w:val="26"/>
                <w:szCs w:val="26"/>
                <w:lang w:val="lv-LV"/>
              </w:rPr>
            </w:pPr>
            <w:r w:rsidRPr="00D41C45">
              <w:rPr>
                <w:sz w:val="26"/>
                <w:szCs w:val="26"/>
                <w:lang w:val="lv-LV"/>
              </w:rPr>
              <w:t> </w:t>
            </w:r>
            <w:r w:rsidR="00952F6D" w:rsidRPr="00130089">
              <w:rPr>
                <w:sz w:val="26"/>
                <w:szCs w:val="26"/>
                <w:lang w:val="lv-LV"/>
              </w:rPr>
              <w:t>Likumprojekts izstrādāts, lai nodrošinātu Ministru kabineta 2010.gada 30.marta sēdes protokola Nr.16 47§ 9.punktā</w:t>
            </w:r>
          </w:p>
          <w:p w:rsidR="0013525F" w:rsidRPr="00895D4D" w:rsidRDefault="00952F6D" w:rsidP="005F71BD">
            <w:pPr>
              <w:jc w:val="both"/>
              <w:rPr>
                <w:bCs/>
                <w:sz w:val="26"/>
                <w:szCs w:val="26"/>
                <w:lang w:val="lv-LV"/>
              </w:rPr>
            </w:pPr>
            <w:r w:rsidRPr="00130089">
              <w:rPr>
                <w:sz w:val="26"/>
                <w:szCs w:val="26"/>
                <w:lang w:val="lv-LV"/>
              </w:rPr>
              <w:t xml:space="preserve"> paredzētā uzdevuma izpildi -  </w:t>
            </w:r>
            <w:r w:rsidRPr="00130089">
              <w:rPr>
                <w:color w:val="2A2A2A"/>
                <w:sz w:val="26"/>
                <w:szCs w:val="26"/>
                <w:lang w:val="lv-LV"/>
              </w:rPr>
              <w:t>sagatavot un finanšu ministram iesniegt noteiktā kārtībā nepieciešamos grozījumus likumā „Par Valsts ieņēmumu dienestu”, kas paredzētu pilnveidot vienkāršoto uzņēmumu likvidācijas procesu</w:t>
            </w:r>
            <w:r w:rsidR="00AA0641">
              <w:rPr>
                <w:color w:val="2A2A2A"/>
                <w:sz w:val="26"/>
                <w:szCs w:val="26"/>
                <w:lang w:val="lv-LV"/>
              </w:rPr>
              <w:t>.</w:t>
            </w:r>
          </w:p>
        </w:tc>
      </w:tr>
      <w:tr w:rsidR="0013525F" w:rsidRPr="00F4112A" w:rsidTr="00DD031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2.</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Pašreizējā situācija un problēmas</w:t>
            </w:r>
          </w:p>
        </w:tc>
        <w:tc>
          <w:tcPr>
            <w:tcW w:w="6824" w:type="dxa"/>
            <w:tcBorders>
              <w:top w:val="outset" w:sz="6" w:space="0" w:color="auto"/>
              <w:left w:val="outset" w:sz="6" w:space="0" w:color="auto"/>
              <w:bottom w:val="outset" w:sz="6" w:space="0" w:color="auto"/>
              <w:right w:val="outset" w:sz="6" w:space="0" w:color="auto"/>
            </w:tcBorders>
          </w:tcPr>
          <w:p w:rsidR="006844CC" w:rsidRPr="00AA0641" w:rsidRDefault="00952F6D" w:rsidP="00F4045F">
            <w:pPr>
              <w:jc w:val="both"/>
              <w:rPr>
                <w:sz w:val="26"/>
                <w:szCs w:val="26"/>
                <w:lang w:val="lv-LV"/>
              </w:rPr>
            </w:pPr>
            <w:r w:rsidRPr="00AA0641">
              <w:rPr>
                <w:sz w:val="26"/>
                <w:szCs w:val="26"/>
                <w:lang w:val="lv-LV"/>
              </w:rPr>
              <w:t xml:space="preserve"> Likuma </w:t>
            </w:r>
            <w:r w:rsidRPr="00B561C5">
              <w:rPr>
                <w:sz w:val="26"/>
                <w:szCs w:val="26"/>
                <w:lang w:val="lv-LV"/>
              </w:rPr>
              <w:t xml:space="preserve">„Par nodokļiem un nodevām” </w:t>
            </w:r>
            <w:r w:rsidRPr="00AA0641">
              <w:rPr>
                <w:sz w:val="26"/>
                <w:szCs w:val="26"/>
                <w:lang w:val="lv-LV"/>
              </w:rPr>
              <w:t>34.</w:t>
            </w:r>
            <w:r w:rsidRPr="00AA0641">
              <w:rPr>
                <w:sz w:val="26"/>
                <w:szCs w:val="26"/>
                <w:vertAlign w:val="superscript"/>
                <w:lang w:val="lv-LV"/>
              </w:rPr>
              <w:t>1</w:t>
            </w:r>
            <w:r w:rsidRPr="00AA0641">
              <w:rPr>
                <w:sz w:val="26"/>
                <w:szCs w:val="26"/>
                <w:lang w:val="lv-LV"/>
              </w:rPr>
              <w:t xml:space="preserve"> pantā ir reglamentēta nodokļu maksātāja saimnieciskās darbības apturēšana normatīvo aktu pārkāpumu gadījumos. Tomēr pastāvošais regulējums satur nepilnības, kuru dēļ tā piemērošana nav efektīva. Konstatējot normatīvo aktu pārkāpumus, speciālās pārbaudes veikšanai uz laiku, kas nav ilgāks par 10 dienām, aptur nodokļu maksātāja struktūrvienības darbību, kurā noticis pārkāpums. Veicot speciālo pārbaudi, var tikt apzināta nodokļu revīzijas (audita) veikšanas nepieciešamība. Pastāvošā saimnieciskās darbības apturēšanas kārtība ir darbietilpīga un nesasniedz mērķi – liegt ar saimniecisko darbību nodarboties nodokļu maksātājiem, kuri pieļauj būtisku normatīvo aktu pārkāpumus un neizpilda nodokļu administrācijas prasības, ir jāaptur tikai būtisku pārkāpumu konstatēšanas gadījumā.</w:t>
            </w:r>
          </w:p>
          <w:p w:rsidR="00763921" w:rsidRPr="00AA0641" w:rsidRDefault="00763921" w:rsidP="00B50968">
            <w:pPr>
              <w:jc w:val="both"/>
              <w:rPr>
                <w:sz w:val="26"/>
                <w:szCs w:val="26"/>
                <w:lang w:val="lv-LV"/>
              </w:rPr>
            </w:pPr>
            <w:r w:rsidRPr="00AA0641">
              <w:rPr>
                <w:sz w:val="26"/>
                <w:szCs w:val="26"/>
                <w:lang w:val="lv-LV"/>
              </w:rPr>
              <w:t xml:space="preserve">Paredzēts paplašināt to gadījumu loku, kuros komersanta darbība var tikt apturēta, liedzot turpināt normatīvajiem aktiem neatbilstošu komercdarbību. Apturot saimniecisko darbību, tiks veikti papildus komersanta darbību ierobežojošie pasākumi, piemēram, speciālo atļauju (licenču) </w:t>
            </w:r>
            <w:r w:rsidR="00B87B04">
              <w:rPr>
                <w:sz w:val="26"/>
                <w:szCs w:val="26"/>
                <w:lang w:val="lv-LV"/>
              </w:rPr>
              <w:t>darbības apturēšana</w:t>
            </w:r>
            <w:r w:rsidRPr="00AA0641">
              <w:rPr>
                <w:sz w:val="26"/>
                <w:szCs w:val="26"/>
                <w:lang w:val="lv-LV"/>
              </w:rPr>
              <w:t xml:space="preserve">, norēķinu operāciju apturēšana, struktūrvienību vai citu saimnieciskās darbības veikšanas vietu noplombēšana vai aizzīmogošana. </w:t>
            </w:r>
          </w:p>
          <w:p w:rsidR="005F71BD" w:rsidRPr="003D207C" w:rsidRDefault="00B87B04" w:rsidP="00B50968">
            <w:pPr>
              <w:jc w:val="both"/>
              <w:rPr>
                <w:sz w:val="26"/>
                <w:szCs w:val="26"/>
                <w:lang w:val="lv-LV" w:eastAsia="lv-LV"/>
              </w:rPr>
            </w:pPr>
            <w:r>
              <w:rPr>
                <w:sz w:val="26"/>
                <w:szCs w:val="26"/>
                <w:lang w:val="lv-LV"/>
              </w:rPr>
              <w:t>Šobrīd likumā „Par nodokļ</w:t>
            </w:r>
            <w:r w:rsidR="00AB29B2" w:rsidRPr="00AA0641">
              <w:rPr>
                <w:sz w:val="26"/>
                <w:szCs w:val="26"/>
                <w:lang w:val="lv-LV"/>
              </w:rPr>
              <w:t xml:space="preserve">iem </w:t>
            </w:r>
            <w:r w:rsidR="00FA24A9" w:rsidRPr="00AA0641">
              <w:rPr>
                <w:sz w:val="26"/>
                <w:szCs w:val="26"/>
                <w:lang w:val="lv-LV"/>
              </w:rPr>
              <w:t>un nodevām” reglamentētā saimnie</w:t>
            </w:r>
            <w:r w:rsidR="00AB29B2" w:rsidRPr="00AA0641">
              <w:rPr>
                <w:sz w:val="26"/>
                <w:szCs w:val="26"/>
                <w:lang w:val="lv-LV"/>
              </w:rPr>
              <w:t xml:space="preserve">ciskās darbības apturēšanas </w:t>
            </w:r>
            <w:r w:rsidR="00FA24A9" w:rsidRPr="00AA0641">
              <w:rPr>
                <w:sz w:val="26"/>
                <w:szCs w:val="26"/>
                <w:lang w:val="lv-LV"/>
              </w:rPr>
              <w:t xml:space="preserve">kārtība nav efektīva un Valsts </w:t>
            </w:r>
            <w:r w:rsidR="00AB29B2" w:rsidRPr="00AA0641">
              <w:rPr>
                <w:sz w:val="26"/>
                <w:szCs w:val="26"/>
                <w:lang w:val="lv-LV"/>
              </w:rPr>
              <w:t>ieņēmumu dienestam nav pilnvērtīga rīcības brīvība ietekmēt un izbeigt šo komercdarbību normatīvo aktu pārkāpumus</w:t>
            </w:r>
            <w:r w:rsidR="00FA24A9" w:rsidRPr="00AA0641">
              <w:rPr>
                <w:sz w:val="26"/>
                <w:szCs w:val="26"/>
                <w:lang w:val="lv-LV"/>
              </w:rPr>
              <w:t>. Turpmāk</w:t>
            </w:r>
            <w:r w:rsidR="00D14FF5" w:rsidRPr="003D207C">
              <w:rPr>
                <w:sz w:val="26"/>
                <w:szCs w:val="26"/>
                <w:lang w:val="lv-LV"/>
              </w:rPr>
              <w:t xml:space="preserve"> tiks</w:t>
            </w:r>
            <w:r w:rsidR="00FA24A9" w:rsidRPr="003D207C">
              <w:rPr>
                <w:sz w:val="26"/>
                <w:szCs w:val="26"/>
                <w:lang w:val="lv-LV"/>
              </w:rPr>
              <w:t xml:space="preserve"> dot</w:t>
            </w:r>
            <w:r w:rsidR="00D14FF5" w:rsidRPr="003D207C">
              <w:rPr>
                <w:sz w:val="26"/>
                <w:szCs w:val="26"/>
                <w:lang w:val="lv-LV"/>
              </w:rPr>
              <w:t>a</w:t>
            </w:r>
            <w:r w:rsidR="00FA24A9" w:rsidRPr="003D207C">
              <w:rPr>
                <w:sz w:val="26"/>
                <w:szCs w:val="26"/>
                <w:lang w:val="lv-LV"/>
              </w:rPr>
              <w:t xml:space="preserve"> Valsts ieņēmumu dienestam iespēj</w:t>
            </w:r>
            <w:r w:rsidR="00AA0641" w:rsidRPr="003D207C">
              <w:rPr>
                <w:sz w:val="26"/>
                <w:szCs w:val="26"/>
                <w:lang w:val="lv-LV"/>
              </w:rPr>
              <w:t>a</w:t>
            </w:r>
            <w:r w:rsidR="00FA24A9" w:rsidRPr="003D207C">
              <w:rPr>
                <w:sz w:val="26"/>
                <w:szCs w:val="26"/>
                <w:lang w:val="lv-LV"/>
              </w:rPr>
              <w:t xml:space="preserve"> </w:t>
            </w:r>
            <w:r w:rsidR="00FA24A9" w:rsidRPr="003D207C">
              <w:rPr>
                <w:sz w:val="26"/>
                <w:szCs w:val="26"/>
                <w:lang w:val="lv-LV" w:eastAsia="lv-LV"/>
              </w:rPr>
              <w:t>pieņemt lēmumu par kapitālsabiedrības darbības izbeigšanu</w:t>
            </w:r>
            <w:r w:rsidR="00780CE9">
              <w:rPr>
                <w:sz w:val="26"/>
                <w:szCs w:val="26"/>
                <w:lang w:val="lv-LV" w:eastAsia="lv-LV"/>
              </w:rPr>
              <w:t xml:space="preserve"> (gadījumi, kādos var izbeigt sabiedrības darbību, pamatojoties uz nodokļu administrācijas lēmuma, tiks iekļauti Komerclikuma 314.</w:t>
            </w:r>
            <w:r w:rsidR="00780CE9" w:rsidRPr="003D207C">
              <w:rPr>
                <w:sz w:val="26"/>
                <w:szCs w:val="26"/>
                <w:vertAlign w:val="superscript"/>
                <w:lang w:val="lv-LV" w:eastAsia="lv-LV"/>
              </w:rPr>
              <w:t>1</w:t>
            </w:r>
            <w:r w:rsidR="00780CE9">
              <w:rPr>
                <w:sz w:val="26"/>
                <w:szCs w:val="26"/>
                <w:lang w:val="lv-LV" w:eastAsia="lv-LV"/>
              </w:rPr>
              <w:t>pantā (VSS-375))</w:t>
            </w:r>
            <w:r>
              <w:rPr>
                <w:sz w:val="26"/>
                <w:szCs w:val="26"/>
                <w:lang w:val="lv-LV" w:eastAsia="lv-LV"/>
              </w:rPr>
              <w:t>,</w:t>
            </w:r>
            <w:r w:rsidR="00FA24A9" w:rsidRPr="003D207C">
              <w:rPr>
                <w:sz w:val="26"/>
                <w:szCs w:val="26"/>
                <w:lang w:val="lv-LV" w:eastAsia="lv-LV"/>
              </w:rPr>
              <w:t xml:space="preserve"> tiks realizēta komersantu vienkāršotā likvidācija</w:t>
            </w:r>
            <w:r w:rsidR="00AA0641" w:rsidRPr="003D207C">
              <w:rPr>
                <w:sz w:val="26"/>
                <w:szCs w:val="26"/>
                <w:lang w:val="lv-LV" w:eastAsia="lv-LV"/>
              </w:rPr>
              <w:t>.</w:t>
            </w:r>
            <w:r w:rsidR="00FA24A9" w:rsidRPr="003D207C">
              <w:rPr>
                <w:sz w:val="26"/>
                <w:szCs w:val="26"/>
                <w:lang w:val="lv-LV" w:eastAsia="lv-LV"/>
              </w:rPr>
              <w:t xml:space="preserve"> </w:t>
            </w:r>
          </w:p>
          <w:p w:rsidR="0029574A" w:rsidRPr="00AA0641" w:rsidRDefault="0029574A" w:rsidP="00B50968">
            <w:pPr>
              <w:jc w:val="both"/>
              <w:rPr>
                <w:sz w:val="26"/>
                <w:szCs w:val="26"/>
                <w:lang w:val="lv-LV"/>
              </w:rPr>
            </w:pPr>
            <w:r w:rsidRPr="003D207C">
              <w:rPr>
                <w:sz w:val="26"/>
                <w:szCs w:val="26"/>
                <w:lang w:val="lv-LV" w:eastAsia="lv-LV"/>
              </w:rPr>
              <w:t xml:space="preserve">Šobrīd likums neparedz tiesības nodokļu maksātājam slēgt vienošanos ar nodokļu administrāciju par darījuma tirgus vērtības (cenas) noteikšanu konkrētam darījumam vai darījuma veidam. Lai atvieglotu nodokļu maksātājam paredzēto uzdevumu </w:t>
            </w:r>
            <w:r w:rsidRPr="003D207C">
              <w:rPr>
                <w:sz w:val="26"/>
                <w:szCs w:val="26"/>
                <w:lang w:val="lv-LV" w:eastAsia="lv-LV"/>
              </w:rPr>
              <w:lastRenderedPageBreak/>
              <w:t>noteikt darījuma vērtības atbilstību tirgus vērtībai, ir nepieciešams ieviest ārvalstu praksei atbilstošu saskaņošanas procedūru ar nodokļu administrāciju par plānotā darījuma cenas noteikšanas politiku, saskaņā ar darījumu tirgus vērtības (preces vai produkta tirgus cenas) noteikšanas metodēm. Nodokļu maksātājam ir tiesības zināt, vai ir pareizi noteikta apliekamā bāze nodokļu aprēķināšanas vajadzībām un iegūt pārliecību, ka nodokļu administrācija nākotnē neapstrīdēs vienošanās līgumā ietvertos nosacījumus par darījuma cenas (vērtības) noteikšanu.</w:t>
            </w:r>
          </w:p>
        </w:tc>
      </w:tr>
      <w:tr w:rsidR="0013525F" w:rsidRPr="00D41C45" w:rsidTr="00DD0319">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Saistītie politikas ietekmes novērtējumi un pētījumi</w:t>
            </w:r>
          </w:p>
        </w:tc>
        <w:tc>
          <w:tcPr>
            <w:tcW w:w="6824" w:type="dxa"/>
            <w:tcBorders>
              <w:top w:val="outset" w:sz="6" w:space="0" w:color="auto"/>
              <w:left w:val="outset" w:sz="6" w:space="0" w:color="auto"/>
              <w:bottom w:val="outset" w:sz="6" w:space="0" w:color="auto"/>
              <w:right w:val="outset" w:sz="6" w:space="0" w:color="auto"/>
            </w:tcBorders>
          </w:tcPr>
          <w:p w:rsidR="0013525F" w:rsidRPr="00B31814" w:rsidRDefault="0013525F" w:rsidP="00FA24A9">
            <w:pPr>
              <w:pStyle w:val="naiskr"/>
              <w:rPr>
                <w:sz w:val="26"/>
                <w:szCs w:val="26"/>
              </w:rPr>
            </w:pPr>
            <w:r w:rsidRPr="00AA0641">
              <w:rPr>
                <w:sz w:val="26"/>
                <w:szCs w:val="26"/>
              </w:rPr>
              <w:t> Nav attiecināms</w:t>
            </w:r>
            <w:r w:rsidRPr="00B31814">
              <w:rPr>
                <w:sz w:val="26"/>
                <w:szCs w:val="26"/>
              </w:rPr>
              <w:t>.</w:t>
            </w:r>
          </w:p>
        </w:tc>
      </w:tr>
      <w:tr w:rsidR="0013525F" w:rsidRPr="00F4112A" w:rsidTr="00DD0319">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4.</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Tiesiskā regulējuma mērķis un būtība</w:t>
            </w:r>
          </w:p>
        </w:tc>
        <w:tc>
          <w:tcPr>
            <w:tcW w:w="6824" w:type="dxa"/>
            <w:tcBorders>
              <w:top w:val="outset" w:sz="6" w:space="0" w:color="auto"/>
              <w:left w:val="outset" w:sz="6" w:space="0" w:color="auto"/>
              <w:bottom w:val="outset" w:sz="6" w:space="0" w:color="auto"/>
              <w:right w:val="outset" w:sz="6" w:space="0" w:color="auto"/>
            </w:tcBorders>
          </w:tcPr>
          <w:p w:rsidR="0013525F" w:rsidRPr="00AA0641" w:rsidRDefault="000F3077" w:rsidP="0029574A">
            <w:pPr>
              <w:jc w:val="both"/>
              <w:rPr>
                <w:sz w:val="26"/>
                <w:szCs w:val="26"/>
                <w:lang w:val="lv-LV"/>
              </w:rPr>
            </w:pPr>
            <w:r w:rsidRPr="00AA0641">
              <w:rPr>
                <w:sz w:val="26"/>
                <w:szCs w:val="26"/>
                <w:lang w:val="lv-LV"/>
              </w:rPr>
              <w:t xml:space="preserve">Noteikt tiesības Valsts ieņēmumu dienesta ģenerāldirektoram un viņa vietniekiem, Valsts ieņēmumu dienesta ģenerāldirektora pilnvarotajiem struktūrvienību vadītājiem un viņu vietniekiem nodokļu administrēšanā pieņemt lēmumu par kapitālsabiedrības darbības </w:t>
            </w:r>
            <w:r w:rsidRPr="00B31814">
              <w:rPr>
                <w:sz w:val="26"/>
                <w:szCs w:val="26"/>
                <w:lang w:val="lv-LV"/>
              </w:rPr>
              <w:t>izbeigšanu</w:t>
            </w:r>
            <w:r w:rsidR="0029574A" w:rsidRPr="00AA0641">
              <w:rPr>
                <w:sz w:val="26"/>
                <w:szCs w:val="26"/>
                <w:lang w:val="lv-LV"/>
              </w:rPr>
              <w:t>.</w:t>
            </w:r>
          </w:p>
          <w:p w:rsidR="0029574A" w:rsidRPr="00AA0641" w:rsidRDefault="0029574A" w:rsidP="0029574A">
            <w:pPr>
              <w:jc w:val="both"/>
              <w:rPr>
                <w:sz w:val="26"/>
                <w:szCs w:val="26"/>
                <w:lang w:val="lv-LV"/>
              </w:rPr>
            </w:pPr>
            <w:r w:rsidRPr="003D207C">
              <w:rPr>
                <w:sz w:val="26"/>
                <w:szCs w:val="26"/>
                <w:lang w:val="lv-LV"/>
              </w:rPr>
              <w:t xml:space="preserve">Lai atvieglotu nodokļu maksātājam paredzēto uzdevumu noteikt darījuma vērtības atbilstību tirgus vērtībai, tiek noteiktas  Valsts ieņēmumu dienestam tiesības </w:t>
            </w:r>
            <w:r w:rsidRPr="003D207C">
              <w:rPr>
                <w:sz w:val="26"/>
                <w:szCs w:val="26"/>
                <w:lang w:val="lv-LV" w:eastAsia="lv-LV"/>
              </w:rPr>
              <w:t>slēgt ar nodokļu maksātāju vienošanos par tirgus vērtības (cenas) noteikšanu konkrētam darījumam vai darījumu veidam</w:t>
            </w:r>
            <w:r w:rsidRPr="003D207C">
              <w:rPr>
                <w:sz w:val="26"/>
                <w:szCs w:val="26"/>
                <w:lang w:val="lv-LV"/>
              </w:rPr>
              <w:t xml:space="preserve"> .</w:t>
            </w:r>
          </w:p>
        </w:tc>
      </w:tr>
      <w:tr w:rsidR="0013525F" w:rsidRPr="00503AAB" w:rsidTr="00DD0319">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5.</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izstrādē iesaistītās institūcijas</w:t>
            </w:r>
          </w:p>
        </w:tc>
        <w:tc>
          <w:tcPr>
            <w:tcW w:w="6824" w:type="dxa"/>
            <w:tcBorders>
              <w:top w:val="outset" w:sz="6" w:space="0" w:color="auto"/>
              <w:left w:val="outset" w:sz="6" w:space="0" w:color="auto"/>
              <w:bottom w:val="outset" w:sz="6" w:space="0" w:color="auto"/>
              <w:right w:val="outset" w:sz="6" w:space="0" w:color="auto"/>
            </w:tcBorders>
          </w:tcPr>
          <w:p w:rsidR="0013525F" w:rsidRPr="00D41C45" w:rsidRDefault="0013525F" w:rsidP="00743C98">
            <w:pPr>
              <w:tabs>
                <w:tab w:val="left" w:pos="6990"/>
              </w:tabs>
              <w:jc w:val="both"/>
              <w:rPr>
                <w:sz w:val="26"/>
                <w:szCs w:val="26"/>
                <w:lang w:val="lv-LV"/>
              </w:rPr>
            </w:pPr>
            <w:r w:rsidRPr="00D41C45">
              <w:rPr>
                <w:sz w:val="26"/>
                <w:szCs w:val="26"/>
                <w:lang w:val="lv-LV"/>
              </w:rPr>
              <w:t xml:space="preserve"> Valsts ieņēmumu dienests </w:t>
            </w:r>
          </w:p>
        </w:tc>
      </w:tr>
      <w:tr w:rsidR="0013525F" w:rsidRPr="00F4112A" w:rsidTr="00DD0319">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Iemesli, kādēļ netika nodrošināta sabiedrības līdzdalība</w:t>
            </w:r>
          </w:p>
        </w:tc>
        <w:tc>
          <w:tcPr>
            <w:tcW w:w="6824" w:type="dxa"/>
            <w:tcBorders>
              <w:top w:val="outset" w:sz="6" w:space="0" w:color="auto"/>
              <w:left w:val="outset" w:sz="6" w:space="0" w:color="auto"/>
              <w:bottom w:val="outset" w:sz="6" w:space="0" w:color="auto"/>
              <w:right w:val="outset" w:sz="6" w:space="0" w:color="auto"/>
            </w:tcBorders>
          </w:tcPr>
          <w:p w:rsidR="0013525F" w:rsidRPr="003D207C" w:rsidRDefault="00EF5E76" w:rsidP="00E17712">
            <w:pPr>
              <w:tabs>
                <w:tab w:val="left" w:pos="709"/>
              </w:tabs>
              <w:jc w:val="both"/>
              <w:rPr>
                <w:sz w:val="26"/>
                <w:szCs w:val="26"/>
                <w:lang w:val="lv-LV" w:eastAsia="lv-LV"/>
              </w:rPr>
            </w:pPr>
            <w:r w:rsidRPr="00E17712">
              <w:rPr>
                <w:sz w:val="26"/>
                <w:szCs w:val="26"/>
                <w:lang w:val="lv-LV"/>
              </w:rPr>
              <w:t xml:space="preserve">Likumprojekts paredz nodokļu maksātājiem </w:t>
            </w:r>
            <w:r w:rsidR="00E17712" w:rsidRPr="00E17712">
              <w:rPr>
                <w:sz w:val="26"/>
                <w:szCs w:val="26"/>
                <w:lang w:val="lv-LV"/>
              </w:rPr>
              <w:t xml:space="preserve">ne tikai </w:t>
            </w:r>
            <w:r w:rsidR="0029574A">
              <w:rPr>
                <w:sz w:val="26"/>
                <w:szCs w:val="26"/>
                <w:lang w:val="lv-LV"/>
              </w:rPr>
              <w:t>labvēlīga</w:t>
            </w:r>
            <w:r w:rsidRPr="00E17712">
              <w:rPr>
                <w:sz w:val="26"/>
                <w:szCs w:val="26"/>
                <w:lang w:val="lv-LV"/>
              </w:rPr>
              <w:t xml:space="preserve">s </w:t>
            </w:r>
            <w:r w:rsidRPr="00B31814">
              <w:rPr>
                <w:sz w:val="26"/>
                <w:szCs w:val="26"/>
                <w:lang w:val="lv-LV"/>
              </w:rPr>
              <w:t>normas</w:t>
            </w:r>
            <w:r w:rsidR="00E17712" w:rsidRPr="00B31814">
              <w:rPr>
                <w:sz w:val="26"/>
                <w:szCs w:val="26"/>
                <w:lang w:val="lv-LV"/>
              </w:rPr>
              <w:t xml:space="preserve"> </w:t>
            </w:r>
            <w:r w:rsidR="00E17712" w:rsidRPr="003D207C">
              <w:rPr>
                <w:sz w:val="26"/>
                <w:szCs w:val="26"/>
                <w:lang w:val="lv-LV"/>
              </w:rPr>
              <w:t>attiecībā uz</w:t>
            </w:r>
            <w:r w:rsidR="00E17712" w:rsidRPr="003D207C">
              <w:rPr>
                <w:sz w:val="26"/>
                <w:szCs w:val="26"/>
                <w:lang w:val="lv-LV" w:eastAsia="lv-LV"/>
              </w:rPr>
              <w:t xml:space="preserve"> vienošanos par tirgus vērtības (cenas) noteikšanu konkrētam darījumam vai darījumu veidam slēgšanu ar nodokļu </w:t>
            </w:r>
            <w:r w:rsidR="00B87B04">
              <w:rPr>
                <w:sz w:val="26"/>
                <w:szCs w:val="26"/>
                <w:lang w:val="lv-LV" w:eastAsia="lv-LV"/>
              </w:rPr>
              <w:t xml:space="preserve">maksātāju, bet arī nelabvēlīgu normu </w:t>
            </w:r>
            <w:r w:rsidR="00E17712" w:rsidRPr="003D207C">
              <w:rPr>
                <w:sz w:val="26"/>
                <w:szCs w:val="26"/>
                <w:lang w:val="lv-LV" w:eastAsia="lv-LV"/>
              </w:rPr>
              <w:t>attiecībā uz to, ka Valsts ieņēmumu dienestam būs tiesības izbeigt kapitālsabiedrības darbību.</w:t>
            </w:r>
          </w:p>
          <w:p w:rsidR="00AF398A" w:rsidRPr="00E17712" w:rsidRDefault="00AF398A" w:rsidP="00B87B04">
            <w:pPr>
              <w:tabs>
                <w:tab w:val="left" w:pos="709"/>
              </w:tabs>
              <w:jc w:val="both"/>
              <w:rPr>
                <w:sz w:val="26"/>
                <w:szCs w:val="26"/>
                <w:lang w:val="lv-LV"/>
              </w:rPr>
            </w:pPr>
            <w:r w:rsidRPr="003D207C">
              <w:rPr>
                <w:sz w:val="26"/>
                <w:szCs w:val="26"/>
                <w:lang w:val="lv-LV" w:eastAsia="lv-LV"/>
              </w:rPr>
              <w:t>Par normām attiecībā uz transfertcenām ir bijušas diskusijas un panākta vienošanās par nepieciešamo likumu regulējumu ar SIA „</w:t>
            </w:r>
            <w:proofErr w:type="spellStart"/>
            <w:r w:rsidRPr="003D207C">
              <w:rPr>
                <w:sz w:val="26"/>
                <w:szCs w:val="26"/>
                <w:lang w:val="lv-LV" w:eastAsia="lv-LV"/>
              </w:rPr>
              <w:t>Pricewaterhouse</w:t>
            </w:r>
            <w:r w:rsidR="00B87B04">
              <w:rPr>
                <w:sz w:val="26"/>
                <w:szCs w:val="26"/>
                <w:lang w:val="lv-LV" w:eastAsia="lv-LV"/>
              </w:rPr>
              <w:t>C</w:t>
            </w:r>
            <w:r w:rsidRPr="003D207C">
              <w:rPr>
                <w:sz w:val="26"/>
                <w:szCs w:val="26"/>
                <w:lang w:val="lv-LV" w:eastAsia="lv-LV"/>
              </w:rPr>
              <w:t>oopers</w:t>
            </w:r>
            <w:proofErr w:type="spellEnd"/>
            <w:r w:rsidRPr="003D207C">
              <w:rPr>
                <w:sz w:val="26"/>
                <w:szCs w:val="26"/>
                <w:lang w:val="lv-LV" w:eastAsia="lv-LV"/>
              </w:rPr>
              <w:t xml:space="preserve">”, </w:t>
            </w:r>
            <w:proofErr w:type="spellStart"/>
            <w:r w:rsidRPr="003D207C">
              <w:rPr>
                <w:sz w:val="26"/>
                <w:szCs w:val="26"/>
                <w:lang w:val="lv-LV" w:eastAsia="lv-LV"/>
              </w:rPr>
              <w:t>Deloitte</w:t>
            </w:r>
            <w:proofErr w:type="spellEnd"/>
            <w:r w:rsidRPr="003D207C">
              <w:rPr>
                <w:sz w:val="26"/>
                <w:szCs w:val="26"/>
                <w:lang w:val="lv-LV" w:eastAsia="lv-LV"/>
              </w:rPr>
              <w:t>, SIA „</w:t>
            </w:r>
            <w:proofErr w:type="spellStart"/>
            <w:r w:rsidRPr="003D207C">
              <w:rPr>
                <w:sz w:val="26"/>
                <w:szCs w:val="26"/>
                <w:lang w:val="lv-LV" w:eastAsia="lv-LV"/>
              </w:rPr>
              <w:t>Ernst</w:t>
            </w:r>
            <w:proofErr w:type="spellEnd"/>
            <w:r w:rsidRPr="003D207C">
              <w:rPr>
                <w:sz w:val="26"/>
                <w:szCs w:val="26"/>
                <w:lang w:val="lv-LV" w:eastAsia="lv-LV"/>
              </w:rPr>
              <w:t xml:space="preserve"> &amp; </w:t>
            </w:r>
            <w:proofErr w:type="spellStart"/>
            <w:r w:rsidRPr="003D207C">
              <w:rPr>
                <w:sz w:val="26"/>
                <w:szCs w:val="26"/>
                <w:lang w:val="lv-LV" w:eastAsia="lv-LV"/>
              </w:rPr>
              <w:t>Young</w:t>
            </w:r>
            <w:proofErr w:type="spellEnd"/>
            <w:r w:rsidRPr="003D207C">
              <w:rPr>
                <w:sz w:val="26"/>
                <w:szCs w:val="26"/>
                <w:lang w:val="lv-LV" w:eastAsia="lv-LV"/>
              </w:rPr>
              <w:t xml:space="preserve"> </w:t>
            </w:r>
            <w:proofErr w:type="spellStart"/>
            <w:r w:rsidRPr="003D207C">
              <w:rPr>
                <w:sz w:val="26"/>
                <w:szCs w:val="26"/>
                <w:lang w:val="lv-LV" w:eastAsia="lv-LV"/>
              </w:rPr>
              <w:t>Baltic</w:t>
            </w:r>
            <w:proofErr w:type="spellEnd"/>
            <w:r w:rsidRPr="003D207C">
              <w:rPr>
                <w:sz w:val="26"/>
                <w:szCs w:val="26"/>
                <w:lang w:val="lv-LV" w:eastAsia="lv-LV"/>
              </w:rPr>
              <w:t>”, Latvijas Zvērinātu revidentu asociācija, savukārt ar Latvijas Darba devēju konfederāciju ir notikusi vienošanās par vienkāršotās likvidācijas virzīšanu, kā rezultātā tiks nodrošināta „tīra” uzņēmējdarbības vide un darījuma partneri tiks pasargāti no dažādiem negatīviem procesiem, kuros var tikt iesaistīti negodīgo uzņēmumu rīcības dēļ.</w:t>
            </w:r>
          </w:p>
        </w:tc>
      </w:tr>
      <w:tr w:rsidR="0013525F" w:rsidRPr="00DE036B" w:rsidTr="00DD0319">
        <w:trPr>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Cita informācija</w:t>
            </w:r>
          </w:p>
        </w:tc>
        <w:tc>
          <w:tcPr>
            <w:tcW w:w="6824" w:type="dxa"/>
            <w:tcBorders>
              <w:top w:val="outset" w:sz="6" w:space="0" w:color="auto"/>
              <w:left w:val="outset" w:sz="6" w:space="0" w:color="auto"/>
              <w:bottom w:val="outset" w:sz="6" w:space="0" w:color="auto"/>
              <w:right w:val="outset" w:sz="6" w:space="0" w:color="auto"/>
            </w:tcBorders>
          </w:tcPr>
          <w:p w:rsidR="0013525F" w:rsidRPr="00915505" w:rsidRDefault="0013525F" w:rsidP="00DE036B">
            <w:pPr>
              <w:pStyle w:val="naiskr"/>
              <w:jc w:val="both"/>
              <w:rPr>
                <w:b/>
                <w:sz w:val="26"/>
                <w:szCs w:val="26"/>
              </w:rPr>
            </w:pPr>
            <w:r w:rsidRPr="00D41C45">
              <w:rPr>
                <w:sz w:val="26"/>
                <w:szCs w:val="26"/>
              </w:rPr>
              <w:t> </w:t>
            </w:r>
            <w:r w:rsidR="00DE036B">
              <w:rPr>
                <w:sz w:val="26"/>
                <w:szCs w:val="26"/>
              </w:rPr>
              <w:t>Nav attiecināms.</w:t>
            </w:r>
          </w:p>
        </w:tc>
      </w:tr>
    </w:tbl>
    <w:p w:rsidR="0013525F" w:rsidRPr="00D41C45" w:rsidRDefault="0013525F" w:rsidP="0013525F">
      <w:pPr>
        <w:jc w:val="both"/>
        <w:rPr>
          <w:sz w:val="26"/>
          <w:szCs w:val="26"/>
          <w:lang w:val="pt-BR"/>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1901"/>
        <w:gridCol w:w="6770"/>
      </w:tblGrid>
      <w:tr w:rsidR="0013525F" w:rsidRPr="00F4112A" w:rsidTr="00FA24A9">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FA24A9">
            <w:pPr>
              <w:pStyle w:val="naisnod"/>
              <w:jc w:val="center"/>
              <w:rPr>
                <w:b/>
                <w:bCs/>
                <w:sz w:val="26"/>
                <w:szCs w:val="26"/>
              </w:rPr>
            </w:pPr>
            <w:proofErr w:type="spellStart"/>
            <w:r w:rsidRPr="00D41C45">
              <w:rPr>
                <w:b/>
                <w:bCs/>
                <w:sz w:val="26"/>
                <w:szCs w:val="26"/>
              </w:rPr>
              <w:t>II. Tiesību</w:t>
            </w:r>
            <w:proofErr w:type="spellEnd"/>
            <w:r w:rsidRPr="00D41C45">
              <w:rPr>
                <w:b/>
                <w:bCs/>
                <w:sz w:val="26"/>
                <w:szCs w:val="26"/>
              </w:rPr>
              <w:t xml:space="preserve"> akta projekta ietekme uz sabiedrību</w:t>
            </w:r>
          </w:p>
        </w:tc>
      </w:tr>
      <w:tr w:rsidR="0013525F" w:rsidRPr="00F4112A" w:rsidTr="00B87B04">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1.</w:t>
            </w:r>
          </w:p>
        </w:tc>
        <w:tc>
          <w:tcPr>
            <w:tcW w:w="190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xml:space="preserve"> Sabiedrības </w:t>
            </w:r>
            <w:proofErr w:type="spellStart"/>
            <w:r w:rsidRPr="00D41C45">
              <w:rPr>
                <w:sz w:val="26"/>
                <w:szCs w:val="26"/>
              </w:rPr>
              <w:t>mērķgrupa</w:t>
            </w:r>
            <w:proofErr w:type="spellEnd"/>
          </w:p>
        </w:tc>
        <w:tc>
          <w:tcPr>
            <w:tcW w:w="6770" w:type="dxa"/>
            <w:tcBorders>
              <w:top w:val="outset" w:sz="6" w:space="0" w:color="auto"/>
              <w:left w:val="outset" w:sz="6" w:space="0" w:color="auto"/>
              <w:bottom w:val="outset" w:sz="6" w:space="0" w:color="auto"/>
              <w:right w:val="outset" w:sz="6" w:space="0" w:color="auto"/>
            </w:tcBorders>
          </w:tcPr>
          <w:p w:rsidR="007C15F6" w:rsidRPr="00D41C45" w:rsidRDefault="0013525F" w:rsidP="007C15F6">
            <w:pPr>
              <w:pStyle w:val="naiskr"/>
              <w:spacing w:before="0" w:beforeAutospacing="0" w:after="0" w:afterAutospacing="0"/>
              <w:jc w:val="both"/>
              <w:rPr>
                <w:sz w:val="26"/>
                <w:szCs w:val="26"/>
              </w:rPr>
            </w:pPr>
            <w:r w:rsidRPr="00D41C45">
              <w:rPr>
                <w:sz w:val="26"/>
                <w:szCs w:val="26"/>
              </w:rPr>
              <w:t> </w:t>
            </w:r>
            <w:r w:rsidR="00743C98">
              <w:rPr>
                <w:sz w:val="26"/>
                <w:szCs w:val="26"/>
              </w:rPr>
              <w:t>Likumprojekta</w:t>
            </w:r>
            <w:r w:rsidR="007C15F6" w:rsidRPr="00D41C45">
              <w:rPr>
                <w:sz w:val="26"/>
                <w:szCs w:val="26"/>
              </w:rPr>
              <w:t xml:space="preserve"> tiesiskais regulējums attiecināms </w:t>
            </w:r>
            <w:r w:rsidR="00743C98">
              <w:rPr>
                <w:sz w:val="26"/>
                <w:szCs w:val="26"/>
              </w:rPr>
              <w:t xml:space="preserve">gan </w:t>
            </w:r>
            <w:r w:rsidR="007C15F6" w:rsidRPr="00D41C45">
              <w:rPr>
                <w:sz w:val="26"/>
                <w:szCs w:val="26"/>
              </w:rPr>
              <w:t xml:space="preserve">uz </w:t>
            </w:r>
            <w:r w:rsidR="007C15F6">
              <w:rPr>
                <w:sz w:val="26"/>
                <w:szCs w:val="26"/>
              </w:rPr>
              <w:t>nodokļu administrāciju,</w:t>
            </w:r>
            <w:r w:rsidR="00743C98">
              <w:rPr>
                <w:sz w:val="26"/>
                <w:szCs w:val="26"/>
              </w:rPr>
              <w:t xml:space="preserve"> </w:t>
            </w:r>
            <w:proofErr w:type="spellStart"/>
            <w:r w:rsidR="00743C98">
              <w:rPr>
                <w:sz w:val="26"/>
                <w:szCs w:val="26"/>
              </w:rPr>
              <w:t>t.i</w:t>
            </w:r>
            <w:proofErr w:type="spellEnd"/>
            <w:r w:rsidR="00743C98">
              <w:rPr>
                <w:sz w:val="26"/>
                <w:szCs w:val="26"/>
              </w:rPr>
              <w:t>., Valsts ieņēmumu dienestu, gan nodokļu maksātājiem</w:t>
            </w:r>
            <w:r w:rsidR="00B87B04">
              <w:rPr>
                <w:sz w:val="26"/>
                <w:szCs w:val="26"/>
              </w:rPr>
              <w:t>.</w:t>
            </w:r>
          </w:p>
          <w:p w:rsidR="00672556" w:rsidRPr="003D207C" w:rsidRDefault="00AD3427" w:rsidP="00AD3427">
            <w:pPr>
              <w:jc w:val="both"/>
              <w:rPr>
                <w:sz w:val="26"/>
                <w:szCs w:val="26"/>
                <w:lang w:val="lv-LV" w:eastAsia="lv-LV"/>
              </w:rPr>
            </w:pPr>
            <w:r w:rsidRPr="003D207C">
              <w:rPr>
                <w:sz w:val="26"/>
                <w:szCs w:val="26"/>
                <w:lang w:val="lv-LV" w:eastAsia="lv-LV"/>
              </w:rPr>
              <w:lastRenderedPageBreak/>
              <w:t xml:space="preserve">Prognozējams, ka 2012.gadā </w:t>
            </w:r>
            <w:r w:rsidR="00672556" w:rsidRPr="003D207C">
              <w:rPr>
                <w:sz w:val="26"/>
                <w:szCs w:val="26"/>
                <w:lang w:val="lv-LV" w:eastAsia="lv-LV"/>
              </w:rPr>
              <w:t xml:space="preserve">5 nodokļu maksātāji </w:t>
            </w:r>
            <w:r w:rsidRPr="003D207C">
              <w:rPr>
                <w:sz w:val="26"/>
                <w:szCs w:val="26"/>
                <w:lang w:val="lv-LV" w:eastAsia="lv-LV"/>
              </w:rPr>
              <w:t>varētu noslēgt vienošanos ar nodokļu administrāciju par tirgus vērtības (cenas) noteikšanu konkrētam darījumam.</w:t>
            </w:r>
            <w:r w:rsidRPr="00B31814">
              <w:rPr>
                <w:sz w:val="26"/>
                <w:szCs w:val="26"/>
                <w:lang w:val="lv-LV" w:eastAsia="lv-LV"/>
              </w:rPr>
              <w:t xml:space="preserve"> </w:t>
            </w:r>
            <w:r w:rsidRPr="003D207C">
              <w:rPr>
                <w:sz w:val="26"/>
                <w:szCs w:val="26"/>
                <w:lang w:val="lv-LV" w:eastAsia="lv-LV"/>
              </w:rPr>
              <w:t>Šādu līgumu noslēgšana radīs pozitīvu ietekmi uz komercdarbības vidi, jo nodokļu maksātāji ir ieinter</w:t>
            </w:r>
            <w:r w:rsidR="009B547E" w:rsidRPr="003D207C">
              <w:rPr>
                <w:sz w:val="26"/>
                <w:szCs w:val="26"/>
                <w:lang w:val="lv-LV" w:eastAsia="lv-LV"/>
              </w:rPr>
              <w:t>esēti slēgt šādas vienošanās. Ja</w:t>
            </w:r>
            <w:r w:rsidRPr="003D207C">
              <w:rPr>
                <w:sz w:val="26"/>
                <w:szCs w:val="26"/>
                <w:lang w:val="lv-LV" w:eastAsia="lv-LV"/>
              </w:rPr>
              <w:t xml:space="preserve"> ir noslēgta šāda vienošanās un tā tiek ievērota, VID nebūs tiesības audita rezultātā precizēt konkrētam darījumam vai darījumu veidam noteikto tirgus vērtību (cenu).  Taču tiek prognozēts neliels skaits nodokļu maksātāju, kas slēgs šādu vienošanos, jo, lai to varētu darīt, nodokļu maksātāja pārskata gada neto apgrozījumam jāpārsniedz vienu miljonu latu, turklāt, lai šāda vienošanās tiktu noslēgta, Valsts ieņēmumu dienestam ir jāiegulda liels un ļoti nopietns darba, ņemot vērā lielās darījumu vērtības un no šādas vienošanās noslēgtās sekas. </w:t>
            </w:r>
          </w:p>
          <w:p w:rsidR="0013525F" w:rsidRPr="00B87B04" w:rsidRDefault="00AD3427" w:rsidP="003D207C">
            <w:pPr>
              <w:jc w:val="both"/>
              <w:rPr>
                <w:lang w:val="lv-LV"/>
              </w:rPr>
            </w:pPr>
            <w:r w:rsidRPr="003D207C">
              <w:rPr>
                <w:sz w:val="26"/>
                <w:szCs w:val="26"/>
                <w:lang w:val="lv-LV" w:eastAsia="lv-LV"/>
              </w:rPr>
              <w:t xml:space="preserve">Attiecībā uz saimnieciskās darbības apturēšanu 2011.gada 5 mēnešos 892 tematiskajās pārbaudēs konstatēti pārkāpumi, </w:t>
            </w:r>
            <w:proofErr w:type="spellStart"/>
            <w:r w:rsidRPr="003D207C">
              <w:rPr>
                <w:sz w:val="26"/>
                <w:szCs w:val="26"/>
                <w:lang w:val="lv-LV" w:eastAsia="lv-LV"/>
              </w:rPr>
              <w:t>t.sk</w:t>
            </w:r>
            <w:proofErr w:type="spellEnd"/>
            <w:r w:rsidRPr="003D207C">
              <w:rPr>
                <w:sz w:val="26"/>
                <w:szCs w:val="26"/>
                <w:lang w:val="lv-LV" w:eastAsia="lv-LV"/>
              </w:rPr>
              <w:t xml:space="preserve">., 38 pārbaudēs konstatēts, ka ar 77 darba ņēmējiem nav noslēgti darba līgumi. Paskaidrojumu reģistrā ir iekļauta informācija par 1635 uzņēmumiem (saistībā ar fiktīvo uzņēmējdarbību), it sevišķi pēdējā laikā tiek saņemti ļoti daudz paskaidrojumi, jo personas, lūdzot sociālo palīdzību, ir konstatējušas, ka ir iesaistītas fiktīvos uzņēmumos, un līdz ar to pabalsts no valsts, no pašvaldības nepienākas. Tādējādi personas ir ieinteresētas </w:t>
            </w:r>
            <w:r w:rsidR="00672556" w:rsidRPr="003D207C">
              <w:rPr>
                <w:sz w:val="26"/>
                <w:szCs w:val="26"/>
                <w:lang w:val="lv-LV" w:eastAsia="lv-LV"/>
              </w:rPr>
              <w:t>uzzināt</w:t>
            </w:r>
            <w:r w:rsidRPr="003D207C">
              <w:rPr>
                <w:sz w:val="26"/>
                <w:szCs w:val="26"/>
                <w:lang w:val="lv-LV" w:eastAsia="lv-LV"/>
              </w:rPr>
              <w:t xml:space="preserve"> par savu statusu un ja, piemēram, par samaksu ir piekritušas iesaistīties komercdarbībā, tādējādi atbalstot fiktīvo uzņēmējdarbību, šobrīd ir gatavas atzīt šo pārkāpumu, lai gūtu iespēju pretendēt uz pabalstiem un saņemt tos. 2011.gada 5 mēnešos no VID ar PVN apliekamo personu reģistra pēc VID iniciatīvas ir izslēgtas 2924 personas, šāda izslēgšana būtu uzskatāma par ierobežojošu pasākumu saimnieciskās darbības veikšanai.</w:t>
            </w:r>
          </w:p>
        </w:tc>
      </w:tr>
      <w:tr w:rsidR="0013525F" w:rsidRPr="00D41C45" w:rsidTr="00B87B04">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lastRenderedPageBreak/>
              <w:t> 2.</w:t>
            </w:r>
          </w:p>
        </w:tc>
        <w:tc>
          <w:tcPr>
            <w:tcW w:w="190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xml:space="preserve"> Citas sabiedrības grupas (bez </w:t>
            </w:r>
            <w:proofErr w:type="spellStart"/>
            <w:r w:rsidRPr="00D41C45">
              <w:rPr>
                <w:sz w:val="26"/>
                <w:szCs w:val="26"/>
              </w:rPr>
              <w:t>mērķgrupas</w:t>
            </w:r>
            <w:proofErr w:type="spellEnd"/>
            <w:r w:rsidRPr="00D41C45">
              <w:rPr>
                <w:sz w:val="26"/>
                <w:szCs w:val="26"/>
              </w:rPr>
              <w:t>), kuras tiesiskais regulējums arī ietekmē vai varētu ietekmēt</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jc w:val="both"/>
              <w:rPr>
                <w:sz w:val="26"/>
                <w:szCs w:val="26"/>
              </w:rPr>
            </w:pPr>
            <w:r w:rsidRPr="00D41C45">
              <w:rPr>
                <w:sz w:val="26"/>
                <w:szCs w:val="26"/>
              </w:rPr>
              <w:t> Nav attiecināms</w:t>
            </w:r>
            <w:r>
              <w:rPr>
                <w:sz w:val="26"/>
                <w:szCs w:val="26"/>
              </w:rPr>
              <w:t>.</w:t>
            </w:r>
          </w:p>
        </w:tc>
      </w:tr>
      <w:tr w:rsidR="0013525F" w:rsidRPr="00D41C45" w:rsidTr="00B87B04">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3.</w:t>
            </w:r>
          </w:p>
        </w:tc>
        <w:tc>
          <w:tcPr>
            <w:tcW w:w="190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spacing w:before="0" w:beforeAutospacing="0" w:after="0" w:afterAutospacing="0"/>
              <w:ind w:right="-556"/>
              <w:rPr>
                <w:sz w:val="26"/>
                <w:szCs w:val="26"/>
              </w:rPr>
            </w:pPr>
            <w:r w:rsidRPr="00D41C45">
              <w:rPr>
                <w:sz w:val="26"/>
                <w:szCs w:val="26"/>
              </w:rPr>
              <w:t> Tiesiskā regulējuma</w:t>
            </w:r>
          </w:p>
          <w:p w:rsidR="0013525F" w:rsidRPr="00D41C45" w:rsidRDefault="0013525F" w:rsidP="00FA24A9">
            <w:pPr>
              <w:pStyle w:val="naiskr"/>
              <w:spacing w:before="0" w:beforeAutospacing="0" w:after="0" w:afterAutospacing="0"/>
              <w:ind w:right="-556"/>
              <w:rPr>
                <w:sz w:val="26"/>
                <w:szCs w:val="26"/>
              </w:rPr>
            </w:pPr>
            <w:r w:rsidRPr="00D41C45">
              <w:rPr>
                <w:sz w:val="26"/>
                <w:szCs w:val="26"/>
              </w:rPr>
              <w:t>finansiālā ietekme</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jc w:val="both"/>
              <w:rPr>
                <w:sz w:val="26"/>
                <w:szCs w:val="26"/>
                <w:lang w:val="lv-LV"/>
              </w:rPr>
            </w:pPr>
            <w:r w:rsidRPr="00D41C45">
              <w:rPr>
                <w:sz w:val="26"/>
                <w:szCs w:val="26"/>
                <w:lang w:val="lv-LV"/>
              </w:rPr>
              <w:t> Nav attiecināms</w:t>
            </w:r>
            <w:r>
              <w:rPr>
                <w:sz w:val="26"/>
                <w:szCs w:val="26"/>
                <w:lang w:val="lv-LV"/>
              </w:rPr>
              <w:t>.</w:t>
            </w:r>
          </w:p>
        </w:tc>
      </w:tr>
      <w:tr w:rsidR="0013525F" w:rsidRPr="00D41C45" w:rsidTr="00B87B04">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4.</w:t>
            </w:r>
          </w:p>
        </w:tc>
        <w:tc>
          <w:tcPr>
            <w:tcW w:w="190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Tiesiskā regulējuma nefinansiālā ietekme</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jc w:val="both"/>
              <w:rPr>
                <w:sz w:val="26"/>
                <w:szCs w:val="26"/>
                <w:lang w:val="lv-LV"/>
              </w:rPr>
            </w:pPr>
            <w:r w:rsidRPr="00D41C45">
              <w:rPr>
                <w:sz w:val="26"/>
                <w:szCs w:val="26"/>
                <w:lang w:val="lv-LV"/>
              </w:rPr>
              <w:t> Nav attiecināms</w:t>
            </w:r>
            <w:r>
              <w:rPr>
                <w:sz w:val="26"/>
                <w:szCs w:val="26"/>
                <w:lang w:val="lv-LV"/>
              </w:rPr>
              <w:t>.</w:t>
            </w:r>
          </w:p>
        </w:tc>
      </w:tr>
      <w:tr w:rsidR="0013525F" w:rsidRPr="00F4112A" w:rsidTr="00B87B04">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5.</w:t>
            </w:r>
          </w:p>
        </w:tc>
        <w:tc>
          <w:tcPr>
            <w:tcW w:w="190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Administratīvās procedūras raksturojums</w:t>
            </w:r>
          </w:p>
        </w:tc>
        <w:tc>
          <w:tcPr>
            <w:tcW w:w="6770" w:type="dxa"/>
            <w:tcBorders>
              <w:top w:val="outset" w:sz="6" w:space="0" w:color="auto"/>
              <w:left w:val="outset" w:sz="6" w:space="0" w:color="auto"/>
              <w:bottom w:val="outset" w:sz="6" w:space="0" w:color="auto"/>
              <w:right w:val="outset" w:sz="6" w:space="0" w:color="auto"/>
            </w:tcBorders>
          </w:tcPr>
          <w:p w:rsidR="00AD3427" w:rsidRPr="003D207C" w:rsidRDefault="0013525F" w:rsidP="00AD3427">
            <w:pPr>
              <w:pStyle w:val="naiskr"/>
              <w:spacing w:before="0" w:beforeAutospacing="0" w:after="0" w:afterAutospacing="0"/>
              <w:jc w:val="both"/>
              <w:rPr>
                <w:sz w:val="26"/>
                <w:szCs w:val="26"/>
              </w:rPr>
            </w:pPr>
            <w:r w:rsidRPr="00D41C45">
              <w:rPr>
                <w:sz w:val="26"/>
                <w:szCs w:val="26"/>
              </w:rPr>
              <w:t> </w:t>
            </w:r>
            <w:r w:rsidR="00AD3427" w:rsidRPr="003D207C">
              <w:rPr>
                <w:sz w:val="26"/>
                <w:szCs w:val="26"/>
              </w:rPr>
              <w:t xml:space="preserve">Valsts ieņēmumu dienestam </w:t>
            </w:r>
            <w:r w:rsidR="00780CE9">
              <w:rPr>
                <w:sz w:val="26"/>
                <w:szCs w:val="26"/>
              </w:rPr>
              <w:t xml:space="preserve">Komerclikumā noteiktajos gadījumos </w:t>
            </w:r>
            <w:r w:rsidR="00AD3427" w:rsidRPr="003D207C">
              <w:rPr>
                <w:sz w:val="26"/>
                <w:szCs w:val="26"/>
              </w:rPr>
              <w:t>būs tiesības pieņemt lēmumu par kapitālsabiedrības darbības izbeigšanu.</w:t>
            </w:r>
          </w:p>
          <w:p w:rsidR="0013525F" w:rsidRPr="00AD3427" w:rsidRDefault="00AD3427" w:rsidP="00AD3427">
            <w:pPr>
              <w:pStyle w:val="naiskr"/>
              <w:spacing w:before="0" w:beforeAutospacing="0" w:after="0" w:afterAutospacing="0"/>
              <w:jc w:val="both"/>
              <w:rPr>
                <w:sz w:val="26"/>
                <w:szCs w:val="26"/>
              </w:rPr>
            </w:pPr>
            <w:r w:rsidRPr="003D207C">
              <w:rPr>
                <w:sz w:val="26"/>
                <w:szCs w:val="26"/>
              </w:rPr>
              <w:t xml:space="preserve">Valsts ieņēmumu dienestam tiesības slēgt ar nodokļu maksātāju </w:t>
            </w:r>
            <w:r w:rsidRPr="003D207C">
              <w:rPr>
                <w:sz w:val="26"/>
                <w:szCs w:val="26"/>
              </w:rPr>
              <w:lastRenderedPageBreak/>
              <w:t>vienošanos par tirgus vērtības (cenas) noteikšanu konkrētam darījumam vai darījumu veidam.</w:t>
            </w:r>
          </w:p>
        </w:tc>
      </w:tr>
      <w:tr w:rsidR="0013525F" w:rsidRPr="00D41C45" w:rsidTr="00B87B04">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lastRenderedPageBreak/>
              <w:t> 6.</w:t>
            </w:r>
          </w:p>
        </w:tc>
        <w:tc>
          <w:tcPr>
            <w:tcW w:w="190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Administratīvo izmaksu monetārs novērtējums</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jc w:val="both"/>
              <w:rPr>
                <w:sz w:val="26"/>
                <w:szCs w:val="26"/>
              </w:rPr>
            </w:pPr>
            <w:r w:rsidRPr="00D41C45">
              <w:rPr>
                <w:sz w:val="26"/>
                <w:szCs w:val="26"/>
              </w:rPr>
              <w:t> Nav attiecināms</w:t>
            </w:r>
            <w:r>
              <w:rPr>
                <w:sz w:val="26"/>
                <w:szCs w:val="26"/>
              </w:rPr>
              <w:t>.</w:t>
            </w:r>
          </w:p>
        </w:tc>
      </w:tr>
      <w:tr w:rsidR="0013525F" w:rsidRPr="00D41C45" w:rsidTr="00B87B04">
        <w:trPr>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7.</w:t>
            </w:r>
          </w:p>
        </w:tc>
        <w:tc>
          <w:tcPr>
            <w:tcW w:w="1901"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Cita informācija</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jc w:val="both"/>
              <w:rPr>
                <w:sz w:val="26"/>
                <w:szCs w:val="26"/>
              </w:rPr>
            </w:pPr>
            <w:r w:rsidRPr="00D41C45">
              <w:rPr>
                <w:sz w:val="26"/>
                <w:szCs w:val="26"/>
              </w:rPr>
              <w:t> Nav</w:t>
            </w:r>
            <w:r>
              <w:rPr>
                <w:sz w:val="26"/>
                <w:szCs w:val="26"/>
              </w:rPr>
              <w:t>.</w:t>
            </w:r>
          </w:p>
        </w:tc>
      </w:tr>
    </w:tbl>
    <w:p w:rsidR="00982F68" w:rsidRPr="00362A1B" w:rsidRDefault="00982F68" w:rsidP="00982F68">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82F68" w:rsidRPr="00C51D45" w:rsidTr="009F374C">
        <w:tc>
          <w:tcPr>
            <w:tcW w:w="9356" w:type="dxa"/>
          </w:tcPr>
          <w:p w:rsidR="00982F68" w:rsidRPr="00C51D45" w:rsidRDefault="00982F68" w:rsidP="00FA24A9">
            <w:pPr>
              <w:jc w:val="center"/>
              <w:rPr>
                <w:b/>
                <w:sz w:val="26"/>
                <w:szCs w:val="26"/>
                <w:lang w:val="lv-LV"/>
              </w:rPr>
            </w:pPr>
            <w:r w:rsidRPr="00C51D45">
              <w:rPr>
                <w:b/>
                <w:sz w:val="26"/>
                <w:szCs w:val="26"/>
                <w:lang w:val="lv-LV"/>
              </w:rPr>
              <w:t>III. Tiesību akta projekta ietekme uz valsts budžetu un pašvaldību budžetiem</w:t>
            </w:r>
          </w:p>
        </w:tc>
      </w:tr>
      <w:tr w:rsidR="00982F68" w:rsidRPr="00C51D45" w:rsidTr="009F374C">
        <w:trPr>
          <w:trHeight w:val="279"/>
        </w:trPr>
        <w:tc>
          <w:tcPr>
            <w:tcW w:w="9356" w:type="dxa"/>
            <w:vAlign w:val="center"/>
          </w:tcPr>
          <w:p w:rsidR="00982F68" w:rsidRPr="00C51D45" w:rsidRDefault="00982F68" w:rsidP="00FA24A9">
            <w:pPr>
              <w:jc w:val="center"/>
              <w:rPr>
                <w:sz w:val="26"/>
                <w:szCs w:val="26"/>
                <w:lang w:val="lv-LV"/>
              </w:rPr>
            </w:pPr>
            <w:r w:rsidRPr="00C51D45">
              <w:rPr>
                <w:sz w:val="26"/>
                <w:szCs w:val="26"/>
                <w:lang w:val="lv-LV"/>
              </w:rPr>
              <w:t>Likumprojekts šo jomu neskar.</w:t>
            </w:r>
          </w:p>
        </w:tc>
      </w:tr>
    </w:tbl>
    <w:p w:rsidR="00982F68" w:rsidRPr="00C51D45" w:rsidRDefault="00982F68" w:rsidP="0013525F">
      <w:pPr>
        <w:jc w:val="both"/>
        <w:rPr>
          <w:sz w:val="26"/>
          <w:szCs w:val="26"/>
          <w:lang w:val="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1843"/>
        <w:gridCol w:w="6804"/>
      </w:tblGrid>
      <w:tr w:rsidR="00474212" w:rsidRPr="00F4112A" w:rsidTr="00F234D7">
        <w:trPr>
          <w:tblCellSpacing w:w="0" w:type="dxa"/>
        </w:trPr>
        <w:tc>
          <w:tcPr>
            <w:tcW w:w="9229" w:type="dxa"/>
            <w:gridSpan w:val="3"/>
            <w:tcBorders>
              <w:top w:val="outset" w:sz="6" w:space="0" w:color="auto"/>
              <w:left w:val="outset" w:sz="6" w:space="0" w:color="auto"/>
              <w:bottom w:val="outset" w:sz="6" w:space="0" w:color="auto"/>
              <w:right w:val="outset" w:sz="6" w:space="0" w:color="auto"/>
            </w:tcBorders>
            <w:hideMark/>
          </w:tcPr>
          <w:p w:rsidR="00474212" w:rsidRPr="00C51D45" w:rsidRDefault="00474212">
            <w:pPr>
              <w:spacing w:before="100" w:beforeAutospacing="1" w:after="100" w:afterAutospacing="1"/>
              <w:jc w:val="center"/>
              <w:rPr>
                <w:b/>
                <w:sz w:val="28"/>
                <w:szCs w:val="28"/>
                <w:lang w:val="lv-LV"/>
              </w:rPr>
            </w:pPr>
            <w:r w:rsidRPr="00C51D45">
              <w:rPr>
                <w:i/>
                <w:iCs/>
                <w:sz w:val="28"/>
                <w:szCs w:val="28"/>
                <w:lang w:val="lv-LV"/>
              </w:rPr>
              <w:t> </w:t>
            </w:r>
            <w:r w:rsidRPr="00C51D45">
              <w:rPr>
                <w:b/>
                <w:sz w:val="28"/>
                <w:szCs w:val="28"/>
                <w:lang w:val="lv-LV"/>
              </w:rPr>
              <w:t>IV. Tiesību akta projekta ietekme uz spēkā esošo tiesību normu sistēmu</w:t>
            </w:r>
          </w:p>
        </w:tc>
      </w:tr>
      <w:tr w:rsidR="00474212" w:rsidRPr="00F4112A" w:rsidTr="00B87B0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474212" w:rsidRPr="00C51D45" w:rsidRDefault="00474212">
            <w:pPr>
              <w:spacing w:before="100" w:beforeAutospacing="1" w:after="100" w:afterAutospacing="1"/>
              <w:rPr>
                <w:sz w:val="26"/>
                <w:szCs w:val="26"/>
                <w:lang w:val="lv-LV"/>
              </w:rPr>
            </w:pPr>
            <w:r w:rsidRPr="00C51D45">
              <w:rPr>
                <w:sz w:val="26"/>
                <w:szCs w:val="26"/>
                <w:lang w:val="lv-LV"/>
              </w:rPr>
              <w:t> 1.</w:t>
            </w:r>
          </w:p>
        </w:tc>
        <w:tc>
          <w:tcPr>
            <w:tcW w:w="1843" w:type="dxa"/>
            <w:tcBorders>
              <w:top w:val="outset" w:sz="6" w:space="0" w:color="auto"/>
              <w:left w:val="outset" w:sz="6" w:space="0" w:color="auto"/>
              <w:bottom w:val="outset" w:sz="6" w:space="0" w:color="auto"/>
              <w:right w:val="outset" w:sz="6" w:space="0" w:color="auto"/>
            </w:tcBorders>
            <w:hideMark/>
          </w:tcPr>
          <w:p w:rsidR="00474212" w:rsidRPr="00C51D45" w:rsidRDefault="00474212">
            <w:pPr>
              <w:spacing w:before="100" w:beforeAutospacing="1" w:after="100" w:afterAutospacing="1"/>
              <w:rPr>
                <w:sz w:val="26"/>
                <w:szCs w:val="26"/>
                <w:lang w:val="lv-LV"/>
              </w:rPr>
            </w:pPr>
            <w:r w:rsidRPr="00C51D45">
              <w:rPr>
                <w:sz w:val="26"/>
                <w:szCs w:val="26"/>
                <w:lang w:val="lv-LV"/>
              </w:rPr>
              <w:t> Nepieciešamie saistītie tiesību aktu projekti</w:t>
            </w:r>
          </w:p>
        </w:tc>
        <w:tc>
          <w:tcPr>
            <w:tcW w:w="6804" w:type="dxa"/>
            <w:tcBorders>
              <w:top w:val="outset" w:sz="6" w:space="0" w:color="auto"/>
              <w:left w:val="outset" w:sz="6" w:space="0" w:color="auto"/>
              <w:bottom w:val="outset" w:sz="6" w:space="0" w:color="auto"/>
              <w:right w:val="outset" w:sz="6" w:space="0" w:color="auto"/>
            </w:tcBorders>
            <w:hideMark/>
          </w:tcPr>
          <w:p w:rsidR="004B2E1E" w:rsidRPr="00C51D45" w:rsidRDefault="004B2E1E" w:rsidP="004B2E1E">
            <w:pPr>
              <w:tabs>
                <w:tab w:val="left" w:pos="2628"/>
              </w:tabs>
              <w:jc w:val="both"/>
              <w:rPr>
                <w:iCs/>
                <w:sz w:val="26"/>
                <w:szCs w:val="26"/>
                <w:lang w:val="lv-LV" w:eastAsia="lv-LV"/>
              </w:rPr>
            </w:pPr>
            <w:r w:rsidRPr="00C51D45">
              <w:rPr>
                <w:iCs/>
                <w:sz w:val="26"/>
                <w:szCs w:val="26"/>
                <w:lang w:val="lv-LV" w:eastAsia="lv-LV"/>
              </w:rPr>
              <w:t>Likumprojekts Ministru kabinetā un Saeimā ir izskatāms vienlaicīgi ar:</w:t>
            </w:r>
          </w:p>
          <w:p w:rsidR="004B2E1E" w:rsidRPr="00C51D45" w:rsidRDefault="00B87B04" w:rsidP="004B2E1E">
            <w:pPr>
              <w:spacing w:before="100" w:beforeAutospacing="1" w:after="100" w:afterAutospacing="1"/>
              <w:jc w:val="both"/>
              <w:rPr>
                <w:sz w:val="26"/>
                <w:szCs w:val="26"/>
                <w:lang w:val="lv-LV"/>
              </w:rPr>
            </w:pPr>
            <w:r w:rsidRPr="00C51D45">
              <w:rPr>
                <w:sz w:val="26"/>
                <w:szCs w:val="26"/>
                <w:lang w:val="lv-LV"/>
              </w:rPr>
              <w:t>1) likumprojektu</w:t>
            </w:r>
            <w:r w:rsidR="004B2E1E" w:rsidRPr="00C51D45">
              <w:rPr>
                <w:sz w:val="26"/>
                <w:szCs w:val="26"/>
                <w:lang w:val="lv-LV"/>
              </w:rPr>
              <w:t xml:space="preserve"> „Grozījumi likumā “Par nodokļiem un nodevām””, kas regulē jautājumus par transfertcenām, precizē normas attiecībā uz skaidras naudas lietošanas ierobežojumiem un nosaka regulējumu attiecībā uz saimnieciskās darbības apturēšanu normatīvo aktu pārkāpumu gadījumos – atbildīgā Finanšu ministrija</w:t>
            </w:r>
            <w:r w:rsidRPr="00C51D45">
              <w:rPr>
                <w:sz w:val="26"/>
                <w:szCs w:val="26"/>
                <w:lang w:val="lv-LV"/>
              </w:rPr>
              <w:t>;</w:t>
            </w:r>
          </w:p>
          <w:p w:rsidR="00E523B4" w:rsidRPr="00C51D45" w:rsidRDefault="004B2E1E" w:rsidP="00E523B4">
            <w:pPr>
              <w:spacing w:before="100" w:beforeAutospacing="1" w:after="100" w:afterAutospacing="1"/>
              <w:jc w:val="both"/>
              <w:rPr>
                <w:sz w:val="26"/>
                <w:szCs w:val="26"/>
                <w:lang w:val="lv-LV"/>
              </w:rPr>
            </w:pPr>
            <w:r w:rsidRPr="00C51D45">
              <w:rPr>
                <w:sz w:val="26"/>
                <w:szCs w:val="26"/>
                <w:lang w:val="lv-LV"/>
              </w:rPr>
              <w:t xml:space="preserve">2) </w:t>
            </w:r>
            <w:r w:rsidR="00B87B04" w:rsidRPr="00C51D45">
              <w:rPr>
                <w:sz w:val="26"/>
                <w:szCs w:val="26"/>
                <w:lang w:val="lv-LV"/>
              </w:rPr>
              <w:t>likumprojektu</w:t>
            </w:r>
            <w:r w:rsidR="00E523B4" w:rsidRPr="00C51D45">
              <w:rPr>
                <w:sz w:val="26"/>
                <w:szCs w:val="26"/>
                <w:lang w:val="lv-LV"/>
              </w:rPr>
              <w:t xml:space="preserve"> „Grozījumi Latvijas Administratīvo pārkāpumu kodeksā”, kas paredz administratīvo atbildību gadījumā, ja nodokļu maksātājs pēc saimnieciskās darbības apturēšanas turpina veikt darījumus vai arī tas nav novērsis normatīvo aktu pārkāpumus un ir likvidēts, kā arī noteikt atbildību, ja persona uzsāk jaunu darījumu ar nodokļu maksātāju, kam Valsts ieņēmumu dienests ir apturējis tā saimniecisko darbību un precizē un papildina normas attiecībā uz atbildību par skaidras naudas lietošanas ierobežojumu neievērošanu.</w:t>
            </w:r>
          </w:p>
          <w:p w:rsidR="000F3077" w:rsidRPr="00C51D45" w:rsidRDefault="00B54155" w:rsidP="004B2E1E">
            <w:pPr>
              <w:spacing w:before="100" w:beforeAutospacing="1" w:after="100" w:afterAutospacing="1"/>
              <w:ind w:firstLine="113"/>
              <w:jc w:val="both"/>
              <w:rPr>
                <w:sz w:val="26"/>
                <w:szCs w:val="26"/>
                <w:lang w:val="lv-LV"/>
              </w:rPr>
            </w:pPr>
            <w:r w:rsidRPr="00B54155">
              <w:rPr>
                <w:sz w:val="26"/>
                <w:szCs w:val="26"/>
                <w:lang w:val="lv-LV"/>
              </w:rPr>
              <w:t xml:space="preserve">Tieslietu ministrija ir izstrādājusi likumprojektu „Grozījumi Komerclikumā”, kas ir saistīts ar Finanšu ministrijas izstrādātajiem likumprojektiem, un nosaka, kādus statusus komercsabiedrībā aizliegts ieņemt personai, kurai ir atņemtas vai ierobežotas tiesības uz visu veidu komercdarbību vai uz noteiktiem amatiem komercsabiedrības pārvaldes institūcijās, kā arī paredz regulējumu attiecībā uz sabiedrības darbības izbeigšanu, pamatojoties uz nodokļu administrācijas lēmumu    - atbildīgā Tieslietu ministrija   </w:t>
            </w:r>
          </w:p>
        </w:tc>
      </w:tr>
      <w:tr w:rsidR="00474212" w:rsidRPr="00C51D45" w:rsidTr="00B87B0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474212" w:rsidRPr="00C51D45" w:rsidRDefault="00474212">
            <w:pPr>
              <w:spacing w:before="100" w:beforeAutospacing="1" w:after="100" w:afterAutospacing="1"/>
              <w:rPr>
                <w:sz w:val="26"/>
                <w:szCs w:val="26"/>
                <w:lang w:val="lv-LV"/>
              </w:rPr>
            </w:pPr>
            <w:r w:rsidRPr="00C51D45">
              <w:rPr>
                <w:sz w:val="26"/>
                <w:szCs w:val="26"/>
                <w:lang w:val="lv-LV"/>
              </w:rPr>
              <w:t> 2.</w:t>
            </w:r>
          </w:p>
        </w:tc>
        <w:tc>
          <w:tcPr>
            <w:tcW w:w="1843" w:type="dxa"/>
            <w:tcBorders>
              <w:top w:val="outset" w:sz="6" w:space="0" w:color="auto"/>
              <w:left w:val="outset" w:sz="6" w:space="0" w:color="auto"/>
              <w:bottom w:val="outset" w:sz="6" w:space="0" w:color="auto"/>
              <w:right w:val="outset" w:sz="6" w:space="0" w:color="auto"/>
            </w:tcBorders>
            <w:hideMark/>
          </w:tcPr>
          <w:p w:rsidR="00474212" w:rsidRPr="00C51D45" w:rsidRDefault="00474212">
            <w:pPr>
              <w:spacing w:before="100" w:beforeAutospacing="1" w:after="100" w:afterAutospacing="1"/>
              <w:rPr>
                <w:sz w:val="26"/>
                <w:szCs w:val="26"/>
                <w:lang w:val="lv-LV"/>
              </w:rPr>
            </w:pPr>
            <w:r w:rsidRPr="00C51D45">
              <w:rPr>
                <w:sz w:val="26"/>
                <w:szCs w:val="26"/>
                <w:lang w:val="lv-LV"/>
              </w:rPr>
              <w:t> Cita informācija</w:t>
            </w:r>
          </w:p>
        </w:tc>
        <w:tc>
          <w:tcPr>
            <w:tcW w:w="6804" w:type="dxa"/>
            <w:tcBorders>
              <w:top w:val="outset" w:sz="6" w:space="0" w:color="auto"/>
              <w:left w:val="outset" w:sz="6" w:space="0" w:color="auto"/>
              <w:bottom w:val="outset" w:sz="6" w:space="0" w:color="auto"/>
              <w:right w:val="outset" w:sz="6" w:space="0" w:color="auto"/>
            </w:tcBorders>
          </w:tcPr>
          <w:p w:rsidR="00474212" w:rsidRPr="00C51D45" w:rsidRDefault="00474212">
            <w:pPr>
              <w:spacing w:before="100" w:beforeAutospacing="1" w:after="100" w:afterAutospacing="1"/>
              <w:rPr>
                <w:sz w:val="26"/>
                <w:szCs w:val="26"/>
                <w:lang w:val="lv-LV"/>
              </w:rPr>
            </w:pPr>
            <w:r w:rsidRPr="00C51D45">
              <w:rPr>
                <w:sz w:val="26"/>
                <w:szCs w:val="26"/>
                <w:lang w:val="lv-LV"/>
              </w:rPr>
              <w:t>Nav</w:t>
            </w:r>
          </w:p>
        </w:tc>
      </w:tr>
    </w:tbl>
    <w:p w:rsidR="00982F68" w:rsidRPr="00C51D45" w:rsidRDefault="00982F68" w:rsidP="00982F68">
      <w:pPr>
        <w:pStyle w:val="naiskr"/>
        <w:spacing w:before="0" w:after="0"/>
        <w:jc w:val="both"/>
        <w:rPr>
          <w:i/>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82F68" w:rsidRPr="00C51D45" w:rsidTr="009F374C">
        <w:tc>
          <w:tcPr>
            <w:tcW w:w="9214" w:type="dxa"/>
          </w:tcPr>
          <w:p w:rsidR="00982F68" w:rsidRPr="00C51D45" w:rsidRDefault="00982F68" w:rsidP="00FA24A9">
            <w:pPr>
              <w:jc w:val="center"/>
              <w:rPr>
                <w:b/>
                <w:sz w:val="26"/>
                <w:szCs w:val="26"/>
                <w:lang w:val="lv-LV"/>
              </w:rPr>
            </w:pPr>
            <w:r w:rsidRPr="00C51D45">
              <w:rPr>
                <w:b/>
                <w:sz w:val="26"/>
                <w:szCs w:val="26"/>
                <w:lang w:val="lv-LV"/>
              </w:rPr>
              <w:t>V. Tiesību akta projekta atbilstība Latvijas Republikas starptautiskajām saistībām</w:t>
            </w:r>
          </w:p>
        </w:tc>
      </w:tr>
      <w:tr w:rsidR="00982F68" w:rsidRPr="00C51D45" w:rsidTr="009F374C">
        <w:trPr>
          <w:trHeight w:val="279"/>
        </w:trPr>
        <w:tc>
          <w:tcPr>
            <w:tcW w:w="9214" w:type="dxa"/>
            <w:vAlign w:val="center"/>
          </w:tcPr>
          <w:p w:rsidR="00982F68" w:rsidRPr="00C51D45" w:rsidRDefault="00982F68" w:rsidP="00FA24A9">
            <w:pPr>
              <w:jc w:val="center"/>
              <w:rPr>
                <w:sz w:val="26"/>
                <w:szCs w:val="26"/>
                <w:lang w:val="lv-LV"/>
              </w:rPr>
            </w:pPr>
            <w:r w:rsidRPr="00C51D45">
              <w:rPr>
                <w:sz w:val="26"/>
                <w:szCs w:val="26"/>
                <w:lang w:val="lv-LV"/>
              </w:rPr>
              <w:lastRenderedPageBreak/>
              <w:t>Likumprojekts šo jomu neskar.</w:t>
            </w:r>
          </w:p>
        </w:tc>
      </w:tr>
    </w:tbl>
    <w:p w:rsidR="00982F68" w:rsidRPr="00C51D45" w:rsidRDefault="00982F68" w:rsidP="00982F68">
      <w:pPr>
        <w:pStyle w:val="naiskr"/>
        <w:spacing w:before="0" w:after="0"/>
        <w:jc w:val="both"/>
        <w:rPr>
          <w:i/>
          <w:sz w:val="16"/>
          <w:szCs w:val="16"/>
        </w:rPr>
      </w:pPr>
    </w:p>
    <w:tbl>
      <w:tblPr>
        <w:tblW w:w="939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6"/>
        <w:gridCol w:w="339"/>
        <w:gridCol w:w="1920"/>
        <w:gridCol w:w="6676"/>
        <w:gridCol w:w="294"/>
      </w:tblGrid>
      <w:tr w:rsidR="00C51D45" w:rsidRPr="00F4112A" w:rsidTr="00C51D45">
        <w:trPr>
          <w:gridBefore w:val="1"/>
          <w:wBefore w:w="166" w:type="dxa"/>
          <w:jc w:val="center"/>
        </w:trPr>
        <w:tc>
          <w:tcPr>
            <w:tcW w:w="9229" w:type="dxa"/>
            <w:gridSpan w:val="4"/>
            <w:tcBorders>
              <w:top w:val="single" w:sz="4" w:space="0" w:color="auto"/>
              <w:left w:val="single" w:sz="4" w:space="0" w:color="auto"/>
              <w:bottom w:val="single" w:sz="4" w:space="0" w:color="auto"/>
              <w:right w:val="single" w:sz="4" w:space="0" w:color="auto"/>
            </w:tcBorders>
          </w:tcPr>
          <w:p w:rsidR="00C51D45" w:rsidRPr="00C51D45" w:rsidRDefault="00C51D45" w:rsidP="00C51D45">
            <w:pPr>
              <w:pStyle w:val="naisnod"/>
              <w:spacing w:before="0" w:after="0"/>
              <w:ind w:left="57" w:right="57"/>
              <w:jc w:val="center"/>
              <w:rPr>
                <w:b/>
                <w:sz w:val="26"/>
                <w:szCs w:val="26"/>
              </w:rPr>
            </w:pPr>
            <w:r w:rsidRPr="00C51D45">
              <w:rPr>
                <w:b/>
                <w:sz w:val="26"/>
                <w:szCs w:val="26"/>
              </w:rPr>
              <w:t>VI. Sabiedrības līdzdalība un šīs līdzdalības rezultāti</w:t>
            </w:r>
          </w:p>
        </w:tc>
      </w:tr>
      <w:tr w:rsidR="00C51D45" w:rsidRPr="00C51D45" w:rsidTr="00C51D4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94" w:type="dxa"/>
          <w:trHeight w:val="553"/>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1.</w:t>
            </w:r>
          </w:p>
        </w:tc>
        <w:tc>
          <w:tcPr>
            <w:tcW w:w="1920"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Sabiedrības informēšana par projekta izstrādes uzsākšanu</w:t>
            </w:r>
          </w:p>
        </w:tc>
        <w:tc>
          <w:tcPr>
            <w:tcW w:w="6676"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ind w:firstLine="278"/>
              <w:jc w:val="both"/>
              <w:rPr>
                <w:sz w:val="26"/>
                <w:szCs w:val="26"/>
                <w:lang w:val="lv-LV" w:eastAsia="lv-LV"/>
              </w:rPr>
            </w:pPr>
            <w:r w:rsidRPr="00C51D45">
              <w:rPr>
                <w:sz w:val="26"/>
                <w:szCs w:val="26"/>
                <w:lang w:val="lv-LV" w:eastAsia="lv-LV"/>
              </w:rPr>
              <w:t>Ministrijā ir notikusi sanāksme par transfertcenu regulējumu.</w:t>
            </w:r>
          </w:p>
        </w:tc>
      </w:tr>
      <w:tr w:rsidR="00C51D45" w:rsidRPr="00C51D45" w:rsidTr="00C51D4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94" w:type="dxa"/>
          <w:trHeight w:val="339"/>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2.</w:t>
            </w:r>
          </w:p>
        </w:tc>
        <w:tc>
          <w:tcPr>
            <w:tcW w:w="1920"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Sabiedrības līdzdalība projekta izstrādē</w:t>
            </w:r>
          </w:p>
        </w:tc>
        <w:tc>
          <w:tcPr>
            <w:tcW w:w="6676"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ind w:firstLine="165"/>
              <w:jc w:val="both"/>
              <w:rPr>
                <w:sz w:val="26"/>
                <w:szCs w:val="26"/>
                <w:lang w:val="lv-LV" w:eastAsia="lv-LV"/>
              </w:rPr>
            </w:pPr>
            <w:r w:rsidRPr="00C51D45">
              <w:rPr>
                <w:sz w:val="26"/>
                <w:szCs w:val="26"/>
                <w:lang w:val="lv-LV" w:eastAsia="lv-LV"/>
              </w:rPr>
              <w:t xml:space="preserve">Sanāksmē </w:t>
            </w:r>
            <w:r>
              <w:rPr>
                <w:sz w:val="26"/>
                <w:szCs w:val="26"/>
                <w:lang w:val="lv-LV" w:eastAsia="lv-LV"/>
              </w:rPr>
              <w:t>piedalījās SIA „</w:t>
            </w:r>
            <w:proofErr w:type="spellStart"/>
            <w:r>
              <w:rPr>
                <w:sz w:val="26"/>
                <w:szCs w:val="26"/>
                <w:lang w:val="lv-LV" w:eastAsia="lv-LV"/>
              </w:rPr>
              <w:t>PricewaterhouseC</w:t>
            </w:r>
            <w:r w:rsidRPr="00C51D45">
              <w:rPr>
                <w:sz w:val="26"/>
                <w:szCs w:val="26"/>
                <w:lang w:val="lv-LV" w:eastAsia="lv-LV"/>
              </w:rPr>
              <w:t>oopers</w:t>
            </w:r>
            <w:proofErr w:type="spellEnd"/>
            <w:r w:rsidRPr="00C51D45">
              <w:rPr>
                <w:sz w:val="26"/>
                <w:szCs w:val="26"/>
                <w:lang w:val="lv-LV" w:eastAsia="lv-LV"/>
              </w:rPr>
              <w:t xml:space="preserve">”, </w:t>
            </w:r>
            <w:proofErr w:type="spellStart"/>
            <w:r w:rsidRPr="00C51D45">
              <w:rPr>
                <w:sz w:val="26"/>
                <w:szCs w:val="26"/>
                <w:lang w:val="lv-LV" w:eastAsia="lv-LV"/>
              </w:rPr>
              <w:t>Deloitte</w:t>
            </w:r>
            <w:proofErr w:type="spellEnd"/>
            <w:r w:rsidRPr="00C51D45">
              <w:rPr>
                <w:sz w:val="26"/>
                <w:szCs w:val="26"/>
                <w:lang w:val="lv-LV" w:eastAsia="lv-LV"/>
              </w:rPr>
              <w:t>, SIA „</w:t>
            </w:r>
            <w:proofErr w:type="spellStart"/>
            <w:r w:rsidRPr="00C51D45">
              <w:rPr>
                <w:sz w:val="26"/>
                <w:szCs w:val="26"/>
                <w:lang w:val="lv-LV" w:eastAsia="lv-LV"/>
              </w:rPr>
              <w:t>Ernst</w:t>
            </w:r>
            <w:proofErr w:type="spellEnd"/>
            <w:r w:rsidRPr="00C51D45">
              <w:rPr>
                <w:sz w:val="26"/>
                <w:szCs w:val="26"/>
                <w:lang w:val="lv-LV" w:eastAsia="lv-LV"/>
              </w:rPr>
              <w:t xml:space="preserve"> &amp; </w:t>
            </w:r>
            <w:proofErr w:type="spellStart"/>
            <w:r w:rsidRPr="00C51D45">
              <w:rPr>
                <w:sz w:val="26"/>
                <w:szCs w:val="26"/>
                <w:lang w:val="lv-LV" w:eastAsia="lv-LV"/>
              </w:rPr>
              <w:t>Young</w:t>
            </w:r>
            <w:proofErr w:type="spellEnd"/>
            <w:r w:rsidRPr="00C51D45">
              <w:rPr>
                <w:sz w:val="26"/>
                <w:szCs w:val="26"/>
                <w:lang w:val="lv-LV" w:eastAsia="lv-LV"/>
              </w:rPr>
              <w:t xml:space="preserve"> </w:t>
            </w:r>
            <w:proofErr w:type="spellStart"/>
            <w:r w:rsidRPr="00C51D45">
              <w:rPr>
                <w:sz w:val="26"/>
                <w:szCs w:val="26"/>
                <w:lang w:val="lv-LV" w:eastAsia="lv-LV"/>
              </w:rPr>
              <w:t>Baltic</w:t>
            </w:r>
            <w:proofErr w:type="spellEnd"/>
            <w:r w:rsidRPr="00C51D45">
              <w:rPr>
                <w:sz w:val="26"/>
                <w:szCs w:val="26"/>
                <w:lang w:val="lv-LV" w:eastAsia="lv-LV"/>
              </w:rPr>
              <w:t>”, Latvijas Zvērinātu revidentu asociācija</w:t>
            </w:r>
          </w:p>
        </w:tc>
      </w:tr>
      <w:tr w:rsidR="00C51D45" w:rsidRPr="00F4112A" w:rsidTr="00C51D4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94" w:type="dxa"/>
          <w:trHeight w:val="375"/>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3.</w:t>
            </w:r>
          </w:p>
        </w:tc>
        <w:tc>
          <w:tcPr>
            <w:tcW w:w="1920"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Sabiedrības līdzdalības rezultāti</w:t>
            </w:r>
          </w:p>
        </w:tc>
        <w:tc>
          <w:tcPr>
            <w:tcW w:w="6676" w:type="dxa"/>
            <w:tcBorders>
              <w:top w:val="outset" w:sz="6" w:space="0" w:color="auto"/>
              <w:left w:val="outset" w:sz="6" w:space="0" w:color="auto"/>
              <w:bottom w:val="outset" w:sz="6" w:space="0" w:color="auto"/>
              <w:right w:val="outset" w:sz="6" w:space="0" w:color="auto"/>
            </w:tcBorders>
          </w:tcPr>
          <w:p w:rsidR="00C51D45" w:rsidRPr="00C51D45" w:rsidRDefault="00C51D45" w:rsidP="00C51D45">
            <w:pPr>
              <w:spacing w:before="75" w:after="75"/>
              <w:ind w:firstLine="165"/>
              <w:jc w:val="both"/>
              <w:rPr>
                <w:sz w:val="26"/>
                <w:szCs w:val="26"/>
                <w:lang w:val="lv-LV" w:eastAsia="lv-LV"/>
              </w:rPr>
            </w:pPr>
            <w:r w:rsidRPr="00C51D45">
              <w:rPr>
                <w:sz w:val="26"/>
                <w:szCs w:val="26"/>
                <w:lang w:val="lv-LV" w:eastAsia="lv-LV"/>
              </w:rPr>
              <w:t>Sanāksmes rezultātā tika panākta vienošanās par transfertcenu regulējuma iekļaušanu likumā „Par nodokļiem un nodevām, kā arī panākta vienošanās par maksas noteikšanu par iepriekšējās vienošanās noslēgšanu.</w:t>
            </w:r>
          </w:p>
          <w:p w:rsidR="00C51D45" w:rsidRPr="00C51D45" w:rsidRDefault="00C51D45" w:rsidP="00C51D45">
            <w:pPr>
              <w:spacing w:before="75" w:after="75"/>
              <w:ind w:firstLine="165"/>
              <w:jc w:val="both"/>
              <w:rPr>
                <w:sz w:val="26"/>
                <w:szCs w:val="26"/>
                <w:lang w:val="lv-LV" w:eastAsia="lv-LV"/>
              </w:rPr>
            </w:pPr>
            <w:r w:rsidRPr="00C51D45">
              <w:rPr>
                <w:sz w:val="26"/>
                <w:szCs w:val="26"/>
                <w:lang w:val="lv-LV" w:eastAsia="lv-LV"/>
              </w:rPr>
              <w:t>Ar Latvijas Darba devēju konfederāciju ir notikusi vienošanās par vienkāršotās likvidācijas virzīšanu, kā rezultātā tiks nodrošināta „tīra” uzņēmējdarbības vide un darījuma partneri tiks pasargāti no dažādiem negatīviem procesiem, kuros var tikt iesaistīti negodīgo uzņēmumu rīcības dēļ.</w:t>
            </w:r>
          </w:p>
        </w:tc>
      </w:tr>
      <w:tr w:rsidR="00C51D45" w:rsidRPr="00705B76" w:rsidTr="00C51D4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94" w:type="dxa"/>
          <w:trHeight w:val="397"/>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C51D45" w:rsidRPr="00705B76" w:rsidRDefault="00C51D45" w:rsidP="00E22E28">
            <w:pPr>
              <w:spacing w:before="75" w:after="75"/>
              <w:rPr>
                <w:sz w:val="26"/>
                <w:szCs w:val="26"/>
                <w:lang w:eastAsia="lv-LV"/>
              </w:rPr>
            </w:pPr>
            <w:r w:rsidRPr="00C51D45">
              <w:rPr>
                <w:sz w:val="26"/>
                <w:szCs w:val="26"/>
                <w:lang w:val="lv-LV" w:eastAsia="lv-LV"/>
              </w:rPr>
              <w:t> </w:t>
            </w:r>
            <w:r w:rsidRPr="00705B76">
              <w:rPr>
                <w:sz w:val="26"/>
                <w:szCs w:val="26"/>
                <w:lang w:eastAsia="lv-LV"/>
              </w:rPr>
              <w:t>4.</w:t>
            </w:r>
          </w:p>
        </w:tc>
        <w:tc>
          <w:tcPr>
            <w:tcW w:w="1920"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Saeimas un ekspertu līdzdalība</w:t>
            </w:r>
          </w:p>
        </w:tc>
        <w:tc>
          <w:tcPr>
            <w:tcW w:w="6676"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ind w:firstLine="165"/>
              <w:jc w:val="both"/>
              <w:rPr>
                <w:sz w:val="26"/>
                <w:szCs w:val="26"/>
                <w:lang w:val="lv-LV" w:eastAsia="lv-LV"/>
              </w:rPr>
            </w:pPr>
            <w:r w:rsidRPr="00C51D45">
              <w:rPr>
                <w:sz w:val="26"/>
                <w:szCs w:val="26"/>
                <w:lang w:val="lv-LV" w:eastAsia="lv-LV"/>
              </w:rPr>
              <w:t>Nav</w:t>
            </w:r>
          </w:p>
        </w:tc>
      </w:tr>
      <w:tr w:rsidR="00C51D45" w:rsidRPr="00705B76" w:rsidTr="00C51D45">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After w:val="1"/>
          <w:wAfter w:w="294" w:type="dxa"/>
          <w:trHeight w:val="476"/>
          <w:tblCellSpacing w:w="0" w:type="dxa"/>
        </w:trPr>
        <w:tc>
          <w:tcPr>
            <w:tcW w:w="505" w:type="dxa"/>
            <w:gridSpan w:val="2"/>
            <w:tcBorders>
              <w:top w:val="outset" w:sz="6" w:space="0" w:color="auto"/>
              <w:left w:val="outset" w:sz="6" w:space="0" w:color="auto"/>
              <w:bottom w:val="outset" w:sz="6" w:space="0" w:color="auto"/>
              <w:right w:val="outset" w:sz="6" w:space="0" w:color="auto"/>
            </w:tcBorders>
          </w:tcPr>
          <w:p w:rsidR="00C51D45" w:rsidRPr="00705B76" w:rsidRDefault="00C51D45" w:rsidP="00E22E28">
            <w:pPr>
              <w:spacing w:before="75" w:after="75"/>
              <w:rPr>
                <w:sz w:val="26"/>
                <w:szCs w:val="26"/>
                <w:lang w:eastAsia="lv-LV"/>
              </w:rPr>
            </w:pPr>
            <w:r w:rsidRPr="00705B76">
              <w:rPr>
                <w:sz w:val="26"/>
                <w:szCs w:val="26"/>
                <w:lang w:eastAsia="lv-LV"/>
              </w:rPr>
              <w:t> 5.</w:t>
            </w:r>
          </w:p>
        </w:tc>
        <w:tc>
          <w:tcPr>
            <w:tcW w:w="1920"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rPr>
                <w:sz w:val="26"/>
                <w:szCs w:val="26"/>
                <w:lang w:val="lv-LV" w:eastAsia="lv-LV"/>
              </w:rPr>
            </w:pPr>
            <w:r w:rsidRPr="00C51D45">
              <w:rPr>
                <w:sz w:val="26"/>
                <w:szCs w:val="26"/>
                <w:lang w:val="lv-LV" w:eastAsia="lv-LV"/>
              </w:rPr>
              <w:t> Cita informācija</w:t>
            </w:r>
          </w:p>
        </w:tc>
        <w:tc>
          <w:tcPr>
            <w:tcW w:w="6676" w:type="dxa"/>
            <w:tcBorders>
              <w:top w:val="outset" w:sz="6" w:space="0" w:color="auto"/>
              <w:left w:val="outset" w:sz="6" w:space="0" w:color="auto"/>
              <w:bottom w:val="outset" w:sz="6" w:space="0" w:color="auto"/>
              <w:right w:val="outset" w:sz="6" w:space="0" w:color="auto"/>
            </w:tcBorders>
          </w:tcPr>
          <w:p w:rsidR="00C51D45" w:rsidRPr="00C51D45" w:rsidRDefault="00C51D45" w:rsidP="00E22E28">
            <w:pPr>
              <w:spacing w:before="75" w:after="75"/>
              <w:ind w:firstLine="165"/>
              <w:rPr>
                <w:sz w:val="26"/>
                <w:szCs w:val="26"/>
                <w:lang w:val="lv-LV" w:eastAsia="lv-LV"/>
              </w:rPr>
            </w:pPr>
            <w:r w:rsidRPr="00C51D45">
              <w:rPr>
                <w:sz w:val="26"/>
                <w:szCs w:val="26"/>
                <w:lang w:val="lv-LV" w:eastAsia="lv-LV"/>
              </w:rPr>
              <w:t>Nav</w:t>
            </w:r>
          </w:p>
        </w:tc>
      </w:tr>
    </w:tbl>
    <w:p w:rsidR="00743C98" w:rsidRDefault="00743C98" w:rsidP="0013525F">
      <w:pPr>
        <w:jc w:val="both"/>
        <w:rPr>
          <w:i/>
          <w:sz w:val="16"/>
          <w:szCs w:val="16"/>
          <w:lang w:val="lv-LV" w:eastAsia="lv-LV"/>
        </w:rPr>
      </w:pPr>
    </w:p>
    <w:p w:rsidR="00D0558D" w:rsidRPr="00D41C45" w:rsidRDefault="00D0558D" w:rsidP="0013525F">
      <w:pPr>
        <w:jc w:val="both"/>
        <w:rPr>
          <w:sz w:val="26"/>
          <w:szCs w:val="26"/>
          <w:lang w:val="pt-BR"/>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1917"/>
        <w:gridCol w:w="6770"/>
      </w:tblGrid>
      <w:tr w:rsidR="0013525F" w:rsidRPr="00F4112A" w:rsidTr="00FA24A9">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c"/>
              <w:jc w:val="center"/>
              <w:rPr>
                <w:sz w:val="26"/>
                <w:szCs w:val="26"/>
              </w:rPr>
            </w:pPr>
            <w:r w:rsidRPr="00D41C45">
              <w:rPr>
                <w:b/>
                <w:bCs/>
                <w:sz w:val="26"/>
                <w:szCs w:val="26"/>
              </w:rPr>
              <w:t>VII. Tiesību akta projekta izpildes nodrošināšana un tās ietekme uz institūcijām</w:t>
            </w:r>
          </w:p>
        </w:tc>
      </w:tr>
      <w:tr w:rsidR="0013525F" w:rsidRPr="00D41C45" w:rsidTr="00B87B04">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1.</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izpildē iesaistītās institūcijas</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2173FE">
            <w:pPr>
              <w:pStyle w:val="naiskr"/>
              <w:jc w:val="both"/>
              <w:rPr>
                <w:sz w:val="26"/>
                <w:szCs w:val="26"/>
              </w:rPr>
            </w:pPr>
            <w:r w:rsidRPr="00D41C45">
              <w:rPr>
                <w:sz w:val="26"/>
                <w:szCs w:val="26"/>
              </w:rPr>
              <w:t> </w:t>
            </w:r>
            <w:r w:rsidR="002173FE">
              <w:rPr>
                <w:sz w:val="26"/>
                <w:szCs w:val="26"/>
              </w:rPr>
              <w:t>Finanšu</w:t>
            </w:r>
            <w:r w:rsidR="002173FE" w:rsidRPr="00D41C45">
              <w:rPr>
                <w:sz w:val="26"/>
                <w:szCs w:val="26"/>
              </w:rPr>
              <w:t xml:space="preserve"> ministrija un </w:t>
            </w:r>
            <w:r w:rsidRPr="00D41C45">
              <w:rPr>
                <w:sz w:val="26"/>
                <w:szCs w:val="26"/>
              </w:rPr>
              <w:t>Valsts ieņēmumu dienests</w:t>
            </w:r>
            <w:r>
              <w:rPr>
                <w:sz w:val="26"/>
                <w:szCs w:val="26"/>
              </w:rPr>
              <w:t>.</w:t>
            </w:r>
          </w:p>
        </w:tc>
      </w:tr>
      <w:tr w:rsidR="0013525F" w:rsidRPr="00F4112A" w:rsidTr="00B87B04">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2.</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izpildes ietekme uz pārvaldes funkcijām</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780CE9">
            <w:pPr>
              <w:pStyle w:val="naiskr"/>
              <w:jc w:val="both"/>
              <w:rPr>
                <w:sz w:val="26"/>
                <w:szCs w:val="26"/>
              </w:rPr>
            </w:pPr>
            <w:r w:rsidRPr="00D41C45">
              <w:rPr>
                <w:sz w:val="26"/>
                <w:szCs w:val="26"/>
              </w:rPr>
              <w:t xml:space="preserve"> Valsts ieņēmumu dienesta funkcijas un uzdevumi </w:t>
            </w:r>
            <w:r w:rsidR="00780CE9">
              <w:rPr>
                <w:sz w:val="26"/>
                <w:szCs w:val="26"/>
              </w:rPr>
              <w:t>tiek papildināti ar jauniem pienākumiem.</w:t>
            </w:r>
            <w:r w:rsidR="007A14A0" w:rsidRPr="00C24AAF">
              <w:rPr>
                <w:sz w:val="26"/>
                <w:szCs w:val="26"/>
              </w:rPr>
              <w:t xml:space="preserve"> Projektā paredzēto regulējumu nodrošinās Valsts ieņēmumu dienests savu funkciju ietvaros</w:t>
            </w:r>
            <w:r w:rsidR="007A14A0">
              <w:rPr>
                <w:sz w:val="26"/>
                <w:szCs w:val="26"/>
              </w:rPr>
              <w:t>.</w:t>
            </w:r>
          </w:p>
        </w:tc>
      </w:tr>
      <w:tr w:rsidR="0013525F" w:rsidRPr="00D41C45" w:rsidTr="00B87B04">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3.</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izpildes ietekme uz pārvaldes institucionālo struktūru.</w:t>
            </w:r>
          </w:p>
          <w:p w:rsidR="0013525F" w:rsidRPr="00D41C45" w:rsidRDefault="0013525F" w:rsidP="00FA24A9">
            <w:pPr>
              <w:pStyle w:val="naiskr"/>
              <w:rPr>
                <w:sz w:val="26"/>
                <w:szCs w:val="26"/>
              </w:rPr>
            </w:pPr>
            <w:r w:rsidRPr="00D41C45">
              <w:rPr>
                <w:sz w:val="26"/>
                <w:szCs w:val="26"/>
              </w:rPr>
              <w:t>Jaunu institūciju izveide</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2173FE">
            <w:pPr>
              <w:pStyle w:val="naiskr"/>
              <w:jc w:val="both"/>
              <w:rPr>
                <w:sz w:val="26"/>
                <w:szCs w:val="26"/>
              </w:rPr>
            </w:pPr>
            <w:r w:rsidRPr="00D41C45">
              <w:rPr>
                <w:sz w:val="26"/>
                <w:szCs w:val="26"/>
              </w:rPr>
              <w:t xml:space="preserve"> Jaunas valsts institūcijas netiek radītas. </w:t>
            </w:r>
            <w:r w:rsidR="002173FE">
              <w:rPr>
                <w:sz w:val="26"/>
                <w:szCs w:val="26"/>
              </w:rPr>
              <w:t xml:space="preserve">Likumprojekta </w:t>
            </w:r>
            <w:r w:rsidRPr="00D41C45">
              <w:rPr>
                <w:sz w:val="26"/>
                <w:szCs w:val="26"/>
              </w:rPr>
              <w:t>izpilde notiks esošo valsts institūciju ietvaros</w:t>
            </w:r>
            <w:r>
              <w:rPr>
                <w:sz w:val="26"/>
                <w:szCs w:val="26"/>
              </w:rPr>
              <w:t>.</w:t>
            </w:r>
          </w:p>
        </w:tc>
      </w:tr>
      <w:tr w:rsidR="0013525F" w:rsidRPr="00EF24FF" w:rsidTr="00B87B04">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4.</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xml:space="preserve"> Projekta izpildes ietekme uz </w:t>
            </w:r>
            <w:r w:rsidRPr="00D41C45">
              <w:rPr>
                <w:sz w:val="26"/>
                <w:szCs w:val="26"/>
              </w:rPr>
              <w:lastRenderedPageBreak/>
              <w:t>pārvaldes institucionālo struktūru.</w:t>
            </w:r>
          </w:p>
          <w:p w:rsidR="0013525F" w:rsidRPr="00D41C45" w:rsidRDefault="0013525F" w:rsidP="00FA24A9">
            <w:pPr>
              <w:pStyle w:val="naiskr"/>
              <w:rPr>
                <w:sz w:val="26"/>
                <w:szCs w:val="26"/>
              </w:rPr>
            </w:pPr>
            <w:r w:rsidRPr="00D41C45">
              <w:rPr>
                <w:sz w:val="26"/>
                <w:szCs w:val="26"/>
              </w:rPr>
              <w:t>Esošu institūciju likvidācija</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2173FE">
            <w:pPr>
              <w:pStyle w:val="naiskr"/>
              <w:jc w:val="both"/>
              <w:rPr>
                <w:sz w:val="26"/>
                <w:szCs w:val="26"/>
              </w:rPr>
            </w:pPr>
            <w:r w:rsidRPr="00D41C45">
              <w:rPr>
                <w:sz w:val="26"/>
                <w:szCs w:val="26"/>
              </w:rPr>
              <w:lastRenderedPageBreak/>
              <w:t xml:space="preserve"> Esošās institūcijas netiek likvidētas. </w:t>
            </w:r>
            <w:r w:rsidR="002173FE">
              <w:rPr>
                <w:sz w:val="26"/>
                <w:szCs w:val="26"/>
              </w:rPr>
              <w:t>Likum</w:t>
            </w:r>
            <w:r w:rsidRPr="00D41C45">
              <w:rPr>
                <w:sz w:val="26"/>
                <w:szCs w:val="26"/>
              </w:rPr>
              <w:t>projekta izpilde notiks esošo valsts institūciju ietvaros</w:t>
            </w:r>
            <w:r>
              <w:rPr>
                <w:sz w:val="26"/>
                <w:szCs w:val="26"/>
              </w:rPr>
              <w:t>.</w:t>
            </w:r>
          </w:p>
        </w:tc>
      </w:tr>
      <w:tr w:rsidR="0013525F" w:rsidRPr="00D41C45" w:rsidTr="00B87B04">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lastRenderedPageBreak/>
              <w:t> 5.</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Projekta izpildes ietekme uz pārvaldes institucionālo struktūru.</w:t>
            </w:r>
          </w:p>
          <w:p w:rsidR="0013525F" w:rsidRPr="00D41C45" w:rsidRDefault="0013525F" w:rsidP="00FA24A9">
            <w:pPr>
              <w:pStyle w:val="naiskr"/>
              <w:rPr>
                <w:sz w:val="26"/>
                <w:szCs w:val="26"/>
              </w:rPr>
            </w:pPr>
            <w:r w:rsidRPr="00D41C45">
              <w:rPr>
                <w:sz w:val="26"/>
                <w:szCs w:val="26"/>
              </w:rPr>
              <w:t>Esošu institūciju reorganizācija</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Esošās institūcijas netiks reorganizētas vai arī apvienotas. Noteikumu projekta izpilde notiks esošo valsts institūciju ietvaros</w:t>
            </w:r>
            <w:r>
              <w:rPr>
                <w:sz w:val="26"/>
                <w:szCs w:val="26"/>
              </w:rPr>
              <w:t>.</w:t>
            </w:r>
          </w:p>
        </w:tc>
      </w:tr>
      <w:tr w:rsidR="0013525F" w:rsidRPr="00D41C45" w:rsidTr="00B87B04">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6.</w:t>
            </w:r>
          </w:p>
        </w:tc>
        <w:tc>
          <w:tcPr>
            <w:tcW w:w="1917"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Cita informācija</w:t>
            </w:r>
          </w:p>
        </w:tc>
        <w:tc>
          <w:tcPr>
            <w:tcW w:w="6770" w:type="dxa"/>
            <w:tcBorders>
              <w:top w:val="outset" w:sz="6" w:space="0" w:color="auto"/>
              <w:left w:val="outset" w:sz="6" w:space="0" w:color="auto"/>
              <w:bottom w:val="outset" w:sz="6" w:space="0" w:color="auto"/>
              <w:right w:val="outset" w:sz="6" w:space="0" w:color="auto"/>
            </w:tcBorders>
          </w:tcPr>
          <w:p w:rsidR="0013525F" w:rsidRPr="00D41C45" w:rsidRDefault="0013525F" w:rsidP="00FA24A9">
            <w:pPr>
              <w:pStyle w:val="naiskr"/>
              <w:rPr>
                <w:sz w:val="26"/>
                <w:szCs w:val="26"/>
              </w:rPr>
            </w:pPr>
            <w:r w:rsidRPr="00D41C45">
              <w:rPr>
                <w:sz w:val="26"/>
                <w:szCs w:val="26"/>
              </w:rPr>
              <w:t> Nav</w:t>
            </w:r>
            <w:r>
              <w:rPr>
                <w:sz w:val="26"/>
                <w:szCs w:val="26"/>
              </w:rPr>
              <w:t>.</w:t>
            </w:r>
          </w:p>
        </w:tc>
      </w:tr>
    </w:tbl>
    <w:p w:rsidR="0013525F" w:rsidRPr="00D41C45" w:rsidRDefault="0013525F" w:rsidP="0013525F">
      <w:pPr>
        <w:jc w:val="both"/>
        <w:rPr>
          <w:sz w:val="26"/>
          <w:szCs w:val="26"/>
          <w:lang w:val="pt-BR"/>
        </w:rPr>
      </w:pPr>
    </w:p>
    <w:p w:rsidR="0013525F" w:rsidRPr="00D41C45" w:rsidRDefault="0013525F" w:rsidP="0013525F">
      <w:pPr>
        <w:jc w:val="both"/>
        <w:rPr>
          <w:sz w:val="26"/>
          <w:szCs w:val="26"/>
          <w:lang w:val="lv-LV"/>
        </w:rPr>
      </w:pPr>
    </w:p>
    <w:p w:rsidR="0013525F" w:rsidRPr="00D41C45" w:rsidRDefault="0013525F" w:rsidP="0013525F">
      <w:pPr>
        <w:jc w:val="both"/>
        <w:rPr>
          <w:sz w:val="26"/>
          <w:szCs w:val="26"/>
          <w:lang w:val="lv-LV"/>
        </w:rPr>
      </w:pPr>
    </w:p>
    <w:p w:rsidR="0013525F" w:rsidRPr="00321183" w:rsidRDefault="0013525F" w:rsidP="0013525F">
      <w:pPr>
        <w:tabs>
          <w:tab w:val="left" w:pos="720"/>
          <w:tab w:val="left" w:pos="7088"/>
        </w:tabs>
        <w:ind w:firstLine="720"/>
        <w:rPr>
          <w:sz w:val="28"/>
          <w:szCs w:val="28"/>
          <w:lang w:val="lv-LV"/>
        </w:rPr>
      </w:pPr>
      <w:r w:rsidRPr="00D41C45">
        <w:rPr>
          <w:sz w:val="26"/>
          <w:szCs w:val="26"/>
          <w:lang w:val="lv-LV"/>
        </w:rPr>
        <w:t>Finanšu ministrs</w:t>
      </w:r>
      <w:r w:rsidRPr="00D41C45">
        <w:rPr>
          <w:sz w:val="26"/>
          <w:szCs w:val="26"/>
          <w:lang w:val="lv-LV"/>
        </w:rPr>
        <w:tab/>
      </w:r>
      <w:r w:rsidRPr="00D41C45">
        <w:rPr>
          <w:sz w:val="26"/>
          <w:szCs w:val="26"/>
          <w:lang w:val="lv-LV"/>
        </w:rPr>
        <w:tab/>
      </w:r>
      <w:r w:rsidRPr="00D41C45">
        <w:rPr>
          <w:sz w:val="26"/>
          <w:szCs w:val="26"/>
          <w:lang w:val="lv-LV"/>
        </w:rPr>
        <w:tab/>
        <w:t>A.Vilks</w:t>
      </w:r>
    </w:p>
    <w:p w:rsidR="0013525F" w:rsidRDefault="00527356" w:rsidP="002173FE">
      <w:pPr>
        <w:tabs>
          <w:tab w:val="left" w:pos="4065"/>
        </w:tabs>
        <w:jc w:val="both"/>
        <w:rPr>
          <w:sz w:val="28"/>
          <w:szCs w:val="28"/>
          <w:lang w:val="lv-LV"/>
        </w:rPr>
      </w:pPr>
      <w:r>
        <w:rPr>
          <w:sz w:val="28"/>
          <w:szCs w:val="28"/>
          <w:lang w:val="lv-LV"/>
        </w:rPr>
        <w:tab/>
      </w:r>
    </w:p>
    <w:p w:rsidR="00B50968" w:rsidRDefault="00B50968" w:rsidP="00B50968">
      <w:pPr>
        <w:rPr>
          <w:sz w:val="20"/>
          <w:szCs w:val="20"/>
        </w:rPr>
      </w:pPr>
    </w:p>
    <w:p w:rsidR="00B54155" w:rsidRDefault="00B54155" w:rsidP="00B50968">
      <w:pPr>
        <w:rPr>
          <w:sz w:val="20"/>
          <w:szCs w:val="20"/>
        </w:rPr>
      </w:pPr>
    </w:p>
    <w:p w:rsidR="00B54155" w:rsidRDefault="00B54155" w:rsidP="00B50968">
      <w:pPr>
        <w:rPr>
          <w:sz w:val="20"/>
          <w:szCs w:val="20"/>
        </w:rPr>
      </w:pPr>
    </w:p>
    <w:p w:rsidR="00B54155" w:rsidRDefault="00B54155" w:rsidP="00B50968">
      <w:pPr>
        <w:rPr>
          <w:sz w:val="20"/>
          <w:szCs w:val="20"/>
        </w:rPr>
      </w:pPr>
    </w:p>
    <w:p w:rsidR="00B54155" w:rsidRPr="00895D4D" w:rsidRDefault="00B54155" w:rsidP="00B50968">
      <w:pPr>
        <w:rPr>
          <w:sz w:val="20"/>
          <w:szCs w:val="20"/>
        </w:rPr>
      </w:pPr>
    </w:p>
    <w:p w:rsidR="00B50968" w:rsidRPr="00895D4D" w:rsidRDefault="00F4112A" w:rsidP="00B50968">
      <w:pPr>
        <w:rPr>
          <w:sz w:val="20"/>
          <w:szCs w:val="20"/>
        </w:rPr>
      </w:pPr>
      <w:r>
        <w:rPr>
          <w:sz w:val="20"/>
          <w:szCs w:val="20"/>
        </w:rPr>
        <w:t>2011.08.31. 11:17</w:t>
      </w:r>
      <w:bookmarkStart w:id="6" w:name="_GoBack"/>
      <w:bookmarkEnd w:id="6"/>
    </w:p>
    <w:p w:rsidR="00B50968" w:rsidRPr="00895D4D" w:rsidRDefault="00B50968" w:rsidP="00B50968">
      <w:pPr>
        <w:rPr>
          <w:sz w:val="20"/>
          <w:szCs w:val="20"/>
        </w:rPr>
      </w:pPr>
      <w:r w:rsidRPr="00895D4D">
        <w:rPr>
          <w:sz w:val="20"/>
          <w:szCs w:val="20"/>
        </w:rPr>
        <w:fldChar w:fldCharType="begin"/>
      </w:r>
      <w:r w:rsidRPr="00895D4D">
        <w:rPr>
          <w:sz w:val="20"/>
          <w:szCs w:val="20"/>
        </w:rPr>
        <w:instrText xml:space="preserve"> NUMWORDS  </w:instrText>
      </w:r>
      <w:r w:rsidRPr="00895D4D">
        <w:rPr>
          <w:sz w:val="20"/>
          <w:szCs w:val="20"/>
        </w:rPr>
        <w:fldChar w:fldCharType="separate"/>
      </w:r>
      <w:r w:rsidR="00B54155">
        <w:rPr>
          <w:noProof/>
          <w:sz w:val="20"/>
          <w:szCs w:val="20"/>
        </w:rPr>
        <w:t>1384</w:t>
      </w:r>
      <w:r w:rsidRPr="00895D4D">
        <w:rPr>
          <w:sz w:val="20"/>
          <w:szCs w:val="20"/>
        </w:rPr>
        <w:fldChar w:fldCharType="end"/>
      </w:r>
    </w:p>
    <w:p w:rsidR="00B50968" w:rsidRPr="00895D4D" w:rsidRDefault="00B50968" w:rsidP="00B509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895D4D">
        <w:rPr>
          <w:rFonts w:ascii="Times New Roman" w:eastAsia="Times New Roman" w:hAnsi="Times New Roman" w:cs="Times New Roman"/>
        </w:rPr>
        <w:t>Tatjana Trenko, 67083983</w:t>
      </w:r>
    </w:p>
    <w:p w:rsidR="00B50968" w:rsidRPr="00895D4D" w:rsidRDefault="005E2658" w:rsidP="00B50968">
      <w:pPr>
        <w:rPr>
          <w:sz w:val="20"/>
          <w:szCs w:val="20"/>
        </w:rPr>
      </w:pPr>
      <w:hyperlink r:id="rId8" w:history="1">
        <w:r w:rsidR="00B50968" w:rsidRPr="00895D4D">
          <w:rPr>
            <w:rStyle w:val="Hyperlink"/>
            <w:sz w:val="20"/>
            <w:szCs w:val="20"/>
          </w:rPr>
          <w:t>Tatjana.Trenko@fm.gov.lv</w:t>
        </w:r>
      </w:hyperlink>
    </w:p>
    <w:p w:rsidR="002173FE" w:rsidRPr="0013525F" w:rsidRDefault="002173FE" w:rsidP="00B50968">
      <w:pPr>
        <w:ind w:firstLine="720"/>
        <w:jc w:val="both"/>
        <w:rPr>
          <w:b/>
          <w:lang w:val="lv-LV"/>
        </w:rPr>
      </w:pPr>
    </w:p>
    <w:sectPr w:rsidR="002173FE" w:rsidRPr="0013525F" w:rsidSect="00FA24A9">
      <w:headerReference w:type="even" r:id="rId9"/>
      <w:headerReference w:type="default" r:id="rId10"/>
      <w:footerReference w:type="default" r:id="rId11"/>
      <w:footerReference w:type="first" r:id="rId12"/>
      <w:pgSz w:w="11906" w:h="16838" w:code="9"/>
      <w:pgMar w:top="1077"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58" w:rsidRDefault="005E2658" w:rsidP="007C15F6">
      <w:r>
        <w:separator/>
      </w:r>
    </w:p>
  </w:endnote>
  <w:endnote w:type="continuationSeparator" w:id="0">
    <w:p w:rsidR="005E2658" w:rsidRDefault="005E2658" w:rsidP="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4" w:rsidRPr="001679A9" w:rsidRDefault="00B87B04" w:rsidP="001679A9">
    <w:pPr>
      <w:pStyle w:val="Footer"/>
      <w:jc w:val="both"/>
      <w:rPr>
        <w:sz w:val="20"/>
        <w:szCs w:val="20"/>
      </w:rPr>
    </w:pPr>
    <w:r w:rsidRPr="001679A9">
      <w:rPr>
        <w:sz w:val="20"/>
        <w:szCs w:val="20"/>
        <w:lang w:val="lv-LV"/>
      </w:rPr>
      <w:t>FMAnot_</w:t>
    </w:r>
    <w:r w:rsidR="00CB745C">
      <w:rPr>
        <w:sz w:val="20"/>
        <w:szCs w:val="20"/>
        <w:lang w:val="lv-LV"/>
      </w:rPr>
      <w:t>31</w:t>
    </w:r>
    <w:r>
      <w:rPr>
        <w:sz w:val="20"/>
        <w:szCs w:val="20"/>
        <w:lang w:val="lv-LV"/>
      </w:rPr>
      <w:t>08</w:t>
    </w:r>
    <w:r w:rsidRPr="001679A9">
      <w:rPr>
        <w:sz w:val="20"/>
        <w:szCs w:val="20"/>
        <w:lang w:val="lv-LV"/>
      </w:rPr>
      <w:t>11_VID</w:t>
    </w:r>
    <w:r>
      <w:rPr>
        <w:sz w:val="20"/>
        <w:szCs w:val="20"/>
        <w:lang w:val="lv-LV"/>
      </w:rPr>
      <w:t>_saimn</w:t>
    </w:r>
    <w:r w:rsidRPr="001679A9">
      <w:rPr>
        <w:sz w:val="20"/>
        <w:szCs w:val="20"/>
        <w:lang w:val="lv-LV"/>
      </w:rPr>
      <w:t>; Likumprojekta „Grozījumi likumā „Par Valsts ieņēmumu dienestu””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4" w:rsidRPr="001679A9" w:rsidRDefault="00B87B04" w:rsidP="00FA24A9">
    <w:pPr>
      <w:pStyle w:val="Footer"/>
      <w:jc w:val="both"/>
      <w:rPr>
        <w:sz w:val="20"/>
        <w:szCs w:val="20"/>
        <w:lang w:val="lv-LV"/>
      </w:rPr>
    </w:pPr>
    <w:r w:rsidRPr="001679A9">
      <w:rPr>
        <w:sz w:val="20"/>
        <w:szCs w:val="20"/>
        <w:lang w:val="lv-LV"/>
      </w:rPr>
      <w:t>FMAnot_</w:t>
    </w:r>
    <w:r w:rsidR="00CB745C">
      <w:rPr>
        <w:sz w:val="20"/>
        <w:szCs w:val="20"/>
        <w:lang w:val="lv-LV"/>
      </w:rPr>
      <w:t>31</w:t>
    </w:r>
    <w:r>
      <w:rPr>
        <w:sz w:val="20"/>
        <w:szCs w:val="20"/>
        <w:lang w:val="lv-LV"/>
      </w:rPr>
      <w:t>08</w:t>
    </w:r>
    <w:r w:rsidRPr="001679A9">
      <w:rPr>
        <w:sz w:val="20"/>
        <w:szCs w:val="20"/>
        <w:lang w:val="lv-LV"/>
      </w:rPr>
      <w:t>11_VID_saimn; Likumprojekta „Grozījumi likumā „Par Valsts ieņēmumu dienestu””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58" w:rsidRDefault="005E2658" w:rsidP="007C15F6">
      <w:r>
        <w:separator/>
      </w:r>
    </w:p>
  </w:footnote>
  <w:footnote w:type="continuationSeparator" w:id="0">
    <w:p w:rsidR="005E2658" w:rsidRDefault="005E2658" w:rsidP="007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4" w:rsidRDefault="00B87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B04" w:rsidRDefault="00B87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4" w:rsidRPr="00D41C45" w:rsidRDefault="00B87B04">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F4112A">
      <w:rPr>
        <w:rStyle w:val="PageNumber"/>
        <w:noProof/>
        <w:sz w:val="22"/>
        <w:szCs w:val="22"/>
      </w:rPr>
      <w:t>6</w:t>
    </w:r>
    <w:r w:rsidRPr="00D41C45">
      <w:rPr>
        <w:rStyle w:val="PageNumber"/>
        <w:sz w:val="22"/>
        <w:szCs w:val="22"/>
      </w:rPr>
      <w:fldChar w:fldCharType="end"/>
    </w:r>
  </w:p>
  <w:p w:rsidR="00B87B04" w:rsidRDefault="00B87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540"/>
    <w:multiLevelType w:val="hybridMultilevel"/>
    <w:tmpl w:val="EC80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64695"/>
    <w:multiLevelType w:val="hybridMultilevel"/>
    <w:tmpl w:val="5950B1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3E910F31"/>
    <w:multiLevelType w:val="hybridMultilevel"/>
    <w:tmpl w:val="FCEC77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5EC33176"/>
    <w:multiLevelType w:val="hybridMultilevel"/>
    <w:tmpl w:val="596CF3B6"/>
    <w:lvl w:ilvl="0" w:tplc="04260011">
      <w:start w:val="1"/>
      <w:numFmt w:val="decimal"/>
      <w:lvlText w:val="%1)"/>
      <w:lvlJc w:val="left"/>
      <w:pPr>
        <w:ind w:left="1259" w:hanging="360"/>
      </w:p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4">
    <w:nsid w:val="77A13380"/>
    <w:multiLevelType w:val="hybridMultilevel"/>
    <w:tmpl w:val="261A05BA"/>
    <w:lvl w:ilvl="0" w:tplc="1B6A255A">
      <w:start w:val="2010"/>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5F"/>
    <w:rsid w:val="000324D0"/>
    <w:rsid w:val="000459D8"/>
    <w:rsid w:val="00054D87"/>
    <w:rsid w:val="00054EC4"/>
    <w:rsid w:val="00077489"/>
    <w:rsid w:val="00094FF4"/>
    <w:rsid w:val="000B10CC"/>
    <w:rsid w:val="000B23EF"/>
    <w:rsid w:val="000B322E"/>
    <w:rsid w:val="000C3C0D"/>
    <w:rsid w:val="000C6BE1"/>
    <w:rsid w:val="000E19C1"/>
    <w:rsid w:val="000F3077"/>
    <w:rsid w:val="0010613B"/>
    <w:rsid w:val="0013525F"/>
    <w:rsid w:val="00140606"/>
    <w:rsid w:val="00161156"/>
    <w:rsid w:val="001637A7"/>
    <w:rsid w:val="001679A9"/>
    <w:rsid w:val="00186EEC"/>
    <w:rsid w:val="001B1374"/>
    <w:rsid w:val="001C3F1C"/>
    <w:rsid w:val="001E4EB4"/>
    <w:rsid w:val="002173FE"/>
    <w:rsid w:val="002236D8"/>
    <w:rsid w:val="002375AD"/>
    <w:rsid w:val="00245969"/>
    <w:rsid w:val="002563A1"/>
    <w:rsid w:val="002658A2"/>
    <w:rsid w:val="002847C1"/>
    <w:rsid w:val="002871D6"/>
    <w:rsid w:val="0029574A"/>
    <w:rsid w:val="002F2324"/>
    <w:rsid w:val="0030706F"/>
    <w:rsid w:val="003505FA"/>
    <w:rsid w:val="0039088E"/>
    <w:rsid w:val="003D207C"/>
    <w:rsid w:val="003D42F8"/>
    <w:rsid w:val="003F114C"/>
    <w:rsid w:val="00410A98"/>
    <w:rsid w:val="004540C1"/>
    <w:rsid w:val="00462776"/>
    <w:rsid w:val="004722D6"/>
    <w:rsid w:val="00474212"/>
    <w:rsid w:val="00485EE5"/>
    <w:rsid w:val="004B2E1E"/>
    <w:rsid w:val="004B793F"/>
    <w:rsid w:val="004C2A5E"/>
    <w:rsid w:val="004E307F"/>
    <w:rsid w:val="004F5AF8"/>
    <w:rsid w:val="00503AAB"/>
    <w:rsid w:val="0052516B"/>
    <w:rsid w:val="00527356"/>
    <w:rsid w:val="00536B3A"/>
    <w:rsid w:val="00570375"/>
    <w:rsid w:val="00574BE4"/>
    <w:rsid w:val="005875F3"/>
    <w:rsid w:val="005922F5"/>
    <w:rsid w:val="00596B9F"/>
    <w:rsid w:val="005B7780"/>
    <w:rsid w:val="005C336D"/>
    <w:rsid w:val="005C4065"/>
    <w:rsid w:val="005C64E1"/>
    <w:rsid w:val="005C66E7"/>
    <w:rsid w:val="005D19F1"/>
    <w:rsid w:val="005D370C"/>
    <w:rsid w:val="005D6518"/>
    <w:rsid w:val="005E2658"/>
    <w:rsid w:val="005F71BD"/>
    <w:rsid w:val="00631E23"/>
    <w:rsid w:val="006413A5"/>
    <w:rsid w:val="00672556"/>
    <w:rsid w:val="006844CC"/>
    <w:rsid w:val="00685675"/>
    <w:rsid w:val="00686890"/>
    <w:rsid w:val="0069001C"/>
    <w:rsid w:val="00696CE8"/>
    <w:rsid w:val="006A768D"/>
    <w:rsid w:val="006E451A"/>
    <w:rsid w:val="0071434C"/>
    <w:rsid w:val="00734296"/>
    <w:rsid w:val="00743C98"/>
    <w:rsid w:val="00763921"/>
    <w:rsid w:val="00780CE9"/>
    <w:rsid w:val="007917F1"/>
    <w:rsid w:val="007A14A0"/>
    <w:rsid w:val="007B0948"/>
    <w:rsid w:val="007B430E"/>
    <w:rsid w:val="007C15F6"/>
    <w:rsid w:val="007C7D93"/>
    <w:rsid w:val="00832A2E"/>
    <w:rsid w:val="008426DD"/>
    <w:rsid w:val="00883A89"/>
    <w:rsid w:val="00895D4D"/>
    <w:rsid w:val="008B25BB"/>
    <w:rsid w:val="008B4FEC"/>
    <w:rsid w:val="0090506A"/>
    <w:rsid w:val="009067D3"/>
    <w:rsid w:val="00915505"/>
    <w:rsid w:val="0094379E"/>
    <w:rsid w:val="00952F6D"/>
    <w:rsid w:val="00960D4A"/>
    <w:rsid w:val="00963FB3"/>
    <w:rsid w:val="0098191E"/>
    <w:rsid w:val="00982F68"/>
    <w:rsid w:val="009B4311"/>
    <w:rsid w:val="009B547E"/>
    <w:rsid w:val="009F374C"/>
    <w:rsid w:val="00A00556"/>
    <w:rsid w:val="00A23AA2"/>
    <w:rsid w:val="00A454EC"/>
    <w:rsid w:val="00A66B18"/>
    <w:rsid w:val="00A67197"/>
    <w:rsid w:val="00A951DB"/>
    <w:rsid w:val="00A95A79"/>
    <w:rsid w:val="00AA0641"/>
    <w:rsid w:val="00AA7DEE"/>
    <w:rsid w:val="00AB29B2"/>
    <w:rsid w:val="00AD2743"/>
    <w:rsid w:val="00AD3427"/>
    <w:rsid w:val="00AF0799"/>
    <w:rsid w:val="00AF14FA"/>
    <w:rsid w:val="00AF398A"/>
    <w:rsid w:val="00B21FA3"/>
    <w:rsid w:val="00B31814"/>
    <w:rsid w:val="00B45ADA"/>
    <w:rsid w:val="00B46C4B"/>
    <w:rsid w:val="00B50968"/>
    <w:rsid w:val="00B54155"/>
    <w:rsid w:val="00B561C5"/>
    <w:rsid w:val="00B63BE3"/>
    <w:rsid w:val="00B767B5"/>
    <w:rsid w:val="00B8655A"/>
    <w:rsid w:val="00B87B04"/>
    <w:rsid w:val="00B91CCB"/>
    <w:rsid w:val="00BD3C3A"/>
    <w:rsid w:val="00C217CE"/>
    <w:rsid w:val="00C22E5B"/>
    <w:rsid w:val="00C23BAE"/>
    <w:rsid w:val="00C400D2"/>
    <w:rsid w:val="00C42453"/>
    <w:rsid w:val="00C439AB"/>
    <w:rsid w:val="00C50810"/>
    <w:rsid w:val="00C51D45"/>
    <w:rsid w:val="00C57284"/>
    <w:rsid w:val="00C95DF6"/>
    <w:rsid w:val="00C97755"/>
    <w:rsid w:val="00CA6B42"/>
    <w:rsid w:val="00CB745C"/>
    <w:rsid w:val="00CC6D92"/>
    <w:rsid w:val="00CD2925"/>
    <w:rsid w:val="00CE79ED"/>
    <w:rsid w:val="00CF24A1"/>
    <w:rsid w:val="00D03749"/>
    <w:rsid w:val="00D0558D"/>
    <w:rsid w:val="00D14FF5"/>
    <w:rsid w:val="00D27E89"/>
    <w:rsid w:val="00D33B15"/>
    <w:rsid w:val="00D405B3"/>
    <w:rsid w:val="00D47969"/>
    <w:rsid w:val="00D6781D"/>
    <w:rsid w:val="00DB6F8D"/>
    <w:rsid w:val="00DD0319"/>
    <w:rsid w:val="00DD0C92"/>
    <w:rsid w:val="00DE036B"/>
    <w:rsid w:val="00DF2964"/>
    <w:rsid w:val="00E12658"/>
    <w:rsid w:val="00E16556"/>
    <w:rsid w:val="00E17712"/>
    <w:rsid w:val="00E379B0"/>
    <w:rsid w:val="00E523B4"/>
    <w:rsid w:val="00E96D42"/>
    <w:rsid w:val="00EA7B54"/>
    <w:rsid w:val="00EB3C2E"/>
    <w:rsid w:val="00EC15DD"/>
    <w:rsid w:val="00ED68EA"/>
    <w:rsid w:val="00EE0B26"/>
    <w:rsid w:val="00EE2361"/>
    <w:rsid w:val="00EE64F5"/>
    <w:rsid w:val="00EE71B8"/>
    <w:rsid w:val="00EF24FF"/>
    <w:rsid w:val="00EF5E76"/>
    <w:rsid w:val="00F12A55"/>
    <w:rsid w:val="00F234D7"/>
    <w:rsid w:val="00F376D4"/>
    <w:rsid w:val="00F4045F"/>
    <w:rsid w:val="00F4112A"/>
    <w:rsid w:val="00F5707A"/>
    <w:rsid w:val="00F87770"/>
    <w:rsid w:val="00F90729"/>
    <w:rsid w:val="00FA24A9"/>
    <w:rsid w:val="00FE0275"/>
    <w:rsid w:val="00FF6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631E23"/>
    <w:rPr>
      <w:rFonts w:ascii="Tahoma" w:hAnsi="Tahoma" w:cs="Tahoma"/>
      <w:sz w:val="16"/>
      <w:szCs w:val="16"/>
    </w:rPr>
  </w:style>
  <w:style w:type="character" w:customStyle="1" w:styleId="BalloonTextChar">
    <w:name w:val="Balloon Text Char"/>
    <w:basedOn w:val="DefaultParagraphFont"/>
    <w:link w:val="BalloonText"/>
    <w:uiPriority w:val="99"/>
    <w:semiHidden/>
    <w:rsid w:val="00631E23"/>
    <w:rPr>
      <w:rFonts w:ascii="Tahoma" w:eastAsia="Times New Roman" w:hAnsi="Tahoma" w:cs="Tahoma"/>
      <w:sz w:val="16"/>
      <w:szCs w:val="16"/>
      <w:lang w:val="en-GB"/>
    </w:rPr>
  </w:style>
  <w:style w:type="paragraph" w:styleId="HTMLPreformatted">
    <w:name w:val="HTML Preformatted"/>
    <w:basedOn w:val="Normal"/>
    <w:link w:val="HTMLPreformattedChar"/>
    <w:rsid w:val="00B5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B50968"/>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D14FF5"/>
    <w:rPr>
      <w:sz w:val="16"/>
      <w:szCs w:val="16"/>
    </w:rPr>
  </w:style>
  <w:style w:type="paragraph" w:styleId="CommentText">
    <w:name w:val="annotation text"/>
    <w:basedOn w:val="Normal"/>
    <w:link w:val="CommentTextChar"/>
    <w:uiPriority w:val="99"/>
    <w:semiHidden/>
    <w:unhideWhenUsed/>
    <w:rsid w:val="00D14FF5"/>
    <w:rPr>
      <w:sz w:val="20"/>
      <w:szCs w:val="20"/>
    </w:rPr>
  </w:style>
  <w:style w:type="character" w:customStyle="1" w:styleId="CommentTextChar">
    <w:name w:val="Comment Text Char"/>
    <w:basedOn w:val="DefaultParagraphFont"/>
    <w:link w:val="CommentText"/>
    <w:uiPriority w:val="99"/>
    <w:semiHidden/>
    <w:rsid w:val="00D14FF5"/>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14FF5"/>
    <w:rPr>
      <w:b/>
      <w:bCs/>
    </w:rPr>
  </w:style>
  <w:style w:type="character" w:customStyle="1" w:styleId="CommentSubjectChar">
    <w:name w:val="Comment Subject Char"/>
    <w:basedOn w:val="CommentTextChar"/>
    <w:link w:val="CommentSubject"/>
    <w:uiPriority w:val="99"/>
    <w:semiHidden/>
    <w:rsid w:val="00D14FF5"/>
    <w:rPr>
      <w:rFonts w:eastAsia="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631E23"/>
    <w:rPr>
      <w:rFonts w:ascii="Tahoma" w:hAnsi="Tahoma" w:cs="Tahoma"/>
      <w:sz w:val="16"/>
      <w:szCs w:val="16"/>
    </w:rPr>
  </w:style>
  <w:style w:type="character" w:customStyle="1" w:styleId="BalloonTextChar">
    <w:name w:val="Balloon Text Char"/>
    <w:basedOn w:val="DefaultParagraphFont"/>
    <w:link w:val="BalloonText"/>
    <w:uiPriority w:val="99"/>
    <w:semiHidden/>
    <w:rsid w:val="00631E23"/>
    <w:rPr>
      <w:rFonts w:ascii="Tahoma" w:eastAsia="Times New Roman" w:hAnsi="Tahoma" w:cs="Tahoma"/>
      <w:sz w:val="16"/>
      <w:szCs w:val="16"/>
      <w:lang w:val="en-GB"/>
    </w:rPr>
  </w:style>
  <w:style w:type="paragraph" w:styleId="HTMLPreformatted">
    <w:name w:val="HTML Preformatted"/>
    <w:basedOn w:val="Normal"/>
    <w:link w:val="HTMLPreformattedChar"/>
    <w:rsid w:val="00B5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B50968"/>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D14FF5"/>
    <w:rPr>
      <w:sz w:val="16"/>
      <w:szCs w:val="16"/>
    </w:rPr>
  </w:style>
  <w:style w:type="paragraph" w:styleId="CommentText">
    <w:name w:val="annotation text"/>
    <w:basedOn w:val="Normal"/>
    <w:link w:val="CommentTextChar"/>
    <w:uiPriority w:val="99"/>
    <w:semiHidden/>
    <w:unhideWhenUsed/>
    <w:rsid w:val="00D14FF5"/>
    <w:rPr>
      <w:sz w:val="20"/>
      <w:szCs w:val="20"/>
    </w:rPr>
  </w:style>
  <w:style w:type="character" w:customStyle="1" w:styleId="CommentTextChar">
    <w:name w:val="Comment Text Char"/>
    <w:basedOn w:val="DefaultParagraphFont"/>
    <w:link w:val="CommentText"/>
    <w:uiPriority w:val="99"/>
    <w:semiHidden/>
    <w:rsid w:val="00D14FF5"/>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14FF5"/>
    <w:rPr>
      <w:b/>
      <w:bCs/>
    </w:rPr>
  </w:style>
  <w:style w:type="character" w:customStyle="1" w:styleId="CommentSubjectChar">
    <w:name w:val="Comment Subject Char"/>
    <w:basedOn w:val="CommentTextChar"/>
    <w:link w:val="CommentSubject"/>
    <w:uiPriority w:val="99"/>
    <w:semiHidden/>
    <w:rsid w:val="00D14FF5"/>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9862">
      <w:bodyDiv w:val="1"/>
      <w:marLeft w:val="0"/>
      <w:marRight w:val="0"/>
      <w:marTop w:val="0"/>
      <w:marBottom w:val="0"/>
      <w:divBdr>
        <w:top w:val="none" w:sz="0" w:space="0" w:color="auto"/>
        <w:left w:val="none" w:sz="0" w:space="0" w:color="auto"/>
        <w:bottom w:val="none" w:sz="0" w:space="0" w:color="auto"/>
        <w:right w:val="none" w:sz="0" w:space="0" w:color="auto"/>
      </w:divBdr>
    </w:div>
    <w:div w:id="748423528">
      <w:bodyDiv w:val="1"/>
      <w:marLeft w:val="0"/>
      <w:marRight w:val="0"/>
      <w:marTop w:val="0"/>
      <w:marBottom w:val="0"/>
      <w:divBdr>
        <w:top w:val="none" w:sz="0" w:space="0" w:color="auto"/>
        <w:left w:val="none" w:sz="0" w:space="0" w:color="auto"/>
        <w:bottom w:val="none" w:sz="0" w:space="0" w:color="auto"/>
        <w:right w:val="none" w:sz="0" w:space="0" w:color="auto"/>
      </w:divBdr>
    </w:div>
    <w:div w:id="15737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Puzule@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7386</Words>
  <Characters>4211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grozījums likumā "Par Valsts ieņēmumu dienestu"</vt:lpstr>
    </vt:vector>
  </TitlesOfParts>
  <Company>VID</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ieņēmumu dienestu"</dc:title>
  <dc:subject>anotācija</dc:subject>
  <dc:creator>Tatjana Trenko</dc:creator>
  <cp:keywords/>
  <dc:description>Tatjana.Trenko@fm.gov.lv
67083983</dc:description>
  <cp:lastModifiedBy>kc-siman</cp:lastModifiedBy>
  <cp:revision>19</cp:revision>
  <cp:lastPrinted>2011-08-31T08:17:00Z</cp:lastPrinted>
  <dcterms:created xsi:type="dcterms:W3CDTF">2011-07-07T12:10:00Z</dcterms:created>
  <dcterms:modified xsi:type="dcterms:W3CDTF">2011-09-02T13:04:00Z</dcterms:modified>
</cp:coreProperties>
</file>