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9" w:rsidRPr="003975DF" w:rsidRDefault="0009673C" w:rsidP="002E2B4C">
      <w:pPr>
        <w:spacing w:after="0"/>
        <w:ind w:left="0"/>
        <w:jc w:val="center"/>
        <w:rPr>
          <w:rFonts w:ascii="Times New Roman" w:hAnsi="Times New Roman" w:cs="Times New Roman"/>
          <w:b/>
          <w:sz w:val="26"/>
          <w:szCs w:val="26"/>
        </w:rPr>
      </w:pPr>
      <w:bookmarkStart w:id="0" w:name="OLE_LINK1"/>
      <w:bookmarkStart w:id="1" w:name="OLE_LINK2"/>
      <w:r w:rsidRPr="003975DF">
        <w:rPr>
          <w:rFonts w:ascii="Times New Roman" w:hAnsi="Times New Roman" w:cs="Times New Roman"/>
          <w:b/>
          <w:sz w:val="26"/>
          <w:szCs w:val="26"/>
        </w:rPr>
        <w:t>Ministru kabineta n</w:t>
      </w:r>
      <w:r w:rsidR="003F4905" w:rsidRPr="003975DF">
        <w:rPr>
          <w:rFonts w:ascii="Times New Roman" w:hAnsi="Times New Roman" w:cs="Times New Roman"/>
          <w:b/>
          <w:sz w:val="26"/>
          <w:szCs w:val="26"/>
        </w:rPr>
        <w:t>oteikumu projekta</w:t>
      </w:r>
      <w:bookmarkStart w:id="2" w:name="OLE_LINK5"/>
      <w:bookmarkStart w:id="3" w:name="OLE_LINK6"/>
      <w:r w:rsidR="00041339" w:rsidRPr="003975DF">
        <w:rPr>
          <w:rFonts w:ascii="Times New Roman" w:hAnsi="Times New Roman" w:cs="Times New Roman"/>
          <w:b/>
          <w:sz w:val="26"/>
          <w:szCs w:val="26"/>
        </w:rPr>
        <w:t xml:space="preserve"> </w:t>
      </w:r>
    </w:p>
    <w:bookmarkEnd w:id="0"/>
    <w:bookmarkEnd w:id="1"/>
    <w:bookmarkEnd w:id="2"/>
    <w:bookmarkEnd w:id="3"/>
    <w:p w:rsidR="002E2B4C" w:rsidRPr="003975DF" w:rsidRDefault="00E37521" w:rsidP="002E2B4C">
      <w:pPr>
        <w:spacing w:after="0"/>
        <w:ind w:left="0"/>
        <w:jc w:val="center"/>
        <w:rPr>
          <w:rFonts w:ascii="Times New Roman" w:hAnsi="Times New Roman" w:cs="Times New Roman"/>
          <w:b/>
          <w:sz w:val="26"/>
          <w:szCs w:val="26"/>
        </w:rPr>
      </w:pPr>
      <w:r w:rsidRPr="003975DF">
        <w:rPr>
          <w:rFonts w:ascii="Times New Roman" w:hAnsi="Times New Roman" w:cs="Times New Roman"/>
          <w:b/>
          <w:sz w:val="26"/>
          <w:szCs w:val="26"/>
        </w:rPr>
        <w:t>„</w:t>
      </w:r>
      <w:r w:rsidR="002E2B4C" w:rsidRPr="003975DF">
        <w:rPr>
          <w:rFonts w:ascii="Times New Roman" w:hAnsi="Times New Roman" w:cs="Times New Roman"/>
          <w:b/>
          <w:sz w:val="26"/>
          <w:szCs w:val="26"/>
        </w:rPr>
        <w:t>Grozījum</w:t>
      </w:r>
      <w:r w:rsidR="00444800" w:rsidRPr="003975DF">
        <w:rPr>
          <w:rFonts w:ascii="Times New Roman" w:hAnsi="Times New Roman" w:cs="Times New Roman"/>
          <w:b/>
          <w:sz w:val="26"/>
          <w:szCs w:val="26"/>
        </w:rPr>
        <w:t>s</w:t>
      </w:r>
      <w:r w:rsidR="002E2B4C" w:rsidRPr="003975DF">
        <w:rPr>
          <w:rFonts w:ascii="Times New Roman" w:hAnsi="Times New Roman" w:cs="Times New Roman"/>
          <w:b/>
          <w:sz w:val="26"/>
          <w:szCs w:val="26"/>
        </w:rPr>
        <w:t xml:space="preserve"> Ministru kabineta 2011.gada </w:t>
      </w:r>
      <w:r w:rsidR="0009673C" w:rsidRPr="003975DF">
        <w:rPr>
          <w:rFonts w:ascii="Times New Roman" w:hAnsi="Times New Roman" w:cs="Times New Roman"/>
          <w:b/>
          <w:sz w:val="26"/>
          <w:szCs w:val="26"/>
        </w:rPr>
        <w:t>27.septembra noteikumos Nr.731 „</w:t>
      </w:r>
      <w:r w:rsidR="002E2B4C" w:rsidRPr="003975DF">
        <w:rPr>
          <w:rFonts w:ascii="Times New Roman" w:hAnsi="Times New Roman" w:cs="Times New Roman"/>
          <w:b/>
          <w:bCs/>
          <w:sz w:val="26"/>
          <w:szCs w:val="26"/>
        </w:rPr>
        <w:t>Noteikumi par akcīzes preču apvienotā Kopienas tarifa (TARIC) nacionālajiem kodiem un to piemērošanas kārtību</w:t>
      </w:r>
      <w:r w:rsidR="002E2B4C" w:rsidRPr="003975DF">
        <w:rPr>
          <w:rFonts w:ascii="Times New Roman" w:hAnsi="Times New Roman" w:cs="Times New Roman"/>
          <w:b/>
          <w:sz w:val="26"/>
          <w:szCs w:val="26"/>
        </w:rPr>
        <w:t>”</w:t>
      </w:r>
      <w:r w:rsidRPr="003975DF">
        <w:rPr>
          <w:rFonts w:ascii="Times New Roman" w:hAnsi="Times New Roman" w:cs="Times New Roman"/>
          <w:b/>
          <w:sz w:val="26"/>
          <w:szCs w:val="26"/>
        </w:rPr>
        <w:t>”</w:t>
      </w:r>
      <w:r w:rsidR="002E2B4C" w:rsidRPr="003975DF">
        <w:rPr>
          <w:rFonts w:ascii="Times New Roman" w:hAnsi="Times New Roman" w:cs="Times New Roman"/>
          <w:b/>
          <w:sz w:val="26"/>
          <w:szCs w:val="26"/>
        </w:rPr>
        <w:t xml:space="preserve"> </w:t>
      </w:r>
    </w:p>
    <w:p w:rsidR="00C26070" w:rsidRPr="0009673C" w:rsidRDefault="00C26070" w:rsidP="002E2B4C">
      <w:pPr>
        <w:spacing w:after="0"/>
        <w:ind w:left="0"/>
        <w:jc w:val="center"/>
        <w:rPr>
          <w:rFonts w:ascii="Times New Roman" w:eastAsia="Times New Roman" w:hAnsi="Times New Roman" w:cs="Times New Roman"/>
          <w:b/>
          <w:bCs/>
          <w:sz w:val="28"/>
          <w:szCs w:val="28"/>
          <w:lang w:eastAsia="lv-LV"/>
        </w:rPr>
      </w:pPr>
      <w:r w:rsidRPr="003975DF">
        <w:rPr>
          <w:rFonts w:ascii="Times New Roman" w:eastAsia="Times New Roman" w:hAnsi="Times New Roman" w:cs="Times New Roman"/>
          <w:b/>
          <w:bCs/>
          <w:sz w:val="26"/>
          <w:szCs w:val="26"/>
          <w:lang w:eastAsia="lv-LV"/>
        </w:rPr>
        <w:t>sākotnējās ietekmes novērtējuma ziņojums (anotācija</w:t>
      </w:r>
      <w:r w:rsidRPr="0009673C">
        <w:rPr>
          <w:rFonts w:ascii="Times New Roman" w:eastAsia="Times New Roman" w:hAnsi="Times New Roman" w:cs="Times New Roman"/>
          <w:b/>
          <w:bCs/>
          <w:sz w:val="28"/>
          <w:szCs w:val="28"/>
          <w:lang w:eastAsia="lv-LV"/>
        </w:rPr>
        <w:t>)</w:t>
      </w:r>
    </w:p>
    <w:p w:rsidR="00EA67A7" w:rsidRPr="0097174A" w:rsidRDefault="00EA67A7" w:rsidP="00EA67A7">
      <w:pPr>
        <w:spacing w:after="0"/>
        <w:ind w:left="0"/>
        <w:jc w:val="center"/>
        <w:rPr>
          <w:rFonts w:ascii="Times New Roman" w:eastAsia="Times New Roman" w:hAnsi="Times New Roman" w:cs="Times New Roman"/>
          <w:sz w:val="25"/>
          <w:szCs w:val="25"/>
          <w:lang w:eastAsia="lv-LV"/>
        </w:rPr>
      </w:pPr>
    </w:p>
    <w:tbl>
      <w:tblPr>
        <w:tblW w:w="89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
        <w:gridCol w:w="21"/>
        <w:gridCol w:w="82"/>
        <w:gridCol w:w="2278"/>
        <w:gridCol w:w="244"/>
        <w:gridCol w:w="1073"/>
        <w:gridCol w:w="1093"/>
        <w:gridCol w:w="2978"/>
        <w:gridCol w:w="709"/>
      </w:tblGrid>
      <w:tr w:rsidR="00C26070" w:rsidRPr="0097174A" w:rsidTr="000E08BE">
        <w:trPr>
          <w:tblCellSpacing w:w="0" w:type="dxa"/>
        </w:trPr>
        <w:tc>
          <w:tcPr>
            <w:tcW w:w="8947" w:type="dxa"/>
            <w:gridSpan w:val="9"/>
            <w:tcBorders>
              <w:top w:val="outset" w:sz="6" w:space="0" w:color="auto"/>
              <w:left w:val="outset" w:sz="6" w:space="0" w:color="auto"/>
              <w:bottom w:val="outset" w:sz="6" w:space="0" w:color="auto"/>
              <w:right w:val="outset" w:sz="6" w:space="0" w:color="auto"/>
            </w:tcBorders>
            <w:vAlign w:val="center"/>
            <w:hideMark/>
          </w:tcPr>
          <w:p w:rsidR="00C26070" w:rsidRPr="0097174A" w:rsidRDefault="00C26070" w:rsidP="0097174A">
            <w:pPr>
              <w:spacing w:before="100" w:beforeAutospacing="1" w:after="100" w:afterAutospacing="1" w:line="40" w:lineRule="atLeast"/>
              <w:ind w:left="0" w:firstLineChars="709" w:firstLine="1779"/>
              <w:jc w:val="center"/>
              <w:rPr>
                <w:rFonts w:ascii="Times New Roman" w:eastAsia="Times New Roman" w:hAnsi="Times New Roman" w:cs="Times New Roman"/>
                <w:sz w:val="25"/>
                <w:szCs w:val="25"/>
                <w:lang w:eastAsia="lv-LV"/>
              </w:rPr>
            </w:pPr>
            <w:r w:rsidRPr="0097174A">
              <w:rPr>
                <w:rFonts w:ascii="Times New Roman" w:eastAsia="Times New Roman" w:hAnsi="Times New Roman" w:cs="Times New Roman"/>
                <w:b/>
                <w:bCs/>
                <w:sz w:val="25"/>
                <w:szCs w:val="25"/>
                <w:lang w:eastAsia="lv-LV"/>
              </w:rPr>
              <w:t>I. Tiesību akta projekta izstrādes nepieciešamība</w:t>
            </w:r>
          </w:p>
        </w:tc>
      </w:tr>
      <w:tr w:rsidR="00C26070" w:rsidRPr="0097174A" w:rsidTr="000E08BE">
        <w:trPr>
          <w:trHeight w:val="286"/>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rsidR="00C26070" w:rsidRPr="0097174A" w:rsidRDefault="00C26070" w:rsidP="00563436">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1.</w:t>
            </w:r>
          </w:p>
        </w:tc>
        <w:tc>
          <w:tcPr>
            <w:tcW w:w="2604" w:type="dxa"/>
            <w:gridSpan w:val="3"/>
            <w:tcBorders>
              <w:top w:val="outset" w:sz="6" w:space="0" w:color="auto"/>
              <w:left w:val="outset" w:sz="6" w:space="0" w:color="auto"/>
              <w:bottom w:val="outset" w:sz="6" w:space="0" w:color="auto"/>
              <w:right w:val="outset" w:sz="6" w:space="0" w:color="auto"/>
            </w:tcBorders>
            <w:hideMark/>
          </w:tcPr>
          <w:p w:rsidR="00C26070" w:rsidRPr="0097174A" w:rsidRDefault="00C26070" w:rsidP="00A47322">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Pamatojums</w:t>
            </w:r>
          </w:p>
        </w:tc>
        <w:tc>
          <w:tcPr>
            <w:tcW w:w="5853" w:type="dxa"/>
            <w:gridSpan w:val="4"/>
            <w:tcBorders>
              <w:top w:val="outset" w:sz="6" w:space="0" w:color="auto"/>
              <w:left w:val="outset" w:sz="6" w:space="0" w:color="auto"/>
              <w:bottom w:val="outset" w:sz="6" w:space="0" w:color="auto"/>
              <w:right w:val="outset" w:sz="6" w:space="0" w:color="auto"/>
            </w:tcBorders>
            <w:hideMark/>
          </w:tcPr>
          <w:p w:rsidR="008A2B48" w:rsidRDefault="008A2B48" w:rsidP="00196C75">
            <w:pPr>
              <w:pStyle w:val="CommentText"/>
              <w:spacing w:after="0"/>
              <w:ind w:left="125" w:firstLine="427"/>
              <w:rPr>
                <w:rFonts w:ascii="Times New Roman" w:eastAsia="Times New Roman" w:hAnsi="Times New Roman" w:cs="Times New Roman"/>
                <w:kern w:val="1"/>
                <w:sz w:val="24"/>
                <w:szCs w:val="24"/>
                <w:lang w:eastAsia="ar-SA"/>
              </w:rPr>
            </w:pPr>
            <w:r w:rsidRPr="00196C75">
              <w:rPr>
                <w:rFonts w:ascii="Times New Roman" w:hAnsi="Times New Roman" w:cs="Times New Roman"/>
                <w:bCs/>
                <w:sz w:val="24"/>
                <w:szCs w:val="24"/>
              </w:rPr>
              <w:t>Saeim</w:t>
            </w:r>
            <w:r w:rsidR="00C750C1">
              <w:rPr>
                <w:rFonts w:ascii="Times New Roman" w:hAnsi="Times New Roman" w:cs="Times New Roman"/>
                <w:bCs/>
                <w:sz w:val="24"/>
                <w:szCs w:val="24"/>
              </w:rPr>
              <w:t>ā</w:t>
            </w:r>
            <w:r w:rsidRPr="00196C75">
              <w:rPr>
                <w:rFonts w:ascii="Times New Roman" w:hAnsi="Times New Roman" w:cs="Times New Roman"/>
                <w:bCs/>
                <w:sz w:val="24"/>
                <w:szCs w:val="24"/>
              </w:rPr>
              <w:t xml:space="preserve"> </w:t>
            </w:r>
            <w:r w:rsidR="009410C5" w:rsidRPr="00196C75">
              <w:rPr>
                <w:rFonts w:ascii="Times New Roman" w:hAnsi="Times New Roman" w:cs="Times New Roman"/>
                <w:bCs/>
                <w:sz w:val="24"/>
                <w:szCs w:val="24"/>
              </w:rPr>
              <w:t>2013.gada 6.novembrī pieņ</w:t>
            </w:r>
            <w:r w:rsidR="008C1AF0">
              <w:rPr>
                <w:rFonts w:ascii="Times New Roman" w:hAnsi="Times New Roman" w:cs="Times New Roman"/>
                <w:bCs/>
                <w:sz w:val="24"/>
                <w:szCs w:val="24"/>
              </w:rPr>
              <w:t>e</w:t>
            </w:r>
            <w:r w:rsidRPr="00196C75">
              <w:rPr>
                <w:rFonts w:ascii="Times New Roman" w:hAnsi="Times New Roman" w:cs="Times New Roman"/>
                <w:bCs/>
                <w:sz w:val="24"/>
                <w:szCs w:val="24"/>
              </w:rPr>
              <w:t>m</w:t>
            </w:r>
            <w:r w:rsidR="00C750C1">
              <w:rPr>
                <w:rFonts w:ascii="Times New Roman" w:hAnsi="Times New Roman" w:cs="Times New Roman"/>
                <w:bCs/>
                <w:sz w:val="24"/>
                <w:szCs w:val="24"/>
              </w:rPr>
              <w:t>tie</w:t>
            </w:r>
            <w:r w:rsidR="009410C5" w:rsidRPr="00196C75">
              <w:rPr>
                <w:rFonts w:ascii="Times New Roman" w:hAnsi="Times New Roman" w:cs="Times New Roman"/>
                <w:bCs/>
                <w:sz w:val="24"/>
                <w:szCs w:val="24"/>
              </w:rPr>
              <w:t xml:space="preserve"> g</w:t>
            </w:r>
            <w:r w:rsidR="0023067C" w:rsidRPr="00196C75">
              <w:rPr>
                <w:rFonts w:ascii="Times New Roman" w:hAnsi="Times New Roman" w:cs="Times New Roman"/>
                <w:bCs/>
                <w:sz w:val="24"/>
                <w:szCs w:val="24"/>
              </w:rPr>
              <w:t>rozījum</w:t>
            </w:r>
            <w:r w:rsidR="00C750C1">
              <w:rPr>
                <w:rFonts w:ascii="Times New Roman" w:hAnsi="Times New Roman" w:cs="Times New Roman"/>
                <w:bCs/>
                <w:sz w:val="24"/>
                <w:szCs w:val="24"/>
              </w:rPr>
              <w:t>i</w:t>
            </w:r>
            <w:r w:rsidR="0023067C" w:rsidRPr="00196C75">
              <w:rPr>
                <w:rFonts w:ascii="Times New Roman" w:hAnsi="Times New Roman" w:cs="Times New Roman"/>
                <w:bCs/>
                <w:sz w:val="24"/>
                <w:szCs w:val="24"/>
              </w:rPr>
              <w:t xml:space="preserve"> likumā „Par akcīzes nodokli”</w:t>
            </w:r>
            <w:r w:rsidR="00C750C1">
              <w:rPr>
                <w:rFonts w:ascii="Times New Roman" w:hAnsi="Times New Roman" w:cs="Times New Roman"/>
                <w:bCs/>
                <w:sz w:val="24"/>
                <w:szCs w:val="24"/>
              </w:rPr>
              <w:t xml:space="preserve"> </w:t>
            </w:r>
            <w:r w:rsidRPr="008A2B48">
              <w:rPr>
                <w:rFonts w:ascii="Times New Roman" w:eastAsia="Times New Roman" w:hAnsi="Times New Roman" w:cs="Times New Roman"/>
                <w:kern w:val="1"/>
                <w:sz w:val="24"/>
                <w:szCs w:val="24"/>
                <w:lang w:eastAsia="ar-SA"/>
              </w:rPr>
              <w:t>paredz</w:t>
            </w:r>
            <w:r w:rsidR="004A0D08">
              <w:rPr>
                <w:rFonts w:ascii="Times New Roman" w:eastAsia="Times New Roman" w:hAnsi="Times New Roman" w:cs="Times New Roman"/>
                <w:kern w:val="1"/>
                <w:sz w:val="24"/>
                <w:szCs w:val="24"/>
                <w:lang w:eastAsia="ar-SA"/>
              </w:rPr>
              <w:t xml:space="preserve"> </w:t>
            </w:r>
            <w:r w:rsidR="006539EA">
              <w:rPr>
                <w:rFonts w:ascii="Times New Roman" w:eastAsia="Times New Roman" w:hAnsi="Times New Roman" w:cs="Times New Roman"/>
                <w:kern w:val="1"/>
                <w:sz w:val="24"/>
                <w:szCs w:val="24"/>
                <w:lang w:eastAsia="ar-SA"/>
              </w:rPr>
              <w:t>ar 2014.gada 1.janvāri</w:t>
            </w:r>
            <w:r w:rsidRPr="008A2B48">
              <w:rPr>
                <w:rFonts w:ascii="Times New Roman" w:eastAsia="Times New Roman" w:hAnsi="Times New Roman" w:cs="Times New Roman"/>
                <w:kern w:val="1"/>
                <w:sz w:val="24"/>
                <w:szCs w:val="24"/>
                <w:lang w:eastAsia="ar-SA"/>
              </w:rPr>
              <w:t>:</w:t>
            </w:r>
          </w:p>
          <w:p w:rsidR="006539EA" w:rsidRDefault="006539EA" w:rsidP="008E4886">
            <w:pPr>
              <w:pStyle w:val="CommentText"/>
              <w:numPr>
                <w:ilvl w:val="0"/>
                <w:numId w:val="5"/>
              </w:numPr>
              <w:spacing w:after="0"/>
              <w:rPr>
                <w:rFonts w:ascii="Times New Roman" w:eastAsia="Times New Roman" w:hAnsi="Times New Roman" w:cs="Times New Roman"/>
                <w:kern w:val="1"/>
                <w:sz w:val="24"/>
                <w:szCs w:val="24"/>
                <w:lang w:eastAsia="ar-SA"/>
              </w:rPr>
            </w:pPr>
            <w:r w:rsidRPr="00EC2580">
              <w:rPr>
                <w:rFonts w:ascii="Times New Roman" w:eastAsia="Times New Roman" w:hAnsi="Times New Roman" w:cs="Times New Roman"/>
                <w:kern w:val="1"/>
                <w:sz w:val="24"/>
                <w:szCs w:val="24"/>
                <w:lang w:eastAsia="ar-SA"/>
              </w:rPr>
              <w:t>piemērot akcīzes nodokļa likmi</w:t>
            </w:r>
            <w:r w:rsidR="00EC2580">
              <w:rPr>
                <w:rFonts w:ascii="Times New Roman" w:eastAsia="Times New Roman" w:hAnsi="Times New Roman" w:cs="Times New Roman"/>
                <w:kern w:val="1"/>
                <w:sz w:val="24"/>
                <w:szCs w:val="24"/>
                <w:lang w:eastAsia="ar-SA"/>
              </w:rPr>
              <w:t xml:space="preserve"> </w:t>
            </w:r>
            <w:r w:rsidR="00EC2580" w:rsidRPr="005F25DE">
              <w:rPr>
                <w:rFonts w:ascii="Times New Roman" w:hAnsi="Times New Roman" w:cs="Times New Roman"/>
                <w:sz w:val="24"/>
                <w:szCs w:val="24"/>
              </w:rPr>
              <w:t xml:space="preserve">161 </w:t>
            </w:r>
            <w:proofErr w:type="spellStart"/>
            <w:r w:rsidR="00EC2580" w:rsidRPr="005F25DE">
              <w:rPr>
                <w:rFonts w:ascii="Times New Roman" w:hAnsi="Times New Roman" w:cs="Times New Roman"/>
                <w:i/>
                <w:sz w:val="24"/>
                <w:szCs w:val="24"/>
              </w:rPr>
              <w:t>euro</w:t>
            </w:r>
            <w:proofErr w:type="spellEnd"/>
            <w:r w:rsidRPr="00EC2580">
              <w:rPr>
                <w:rFonts w:ascii="Times New Roman" w:eastAsia="Times New Roman" w:hAnsi="Times New Roman" w:cs="Times New Roman"/>
                <w:kern w:val="1"/>
                <w:sz w:val="24"/>
                <w:szCs w:val="24"/>
                <w:lang w:eastAsia="ar-SA"/>
              </w:rPr>
              <w:t xml:space="preserve"> </w:t>
            </w:r>
            <w:r w:rsidR="004A0D08">
              <w:rPr>
                <w:rFonts w:ascii="Times New Roman" w:eastAsia="Times New Roman" w:hAnsi="Times New Roman" w:cs="Times New Roman"/>
                <w:kern w:val="1"/>
                <w:sz w:val="24"/>
                <w:szCs w:val="24"/>
                <w:lang w:eastAsia="ar-SA"/>
              </w:rPr>
              <w:t xml:space="preserve">apmērā </w:t>
            </w:r>
            <w:r w:rsidRPr="00196C75">
              <w:rPr>
                <w:rFonts w:ascii="Times New Roman" w:hAnsi="Times New Roman" w:cs="Times New Roman"/>
                <w:sz w:val="24"/>
                <w:szCs w:val="24"/>
              </w:rPr>
              <w:t>naftas gāzēm un pārējiem gāzveida og</w:t>
            </w:r>
            <w:r w:rsidR="00EC2580" w:rsidRPr="00EC2580">
              <w:rPr>
                <w:rFonts w:ascii="Times New Roman" w:hAnsi="Times New Roman" w:cs="Times New Roman"/>
                <w:sz w:val="24"/>
                <w:szCs w:val="24"/>
              </w:rPr>
              <w:t xml:space="preserve">ļūdeņražiem </w:t>
            </w:r>
            <w:r w:rsidRPr="00196C75">
              <w:rPr>
                <w:rFonts w:ascii="Times New Roman" w:hAnsi="Times New Roman" w:cs="Times New Roman"/>
                <w:sz w:val="24"/>
                <w:szCs w:val="24"/>
              </w:rPr>
              <w:t>par 1000 kilogramiem</w:t>
            </w:r>
            <w:r w:rsidR="00EC2580">
              <w:rPr>
                <w:rFonts w:ascii="Times New Roman" w:hAnsi="Times New Roman" w:cs="Times New Roman"/>
                <w:sz w:val="24"/>
                <w:szCs w:val="24"/>
              </w:rPr>
              <w:t>;</w:t>
            </w:r>
          </w:p>
          <w:p w:rsidR="0082342A" w:rsidRDefault="008A2B48" w:rsidP="008E4886">
            <w:pPr>
              <w:pStyle w:val="CommentText"/>
              <w:numPr>
                <w:ilvl w:val="0"/>
                <w:numId w:val="5"/>
              </w:numPr>
              <w:spacing w:after="0"/>
              <w:rPr>
                <w:rFonts w:ascii="Times New Roman" w:eastAsia="Times New Roman" w:hAnsi="Times New Roman" w:cs="Times New Roman"/>
                <w:kern w:val="1"/>
                <w:sz w:val="24"/>
                <w:szCs w:val="24"/>
                <w:lang w:eastAsia="ar-SA"/>
              </w:rPr>
            </w:pPr>
            <w:r w:rsidRPr="008A2B48">
              <w:rPr>
                <w:rFonts w:ascii="Times New Roman" w:eastAsia="Times New Roman" w:hAnsi="Times New Roman" w:cs="Times New Roman"/>
                <w:kern w:val="1"/>
                <w:sz w:val="24"/>
                <w:szCs w:val="24"/>
                <w:lang w:eastAsia="ar-SA"/>
              </w:rPr>
              <w:t xml:space="preserve">piemērot samazinātu akcīzes nodokļa likmi 5,65 </w:t>
            </w:r>
            <w:proofErr w:type="spellStart"/>
            <w:r w:rsidRPr="008A2B48">
              <w:rPr>
                <w:rFonts w:ascii="Times New Roman" w:eastAsia="Times New Roman" w:hAnsi="Times New Roman" w:cs="Times New Roman"/>
                <w:i/>
                <w:kern w:val="1"/>
                <w:sz w:val="24"/>
                <w:szCs w:val="24"/>
                <w:lang w:eastAsia="ar-SA"/>
              </w:rPr>
              <w:t>euro</w:t>
            </w:r>
            <w:proofErr w:type="spellEnd"/>
            <w:r w:rsidR="004A0D08">
              <w:rPr>
                <w:rFonts w:ascii="Times New Roman" w:eastAsia="Times New Roman" w:hAnsi="Times New Roman" w:cs="Times New Roman"/>
                <w:i/>
                <w:kern w:val="1"/>
                <w:sz w:val="24"/>
                <w:szCs w:val="24"/>
                <w:lang w:eastAsia="ar-SA"/>
              </w:rPr>
              <w:t xml:space="preserve"> </w:t>
            </w:r>
            <w:r w:rsidR="004A0D08" w:rsidRPr="0082342A">
              <w:rPr>
                <w:rFonts w:ascii="Times New Roman" w:eastAsia="Times New Roman" w:hAnsi="Times New Roman" w:cs="Times New Roman"/>
                <w:kern w:val="1"/>
                <w:sz w:val="24"/>
                <w:szCs w:val="24"/>
                <w:lang w:eastAsia="ar-SA"/>
              </w:rPr>
              <w:t>apmērā</w:t>
            </w:r>
            <w:r w:rsidRPr="004A0D08">
              <w:rPr>
                <w:rFonts w:ascii="Times New Roman" w:eastAsia="Times New Roman" w:hAnsi="Times New Roman" w:cs="Times New Roman"/>
                <w:kern w:val="1"/>
                <w:sz w:val="24"/>
                <w:szCs w:val="24"/>
                <w:lang w:eastAsia="ar-SA"/>
              </w:rPr>
              <w:t xml:space="preserve"> </w:t>
            </w:r>
            <w:r w:rsidRPr="008A2B48">
              <w:rPr>
                <w:rFonts w:ascii="Times New Roman" w:eastAsia="Times New Roman" w:hAnsi="Times New Roman" w:cs="Times New Roman"/>
                <w:kern w:val="1"/>
                <w:sz w:val="24"/>
                <w:szCs w:val="24"/>
                <w:lang w:eastAsia="ar-SA"/>
              </w:rPr>
              <w:t>par 1000 m</w:t>
            </w:r>
            <w:r w:rsidRPr="008A2B48">
              <w:rPr>
                <w:rFonts w:ascii="Times New Roman" w:eastAsia="Times New Roman" w:hAnsi="Times New Roman" w:cs="Times New Roman"/>
                <w:kern w:val="1"/>
                <w:sz w:val="24"/>
                <w:szCs w:val="24"/>
                <w:vertAlign w:val="superscript"/>
                <w:lang w:eastAsia="ar-SA"/>
              </w:rPr>
              <w:t>3</w:t>
            </w:r>
            <w:r w:rsidRPr="008A2B48">
              <w:rPr>
                <w:rFonts w:ascii="Times New Roman" w:eastAsia="Times New Roman" w:hAnsi="Times New Roman" w:cs="Times New Roman"/>
                <w:kern w:val="1"/>
                <w:sz w:val="24"/>
                <w:szCs w:val="24"/>
                <w:lang w:eastAsia="ar-SA"/>
              </w:rPr>
              <w:t xml:space="preserve"> dabasgāzei, ko izmanto rūpnieciskās ražošanas un lauksaimniecības izejvielu pirmapstrādes (kas atbilst apstiprinātiem attiecīgajiem regulā Nr.1893/2006 noteiktajiem NACE klasifikācijas kodiem) tehnoloģisko iekārtu darbināšanai un tehnoloģiski nepieciešamā klimata nodrošināšanai minētās rūpnieciskās ražošanas un lauksaimniecības izejvielu pirmapstrādes telpās. </w:t>
            </w:r>
          </w:p>
          <w:p w:rsidR="00AC3116" w:rsidRPr="008A2B48" w:rsidRDefault="00C750C1" w:rsidP="00196C75">
            <w:pPr>
              <w:pStyle w:val="CommentText"/>
              <w:spacing w:after="0"/>
              <w:ind w:left="125"/>
              <w:rPr>
                <w:rFonts w:ascii="Times New Roman" w:eastAsia="Times New Roman" w:hAnsi="Times New Roman" w:cs="Times New Roman"/>
                <w:kern w:val="1"/>
                <w:sz w:val="24"/>
                <w:szCs w:val="24"/>
                <w:lang w:eastAsia="ar-SA"/>
              </w:rPr>
            </w:pPr>
            <w:r>
              <w:rPr>
                <w:rFonts w:ascii="Times New Roman" w:hAnsi="Times New Roman" w:cs="Times New Roman"/>
                <w:sz w:val="24"/>
                <w:szCs w:val="24"/>
              </w:rPr>
              <w:t xml:space="preserve">      </w:t>
            </w:r>
            <w:r w:rsidR="006C1638">
              <w:rPr>
                <w:rFonts w:ascii="Times New Roman" w:hAnsi="Times New Roman" w:cs="Times New Roman"/>
                <w:sz w:val="24"/>
                <w:szCs w:val="24"/>
              </w:rPr>
              <w:t xml:space="preserve">Preču tarifu klasifikācija tiek veikta saskaņā ar vienotu Kombinēto nomenklatūru (turpmāk – KN), kas </w:t>
            </w:r>
            <w:r w:rsidR="00822EC2">
              <w:rPr>
                <w:rFonts w:ascii="Times New Roman" w:hAnsi="Times New Roman" w:cs="Times New Roman"/>
                <w:sz w:val="24"/>
                <w:szCs w:val="24"/>
              </w:rPr>
              <w:t xml:space="preserve">2013.gadā </w:t>
            </w:r>
            <w:r w:rsidR="006C1638">
              <w:rPr>
                <w:rFonts w:ascii="Times New Roman" w:hAnsi="Times New Roman" w:cs="Times New Roman"/>
                <w:sz w:val="24"/>
                <w:szCs w:val="24"/>
              </w:rPr>
              <w:t xml:space="preserve">noteikta ar </w:t>
            </w:r>
            <w:r w:rsidR="00AC3116" w:rsidRPr="00F4603D">
              <w:rPr>
                <w:rFonts w:ascii="Times New Roman" w:hAnsi="Times New Roman" w:cs="Times New Roman"/>
                <w:sz w:val="24"/>
                <w:szCs w:val="24"/>
              </w:rPr>
              <w:t>Eiropas Komisija</w:t>
            </w:r>
            <w:r w:rsidR="00AC3116">
              <w:rPr>
                <w:rFonts w:ascii="Times New Roman" w:hAnsi="Times New Roman" w:cs="Times New Roman"/>
                <w:sz w:val="24"/>
                <w:szCs w:val="24"/>
              </w:rPr>
              <w:t>s</w:t>
            </w:r>
            <w:r w:rsidR="00AC3116" w:rsidRPr="00F4603D">
              <w:rPr>
                <w:rFonts w:ascii="Times New Roman" w:hAnsi="Times New Roman" w:cs="Times New Roman"/>
                <w:sz w:val="24"/>
                <w:szCs w:val="24"/>
              </w:rPr>
              <w:t xml:space="preserve"> 2012.gada 9.oktobra Komisijas Īstenošanas Regul</w:t>
            </w:r>
            <w:r w:rsidR="006C1638">
              <w:rPr>
                <w:rFonts w:ascii="Times New Roman" w:hAnsi="Times New Roman" w:cs="Times New Roman"/>
                <w:sz w:val="24"/>
                <w:szCs w:val="24"/>
              </w:rPr>
              <w:t>u</w:t>
            </w:r>
            <w:r w:rsidR="00AC3116" w:rsidRPr="00F4603D">
              <w:rPr>
                <w:rFonts w:ascii="Times New Roman" w:hAnsi="Times New Roman" w:cs="Times New Roman"/>
                <w:sz w:val="24"/>
                <w:szCs w:val="24"/>
              </w:rPr>
              <w:t xml:space="preserve"> </w:t>
            </w:r>
            <w:r w:rsidR="00366413">
              <w:rPr>
                <w:rFonts w:ascii="Times New Roman" w:hAnsi="Times New Roman" w:cs="Times New Roman"/>
                <w:sz w:val="24"/>
                <w:szCs w:val="24"/>
              </w:rPr>
              <w:t xml:space="preserve">(ES) </w:t>
            </w:r>
            <w:r w:rsidR="00AC3116" w:rsidRPr="00F4603D">
              <w:rPr>
                <w:rFonts w:ascii="Times New Roman" w:hAnsi="Times New Roman" w:cs="Times New Roman"/>
                <w:sz w:val="24"/>
                <w:szCs w:val="24"/>
              </w:rPr>
              <w:t>Nr.927/2012, ar ko groza I pielikumu Padomes Regulā (EEK) Nr.2658/87 par tarifu un statistikas nomenklatūru un kopējo muitas tarifu</w:t>
            </w:r>
            <w:r w:rsidR="006C1638">
              <w:rPr>
                <w:rFonts w:ascii="Times New Roman" w:hAnsi="Times New Roman" w:cs="Times New Roman"/>
                <w:sz w:val="24"/>
                <w:szCs w:val="24"/>
              </w:rPr>
              <w:t>, ņemot vērā KN  22. un 27.nodaļas piezīmes</w:t>
            </w:r>
            <w:r w:rsidR="00822EC2">
              <w:rPr>
                <w:rFonts w:ascii="Times New Roman" w:hAnsi="Times New Roman" w:cs="Times New Roman"/>
                <w:sz w:val="24"/>
                <w:szCs w:val="24"/>
              </w:rPr>
              <w:t>.</w:t>
            </w:r>
          </w:p>
          <w:p w:rsidR="008A2B48" w:rsidRPr="0023067C" w:rsidRDefault="008A2B48" w:rsidP="0082342A">
            <w:pPr>
              <w:pStyle w:val="CommentText"/>
              <w:spacing w:after="0"/>
              <w:ind w:left="125"/>
              <w:rPr>
                <w:rFonts w:ascii="Times New Roman" w:hAnsi="Times New Roman" w:cs="Times New Roman"/>
                <w:sz w:val="26"/>
                <w:szCs w:val="26"/>
              </w:rPr>
            </w:pPr>
          </w:p>
        </w:tc>
      </w:tr>
      <w:tr w:rsidR="002D7DCA" w:rsidRPr="0097174A" w:rsidTr="000E08BE">
        <w:trPr>
          <w:trHeight w:val="472"/>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rsidR="002D7DCA" w:rsidRPr="00F4603D" w:rsidRDefault="002D7DCA"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2.</w:t>
            </w:r>
          </w:p>
        </w:tc>
        <w:tc>
          <w:tcPr>
            <w:tcW w:w="2604" w:type="dxa"/>
            <w:gridSpan w:val="3"/>
            <w:tcBorders>
              <w:top w:val="outset" w:sz="6" w:space="0" w:color="auto"/>
              <w:left w:val="outset" w:sz="6" w:space="0" w:color="auto"/>
              <w:bottom w:val="outset" w:sz="6" w:space="0" w:color="auto"/>
              <w:right w:val="outset" w:sz="6" w:space="0" w:color="auto"/>
            </w:tcBorders>
            <w:hideMark/>
          </w:tcPr>
          <w:p w:rsidR="002D7DCA" w:rsidRPr="00F4603D"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Pašreizējā situācija un problēmas</w:t>
            </w:r>
          </w:p>
        </w:tc>
        <w:tc>
          <w:tcPr>
            <w:tcW w:w="5853" w:type="dxa"/>
            <w:gridSpan w:val="4"/>
            <w:tcBorders>
              <w:top w:val="outset" w:sz="6" w:space="0" w:color="auto"/>
              <w:left w:val="outset" w:sz="6" w:space="0" w:color="auto"/>
              <w:bottom w:val="outset" w:sz="6" w:space="0" w:color="auto"/>
              <w:right w:val="outset" w:sz="6" w:space="0" w:color="auto"/>
            </w:tcBorders>
            <w:hideMark/>
          </w:tcPr>
          <w:p w:rsidR="00444800" w:rsidRDefault="00EC2580" w:rsidP="00196C75">
            <w:pPr>
              <w:pStyle w:val="naisnod"/>
              <w:spacing w:before="0" w:beforeAutospacing="0" w:after="0" w:afterAutospacing="0"/>
              <w:ind w:left="127" w:right="127" w:firstLine="425"/>
              <w:jc w:val="both"/>
            </w:pPr>
            <w:r w:rsidRPr="00EC2580">
              <w:rPr>
                <w:rFonts w:eastAsia="Calibri"/>
                <w:lang w:eastAsia="en-US"/>
              </w:rPr>
              <w:t>Šobrīd atbilstoši likuma „Par akcīzes nodokli” (turpmāk – likums)</w:t>
            </w:r>
            <w:r>
              <w:rPr>
                <w:rFonts w:eastAsia="Calibri"/>
                <w:lang w:eastAsia="en-US"/>
              </w:rPr>
              <w:t xml:space="preserve"> </w:t>
            </w:r>
            <w:r w:rsidR="0023067C" w:rsidRPr="00F4603D">
              <w:t xml:space="preserve">14.panta pirmās daļas 5.punktā </w:t>
            </w:r>
            <w:r>
              <w:t>noteiktajam</w:t>
            </w:r>
            <w:r w:rsidR="0023067C" w:rsidRPr="00F4603D">
              <w:t xml:space="preserve"> naftas gāzēm un pārējiem gāzveida ogļūdeņražiem </w:t>
            </w:r>
            <w:r>
              <w:t>piemēro akcīzes nodokļa likmi</w:t>
            </w:r>
            <w:r w:rsidR="0023067C" w:rsidRPr="00F4603D">
              <w:t xml:space="preserve"> 90 lat</w:t>
            </w:r>
            <w:r w:rsidR="00444800">
              <w:t>u apmērā</w:t>
            </w:r>
            <w:r w:rsidR="0023067C" w:rsidRPr="00F4603D">
              <w:t xml:space="preserve"> par 1000 kilogramiem</w:t>
            </w:r>
            <w:r>
              <w:t>.</w:t>
            </w:r>
          </w:p>
          <w:p w:rsidR="00444800" w:rsidRPr="00617DD3" w:rsidRDefault="00617DD3" w:rsidP="0082342A">
            <w:pPr>
              <w:pStyle w:val="naisnod"/>
              <w:spacing w:before="0" w:beforeAutospacing="0" w:after="0" w:afterAutospacing="0"/>
              <w:ind w:left="127" w:right="127" w:firstLine="425"/>
              <w:jc w:val="both"/>
              <w:rPr>
                <w:rFonts w:eastAsia="Calibri"/>
              </w:rPr>
            </w:pPr>
            <w:r w:rsidRPr="00196C75">
              <w:rPr>
                <w:rFonts w:eastAsia="Calibri"/>
              </w:rPr>
              <w:t xml:space="preserve">Papildus tam likuma </w:t>
            </w:r>
            <w:r w:rsidRPr="00617DD3">
              <w:rPr>
                <w:rFonts w:eastAsia="Calibri"/>
              </w:rPr>
              <w:t>pārejas noteikumu 62.punktā ir paredzēts, ka līdz 2013.gada 31.decembrim piemēro akcīz</w:t>
            </w:r>
            <w:r>
              <w:rPr>
                <w:rFonts w:eastAsia="Calibri"/>
              </w:rPr>
              <w:t>es nodokļa atbrīvojumu dabasgāzei, ko</w:t>
            </w:r>
            <w:r w:rsidRPr="00617DD3">
              <w:rPr>
                <w:rFonts w:eastAsia="Calibri"/>
              </w:rPr>
              <w:t xml:space="preserve"> izmanto rūpnieciskās ražošanas un lauksaimniecības izejvielu pirmapstrādes (kas atbilst apstiprinātiem attiecīgajiem regulā Nr.1893/2006 noteiktajiem NACE klasifikācijas kodiem) tehnoloģisko iekārtu darbināšanai un tehnoloģiski nepieciešamā klimata nodrošināšanai minētās rūpnieciskās ražošanas un lauksaimniecības izejvielu pirmapstrādes telpās. </w:t>
            </w:r>
          </w:p>
          <w:p w:rsidR="00444800" w:rsidRPr="00617DD3" w:rsidRDefault="00444800" w:rsidP="0082342A">
            <w:pPr>
              <w:pStyle w:val="naisnod"/>
              <w:spacing w:before="0" w:beforeAutospacing="0" w:after="0" w:afterAutospacing="0"/>
              <w:ind w:left="127" w:right="127" w:firstLine="425"/>
              <w:jc w:val="both"/>
              <w:rPr>
                <w:rFonts w:eastAsia="Calibri"/>
              </w:rPr>
            </w:pPr>
            <w:r>
              <w:rPr>
                <w:rFonts w:eastAsia="Calibri"/>
              </w:rPr>
              <w:t>L</w:t>
            </w:r>
            <w:r w:rsidR="00617DD3" w:rsidRPr="00617DD3">
              <w:rPr>
                <w:rFonts w:eastAsia="Calibri"/>
              </w:rPr>
              <w:t xml:space="preserve">ai mazinātu nodokļa slogu un nodrošinātu konkurētspēju lauksaimniecības un rūpniecības </w:t>
            </w:r>
            <w:r w:rsidR="00617DD3">
              <w:rPr>
                <w:rFonts w:eastAsia="Calibri"/>
              </w:rPr>
              <w:t>produkcijas ražotājiem</w:t>
            </w:r>
            <w:r w:rsidR="00617DD3" w:rsidRPr="00617DD3">
              <w:rPr>
                <w:rFonts w:eastAsia="Calibri"/>
              </w:rPr>
              <w:t xml:space="preserve"> ar 2014.gada 1.janvāri </w:t>
            </w:r>
            <w:r w:rsidR="004A0D08">
              <w:rPr>
                <w:rFonts w:eastAsia="Calibri"/>
              </w:rPr>
              <w:t xml:space="preserve">nepieciešams </w:t>
            </w:r>
            <w:r w:rsidR="00617DD3" w:rsidRPr="00617DD3">
              <w:rPr>
                <w:rFonts w:eastAsia="Calibri"/>
              </w:rPr>
              <w:t xml:space="preserve">piemērot samazinātu akcīzes nodokļa likmi </w:t>
            </w:r>
            <w:r w:rsidR="00617DD3" w:rsidRPr="00617DD3">
              <w:rPr>
                <w:rFonts w:eastAsia="Calibri"/>
              </w:rPr>
              <w:lastRenderedPageBreak/>
              <w:t xml:space="preserve">dabasgāzei 5,65 </w:t>
            </w:r>
            <w:proofErr w:type="spellStart"/>
            <w:r w:rsidR="00617DD3" w:rsidRPr="00617DD3">
              <w:rPr>
                <w:rFonts w:eastAsia="Calibri"/>
                <w:i/>
              </w:rPr>
              <w:t>euro</w:t>
            </w:r>
            <w:proofErr w:type="spellEnd"/>
            <w:r w:rsidR="00617DD3" w:rsidRPr="00617DD3">
              <w:rPr>
                <w:rFonts w:eastAsia="Calibri"/>
                <w:i/>
              </w:rPr>
              <w:t xml:space="preserve"> </w:t>
            </w:r>
            <w:r w:rsidR="004A0D08">
              <w:rPr>
                <w:rFonts w:eastAsia="Calibri"/>
              </w:rPr>
              <w:t xml:space="preserve">apmērā </w:t>
            </w:r>
            <w:r w:rsidR="00617DD3" w:rsidRPr="00617DD3">
              <w:rPr>
                <w:rFonts w:eastAsia="Calibri"/>
              </w:rPr>
              <w:t>par 1000 m</w:t>
            </w:r>
            <w:r w:rsidR="00617DD3" w:rsidRPr="00617DD3">
              <w:rPr>
                <w:rFonts w:eastAsia="Calibri"/>
                <w:vertAlign w:val="superscript"/>
              </w:rPr>
              <w:t>3</w:t>
            </w:r>
            <w:r w:rsidR="00617DD3" w:rsidRPr="00617DD3">
              <w:rPr>
                <w:rFonts w:eastAsia="Calibri"/>
              </w:rPr>
              <w:t xml:space="preserve"> dabasgāzes, ko izmanto rūpnieciskās ražošanas un lauksaimniecības izejvielu pirmapstrādes (kas atbilst apstiprinātiem attiecīgajiem regulā Nr.1893/2006 noteiktajiem NACE klasifikācijas kodiem) tehnoloģisko iekārtu darbināšanai un tehnoloģiski nepieciešamā klimata nodrošināšanai minētās rūpnieciskās ražošanas un lauksaimniecības izejvielu pirmapstrādes telpās.</w:t>
            </w:r>
          </w:p>
          <w:p w:rsidR="0023067C" w:rsidRPr="00F4603D" w:rsidRDefault="0054250A" w:rsidP="00444800">
            <w:pPr>
              <w:pStyle w:val="naisnod"/>
              <w:spacing w:before="0" w:beforeAutospacing="0" w:after="0" w:afterAutospacing="0"/>
              <w:ind w:left="127" w:right="127" w:firstLine="425"/>
              <w:jc w:val="both"/>
              <w:rPr>
                <w:snapToGrid w:val="0"/>
              </w:rPr>
            </w:pPr>
            <w:r>
              <w:t xml:space="preserve">Līdz ar to </w:t>
            </w:r>
            <w:r>
              <w:rPr>
                <w:snapToGrid w:val="0"/>
              </w:rPr>
              <w:t xml:space="preserve">ir nepieciešams </w:t>
            </w:r>
            <w:r w:rsidR="0023067C" w:rsidRPr="00F4603D">
              <w:t>Ministru kabineta 2011.gada 27.septembra noteikum</w:t>
            </w:r>
            <w:r w:rsidR="00582354" w:rsidRPr="00F4603D">
              <w:t>u</w:t>
            </w:r>
            <w:r w:rsidR="0023067C" w:rsidRPr="00F4603D">
              <w:t xml:space="preserve"> Nr.731 „Noteikumi par akcīzes preču apvienotā Kopienas tarifa (TARIC) nacionālajiem kodiem un to piemērošanas kārtību” </w:t>
            </w:r>
            <w:r w:rsidR="00FC7B99">
              <w:t xml:space="preserve">(redakcijā, kas spēkā no 2014.gada 1.janvāra) </w:t>
            </w:r>
            <w:r w:rsidR="0023067C" w:rsidRPr="00F4603D">
              <w:t>(turpmāk – Ministru kabineta 2011.gada 27.septembra noteikumi Nr.731)</w:t>
            </w:r>
            <w:r w:rsidR="00582354" w:rsidRPr="00F4603D">
              <w:t xml:space="preserve"> 4.pielikum</w:t>
            </w:r>
            <w:r>
              <w:t>u</w:t>
            </w:r>
            <w:r w:rsidR="00632E2F">
              <w:t xml:space="preserve"> izdo</w:t>
            </w:r>
            <w:r>
              <w:t>t</w:t>
            </w:r>
            <w:r w:rsidR="00632E2F">
              <w:t xml:space="preserve"> jaunā redakcijā</w:t>
            </w:r>
            <w:r w:rsidR="007E54FC">
              <w:t>.</w:t>
            </w:r>
            <w:r w:rsidR="0023067C" w:rsidRPr="00F4603D">
              <w:t xml:space="preserve"> </w:t>
            </w:r>
          </w:p>
          <w:p w:rsidR="00C17DED" w:rsidRPr="00F4603D" w:rsidRDefault="007E54FC" w:rsidP="001B36B5">
            <w:pPr>
              <w:spacing w:after="0"/>
              <w:ind w:left="136" w:right="125" w:firstLine="416"/>
              <w:rPr>
                <w:rFonts w:ascii="Times New Roman" w:hAnsi="Times New Roman" w:cs="Times New Roman"/>
                <w:sz w:val="24"/>
                <w:szCs w:val="24"/>
              </w:rPr>
            </w:pPr>
            <w:r>
              <w:rPr>
                <w:rFonts w:ascii="Times New Roman" w:hAnsi="Times New Roman" w:cs="Times New Roman"/>
                <w:sz w:val="24"/>
                <w:szCs w:val="24"/>
              </w:rPr>
              <w:t>S</w:t>
            </w:r>
            <w:r w:rsidR="0023067C" w:rsidRPr="00F4603D">
              <w:rPr>
                <w:rFonts w:ascii="Times New Roman" w:hAnsi="Times New Roman" w:cs="Times New Roman"/>
                <w:sz w:val="24"/>
                <w:szCs w:val="24"/>
              </w:rPr>
              <w:t>askaņā ar Eiropas Komisija</w:t>
            </w:r>
            <w:r w:rsidR="00444800">
              <w:rPr>
                <w:rFonts w:ascii="Times New Roman" w:hAnsi="Times New Roman" w:cs="Times New Roman"/>
                <w:sz w:val="24"/>
                <w:szCs w:val="24"/>
              </w:rPr>
              <w:t>s</w:t>
            </w:r>
            <w:r w:rsidR="0023067C" w:rsidRPr="00F4603D">
              <w:rPr>
                <w:rFonts w:ascii="Times New Roman" w:hAnsi="Times New Roman" w:cs="Times New Roman"/>
                <w:sz w:val="24"/>
                <w:szCs w:val="24"/>
              </w:rPr>
              <w:t xml:space="preserve"> 2012.gada 9.oktobra Komisijas Īstenošanas Regul</w:t>
            </w:r>
            <w:r w:rsidR="00F4603D">
              <w:rPr>
                <w:rFonts w:ascii="Times New Roman" w:hAnsi="Times New Roman" w:cs="Times New Roman"/>
                <w:sz w:val="24"/>
                <w:szCs w:val="24"/>
              </w:rPr>
              <w:t>as</w:t>
            </w:r>
            <w:r w:rsidR="0023067C" w:rsidRPr="00F4603D">
              <w:rPr>
                <w:rFonts w:ascii="Times New Roman" w:hAnsi="Times New Roman" w:cs="Times New Roman"/>
                <w:sz w:val="24"/>
                <w:szCs w:val="24"/>
              </w:rPr>
              <w:t xml:space="preserve"> </w:t>
            </w:r>
            <w:r w:rsidR="00366413">
              <w:rPr>
                <w:rFonts w:ascii="Times New Roman" w:hAnsi="Times New Roman" w:cs="Times New Roman"/>
                <w:sz w:val="24"/>
                <w:szCs w:val="24"/>
              </w:rPr>
              <w:t xml:space="preserve">(ES) </w:t>
            </w:r>
            <w:r w:rsidR="0023067C" w:rsidRPr="00F4603D">
              <w:rPr>
                <w:rFonts w:ascii="Times New Roman" w:hAnsi="Times New Roman" w:cs="Times New Roman"/>
                <w:sz w:val="24"/>
                <w:szCs w:val="24"/>
              </w:rPr>
              <w:t>Nr.927/2012, ar ko groza I pielikumu Padomes Regulā (EEK) Nr.2658/87 par tarifu un statistikas nomenklatūru un kopējo muitas tarifu (turpmāk – Regula Nr.927/2012) 27.nodaļas 2.papildu piezīmi 2.f)</w:t>
            </w:r>
            <w:r w:rsidR="00A24070">
              <w:rPr>
                <w:rFonts w:ascii="Times New Roman" w:hAnsi="Times New Roman" w:cs="Times New Roman"/>
                <w:sz w:val="24"/>
                <w:szCs w:val="24"/>
              </w:rPr>
              <w:t xml:space="preserve"> </w:t>
            </w:r>
            <w:proofErr w:type="spellStart"/>
            <w:r w:rsidR="00EE0855" w:rsidRPr="00F4603D">
              <w:rPr>
                <w:rFonts w:ascii="Times New Roman" w:hAnsi="Times New Roman" w:cs="Times New Roman"/>
                <w:sz w:val="24"/>
                <w:szCs w:val="24"/>
              </w:rPr>
              <w:t>a</w:t>
            </w:r>
            <w:r w:rsidR="0023067C" w:rsidRPr="00F4603D">
              <w:rPr>
                <w:rFonts w:ascii="Times New Roman" w:hAnsi="Times New Roman" w:cs="Times New Roman"/>
                <w:sz w:val="24"/>
                <w:szCs w:val="24"/>
              </w:rPr>
              <w:t>pakšpozīcijā</w:t>
            </w:r>
            <w:proofErr w:type="spellEnd"/>
            <w:r w:rsidR="00582354" w:rsidRPr="00F4603D">
              <w:rPr>
                <w:rFonts w:ascii="Times New Roman" w:hAnsi="Times New Roman" w:cs="Times New Roman"/>
                <w:sz w:val="24"/>
                <w:szCs w:val="24"/>
              </w:rPr>
              <w:t xml:space="preserve"> minētajām piezīmēm,</w:t>
            </w:r>
            <w:r w:rsidR="004E70CB">
              <w:rPr>
                <w:rFonts w:ascii="Times New Roman" w:hAnsi="Times New Roman" w:cs="Times New Roman"/>
                <w:sz w:val="24"/>
                <w:szCs w:val="24"/>
              </w:rPr>
              <w:t xml:space="preserve"> KN </w:t>
            </w:r>
            <w:r w:rsidR="00582354" w:rsidRPr="00F4603D">
              <w:rPr>
                <w:rFonts w:ascii="Times New Roman" w:hAnsi="Times New Roman" w:cs="Times New Roman"/>
                <w:sz w:val="24"/>
                <w:szCs w:val="24"/>
              </w:rPr>
              <w:t xml:space="preserve">kodos </w:t>
            </w:r>
            <w:r w:rsidR="0023067C" w:rsidRPr="00F4603D">
              <w:rPr>
                <w:rFonts w:ascii="Times New Roman" w:hAnsi="Times New Roman" w:cs="Times New Roman"/>
                <w:sz w:val="24"/>
                <w:szCs w:val="24"/>
              </w:rPr>
              <w:t xml:space="preserve">27101951-27101968 un 27102031-27102039 </w:t>
            </w:r>
            <w:r w:rsidR="00582354" w:rsidRPr="00F4603D">
              <w:rPr>
                <w:rFonts w:ascii="Times New Roman" w:hAnsi="Times New Roman" w:cs="Times New Roman"/>
                <w:sz w:val="24"/>
                <w:szCs w:val="24"/>
              </w:rPr>
              <w:t xml:space="preserve">tiek </w:t>
            </w:r>
            <w:r w:rsidR="0023067C" w:rsidRPr="00F4603D">
              <w:rPr>
                <w:rFonts w:ascii="Times New Roman" w:hAnsi="Times New Roman" w:cs="Times New Roman"/>
                <w:sz w:val="24"/>
                <w:szCs w:val="24"/>
              </w:rPr>
              <w:t>ietvertas tikai degvieleļļas dabiskā krāsā</w:t>
            </w:r>
            <w:r w:rsidR="00EE0855" w:rsidRPr="00F4603D">
              <w:rPr>
                <w:rFonts w:ascii="Times New Roman" w:hAnsi="Times New Roman" w:cs="Times New Roman"/>
                <w:sz w:val="24"/>
                <w:szCs w:val="24"/>
              </w:rPr>
              <w:t xml:space="preserve">, tādējādi </w:t>
            </w:r>
            <w:r w:rsidR="0023067C" w:rsidRPr="00F4603D">
              <w:rPr>
                <w:rFonts w:ascii="Times New Roman" w:hAnsi="Times New Roman" w:cs="Times New Roman"/>
                <w:sz w:val="24"/>
                <w:szCs w:val="24"/>
              </w:rPr>
              <w:t xml:space="preserve">degvieleļļas, kas nav dabiskā krāsā tiek klasificētas ar KN kodu 2710 19 99, savukārt degvieleļļas, kas satur </w:t>
            </w:r>
            <w:proofErr w:type="spellStart"/>
            <w:r w:rsidR="0023067C" w:rsidRPr="00F4603D">
              <w:rPr>
                <w:rFonts w:ascii="Times New Roman" w:hAnsi="Times New Roman" w:cs="Times New Roman"/>
                <w:sz w:val="24"/>
                <w:szCs w:val="24"/>
              </w:rPr>
              <w:t>biodīzeli</w:t>
            </w:r>
            <w:proofErr w:type="spellEnd"/>
            <w:r w:rsidR="0023067C" w:rsidRPr="00F4603D">
              <w:rPr>
                <w:rFonts w:ascii="Times New Roman" w:hAnsi="Times New Roman" w:cs="Times New Roman"/>
                <w:sz w:val="24"/>
                <w:szCs w:val="24"/>
              </w:rPr>
              <w:t xml:space="preserve"> tiek klasificētas ar KN kodu 2710 20 90</w:t>
            </w:r>
            <w:r w:rsidR="007F1BD9">
              <w:rPr>
                <w:rFonts w:ascii="Times New Roman" w:hAnsi="Times New Roman" w:cs="Times New Roman"/>
                <w:sz w:val="24"/>
                <w:szCs w:val="24"/>
              </w:rPr>
              <w:t xml:space="preserve">. </w:t>
            </w:r>
            <w:r w:rsidR="007F1BD9" w:rsidRPr="00F4603D">
              <w:rPr>
                <w:rFonts w:ascii="Times New Roman" w:hAnsi="Times New Roman" w:cs="Times New Roman"/>
                <w:sz w:val="24"/>
                <w:szCs w:val="24"/>
              </w:rPr>
              <w:t>Regula</w:t>
            </w:r>
            <w:r w:rsidR="007F1BD9">
              <w:rPr>
                <w:rFonts w:ascii="Times New Roman" w:hAnsi="Times New Roman" w:cs="Times New Roman"/>
                <w:sz w:val="24"/>
                <w:szCs w:val="24"/>
              </w:rPr>
              <w:t xml:space="preserve">s </w:t>
            </w:r>
            <w:r w:rsidR="007F1BD9" w:rsidRPr="00F4603D">
              <w:rPr>
                <w:rFonts w:ascii="Times New Roman" w:hAnsi="Times New Roman" w:cs="Times New Roman"/>
                <w:sz w:val="24"/>
                <w:szCs w:val="24"/>
              </w:rPr>
              <w:t>Nr.927/2012</w:t>
            </w:r>
            <w:r w:rsidR="007F1BD9">
              <w:rPr>
                <w:rFonts w:ascii="Times New Roman" w:hAnsi="Times New Roman" w:cs="Times New Roman"/>
                <w:sz w:val="24"/>
                <w:szCs w:val="24"/>
              </w:rPr>
              <w:t xml:space="preserve"> I pielikumā nav noteikts </w:t>
            </w:r>
            <w:r w:rsidR="00107B6C">
              <w:rPr>
                <w:rFonts w:ascii="Times New Roman" w:hAnsi="Times New Roman" w:cs="Times New Roman"/>
                <w:sz w:val="24"/>
                <w:szCs w:val="24"/>
              </w:rPr>
              <w:t xml:space="preserve">KN kods </w:t>
            </w:r>
            <w:r w:rsidR="007F1BD9">
              <w:rPr>
                <w:rFonts w:ascii="Times New Roman" w:hAnsi="Times New Roman" w:cs="Times New Roman"/>
                <w:sz w:val="24"/>
                <w:szCs w:val="24"/>
              </w:rPr>
              <w:t>2208 90 52.</w:t>
            </w:r>
            <w:r w:rsidR="00582354" w:rsidRPr="00F4603D">
              <w:rPr>
                <w:rFonts w:ascii="Times New Roman" w:hAnsi="Times New Roman" w:cs="Times New Roman"/>
                <w:sz w:val="24"/>
                <w:szCs w:val="24"/>
              </w:rPr>
              <w:t xml:space="preserve"> </w:t>
            </w:r>
            <w:r w:rsidR="00444800">
              <w:rPr>
                <w:rFonts w:ascii="Times New Roman" w:hAnsi="Times New Roman" w:cs="Times New Roman"/>
                <w:sz w:val="24"/>
                <w:szCs w:val="24"/>
              </w:rPr>
              <w:t>Tādēļ nepieciešams</w:t>
            </w:r>
            <w:r w:rsidR="00444800" w:rsidRPr="00F4603D">
              <w:rPr>
                <w:rFonts w:ascii="Times New Roman" w:hAnsi="Times New Roman" w:cs="Times New Roman"/>
                <w:sz w:val="24"/>
                <w:szCs w:val="24"/>
              </w:rPr>
              <w:t xml:space="preserve"> Ministru kabineta 2011.gada 27.septembra noteikumu Nr.731 </w:t>
            </w:r>
            <w:r w:rsidR="00444800">
              <w:rPr>
                <w:rFonts w:ascii="Times New Roman" w:hAnsi="Times New Roman" w:cs="Times New Roman"/>
                <w:sz w:val="24"/>
                <w:szCs w:val="24"/>
              </w:rPr>
              <w:t xml:space="preserve">3. un </w:t>
            </w:r>
            <w:r w:rsidR="00444800" w:rsidRPr="00F4603D">
              <w:rPr>
                <w:rFonts w:ascii="Times New Roman" w:hAnsi="Times New Roman" w:cs="Times New Roman"/>
                <w:sz w:val="24"/>
                <w:szCs w:val="24"/>
              </w:rPr>
              <w:t>4.pielikumā</w:t>
            </w:r>
            <w:r w:rsidR="00444800">
              <w:rPr>
                <w:rFonts w:ascii="Times New Roman" w:hAnsi="Times New Roman" w:cs="Times New Roman"/>
                <w:sz w:val="24"/>
                <w:szCs w:val="24"/>
              </w:rPr>
              <w:t xml:space="preserve"> </w:t>
            </w:r>
            <w:r w:rsidR="004E70CB">
              <w:rPr>
                <w:rFonts w:ascii="Times New Roman" w:hAnsi="Times New Roman" w:cs="Times New Roman"/>
                <w:sz w:val="24"/>
                <w:szCs w:val="24"/>
              </w:rPr>
              <w:t>veikt labojum</w:t>
            </w:r>
            <w:r w:rsidR="00444800">
              <w:rPr>
                <w:rFonts w:ascii="Times New Roman" w:hAnsi="Times New Roman" w:cs="Times New Roman"/>
                <w:sz w:val="24"/>
                <w:szCs w:val="24"/>
              </w:rPr>
              <w:t>us</w:t>
            </w:r>
            <w:r w:rsidR="004E70CB">
              <w:rPr>
                <w:rFonts w:ascii="Times New Roman" w:hAnsi="Times New Roman" w:cs="Times New Roman"/>
                <w:sz w:val="24"/>
                <w:szCs w:val="24"/>
              </w:rPr>
              <w:t xml:space="preserve"> pēc būtības, izsvītrojot no ar akcīzes nodokli apliekamo naftas produktu TARIC nacionālo </w:t>
            </w:r>
            <w:proofErr w:type="spellStart"/>
            <w:r w:rsidR="004E70CB">
              <w:rPr>
                <w:rFonts w:ascii="Times New Roman" w:hAnsi="Times New Roman" w:cs="Times New Roman"/>
                <w:sz w:val="24"/>
                <w:szCs w:val="24"/>
              </w:rPr>
              <w:t>papildkodu</w:t>
            </w:r>
            <w:proofErr w:type="spellEnd"/>
            <w:r w:rsidR="004E70CB">
              <w:rPr>
                <w:rFonts w:ascii="Times New Roman" w:hAnsi="Times New Roman" w:cs="Times New Roman"/>
                <w:sz w:val="24"/>
                <w:szCs w:val="24"/>
              </w:rPr>
              <w:t xml:space="preserve"> saraksta </w:t>
            </w:r>
            <w:r>
              <w:rPr>
                <w:rFonts w:ascii="Times New Roman" w:hAnsi="Times New Roman" w:cs="Times New Roman"/>
                <w:sz w:val="24"/>
                <w:szCs w:val="24"/>
              </w:rPr>
              <w:t xml:space="preserve">naftas produktus ar </w:t>
            </w:r>
            <w:r w:rsidR="004E70CB">
              <w:rPr>
                <w:rFonts w:ascii="Times New Roman" w:hAnsi="Times New Roman" w:cs="Times New Roman"/>
                <w:sz w:val="24"/>
                <w:szCs w:val="24"/>
              </w:rPr>
              <w:t xml:space="preserve">KN </w:t>
            </w:r>
            <w:r>
              <w:rPr>
                <w:rFonts w:ascii="Times New Roman" w:hAnsi="Times New Roman" w:cs="Times New Roman"/>
                <w:sz w:val="24"/>
                <w:szCs w:val="24"/>
              </w:rPr>
              <w:t xml:space="preserve">un TARIC nacionālajiem kodiem </w:t>
            </w:r>
            <w:r w:rsidR="007F1BD9">
              <w:rPr>
                <w:rFonts w:ascii="Times New Roman" w:hAnsi="Times New Roman" w:cs="Times New Roman"/>
                <w:sz w:val="24"/>
                <w:szCs w:val="24"/>
              </w:rPr>
              <w:t xml:space="preserve">22089052 0076, </w:t>
            </w:r>
            <w:r>
              <w:rPr>
                <w:rFonts w:ascii="Times New Roman" w:hAnsi="Times New Roman" w:cs="Times New Roman"/>
                <w:sz w:val="24"/>
                <w:szCs w:val="24"/>
              </w:rPr>
              <w:t>27101951 0</w:t>
            </w:r>
            <w:r w:rsidR="007F1BD9">
              <w:rPr>
                <w:rFonts w:ascii="Times New Roman" w:hAnsi="Times New Roman" w:cs="Times New Roman"/>
                <w:sz w:val="24"/>
                <w:szCs w:val="24"/>
              </w:rPr>
              <w:t>311</w:t>
            </w:r>
            <w:r w:rsidR="008C1AF0">
              <w:rPr>
                <w:rFonts w:ascii="Times New Roman" w:hAnsi="Times New Roman" w:cs="Times New Roman"/>
                <w:sz w:val="24"/>
                <w:szCs w:val="24"/>
              </w:rPr>
              <w:t>,</w:t>
            </w:r>
            <w:r>
              <w:rPr>
                <w:rFonts w:ascii="Times New Roman" w:hAnsi="Times New Roman" w:cs="Times New Roman"/>
                <w:sz w:val="24"/>
                <w:szCs w:val="24"/>
              </w:rPr>
              <w:t xml:space="preserve"> 27101955 0311, 27101962 0311, 27101964 0311, 27101968 0311, 27102031 1036, 27102035 1036, 27102039 1036. </w:t>
            </w:r>
            <w:r w:rsidR="00F8788B" w:rsidRPr="00F4603D">
              <w:rPr>
                <w:rFonts w:ascii="Times New Roman" w:hAnsi="Times New Roman" w:cs="Times New Roman"/>
                <w:sz w:val="24"/>
                <w:szCs w:val="24"/>
              </w:rPr>
              <w:t xml:space="preserve"> </w:t>
            </w:r>
          </w:p>
        </w:tc>
      </w:tr>
      <w:tr w:rsidR="002D7DCA" w:rsidRPr="0097174A" w:rsidTr="000E08BE">
        <w:trPr>
          <w:trHeight w:val="651"/>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rsidR="002D7DCA" w:rsidRPr="00F4603D" w:rsidRDefault="002D7DCA"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lastRenderedPageBreak/>
              <w:t>3.</w:t>
            </w:r>
          </w:p>
        </w:tc>
        <w:tc>
          <w:tcPr>
            <w:tcW w:w="2604" w:type="dxa"/>
            <w:gridSpan w:val="3"/>
            <w:tcBorders>
              <w:top w:val="outset" w:sz="6" w:space="0" w:color="auto"/>
              <w:left w:val="outset" w:sz="6" w:space="0" w:color="auto"/>
              <w:bottom w:val="outset" w:sz="6" w:space="0" w:color="auto"/>
              <w:right w:val="outset" w:sz="6" w:space="0" w:color="auto"/>
            </w:tcBorders>
            <w:hideMark/>
          </w:tcPr>
          <w:p w:rsidR="002D7DCA" w:rsidRPr="00F4603D"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Saistītie politikas ietekmes novērtējumi un pētījumi</w:t>
            </w:r>
          </w:p>
        </w:tc>
        <w:tc>
          <w:tcPr>
            <w:tcW w:w="5853" w:type="dxa"/>
            <w:gridSpan w:val="4"/>
            <w:tcBorders>
              <w:top w:val="outset" w:sz="6" w:space="0" w:color="auto"/>
              <w:left w:val="outset" w:sz="6" w:space="0" w:color="auto"/>
              <w:bottom w:val="outset" w:sz="6" w:space="0" w:color="auto"/>
              <w:right w:val="outset" w:sz="6" w:space="0" w:color="auto"/>
            </w:tcBorders>
            <w:hideMark/>
          </w:tcPr>
          <w:p w:rsidR="002D7DCA" w:rsidRPr="00F4603D" w:rsidRDefault="00B552A2" w:rsidP="008E488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352B9" w:rsidRPr="00F4603D">
              <w:rPr>
                <w:rFonts w:ascii="Times New Roman" w:eastAsia="Times New Roman" w:hAnsi="Times New Roman" w:cs="Times New Roman"/>
                <w:sz w:val="24"/>
                <w:szCs w:val="24"/>
                <w:lang w:eastAsia="lv-LV"/>
              </w:rPr>
              <w:t>Nav attiecināms</w:t>
            </w:r>
          </w:p>
        </w:tc>
      </w:tr>
      <w:tr w:rsidR="002D7DCA" w:rsidRPr="0097174A" w:rsidTr="000E08BE">
        <w:trPr>
          <w:trHeight w:val="384"/>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rsidR="002D7DCA" w:rsidRPr="00F4603D" w:rsidRDefault="002D7DCA"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4.</w:t>
            </w:r>
          </w:p>
        </w:tc>
        <w:tc>
          <w:tcPr>
            <w:tcW w:w="2604" w:type="dxa"/>
            <w:gridSpan w:val="3"/>
            <w:tcBorders>
              <w:top w:val="outset" w:sz="6" w:space="0" w:color="auto"/>
              <w:left w:val="outset" w:sz="6" w:space="0" w:color="auto"/>
              <w:bottom w:val="outset" w:sz="6" w:space="0" w:color="auto"/>
              <w:right w:val="outset" w:sz="6" w:space="0" w:color="auto"/>
            </w:tcBorders>
            <w:hideMark/>
          </w:tcPr>
          <w:p w:rsidR="00BE725F" w:rsidRPr="00F4603D" w:rsidRDefault="0009673C" w:rsidP="0009673C">
            <w:pPr>
              <w:spacing w:after="0"/>
              <w:ind w:left="45"/>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 xml:space="preserve">Tiesiskā </w:t>
            </w:r>
            <w:r w:rsidR="002D7DCA" w:rsidRPr="00F4603D">
              <w:rPr>
                <w:rFonts w:ascii="Times New Roman" w:eastAsia="Times New Roman" w:hAnsi="Times New Roman" w:cs="Times New Roman"/>
                <w:sz w:val="24"/>
                <w:szCs w:val="24"/>
                <w:lang w:eastAsia="lv-LV"/>
              </w:rPr>
              <w:t>regulējuma mērķis un būtība</w:t>
            </w:r>
          </w:p>
          <w:p w:rsidR="002D7DCA" w:rsidRPr="00F4603D" w:rsidRDefault="002D7DCA" w:rsidP="00085163">
            <w:pPr>
              <w:spacing w:after="0"/>
              <w:ind w:left="45" w:firstLine="223"/>
              <w:rPr>
                <w:rFonts w:ascii="Times New Roman" w:eastAsia="Times New Roman" w:hAnsi="Times New Roman" w:cs="Times New Roman"/>
                <w:sz w:val="24"/>
                <w:szCs w:val="24"/>
                <w:lang w:eastAsia="lv-LV"/>
              </w:rPr>
            </w:pPr>
          </w:p>
        </w:tc>
        <w:tc>
          <w:tcPr>
            <w:tcW w:w="5853" w:type="dxa"/>
            <w:gridSpan w:val="4"/>
            <w:tcBorders>
              <w:top w:val="outset" w:sz="6" w:space="0" w:color="auto"/>
              <w:left w:val="outset" w:sz="6" w:space="0" w:color="auto"/>
              <w:bottom w:val="outset" w:sz="6" w:space="0" w:color="auto"/>
              <w:right w:val="outset" w:sz="6" w:space="0" w:color="auto"/>
            </w:tcBorders>
            <w:hideMark/>
          </w:tcPr>
          <w:p w:rsidR="004A773E" w:rsidRDefault="004A773E" w:rsidP="0082342A">
            <w:pPr>
              <w:spacing w:after="0"/>
              <w:ind w:leftChars="56" w:left="123" w:right="125" w:firstLineChars="178" w:firstLine="427"/>
              <w:rPr>
                <w:rFonts w:ascii="Times New Roman" w:hAnsi="Times New Roman" w:cs="Times New Roman"/>
                <w:sz w:val="24"/>
                <w:szCs w:val="24"/>
              </w:rPr>
            </w:pPr>
            <w:r>
              <w:rPr>
                <w:rFonts w:ascii="Times New Roman" w:hAnsi="Times New Roman" w:cs="Times New Roman"/>
                <w:sz w:val="24"/>
                <w:szCs w:val="24"/>
              </w:rPr>
              <w:t xml:space="preserve">Ministru kabineta noteikumu projekts paredz izteikt jaunā redakcijā </w:t>
            </w:r>
            <w:r w:rsidRPr="00196C75">
              <w:rPr>
                <w:rFonts w:ascii="Times New Roman" w:hAnsi="Times New Roman" w:cs="Times New Roman"/>
                <w:sz w:val="24"/>
                <w:szCs w:val="24"/>
              </w:rPr>
              <w:t xml:space="preserve">Ministru kabineta </w:t>
            </w:r>
            <w:r w:rsidRPr="004A773E">
              <w:rPr>
                <w:rFonts w:ascii="Times New Roman" w:hAnsi="Times New Roman" w:cs="Times New Roman"/>
                <w:sz w:val="24"/>
                <w:szCs w:val="24"/>
              </w:rPr>
              <w:t>2011.gada 27.septembra noteikum</w:t>
            </w:r>
            <w:r>
              <w:rPr>
                <w:rFonts w:ascii="Times New Roman" w:hAnsi="Times New Roman" w:cs="Times New Roman"/>
                <w:sz w:val="24"/>
                <w:szCs w:val="24"/>
              </w:rPr>
              <w:t>u</w:t>
            </w:r>
            <w:r w:rsidRPr="00196C75">
              <w:rPr>
                <w:rFonts w:ascii="Times New Roman" w:hAnsi="Times New Roman" w:cs="Times New Roman"/>
                <w:sz w:val="24"/>
                <w:szCs w:val="24"/>
              </w:rPr>
              <w:t xml:space="preserve"> Nr.731</w:t>
            </w:r>
            <w:r>
              <w:rPr>
                <w:rFonts w:ascii="Times New Roman" w:hAnsi="Times New Roman" w:cs="Times New Roman"/>
                <w:sz w:val="24"/>
                <w:szCs w:val="24"/>
              </w:rPr>
              <w:t xml:space="preserve"> </w:t>
            </w:r>
            <w:r w:rsidR="00040544">
              <w:rPr>
                <w:rFonts w:ascii="Times New Roman" w:hAnsi="Times New Roman" w:cs="Times New Roman"/>
                <w:sz w:val="24"/>
                <w:szCs w:val="24"/>
              </w:rPr>
              <w:t xml:space="preserve">3. un </w:t>
            </w:r>
            <w:r>
              <w:rPr>
                <w:rFonts w:ascii="Times New Roman" w:hAnsi="Times New Roman" w:cs="Times New Roman"/>
                <w:sz w:val="24"/>
                <w:szCs w:val="24"/>
              </w:rPr>
              <w:t>4.pi</w:t>
            </w:r>
            <w:r w:rsidR="003407E5">
              <w:rPr>
                <w:rFonts w:ascii="Times New Roman" w:hAnsi="Times New Roman" w:cs="Times New Roman"/>
                <w:sz w:val="24"/>
                <w:szCs w:val="24"/>
              </w:rPr>
              <w:t>e</w:t>
            </w:r>
            <w:r>
              <w:rPr>
                <w:rFonts w:ascii="Times New Roman" w:hAnsi="Times New Roman" w:cs="Times New Roman"/>
                <w:sz w:val="24"/>
                <w:szCs w:val="24"/>
              </w:rPr>
              <w:t>likumu.</w:t>
            </w:r>
          </w:p>
          <w:p w:rsidR="0097174A" w:rsidRPr="00F4603D" w:rsidRDefault="00CF5CE6" w:rsidP="0082342A">
            <w:pPr>
              <w:spacing w:after="0"/>
              <w:ind w:leftChars="56" w:left="123" w:right="125" w:firstLineChars="178" w:firstLine="427"/>
              <w:rPr>
                <w:rFonts w:ascii="Times New Roman" w:hAnsi="Times New Roman" w:cs="Times New Roman"/>
                <w:sz w:val="24"/>
                <w:szCs w:val="24"/>
              </w:rPr>
            </w:pPr>
            <w:r w:rsidRPr="004A773E">
              <w:rPr>
                <w:rFonts w:ascii="Times New Roman" w:hAnsi="Times New Roman" w:cs="Times New Roman"/>
                <w:sz w:val="24"/>
                <w:szCs w:val="24"/>
              </w:rPr>
              <w:t xml:space="preserve">Tāpat </w:t>
            </w:r>
            <w:r w:rsidR="004A773E" w:rsidRPr="00196C75">
              <w:rPr>
                <w:rFonts w:ascii="Times New Roman" w:hAnsi="Times New Roman" w:cs="Times New Roman"/>
                <w:sz w:val="24"/>
                <w:szCs w:val="24"/>
              </w:rPr>
              <w:t xml:space="preserve">saistībā ar izmaiņām Ministru kabineta 2011.gada 27.septembra noteikumu Nr.731 4.pielikumā nepieciešams veikt izmaiņas </w:t>
            </w:r>
            <w:r w:rsidRPr="004A773E">
              <w:rPr>
                <w:rFonts w:ascii="Times New Roman" w:hAnsi="Times New Roman" w:cs="Times New Roman"/>
                <w:sz w:val="24"/>
                <w:szCs w:val="24"/>
              </w:rPr>
              <w:t>muitas informācijas sistēmās, lai ar 2014.gada 1.janvāri, izlaižot ar akcīzes nodokli apliekamās preces brīvā apgrozībā, nodrošinātu tām atbilstošu akcīzes nodokļa piemērošanu saskaņā ar likum</w:t>
            </w:r>
            <w:r w:rsidRPr="0082342A">
              <w:rPr>
                <w:rFonts w:ascii="Times New Roman" w:hAnsi="Times New Roman" w:cs="Times New Roman"/>
                <w:sz w:val="24"/>
                <w:szCs w:val="24"/>
              </w:rPr>
              <w:t>a</w:t>
            </w:r>
            <w:r w:rsidRPr="004A773E">
              <w:rPr>
                <w:rFonts w:ascii="Times New Roman" w:hAnsi="Times New Roman" w:cs="Times New Roman"/>
                <w:sz w:val="24"/>
                <w:szCs w:val="24"/>
              </w:rPr>
              <w:t xml:space="preserve"> „Par akcīzes nodokli”</w:t>
            </w:r>
            <w:r w:rsidRPr="004A773E">
              <w:rPr>
                <w:rFonts w:ascii="Times New Roman" w:hAnsi="Times New Roman" w:cs="Times New Roman"/>
                <w:color w:val="1F497D"/>
                <w:sz w:val="24"/>
                <w:szCs w:val="24"/>
              </w:rPr>
              <w:t xml:space="preserve"> </w:t>
            </w:r>
            <w:r w:rsidRPr="004A773E">
              <w:rPr>
                <w:rFonts w:ascii="Times New Roman" w:hAnsi="Times New Roman" w:cs="Times New Roman"/>
                <w:sz w:val="24"/>
                <w:szCs w:val="24"/>
              </w:rPr>
              <w:t>prasībām.</w:t>
            </w:r>
          </w:p>
        </w:tc>
      </w:tr>
      <w:tr w:rsidR="002D7DCA" w:rsidRPr="0097174A" w:rsidTr="000E08BE">
        <w:trPr>
          <w:trHeight w:val="476"/>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rsidR="002D7DCA" w:rsidRPr="00F4603D" w:rsidRDefault="002D7DCA"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lastRenderedPageBreak/>
              <w:t>5.</w:t>
            </w:r>
          </w:p>
        </w:tc>
        <w:tc>
          <w:tcPr>
            <w:tcW w:w="2604" w:type="dxa"/>
            <w:gridSpan w:val="3"/>
            <w:tcBorders>
              <w:top w:val="outset" w:sz="6" w:space="0" w:color="auto"/>
              <w:left w:val="outset" w:sz="6" w:space="0" w:color="auto"/>
              <w:bottom w:val="outset" w:sz="6" w:space="0" w:color="auto"/>
              <w:right w:val="outset" w:sz="6" w:space="0" w:color="auto"/>
            </w:tcBorders>
            <w:hideMark/>
          </w:tcPr>
          <w:p w:rsidR="002D7DCA" w:rsidRPr="00F4603D"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Projekta izstrādē iesaistītās institūcijas</w:t>
            </w:r>
          </w:p>
        </w:tc>
        <w:tc>
          <w:tcPr>
            <w:tcW w:w="5853" w:type="dxa"/>
            <w:gridSpan w:val="4"/>
            <w:tcBorders>
              <w:top w:val="outset" w:sz="6" w:space="0" w:color="auto"/>
              <w:left w:val="outset" w:sz="6" w:space="0" w:color="auto"/>
              <w:bottom w:val="outset" w:sz="6" w:space="0" w:color="auto"/>
              <w:right w:val="outset" w:sz="6" w:space="0" w:color="auto"/>
            </w:tcBorders>
            <w:hideMark/>
          </w:tcPr>
          <w:p w:rsidR="002D7DCA" w:rsidRPr="00F4603D" w:rsidRDefault="00B552A2" w:rsidP="008E488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0438B" w:rsidRPr="00F4603D">
              <w:rPr>
                <w:rFonts w:ascii="Times New Roman" w:eastAsia="Times New Roman" w:hAnsi="Times New Roman" w:cs="Times New Roman"/>
                <w:sz w:val="24"/>
                <w:szCs w:val="24"/>
                <w:lang w:eastAsia="lv-LV"/>
              </w:rPr>
              <w:t>V</w:t>
            </w:r>
            <w:r w:rsidR="00AD6F89" w:rsidRPr="00F4603D">
              <w:rPr>
                <w:rFonts w:ascii="Times New Roman" w:eastAsia="Times New Roman" w:hAnsi="Times New Roman" w:cs="Times New Roman"/>
                <w:sz w:val="24"/>
                <w:szCs w:val="24"/>
                <w:lang w:eastAsia="lv-LV"/>
              </w:rPr>
              <w:t>alsts ieņēmumu dienests</w:t>
            </w:r>
          </w:p>
        </w:tc>
      </w:tr>
      <w:tr w:rsidR="002D7DCA" w:rsidRPr="0097174A" w:rsidTr="000E08BE">
        <w:trPr>
          <w:trHeight w:val="568"/>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rsidR="002D7DCA" w:rsidRPr="00F4603D" w:rsidRDefault="002D7DCA"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6.</w:t>
            </w:r>
          </w:p>
        </w:tc>
        <w:tc>
          <w:tcPr>
            <w:tcW w:w="2604" w:type="dxa"/>
            <w:gridSpan w:val="3"/>
            <w:tcBorders>
              <w:top w:val="outset" w:sz="6" w:space="0" w:color="auto"/>
              <w:left w:val="outset" w:sz="6" w:space="0" w:color="auto"/>
              <w:bottom w:val="outset" w:sz="6" w:space="0" w:color="auto"/>
              <w:right w:val="outset" w:sz="6" w:space="0" w:color="auto"/>
            </w:tcBorders>
            <w:hideMark/>
          </w:tcPr>
          <w:p w:rsidR="002D7DCA" w:rsidRPr="00F4603D"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Iemesli, kādēļ netika nodrošināta sabiedrības līdzdalība</w:t>
            </w:r>
          </w:p>
        </w:tc>
        <w:tc>
          <w:tcPr>
            <w:tcW w:w="5853" w:type="dxa"/>
            <w:gridSpan w:val="4"/>
            <w:tcBorders>
              <w:top w:val="outset" w:sz="6" w:space="0" w:color="auto"/>
              <w:left w:val="outset" w:sz="6" w:space="0" w:color="auto"/>
              <w:bottom w:val="outset" w:sz="6" w:space="0" w:color="auto"/>
              <w:right w:val="outset" w:sz="6" w:space="0" w:color="auto"/>
            </w:tcBorders>
            <w:hideMark/>
          </w:tcPr>
          <w:p w:rsidR="00A5596C" w:rsidRPr="00F4603D" w:rsidRDefault="00B552A2" w:rsidP="008E4886">
            <w:pPr>
              <w:spacing w:after="0"/>
              <w:ind w:left="0" w:right="1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552A2">
              <w:rPr>
                <w:rFonts w:ascii="Times New Roman" w:eastAsia="Times New Roman" w:hAnsi="Times New Roman" w:cs="Times New Roman"/>
                <w:sz w:val="24"/>
                <w:szCs w:val="24"/>
                <w:lang w:eastAsia="lv-LV"/>
              </w:rPr>
              <w:t>Projekts šo jomu neskar</w:t>
            </w:r>
          </w:p>
        </w:tc>
      </w:tr>
      <w:tr w:rsidR="002D7DCA" w:rsidRPr="0097174A" w:rsidTr="000E08BE">
        <w:trPr>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rsidR="002D7DCA" w:rsidRPr="00F4603D" w:rsidRDefault="002D7DCA"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7.</w:t>
            </w:r>
          </w:p>
        </w:tc>
        <w:tc>
          <w:tcPr>
            <w:tcW w:w="2604" w:type="dxa"/>
            <w:gridSpan w:val="3"/>
            <w:tcBorders>
              <w:top w:val="outset" w:sz="6" w:space="0" w:color="auto"/>
              <w:left w:val="outset" w:sz="6" w:space="0" w:color="auto"/>
              <w:bottom w:val="outset" w:sz="6" w:space="0" w:color="auto"/>
              <w:right w:val="outset" w:sz="6" w:space="0" w:color="auto"/>
            </w:tcBorders>
            <w:hideMark/>
          </w:tcPr>
          <w:p w:rsidR="002D7DCA" w:rsidRPr="00F4603D"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Cita informācija</w:t>
            </w:r>
          </w:p>
        </w:tc>
        <w:tc>
          <w:tcPr>
            <w:tcW w:w="5853" w:type="dxa"/>
            <w:gridSpan w:val="4"/>
            <w:tcBorders>
              <w:top w:val="outset" w:sz="6" w:space="0" w:color="auto"/>
              <w:left w:val="outset" w:sz="6" w:space="0" w:color="auto"/>
              <w:bottom w:val="outset" w:sz="6" w:space="0" w:color="auto"/>
              <w:right w:val="outset" w:sz="6" w:space="0" w:color="auto"/>
            </w:tcBorders>
            <w:hideMark/>
          </w:tcPr>
          <w:p w:rsidR="002D7DCA" w:rsidRPr="00F4603D" w:rsidRDefault="000B29AA" w:rsidP="008E4886">
            <w:pPr>
              <w:spacing w:before="100" w:beforeAutospacing="1" w:after="100" w:afterAutospacing="1"/>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Nav</w:t>
            </w:r>
          </w:p>
        </w:tc>
      </w:tr>
      <w:tr w:rsidR="00490599" w:rsidRPr="0097174A" w:rsidTr="000E08BE">
        <w:trPr>
          <w:tblCellSpacing w:w="0" w:type="dxa"/>
        </w:trPr>
        <w:tc>
          <w:tcPr>
            <w:tcW w:w="8947" w:type="dxa"/>
            <w:gridSpan w:val="9"/>
            <w:tcBorders>
              <w:top w:val="outset" w:sz="6" w:space="0" w:color="auto"/>
              <w:left w:val="outset" w:sz="6" w:space="0" w:color="auto"/>
              <w:bottom w:val="outset" w:sz="6" w:space="0" w:color="auto"/>
              <w:right w:val="outset" w:sz="6" w:space="0" w:color="auto"/>
            </w:tcBorders>
            <w:vAlign w:val="center"/>
            <w:hideMark/>
          </w:tcPr>
          <w:p w:rsidR="00490599" w:rsidRPr="00F4603D" w:rsidRDefault="00490599" w:rsidP="00F4603D">
            <w:pPr>
              <w:spacing w:before="100" w:beforeAutospacing="1" w:after="100" w:afterAutospacing="1" w:line="40" w:lineRule="atLeast"/>
              <w:ind w:firstLineChars="709" w:firstLine="1708"/>
              <w:rPr>
                <w:rFonts w:ascii="Times New Roman" w:eastAsia="Times New Roman" w:hAnsi="Times New Roman" w:cs="Times New Roman"/>
                <w:b/>
                <w:sz w:val="24"/>
                <w:szCs w:val="24"/>
                <w:lang w:eastAsia="lv-LV"/>
              </w:rPr>
            </w:pPr>
            <w:r w:rsidRPr="00F4603D">
              <w:rPr>
                <w:rFonts w:ascii="Times New Roman" w:eastAsia="Times New Roman" w:hAnsi="Times New Roman" w:cs="Times New Roman"/>
                <w:b/>
                <w:sz w:val="24"/>
                <w:szCs w:val="24"/>
                <w:lang w:eastAsia="lv-LV"/>
              </w:rPr>
              <w:t> II. Tiesību akta projekta ietekme uz sabiedrību</w:t>
            </w:r>
          </w:p>
        </w:tc>
      </w:tr>
      <w:tr w:rsidR="00490599" w:rsidRPr="0097174A" w:rsidTr="000E08BE">
        <w:trPr>
          <w:trHeight w:val="467"/>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rsidR="00490599" w:rsidRPr="00F4603D" w:rsidRDefault="000F17F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1</w:t>
            </w:r>
            <w:r w:rsidR="00490599" w:rsidRPr="00F4603D">
              <w:rPr>
                <w:rFonts w:ascii="Times New Roman" w:eastAsia="Times New Roman" w:hAnsi="Times New Roman" w:cs="Times New Roman"/>
                <w:sz w:val="24"/>
                <w:szCs w:val="24"/>
                <w:lang w:eastAsia="lv-LV"/>
              </w:rPr>
              <w:t>.</w:t>
            </w:r>
          </w:p>
        </w:tc>
        <w:tc>
          <w:tcPr>
            <w:tcW w:w="2522" w:type="dxa"/>
            <w:gridSpan w:val="2"/>
            <w:tcBorders>
              <w:top w:val="outset" w:sz="6" w:space="0" w:color="auto"/>
              <w:left w:val="outset" w:sz="6" w:space="0" w:color="auto"/>
              <w:bottom w:val="outset" w:sz="6" w:space="0" w:color="auto"/>
              <w:right w:val="outset" w:sz="6" w:space="0" w:color="auto"/>
            </w:tcBorders>
            <w:hideMark/>
          </w:tcPr>
          <w:p w:rsidR="00490599" w:rsidRPr="00F4603D" w:rsidRDefault="00490599"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 xml:space="preserve">Sabiedrības </w:t>
            </w:r>
            <w:proofErr w:type="spellStart"/>
            <w:r w:rsidRPr="00F4603D">
              <w:rPr>
                <w:rFonts w:ascii="Times New Roman" w:eastAsia="Times New Roman" w:hAnsi="Times New Roman" w:cs="Times New Roman"/>
                <w:sz w:val="24"/>
                <w:szCs w:val="24"/>
                <w:lang w:eastAsia="lv-LV"/>
              </w:rPr>
              <w:t>mērķgrupa</w:t>
            </w:r>
            <w:proofErr w:type="spellEnd"/>
          </w:p>
        </w:tc>
        <w:tc>
          <w:tcPr>
            <w:tcW w:w="5853" w:type="dxa"/>
            <w:gridSpan w:val="4"/>
            <w:tcBorders>
              <w:top w:val="outset" w:sz="6" w:space="0" w:color="auto"/>
              <w:left w:val="outset" w:sz="6" w:space="0" w:color="auto"/>
              <w:bottom w:val="outset" w:sz="6" w:space="0" w:color="auto"/>
              <w:right w:val="outset" w:sz="6" w:space="0" w:color="auto"/>
            </w:tcBorders>
            <w:hideMark/>
          </w:tcPr>
          <w:p w:rsidR="004A6B56" w:rsidRPr="00F4603D" w:rsidRDefault="00EB1337" w:rsidP="004A0D08">
            <w:pPr>
              <w:ind w:left="127" w:right="127" w:firstLine="283"/>
              <w:rPr>
                <w:rFonts w:ascii="Times New Roman" w:eastAsia="Times New Roman" w:hAnsi="Times New Roman" w:cs="Times New Roman"/>
                <w:sz w:val="24"/>
                <w:szCs w:val="24"/>
                <w:lang w:eastAsia="lv-LV"/>
              </w:rPr>
            </w:pPr>
            <w:r w:rsidRPr="00F4603D">
              <w:rPr>
                <w:rFonts w:ascii="Times New Roman" w:eastAsia="Times New Roman" w:hAnsi="Times New Roman" w:cs="Times New Roman"/>
                <w:kern w:val="1"/>
                <w:sz w:val="24"/>
                <w:szCs w:val="24"/>
                <w:lang w:eastAsia="lv-LV"/>
              </w:rPr>
              <w:t>Izstrādāt</w:t>
            </w:r>
            <w:r w:rsidR="004A773E">
              <w:rPr>
                <w:rFonts w:ascii="Times New Roman" w:eastAsia="Times New Roman" w:hAnsi="Times New Roman" w:cs="Times New Roman"/>
                <w:kern w:val="1"/>
                <w:sz w:val="24"/>
                <w:szCs w:val="24"/>
                <w:lang w:eastAsia="lv-LV"/>
              </w:rPr>
              <w:t>ais</w:t>
            </w:r>
            <w:r w:rsidRPr="00F4603D">
              <w:rPr>
                <w:rFonts w:ascii="Times New Roman" w:eastAsia="Times New Roman" w:hAnsi="Times New Roman" w:cs="Times New Roman"/>
                <w:kern w:val="1"/>
                <w:sz w:val="24"/>
                <w:szCs w:val="24"/>
                <w:lang w:eastAsia="lv-LV"/>
              </w:rPr>
              <w:t xml:space="preserve"> </w:t>
            </w:r>
            <w:r w:rsidR="0009673C" w:rsidRPr="00F4603D">
              <w:rPr>
                <w:rFonts w:ascii="Times New Roman" w:eastAsia="Times New Roman" w:hAnsi="Times New Roman" w:cs="Times New Roman"/>
                <w:kern w:val="1"/>
                <w:sz w:val="24"/>
                <w:szCs w:val="24"/>
                <w:lang w:eastAsia="lv-LV"/>
              </w:rPr>
              <w:t xml:space="preserve">Ministru kabineta </w:t>
            </w:r>
            <w:r w:rsidRPr="00F4603D">
              <w:rPr>
                <w:rFonts w:ascii="Times New Roman" w:eastAsia="Times New Roman" w:hAnsi="Times New Roman" w:cs="Times New Roman"/>
                <w:kern w:val="1"/>
                <w:sz w:val="24"/>
                <w:szCs w:val="24"/>
                <w:lang w:eastAsia="lv-LV"/>
              </w:rPr>
              <w:t>noteikum</w:t>
            </w:r>
            <w:r w:rsidR="004A773E">
              <w:rPr>
                <w:rFonts w:ascii="Times New Roman" w:eastAsia="Times New Roman" w:hAnsi="Times New Roman" w:cs="Times New Roman"/>
                <w:kern w:val="1"/>
                <w:sz w:val="24"/>
                <w:szCs w:val="24"/>
                <w:lang w:eastAsia="lv-LV"/>
              </w:rPr>
              <w:t>u projekts</w:t>
            </w:r>
            <w:r w:rsidRPr="00F4603D">
              <w:rPr>
                <w:rFonts w:ascii="Times New Roman" w:eastAsia="Times New Roman" w:hAnsi="Times New Roman" w:cs="Times New Roman"/>
                <w:kern w:val="1"/>
                <w:sz w:val="24"/>
                <w:szCs w:val="24"/>
                <w:lang w:eastAsia="lv-LV"/>
              </w:rPr>
              <w:t xml:space="preserve"> </w:t>
            </w:r>
            <w:r w:rsidR="0009673C" w:rsidRPr="00F4603D">
              <w:rPr>
                <w:rFonts w:ascii="Times New Roman" w:eastAsia="Times New Roman" w:hAnsi="Times New Roman" w:cs="Times New Roman"/>
                <w:kern w:val="1"/>
                <w:sz w:val="24"/>
                <w:szCs w:val="24"/>
                <w:lang w:eastAsia="lv-LV"/>
              </w:rPr>
              <w:t xml:space="preserve">ir </w:t>
            </w:r>
            <w:r w:rsidR="004A0D08" w:rsidRPr="00F4603D">
              <w:rPr>
                <w:rFonts w:ascii="Times New Roman" w:eastAsia="Times New Roman" w:hAnsi="Times New Roman" w:cs="Times New Roman"/>
                <w:kern w:val="1"/>
                <w:sz w:val="24"/>
                <w:szCs w:val="24"/>
                <w:lang w:eastAsia="lv-LV"/>
              </w:rPr>
              <w:t>attiecinām</w:t>
            </w:r>
            <w:r w:rsidR="004A0D08">
              <w:rPr>
                <w:rFonts w:ascii="Times New Roman" w:eastAsia="Times New Roman" w:hAnsi="Times New Roman" w:cs="Times New Roman"/>
                <w:kern w:val="1"/>
                <w:sz w:val="24"/>
                <w:szCs w:val="24"/>
                <w:lang w:eastAsia="lv-LV"/>
              </w:rPr>
              <w:t>s</w:t>
            </w:r>
            <w:r w:rsidR="004A0D08" w:rsidRPr="00F4603D">
              <w:rPr>
                <w:rFonts w:ascii="Times New Roman" w:eastAsia="Times New Roman" w:hAnsi="Times New Roman" w:cs="Times New Roman"/>
                <w:kern w:val="1"/>
                <w:sz w:val="24"/>
                <w:szCs w:val="24"/>
                <w:lang w:eastAsia="lv-LV"/>
              </w:rPr>
              <w:t xml:space="preserve"> </w:t>
            </w:r>
            <w:r w:rsidR="0009673C" w:rsidRPr="00F4603D">
              <w:rPr>
                <w:rFonts w:ascii="Times New Roman" w:eastAsia="Times New Roman" w:hAnsi="Times New Roman" w:cs="Times New Roman"/>
                <w:kern w:val="1"/>
                <w:sz w:val="24"/>
                <w:szCs w:val="24"/>
                <w:lang w:eastAsia="lv-LV"/>
              </w:rPr>
              <w:t xml:space="preserve">uz personām, kas </w:t>
            </w:r>
            <w:r w:rsidR="003E1B62" w:rsidRPr="00F4603D">
              <w:rPr>
                <w:rFonts w:ascii="Times New Roman" w:eastAsia="Times New Roman" w:hAnsi="Times New Roman" w:cs="Times New Roman"/>
                <w:sz w:val="24"/>
                <w:szCs w:val="24"/>
                <w:lang w:eastAsia="lv-LV"/>
              </w:rPr>
              <w:t xml:space="preserve">ieved </w:t>
            </w:r>
            <w:r w:rsidR="00AD6F89" w:rsidRPr="00F4603D">
              <w:rPr>
                <w:rFonts w:ascii="Times New Roman" w:eastAsia="Times New Roman" w:hAnsi="Times New Roman" w:cs="Times New Roman"/>
                <w:sz w:val="24"/>
                <w:szCs w:val="24"/>
                <w:lang w:eastAsia="lv-LV"/>
              </w:rPr>
              <w:t xml:space="preserve">ar akcīzes nodokli apliekamās </w:t>
            </w:r>
            <w:r w:rsidR="003E1B62" w:rsidRPr="00F4603D">
              <w:rPr>
                <w:rFonts w:ascii="Times New Roman" w:eastAsia="Times New Roman" w:hAnsi="Times New Roman" w:cs="Times New Roman"/>
                <w:sz w:val="24"/>
                <w:szCs w:val="24"/>
                <w:lang w:eastAsia="lv-LV"/>
              </w:rPr>
              <w:t>preces Eiropas Savie</w:t>
            </w:r>
            <w:r w:rsidR="00FB4DBC" w:rsidRPr="00F4603D">
              <w:rPr>
                <w:rFonts w:ascii="Times New Roman" w:eastAsia="Times New Roman" w:hAnsi="Times New Roman" w:cs="Times New Roman"/>
                <w:sz w:val="24"/>
                <w:szCs w:val="24"/>
                <w:lang w:eastAsia="lv-LV"/>
              </w:rPr>
              <w:t>nīb</w:t>
            </w:r>
            <w:r w:rsidR="00CF5CE6" w:rsidRPr="00F4603D">
              <w:rPr>
                <w:rFonts w:ascii="Times New Roman" w:eastAsia="Times New Roman" w:hAnsi="Times New Roman" w:cs="Times New Roman"/>
                <w:sz w:val="24"/>
                <w:szCs w:val="24"/>
                <w:lang w:eastAsia="lv-LV"/>
              </w:rPr>
              <w:t>ā un</w:t>
            </w:r>
            <w:r w:rsidR="00A95E92" w:rsidRPr="00F4603D">
              <w:rPr>
                <w:rFonts w:ascii="Times New Roman" w:eastAsia="Times New Roman" w:hAnsi="Times New Roman" w:cs="Times New Roman"/>
                <w:sz w:val="24"/>
                <w:szCs w:val="24"/>
                <w:lang w:eastAsia="lv-LV"/>
              </w:rPr>
              <w:t xml:space="preserve"> tām </w:t>
            </w:r>
            <w:r w:rsidR="00CF5CE6" w:rsidRPr="00F4603D">
              <w:rPr>
                <w:rFonts w:ascii="Times New Roman" w:eastAsia="Times New Roman" w:hAnsi="Times New Roman" w:cs="Times New Roman"/>
                <w:sz w:val="24"/>
                <w:szCs w:val="24"/>
                <w:lang w:eastAsia="lv-LV"/>
              </w:rPr>
              <w:t xml:space="preserve">piemēro </w:t>
            </w:r>
            <w:r w:rsidR="003E1B62" w:rsidRPr="00F4603D">
              <w:rPr>
                <w:rFonts w:ascii="Times New Roman" w:eastAsia="Times New Roman" w:hAnsi="Times New Roman" w:cs="Times New Roman"/>
                <w:sz w:val="24"/>
                <w:szCs w:val="24"/>
                <w:lang w:eastAsia="lv-LV"/>
              </w:rPr>
              <w:t>muitas procedūru</w:t>
            </w:r>
            <w:r w:rsidR="004A0D08">
              <w:rPr>
                <w:rFonts w:ascii="Times New Roman" w:eastAsia="Times New Roman" w:hAnsi="Times New Roman" w:cs="Times New Roman"/>
                <w:sz w:val="24"/>
                <w:szCs w:val="24"/>
                <w:lang w:eastAsia="lv-LV"/>
              </w:rPr>
              <w:t xml:space="preserve"> –</w:t>
            </w:r>
            <w:r w:rsidR="00CF5CE6" w:rsidRPr="00F4603D">
              <w:rPr>
                <w:rFonts w:ascii="Times New Roman" w:eastAsia="Times New Roman" w:hAnsi="Times New Roman" w:cs="Times New Roman"/>
                <w:sz w:val="24"/>
                <w:szCs w:val="24"/>
                <w:lang w:eastAsia="lv-LV"/>
              </w:rPr>
              <w:t xml:space="preserve"> </w:t>
            </w:r>
            <w:r w:rsidR="003E1B62" w:rsidRPr="00F4603D">
              <w:rPr>
                <w:rFonts w:ascii="Times New Roman" w:eastAsia="Times New Roman" w:hAnsi="Times New Roman" w:cs="Times New Roman"/>
                <w:sz w:val="24"/>
                <w:szCs w:val="24"/>
                <w:lang w:eastAsia="lv-LV"/>
              </w:rPr>
              <w:t>laišana brīvā apgrozībā</w:t>
            </w:r>
            <w:r w:rsidR="00C4071F" w:rsidRPr="00F4603D">
              <w:rPr>
                <w:rFonts w:ascii="Times New Roman" w:eastAsia="Times New Roman" w:hAnsi="Times New Roman" w:cs="Times New Roman"/>
                <w:sz w:val="24"/>
                <w:szCs w:val="24"/>
                <w:lang w:eastAsia="lv-LV"/>
              </w:rPr>
              <w:t>.</w:t>
            </w:r>
          </w:p>
        </w:tc>
      </w:tr>
      <w:tr w:rsidR="00490599" w:rsidRPr="0097174A" w:rsidTr="000E08BE">
        <w:trPr>
          <w:trHeight w:val="523"/>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rsidR="00490599" w:rsidRPr="00F4603D" w:rsidRDefault="00490599"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2.</w:t>
            </w:r>
          </w:p>
        </w:tc>
        <w:tc>
          <w:tcPr>
            <w:tcW w:w="2522" w:type="dxa"/>
            <w:gridSpan w:val="2"/>
            <w:tcBorders>
              <w:top w:val="outset" w:sz="6" w:space="0" w:color="auto"/>
              <w:left w:val="outset" w:sz="6" w:space="0" w:color="auto"/>
              <w:bottom w:val="outset" w:sz="6" w:space="0" w:color="auto"/>
              <w:right w:val="outset" w:sz="6" w:space="0" w:color="auto"/>
            </w:tcBorders>
            <w:hideMark/>
          </w:tcPr>
          <w:p w:rsidR="00490599" w:rsidRPr="00F4603D"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 xml:space="preserve">Citas sabiedrības grupas (bez </w:t>
            </w:r>
            <w:proofErr w:type="spellStart"/>
            <w:r w:rsidRPr="00F4603D">
              <w:rPr>
                <w:rFonts w:ascii="Times New Roman" w:eastAsia="Times New Roman" w:hAnsi="Times New Roman" w:cs="Times New Roman"/>
                <w:sz w:val="24"/>
                <w:szCs w:val="24"/>
                <w:lang w:eastAsia="lv-LV"/>
              </w:rPr>
              <w:t>mērķgrupas</w:t>
            </w:r>
            <w:proofErr w:type="spellEnd"/>
            <w:r w:rsidRPr="00F4603D">
              <w:rPr>
                <w:rFonts w:ascii="Times New Roman" w:eastAsia="Times New Roman" w:hAnsi="Times New Roman" w:cs="Times New Roman"/>
                <w:sz w:val="24"/>
                <w:szCs w:val="24"/>
                <w:lang w:eastAsia="lv-LV"/>
              </w:rPr>
              <w:t>), kuras tiesiskais regulējums arī ietekmē vai varētu ietekmēt</w:t>
            </w:r>
          </w:p>
        </w:tc>
        <w:tc>
          <w:tcPr>
            <w:tcW w:w="5853" w:type="dxa"/>
            <w:gridSpan w:val="4"/>
            <w:tcBorders>
              <w:top w:val="outset" w:sz="6" w:space="0" w:color="auto"/>
              <w:left w:val="outset" w:sz="6" w:space="0" w:color="auto"/>
              <w:bottom w:val="outset" w:sz="6" w:space="0" w:color="auto"/>
              <w:right w:val="outset" w:sz="6" w:space="0" w:color="auto"/>
            </w:tcBorders>
            <w:hideMark/>
          </w:tcPr>
          <w:p w:rsidR="00490599" w:rsidRPr="00F4603D" w:rsidRDefault="00B552A2" w:rsidP="008E4886">
            <w:pPr>
              <w:spacing w:before="100" w:beforeAutospacing="1" w:after="100" w:afterAutospacing="1" w:line="40" w:lineRule="atLeast"/>
              <w:ind w:left="0"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87DE1" w:rsidRPr="00987DE1">
              <w:rPr>
                <w:rFonts w:ascii="Times New Roman" w:eastAsia="Times New Roman" w:hAnsi="Times New Roman" w:cs="Times New Roman"/>
                <w:sz w:val="24"/>
                <w:szCs w:val="24"/>
                <w:lang w:eastAsia="lv-LV"/>
              </w:rPr>
              <w:t>Projekts šo jomu neskar</w:t>
            </w:r>
          </w:p>
        </w:tc>
      </w:tr>
      <w:tr w:rsidR="00490599" w:rsidRPr="0097174A" w:rsidTr="000E08BE">
        <w:trPr>
          <w:trHeight w:val="517"/>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rsidR="00490599" w:rsidRPr="00F4603D" w:rsidRDefault="00490599"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3.</w:t>
            </w:r>
          </w:p>
        </w:tc>
        <w:tc>
          <w:tcPr>
            <w:tcW w:w="2522" w:type="dxa"/>
            <w:gridSpan w:val="2"/>
            <w:tcBorders>
              <w:top w:val="outset" w:sz="6" w:space="0" w:color="auto"/>
              <w:left w:val="outset" w:sz="6" w:space="0" w:color="auto"/>
              <w:bottom w:val="outset" w:sz="6" w:space="0" w:color="auto"/>
              <w:right w:val="outset" w:sz="6" w:space="0" w:color="auto"/>
            </w:tcBorders>
            <w:hideMark/>
          </w:tcPr>
          <w:p w:rsidR="00490599" w:rsidRPr="00F4603D"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Tiesiskā regulējuma finansiālā ietekme</w:t>
            </w:r>
          </w:p>
        </w:tc>
        <w:tc>
          <w:tcPr>
            <w:tcW w:w="5853" w:type="dxa"/>
            <w:gridSpan w:val="4"/>
            <w:tcBorders>
              <w:top w:val="outset" w:sz="6" w:space="0" w:color="auto"/>
              <w:left w:val="outset" w:sz="6" w:space="0" w:color="auto"/>
              <w:bottom w:val="outset" w:sz="6" w:space="0" w:color="auto"/>
              <w:right w:val="outset" w:sz="6" w:space="0" w:color="auto"/>
            </w:tcBorders>
            <w:hideMark/>
          </w:tcPr>
          <w:p w:rsidR="00490599" w:rsidRPr="00F4603D" w:rsidRDefault="00B552A2" w:rsidP="008E4886">
            <w:pPr>
              <w:spacing w:before="100" w:beforeAutospacing="1" w:after="100" w:afterAutospacing="1" w:line="40" w:lineRule="atLeast"/>
              <w:ind w:left="0"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87DE1" w:rsidRPr="00987DE1">
              <w:rPr>
                <w:rFonts w:ascii="Times New Roman" w:eastAsia="Times New Roman" w:hAnsi="Times New Roman" w:cs="Times New Roman"/>
                <w:sz w:val="24"/>
                <w:szCs w:val="24"/>
                <w:lang w:eastAsia="lv-LV"/>
              </w:rPr>
              <w:t>Projekts šo jomu neskar</w:t>
            </w:r>
          </w:p>
        </w:tc>
      </w:tr>
      <w:tr w:rsidR="00490599" w:rsidRPr="0097174A" w:rsidTr="000E08BE">
        <w:trPr>
          <w:trHeight w:val="517"/>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rsidR="00490599" w:rsidRPr="00F4603D" w:rsidRDefault="00490599"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4.</w:t>
            </w:r>
          </w:p>
        </w:tc>
        <w:tc>
          <w:tcPr>
            <w:tcW w:w="2522" w:type="dxa"/>
            <w:gridSpan w:val="2"/>
            <w:tcBorders>
              <w:top w:val="outset" w:sz="6" w:space="0" w:color="auto"/>
              <w:left w:val="outset" w:sz="6" w:space="0" w:color="auto"/>
              <w:bottom w:val="outset" w:sz="6" w:space="0" w:color="auto"/>
              <w:right w:val="outset" w:sz="6" w:space="0" w:color="auto"/>
            </w:tcBorders>
            <w:hideMark/>
          </w:tcPr>
          <w:p w:rsidR="00490599" w:rsidRPr="00F4603D"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Tiesiskā regulējuma nefinansiālā ietekme</w:t>
            </w:r>
          </w:p>
        </w:tc>
        <w:tc>
          <w:tcPr>
            <w:tcW w:w="5853" w:type="dxa"/>
            <w:gridSpan w:val="4"/>
            <w:tcBorders>
              <w:top w:val="outset" w:sz="6" w:space="0" w:color="auto"/>
              <w:left w:val="outset" w:sz="6" w:space="0" w:color="auto"/>
              <w:bottom w:val="outset" w:sz="6" w:space="0" w:color="auto"/>
              <w:right w:val="outset" w:sz="6" w:space="0" w:color="auto"/>
            </w:tcBorders>
            <w:hideMark/>
          </w:tcPr>
          <w:p w:rsidR="00490599" w:rsidRPr="00F4603D" w:rsidRDefault="00B552A2" w:rsidP="008E4886">
            <w:pPr>
              <w:spacing w:before="100" w:beforeAutospacing="1" w:after="100" w:afterAutospacing="1" w:line="40" w:lineRule="atLeast"/>
              <w:ind w:left="0"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87DE1" w:rsidRPr="00987DE1">
              <w:rPr>
                <w:rFonts w:ascii="Times New Roman" w:eastAsia="Times New Roman" w:hAnsi="Times New Roman" w:cs="Times New Roman"/>
                <w:sz w:val="24"/>
                <w:szCs w:val="24"/>
                <w:lang w:eastAsia="lv-LV"/>
              </w:rPr>
              <w:t>Projekts šo jomu neskar</w:t>
            </w:r>
          </w:p>
        </w:tc>
      </w:tr>
      <w:tr w:rsidR="00490599" w:rsidRPr="0097174A" w:rsidTr="000E08BE">
        <w:trPr>
          <w:trHeight w:val="531"/>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rsidR="00490599" w:rsidRPr="00F4603D" w:rsidRDefault="00490599"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5.</w:t>
            </w:r>
          </w:p>
        </w:tc>
        <w:tc>
          <w:tcPr>
            <w:tcW w:w="2522" w:type="dxa"/>
            <w:gridSpan w:val="2"/>
            <w:tcBorders>
              <w:top w:val="outset" w:sz="6" w:space="0" w:color="auto"/>
              <w:left w:val="outset" w:sz="6" w:space="0" w:color="auto"/>
              <w:bottom w:val="outset" w:sz="6" w:space="0" w:color="auto"/>
              <w:right w:val="outset" w:sz="6" w:space="0" w:color="auto"/>
            </w:tcBorders>
            <w:hideMark/>
          </w:tcPr>
          <w:p w:rsidR="00490599" w:rsidRPr="00F4603D"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Administratīvās procedūras raksturojums</w:t>
            </w:r>
          </w:p>
        </w:tc>
        <w:tc>
          <w:tcPr>
            <w:tcW w:w="5853" w:type="dxa"/>
            <w:gridSpan w:val="4"/>
            <w:tcBorders>
              <w:top w:val="outset" w:sz="6" w:space="0" w:color="auto"/>
              <w:left w:val="outset" w:sz="6" w:space="0" w:color="auto"/>
              <w:bottom w:val="outset" w:sz="6" w:space="0" w:color="auto"/>
              <w:right w:val="outset" w:sz="6" w:space="0" w:color="auto"/>
            </w:tcBorders>
            <w:hideMark/>
          </w:tcPr>
          <w:p w:rsidR="00490599" w:rsidRPr="00F4603D" w:rsidRDefault="00B552A2" w:rsidP="008E4886">
            <w:pPr>
              <w:spacing w:line="40" w:lineRule="atLeast"/>
              <w:ind w:left="0"/>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  </w:t>
            </w:r>
            <w:r w:rsidR="00987DE1" w:rsidRPr="00987DE1">
              <w:rPr>
                <w:rFonts w:ascii="Times New Roman" w:eastAsia="Times New Roman" w:hAnsi="Times New Roman" w:cs="Times New Roman"/>
                <w:sz w:val="24"/>
                <w:szCs w:val="24"/>
                <w:lang w:eastAsia="lv-LV"/>
              </w:rPr>
              <w:t>Projekts šo jomu neskar</w:t>
            </w:r>
          </w:p>
        </w:tc>
      </w:tr>
      <w:tr w:rsidR="00490599" w:rsidRPr="0097174A" w:rsidTr="000E08BE">
        <w:trPr>
          <w:trHeight w:val="357"/>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rsidR="00490599" w:rsidRPr="00F4603D" w:rsidRDefault="00490599" w:rsidP="00F4603D">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 xml:space="preserve"> 6.</w:t>
            </w:r>
          </w:p>
        </w:tc>
        <w:tc>
          <w:tcPr>
            <w:tcW w:w="2522" w:type="dxa"/>
            <w:gridSpan w:val="2"/>
            <w:tcBorders>
              <w:top w:val="outset" w:sz="6" w:space="0" w:color="auto"/>
              <w:left w:val="outset" w:sz="6" w:space="0" w:color="auto"/>
              <w:bottom w:val="outset" w:sz="6" w:space="0" w:color="auto"/>
              <w:right w:val="outset" w:sz="6" w:space="0" w:color="auto"/>
            </w:tcBorders>
            <w:hideMark/>
          </w:tcPr>
          <w:p w:rsidR="00490599" w:rsidRPr="00F4603D"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Administratīvo izmaksu monetārs novērtējums</w:t>
            </w:r>
          </w:p>
        </w:tc>
        <w:tc>
          <w:tcPr>
            <w:tcW w:w="5853" w:type="dxa"/>
            <w:gridSpan w:val="4"/>
            <w:tcBorders>
              <w:top w:val="outset" w:sz="6" w:space="0" w:color="auto"/>
              <w:left w:val="outset" w:sz="6" w:space="0" w:color="auto"/>
              <w:bottom w:val="outset" w:sz="6" w:space="0" w:color="auto"/>
              <w:right w:val="outset" w:sz="6" w:space="0" w:color="auto"/>
            </w:tcBorders>
            <w:hideMark/>
          </w:tcPr>
          <w:p w:rsidR="00490599" w:rsidRPr="00F4603D" w:rsidRDefault="00B552A2" w:rsidP="008E4886">
            <w:pPr>
              <w:spacing w:before="100" w:beforeAutospacing="1" w:after="100" w:afterAutospacing="1" w:line="40" w:lineRule="atLeast"/>
              <w:ind w:left="0"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87DE1" w:rsidRPr="00987DE1">
              <w:rPr>
                <w:rFonts w:ascii="Times New Roman" w:eastAsia="Times New Roman" w:hAnsi="Times New Roman" w:cs="Times New Roman"/>
                <w:sz w:val="24"/>
                <w:szCs w:val="24"/>
                <w:lang w:eastAsia="lv-LV"/>
              </w:rPr>
              <w:t>Projekts šo jomu neskar</w:t>
            </w:r>
          </w:p>
        </w:tc>
      </w:tr>
      <w:tr w:rsidR="00490599" w:rsidRPr="0097174A" w:rsidTr="000E08BE">
        <w:trPr>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rsidR="00490599" w:rsidRPr="00F4603D" w:rsidRDefault="00490599"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7.</w:t>
            </w:r>
          </w:p>
        </w:tc>
        <w:tc>
          <w:tcPr>
            <w:tcW w:w="2522" w:type="dxa"/>
            <w:gridSpan w:val="2"/>
            <w:tcBorders>
              <w:top w:val="outset" w:sz="6" w:space="0" w:color="auto"/>
              <w:left w:val="outset" w:sz="6" w:space="0" w:color="auto"/>
              <w:bottom w:val="outset" w:sz="6" w:space="0" w:color="auto"/>
              <w:right w:val="outset" w:sz="6" w:space="0" w:color="auto"/>
            </w:tcBorders>
            <w:hideMark/>
          </w:tcPr>
          <w:p w:rsidR="00490599" w:rsidRPr="00F4603D"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Cita informācija</w:t>
            </w:r>
          </w:p>
        </w:tc>
        <w:tc>
          <w:tcPr>
            <w:tcW w:w="5853" w:type="dxa"/>
            <w:gridSpan w:val="4"/>
            <w:tcBorders>
              <w:top w:val="outset" w:sz="6" w:space="0" w:color="auto"/>
              <w:left w:val="outset" w:sz="6" w:space="0" w:color="auto"/>
              <w:bottom w:val="outset" w:sz="6" w:space="0" w:color="auto"/>
              <w:right w:val="outset" w:sz="6" w:space="0" w:color="auto"/>
            </w:tcBorders>
            <w:hideMark/>
          </w:tcPr>
          <w:p w:rsidR="00490599" w:rsidRPr="00F4603D" w:rsidRDefault="00B552A2" w:rsidP="008E4886">
            <w:pPr>
              <w:spacing w:before="100" w:beforeAutospacing="1" w:after="100" w:afterAutospacing="1" w:line="40" w:lineRule="atLeast"/>
              <w:ind w:left="0"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90599" w:rsidRPr="00F4603D">
              <w:rPr>
                <w:rFonts w:ascii="Times New Roman" w:eastAsia="Times New Roman" w:hAnsi="Times New Roman" w:cs="Times New Roman"/>
                <w:sz w:val="24"/>
                <w:szCs w:val="24"/>
                <w:lang w:eastAsia="lv-LV"/>
              </w:rPr>
              <w:t>Nav</w:t>
            </w:r>
          </w:p>
        </w:tc>
      </w:tr>
      <w:tr w:rsidR="00F3587F" w:rsidRPr="0097174A" w:rsidTr="000E08BE">
        <w:trPr>
          <w:tblCellSpacing w:w="0" w:type="dxa"/>
        </w:trPr>
        <w:tc>
          <w:tcPr>
            <w:tcW w:w="8947" w:type="dxa"/>
            <w:gridSpan w:val="9"/>
            <w:tcBorders>
              <w:top w:val="outset" w:sz="6" w:space="0" w:color="auto"/>
              <w:left w:val="outset" w:sz="6" w:space="0" w:color="auto"/>
              <w:bottom w:val="outset" w:sz="6" w:space="0" w:color="auto"/>
              <w:right w:val="outset" w:sz="6" w:space="0" w:color="auto"/>
            </w:tcBorders>
            <w:hideMark/>
          </w:tcPr>
          <w:p w:rsidR="00F3587F" w:rsidRPr="00F4603D" w:rsidRDefault="00F3587F" w:rsidP="002E2B4C">
            <w:pPr>
              <w:spacing w:before="100" w:beforeAutospacing="1" w:after="100" w:afterAutospacing="1" w:line="40" w:lineRule="atLeast"/>
              <w:ind w:left="0"/>
              <w:jc w:val="center"/>
              <w:rPr>
                <w:rFonts w:ascii="Times New Roman" w:eastAsia="Times New Roman" w:hAnsi="Times New Roman" w:cs="Times New Roman"/>
                <w:b/>
                <w:bCs/>
                <w:sz w:val="24"/>
                <w:szCs w:val="24"/>
                <w:lang w:eastAsia="lv-LV"/>
              </w:rPr>
            </w:pPr>
            <w:r w:rsidRPr="00F4603D">
              <w:rPr>
                <w:rFonts w:ascii="Times New Roman" w:hAnsi="Times New Roman" w:cs="Times New Roman"/>
                <w:sz w:val="24"/>
                <w:szCs w:val="24"/>
              </w:rPr>
              <w:br w:type="page"/>
            </w:r>
            <w:r w:rsidRPr="00F4603D">
              <w:rPr>
                <w:rFonts w:ascii="Times New Roman" w:eastAsia="Times New Roman" w:hAnsi="Times New Roman" w:cs="Times New Roman"/>
                <w:b/>
                <w:bCs/>
                <w:sz w:val="24"/>
                <w:szCs w:val="24"/>
                <w:lang w:eastAsia="lv-LV"/>
              </w:rPr>
              <w:t>V. Tiesību akta projekta atbilstība Latvijas Republikas starptautiskajām saistībām</w:t>
            </w:r>
          </w:p>
        </w:tc>
      </w:tr>
      <w:tr w:rsidR="00F3587F" w:rsidRPr="0097174A" w:rsidTr="000E08BE">
        <w:trPr>
          <w:trHeight w:val="786"/>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rsidR="00F3587F" w:rsidRPr="00F4603D" w:rsidRDefault="00F3587F"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1.</w:t>
            </w:r>
          </w:p>
        </w:tc>
        <w:tc>
          <w:tcPr>
            <w:tcW w:w="2522" w:type="dxa"/>
            <w:gridSpan w:val="2"/>
            <w:tcBorders>
              <w:top w:val="outset" w:sz="6" w:space="0" w:color="auto"/>
              <w:left w:val="outset" w:sz="6" w:space="0" w:color="auto"/>
              <w:bottom w:val="outset" w:sz="6" w:space="0" w:color="auto"/>
              <w:right w:val="outset" w:sz="6" w:space="0" w:color="auto"/>
            </w:tcBorders>
            <w:hideMark/>
          </w:tcPr>
          <w:p w:rsidR="00F3587F" w:rsidRPr="00F4603D"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Saistības pret Eiropas Savienību</w:t>
            </w:r>
          </w:p>
        </w:tc>
        <w:tc>
          <w:tcPr>
            <w:tcW w:w="5853" w:type="dxa"/>
            <w:gridSpan w:val="4"/>
            <w:tcBorders>
              <w:top w:val="outset" w:sz="6" w:space="0" w:color="auto"/>
              <w:left w:val="outset" w:sz="6" w:space="0" w:color="auto"/>
              <w:bottom w:val="outset" w:sz="6" w:space="0" w:color="auto"/>
              <w:right w:val="outset" w:sz="6" w:space="0" w:color="auto"/>
            </w:tcBorders>
            <w:hideMark/>
          </w:tcPr>
          <w:p w:rsidR="00F3587F" w:rsidRPr="00F4603D" w:rsidRDefault="003407E5" w:rsidP="00120112">
            <w:pPr>
              <w:spacing w:after="0" w:line="40" w:lineRule="atLeast"/>
              <w:ind w:left="125" w:right="125" w:firstLineChars="114" w:firstLine="274"/>
              <w:rPr>
                <w:rFonts w:ascii="Times New Roman" w:hAnsi="Times New Roman" w:cs="Times New Roman"/>
                <w:b/>
                <w:sz w:val="24"/>
                <w:szCs w:val="24"/>
              </w:rPr>
            </w:pPr>
            <w:r w:rsidRPr="00F4603D">
              <w:rPr>
                <w:rFonts w:ascii="Times New Roman" w:hAnsi="Times New Roman" w:cs="Times New Roman"/>
                <w:sz w:val="24"/>
                <w:szCs w:val="24"/>
              </w:rPr>
              <w:t>Eiropas Komisija 2012.gada 9.oktobra Komisijas Īstenošanas Regul</w:t>
            </w:r>
            <w:r>
              <w:rPr>
                <w:rFonts w:ascii="Times New Roman" w:hAnsi="Times New Roman" w:cs="Times New Roman"/>
                <w:sz w:val="24"/>
                <w:szCs w:val="24"/>
              </w:rPr>
              <w:t>as</w:t>
            </w:r>
            <w:r w:rsidRPr="00F4603D">
              <w:rPr>
                <w:rFonts w:ascii="Times New Roman" w:hAnsi="Times New Roman" w:cs="Times New Roman"/>
                <w:sz w:val="24"/>
                <w:szCs w:val="24"/>
              </w:rPr>
              <w:t xml:space="preserve"> Nr.927/2012, ar ko groza I pielikumu Padomes Regulā (EEK) Nr.2658/87 par tarifu un statistikas nomenklatūru un kopējo muitas tarifu</w:t>
            </w:r>
            <w:r w:rsidR="009A0DD2">
              <w:rPr>
                <w:rFonts w:ascii="Times New Roman" w:hAnsi="Times New Roman" w:cs="Times New Roman"/>
                <w:sz w:val="24"/>
                <w:szCs w:val="24"/>
              </w:rPr>
              <w:t xml:space="preserve"> </w:t>
            </w:r>
            <w:r w:rsidR="009A0DD2" w:rsidRPr="00F4603D">
              <w:rPr>
                <w:rFonts w:ascii="Times New Roman" w:hAnsi="Times New Roman" w:cs="Times New Roman"/>
                <w:sz w:val="24"/>
                <w:szCs w:val="24"/>
              </w:rPr>
              <w:t>1</w:t>
            </w:r>
            <w:r w:rsidR="009A0DD2" w:rsidRPr="00F4603D">
              <w:rPr>
                <w:rFonts w:ascii="Times New Roman" w:eastAsia="Times New Roman" w:hAnsi="Times New Roman" w:cs="Times New Roman"/>
                <w:sz w:val="24"/>
                <w:szCs w:val="24"/>
                <w:lang w:eastAsia="lv-LV"/>
              </w:rPr>
              <w:t>.pants</w:t>
            </w:r>
            <w:bookmarkStart w:id="4" w:name="_GoBack"/>
            <w:bookmarkEnd w:id="4"/>
          </w:p>
        </w:tc>
      </w:tr>
      <w:tr w:rsidR="00F3587F" w:rsidRPr="0097174A" w:rsidTr="000E08BE">
        <w:trPr>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rsidR="00F3587F" w:rsidRPr="00F4603D" w:rsidRDefault="00F3587F" w:rsidP="00F4603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 2.</w:t>
            </w:r>
          </w:p>
        </w:tc>
        <w:tc>
          <w:tcPr>
            <w:tcW w:w="2522" w:type="dxa"/>
            <w:gridSpan w:val="2"/>
            <w:tcBorders>
              <w:top w:val="outset" w:sz="6" w:space="0" w:color="auto"/>
              <w:left w:val="outset" w:sz="6" w:space="0" w:color="auto"/>
              <w:bottom w:val="outset" w:sz="6" w:space="0" w:color="auto"/>
              <w:right w:val="outset" w:sz="6" w:space="0" w:color="auto"/>
            </w:tcBorders>
            <w:hideMark/>
          </w:tcPr>
          <w:p w:rsidR="00F3587F" w:rsidRPr="00F4603D"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Citas starptautiskās saistības</w:t>
            </w:r>
          </w:p>
        </w:tc>
        <w:tc>
          <w:tcPr>
            <w:tcW w:w="5853" w:type="dxa"/>
            <w:gridSpan w:val="4"/>
            <w:tcBorders>
              <w:top w:val="outset" w:sz="6" w:space="0" w:color="auto"/>
              <w:left w:val="outset" w:sz="6" w:space="0" w:color="auto"/>
              <w:bottom w:val="outset" w:sz="6" w:space="0" w:color="auto"/>
              <w:right w:val="outset" w:sz="6" w:space="0" w:color="auto"/>
            </w:tcBorders>
            <w:hideMark/>
          </w:tcPr>
          <w:p w:rsidR="00F3587F" w:rsidRPr="00F4603D" w:rsidRDefault="009A0DD2" w:rsidP="008E4886">
            <w:pPr>
              <w:spacing w:before="100" w:beforeAutospacing="1" w:after="100" w:afterAutospacing="1" w:line="40" w:lineRule="atLeast"/>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87DE1" w:rsidRPr="00987DE1">
              <w:rPr>
                <w:rFonts w:ascii="Times New Roman" w:eastAsia="Times New Roman" w:hAnsi="Times New Roman" w:cs="Times New Roman"/>
                <w:sz w:val="24"/>
                <w:szCs w:val="24"/>
                <w:lang w:eastAsia="lv-LV"/>
              </w:rPr>
              <w:t>Projekts šo jomu neskar</w:t>
            </w:r>
          </w:p>
        </w:tc>
      </w:tr>
      <w:tr w:rsidR="00F3587F" w:rsidRPr="0097174A" w:rsidTr="000E08BE">
        <w:trPr>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rsidR="00F3587F" w:rsidRPr="00F4603D" w:rsidRDefault="00F3587F" w:rsidP="00F4603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 3.</w:t>
            </w:r>
          </w:p>
        </w:tc>
        <w:tc>
          <w:tcPr>
            <w:tcW w:w="2522" w:type="dxa"/>
            <w:gridSpan w:val="2"/>
            <w:tcBorders>
              <w:top w:val="outset" w:sz="6" w:space="0" w:color="auto"/>
              <w:left w:val="outset" w:sz="6" w:space="0" w:color="auto"/>
              <w:bottom w:val="outset" w:sz="6" w:space="0" w:color="auto"/>
              <w:right w:val="outset" w:sz="6" w:space="0" w:color="auto"/>
            </w:tcBorders>
            <w:hideMark/>
          </w:tcPr>
          <w:p w:rsidR="00F3587F" w:rsidRPr="00F4603D"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603D">
              <w:rPr>
                <w:rFonts w:ascii="Times New Roman" w:eastAsia="Times New Roman" w:hAnsi="Times New Roman" w:cs="Times New Roman"/>
                <w:sz w:val="24"/>
                <w:szCs w:val="24"/>
                <w:lang w:eastAsia="lv-LV"/>
              </w:rPr>
              <w:t>Cita informācija</w:t>
            </w:r>
          </w:p>
        </w:tc>
        <w:tc>
          <w:tcPr>
            <w:tcW w:w="5853" w:type="dxa"/>
            <w:gridSpan w:val="4"/>
            <w:tcBorders>
              <w:top w:val="outset" w:sz="6" w:space="0" w:color="auto"/>
              <w:left w:val="outset" w:sz="6" w:space="0" w:color="auto"/>
              <w:bottom w:val="outset" w:sz="6" w:space="0" w:color="auto"/>
              <w:right w:val="outset" w:sz="6" w:space="0" w:color="auto"/>
            </w:tcBorders>
            <w:hideMark/>
          </w:tcPr>
          <w:p w:rsidR="00F3587F" w:rsidRPr="00F4603D" w:rsidRDefault="004A0D08" w:rsidP="0082342A">
            <w:pPr>
              <w:spacing w:before="100" w:beforeAutospacing="1" w:after="100" w:afterAutospacing="1" w:line="40" w:lineRule="atLeast"/>
              <w:ind w:left="0"/>
              <w:jc w:val="left"/>
              <w:rPr>
                <w:rStyle w:val="Hyperlink"/>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3587F" w:rsidRPr="00F4603D">
              <w:rPr>
                <w:rFonts w:ascii="Times New Roman" w:eastAsia="Times New Roman" w:hAnsi="Times New Roman" w:cs="Times New Roman"/>
                <w:sz w:val="24"/>
                <w:szCs w:val="24"/>
                <w:lang w:eastAsia="lv-LV"/>
              </w:rPr>
              <w:t>Nav</w:t>
            </w:r>
          </w:p>
          <w:p w:rsidR="00F3587F" w:rsidRPr="00F4603D" w:rsidRDefault="00F3587F" w:rsidP="00F4603D">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p>
        </w:tc>
      </w:tr>
      <w:tr w:rsidR="004452FC" w:rsidRPr="00C204DB" w:rsidTr="000E08BE">
        <w:trPr>
          <w:trHeight w:val="501"/>
          <w:tblCellSpacing w:w="0" w:type="dxa"/>
        </w:trPr>
        <w:tc>
          <w:tcPr>
            <w:tcW w:w="8947" w:type="dxa"/>
            <w:gridSpan w:val="9"/>
            <w:tcBorders>
              <w:top w:val="outset" w:sz="6" w:space="0" w:color="auto"/>
              <w:left w:val="outset" w:sz="6" w:space="0" w:color="auto"/>
              <w:bottom w:val="outset" w:sz="6" w:space="0" w:color="auto"/>
              <w:right w:val="outset" w:sz="6" w:space="0" w:color="auto"/>
            </w:tcBorders>
            <w:vAlign w:val="center"/>
            <w:hideMark/>
          </w:tcPr>
          <w:p w:rsidR="004452FC" w:rsidRPr="000E08BE" w:rsidRDefault="004452FC" w:rsidP="008C2ECF">
            <w:pPr>
              <w:jc w:val="center"/>
              <w:rPr>
                <w:rFonts w:ascii="Times New Roman" w:eastAsia="Times New Roman" w:hAnsi="Times New Roman" w:cs="Times New Roman"/>
                <w:sz w:val="24"/>
                <w:szCs w:val="24"/>
                <w:lang w:eastAsia="lv-LV"/>
              </w:rPr>
            </w:pPr>
            <w:r w:rsidRPr="000E08BE">
              <w:rPr>
                <w:rFonts w:ascii="Times New Roman" w:eastAsia="Times New Roman" w:hAnsi="Times New Roman" w:cs="Times New Roman"/>
                <w:sz w:val="24"/>
                <w:szCs w:val="24"/>
                <w:lang w:eastAsia="lv-LV"/>
              </w:rPr>
              <w:t>1.tabula Tiesību akta projekta atbilstība ES tiesību aktiem</w:t>
            </w:r>
          </w:p>
        </w:tc>
      </w:tr>
      <w:tr w:rsidR="004452FC" w:rsidRPr="00C204DB" w:rsidTr="00EB4BDF">
        <w:trPr>
          <w:trHeight w:val="552"/>
          <w:tblCellSpacing w:w="0" w:type="dxa"/>
        </w:trPr>
        <w:tc>
          <w:tcPr>
            <w:tcW w:w="2850" w:type="dxa"/>
            <w:gridSpan w:val="4"/>
            <w:tcBorders>
              <w:top w:val="outset" w:sz="6" w:space="0" w:color="auto"/>
              <w:left w:val="outset" w:sz="6" w:space="0" w:color="auto"/>
              <w:bottom w:val="outset" w:sz="6" w:space="0" w:color="auto"/>
              <w:right w:val="outset" w:sz="6" w:space="0" w:color="auto"/>
            </w:tcBorders>
            <w:vAlign w:val="center"/>
            <w:hideMark/>
          </w:tcPr>
          <w:p w:rsidR="004452FC" w:rsidRPr="000E08BE" w:rsidRDefault="004452FC" w:rsidP="008C2ECF">
            <w:pPr>
              <w:ind w:left="127"/>
              <w:rPr>
                <w:rFonts w:ascii="Times New Roman" w:eastAsia="Times New Roman" w:hAnsi="Times New Roman" w:cs="Times New Roman"/>
                <w:sz w:val="24"/>
                <w:szCs w:val="24"/>
                <w:lang w:eastAsia="lv-LV"/>
              </w:rPr>
            </w:pPr>
            <w:r w:rsidRPr="000E08BE">
              <w:rPr>
                <w:rFonts w:ascii="Times New Roman" w:eastAsia="Times New Roman" w:hAnsi="Times New Roman" w:cs="Times New Roman"/>
                <w:sz w:val="24"/>
                <w:szCs w:val="24"/>
                <w:lang w:eastAsia="lv-LV"/>
              </w:rPr>
              <w:t>Attiecīgā ES tiesību akta datums, numurs un nosaukums</w:t>
            </w:r>
          </w:p>
        </w:tc>
        <w:tc>
          <w:tcPr>
            <w:tcW w:w="6097" w:type="dxa"/>
            <w:gridSpan w:val="5"/>
            <w:tcBorders>
              <w:top w:val="outset" w:sz="6" w:space="0" w:color="auto"/>
              <w:left w:val="outset" w:sz="6" w:space="0" w:color="auto"/>
              <w:bottom w:val="outset" w:sz="6" w:space="0" w:color="auto"/>
              <w:right w:val="outset" w:sz="6" w:space="0" w:color="auto"/>
            </w:tcBorders>
            <w:vAlign w:val="center"/>
            <w:hideMark/>
          </w:tcPr>
          <w:p w:rsidR="004452FC" w:rsidRPr="000E08BE" w:rsidRDefault="0073720F" w:rsidP="0073720F">
            <w:pPr>
              <w:tabs>
                <w:tab w:val="left" w:pos="95"/>
              </w:tabs>
              <w:ind w:left="78" w:right="125"/>
              <w:rPr>
                <w:rFonts w:ascii="Times New Roman" w:hAnsi="Times New Roman" w:cs="Times New Roman"/>
                <w:bCs/>
                <w:sz w:val="24"/>
                <w:szCs w:val="24"/>
              </w:rPr>
            </w:pPr>
            <w:r w:rsidRPr="00F4603D">
              <w:rPr>
                <w:rFonts w:ascii="Times New Roman" w:hAnsi="Times New Roman" w:cs="Times New Roman"/>
                <w:sz w:val="24"/>
                <w:szCs w:val="24"/>
              </w:rPr>
              <w:t xml:space="preserve"> </w:t>
            </w:r>
          </w:p>
        </w:tc>
      </w:tr>
      <w:tr w:rsidR="004452FC" w:rsidRPr="00C204DB" w:rsidTr="00EB4BDF">
        <w:trPr>
          <w:trHeight w:val="393"/>
          <w:tblCellSpacing w:w="0" w:type="dxa"/>
        </w:trPr>
        <w:tc>
          <w:tcPr>
            <w:tcW w:w="2850" w:type="dxa"/>
            <w:gridSpan w:val="4"/>
            <w:tcBorders>
              <w:top w:val="outset" w:sz="6" w:space="0" w:color="auto"/>
              <w:left w:val="outset" w:sz="6" w:space="0" w:color="auto"/>
              <w:bottom w:val="outset" w:sz="6" w:space="0" w:color="auto"/>
              <w:right w:val="outset" w:sz="6" w:space="0" w:color="auto"/>
            </w:tcBorders>
            <w:vAlign w:val="center"/>
            <w:hideMark/>
          </w:tcPr>
          <w:p w:rsidR="004452FC" w:rsidRPr="000E08BE" w:rsidRDefault="004452FC" w:rsidP="000E08BE">
            <w:pPr>
              <w:ind w:left="0"/>
              <w:jc w:val="center"/>
              <w:rPr>
                <w:rFonts w:ascii="Times New Roman" w:eastAsia="Times New Roman" w:hAnsi="Times New Roman" w:cs="Times New Roman"/>
                <w:sz w:val="24"/>
                <w:szCs w:val="24"/>
                <w:lang w:eastAsia="lv-LV"/>
              </w:rPr>
            </w:pPr>
            <w:r w:rsidRPr="000E08BE">
              <w:rPr>
                <w:rFonts w:ascii="Times New Roman" w:eastAsia="Times New Roman" w:hAnsi="Times New Roman" w:cs="Times New Roman"/>
                <w:sz w:val="24"/>
                <w:szCs w:val="24"/>
                <w:lang w:eastAsia="lv-LV"/>
              </w:rPr>
              <w:t>A</w:t>
            </w:r>
          </w:p>
        </w:tc>
        <w:tc>
          <w:tcPr>
            <w:tcW w:w="2410" w:type="dxa"/>
            <w:gridSpan w:val="3"/>
            <w:tcBorders>
              <w:top w:val="outset" w:sz="6" w:space="0" w:color="auto"/>
              <w:left w:val="outset" w:sz="6" w:space="0" w:color="auto"/>
              <w:bottom w:val="outset" w:sz="6" w:space="0" w:color="auto"/>
              <w:right w:val="outset" w:sz="6" w:space="0" w:color="auto"/>
            </w:tcBorders>
            <w:vAlign w:val="center"/>
            <w:hideMark/>
          </w:tcPr>
          <w:p w:rsidR="004452FC" w:rsidRPr="000E08BE" w:rsidRDefault="004452FC" w:rsidP="000E08BE">
            <w:pPr>
              <w:ind w:left="0"/>
              <w:jc w:val="center"/>
              <w:rPr>
                <w:rFonts w:ascii="Times New Roman" w:eastAsia="Times New Roman" w:hAnsi="Times New Roman" w:cs="Times New Roman"/>
                <w:sz w:val="24"/>
                <w:szCs w:val="24"/>
                <w:lang w:eastAsia="lv-LV"/>
              </w:rPr>
            </w:pPr>
            <w:r w:rsidRPr="000E08BE">
              <w:rPr>
                <w:rFonts w:ascii="Times New Roman" w:eastAsia="Times New Roman" w:hAnsi="Times New Roman" w:cs="Times New Roman"/>
                <w:sz w:val="24"/>
                <w:szCs w:val="24"/>
                <w:lang w:eastAsia="lv-LV"/>
              </w:rPr>
              <w:t>B</w:t>
            </w:r>
          </w:p>
        </w:tc>
        <w:tc>
          <w:tcPr>
            <w:tcW w:w="2978" w:type="dxa"/>
            <w:tcBorders>
              <w:top w:val="outset" w:sz="6" w:space="0" w:color="auto"/>
              <w:left w:val="outset" w:sz="6" w:space="0" w:color="auto"/>
              <w:bottom w:val="outset" w:sz="6" w:space="0" w:color="auto"/>
              <w:right w:val="outset" w:sz="6" w:space="0" w:color="auto"/>
            </w:tcBorders>
            <w:vAlign w:val="center"/>
            <w:hideMark/>
          </w:tcPr>
          <w:p w:rsidR="004452FC" w:rsidRPr="000E08BE" w:rsidRDefault="004452FC" w:rsidP="000E08BE">
            <w:pPr>
              <w:ind w:left="0"/>
              <w:jc w:val="center"/>
              <w:rPr>
                <w:rFonts w:ascii="Times New Roman" w:eastAsia="Times New Roman" w:hAnsi="Times New Roman" w:cs="Times New Roman"/>
                <w:sz w:val="24"/>
                <w:szCs w:val="24"/>
                <w:lang w:eastAsia="lv-LV"/>
              </w:rPr>
            </w:pPr>
            <w:r w:rsidRPr="000E08BE">
              <w:rPr>
                <w:rFonts w:ascii="Times New Roman" w:eastAsia="Times New Roman" w:hAnsi="Times New Roman" w:cs="Times New Roman"/>
                <w:sz w:val="24"/>
                <w:szCs w:val="24"/>
                <w:lang w:eastAsia="lv-LV"/>
              </w:rPr>
              <w:t>C</w:t>
            </w:r>
          </w:p>
        </w:tc>
        <w:tc>
          <w:tcPr>
            <w:tcW w:w="709" w:type="dxa"/>
            <w:tcBorders>
              <w:top w:val="outset" w:sz="6" w:space="0" w:color="auto"/>
              <w:left w:val="outset" w:sz="6" w:space="0" w:color="auto"/>
              <w:bottom w:val="outset" w:sz="6" w:space="0" w:color="auto"/>
              <w:right w:val="outset" w:sz="6" w:space="0" w:color="auto"/>
            </w:tcBorders>
            <w:vAlign w:val="center"/>
            <w:hideMark/>
          </w:tcPr>
          <w:p w:rsidR="004452FC" w:rsidRPr="000E08BE" w:rsidRDefault="004452FC" w:rsidP="000E08BE">
            <w:pPr>
              <w:ind w:left="0"/>
              <w:jc w:val="center"/>
              <w:rPr>
                <w:rFonts w:ascii="Times New Roman" w:eastAsia="Times New Roman" w:hAnsi="Times New Roman" w:cs="Times New Roman"/>
                <w:sz w:val="24"/>
                <w:szCs w:val="24"/>
                <w:lang w:eastAsia="lv-LV"/>
              </w:rPr>
            </w:pPr>
            <w:r w:rsidRPr="000E08BE">
              <w:rPr>
                <w:rFonts w:ascii="Times New Roman" w:eastAsia="Times New Roman" w:hAnsi="Times New Roman" w:cs="Times New Roman"/>
                <w:sz w:val="24"/>
                <w:szCs w:val="24"/>
                <w:lang w:eastAsia="lv-LV"/>
              </w:rPr>
              <w:t>D</w:t>
            </w:r>
          </w:p>
        </w:tc>
      </w:tr>
      <w:tr w:rsidR="004452FC" w:rsidRPr="00CE50D8" w:rsidTr="00EB4BDF">
        <w:trPr>
          <w:trHeight w:val="302"/>
          <w:tblCellSpacing w:w="0" w:type="dxa"/>
        </w:trPr>
        <w:tc>
          <w:tcPr>
            <w:tcW w:w="2850" w:type="dxa"/>
            <w:gridSpan w:val="4"/>
            <w:tcBorders>
              <w:top w:val="outset" w:sz="6" w:space="0" w:color="auto"/>
              <w:left w:val="outset" w:sz="6" w:space="0" w:color="auto"/>
              <w:bottom w:val="outset" w:sz="6" w:space="0" w:color="auto"/>
              <w:right w:val="outset" w:sz="6" w:space="0" w:color="auto"/>
            </w:tcBorders>
          </w:tcPr>
          <w:p w:rsidR="004452FC" w:rsidRPr="000E08BE" w:rsidRDefault="0073720F" w:rsidP="00DB0742">
            <w:pPr>
              <w:ind w:left="127"/>
              <w:rPr>
                <w:rFonts w:ascii="Times New Roman" w:hAnsi="Times New Roman" w:cs="Times New Roman"/>
                <w:sz w:val="24"/>
                <w:szCs w:val="24"/>
              </w:rPr>
            </w:pPr>
            <w:r w:rsidRPr="00F4603D">
              <w:rPr>
                <w:rFonts w:ascii="Times New Roman" w:hAnsi="Times New Roman" w:cs="Times New Roman"/>
                <w:sz w:val="24"/>
                <w:szCs w:val="24"/>
              </w:rPr>
              <w:t>Regul</w:t>
            </w:r>
            <w:r>
              <w:rPr>
                <w:rFonts w:ascii="Times New Roman" w:hAnsi="Times New Roman" w:cs="Times New Roman"/>
                <w:sz w:val="24"/>
                <w:szCs w:val="24"/>
              </w:rPr>
              <w:t>as</w:t>
            </w:r>
            <w:r w:rsidRPr="00F4603D">
              <w:rPr>
                <w:rFonts w:ascii="Times New Roman" w:hAnsi="Times New Roman" w:cs="Times New Roman"/>
                <w:sz w:val="24"/>
                <w:szCs w:val="24"/>
              </w:rPr>
              <w:t xml:space="preserve"> Nr.927/2012</w:t>
            </w:r>
            <w:r>
              <w:rPr>
                <w:rFonts w:ascii="Times New Roman" w:hAnsi="Times New Roman" w:cs="Times New Roman"/>
                <w:sz w:val="24"/>
                <w:szCs w:val="24"/>
              </w:rPr>
              <w:t xml:space="preserve"> </w:t>
            </w:r>
            <w:r w:rsidR="00DB0742">
              <w:rPr>
                <w:rFonts w:ascii="Times New Roman" w:hAnsi="Times New Roman" w:cs="Times New Roman"/>
                <w:sz w:val="24"/>
                <w:szCs w:val="24"/>
              </w:rPr>
              <w:t xml:space="preserve"> </w:t>
            </w:r>
            <w:r>
              <w:rPr>
                <w:rFonts w:ascii="Times New Roman" w:hAnsi="Times New Roman" w:cs="Times New Roman"/>
                <w:sz w:val="24"/>
                <w:szCs w:val="24"/>
              </w:rPr>
              <w:t>1.pants</w:t>
            </w:r>
          </w:p>
        </w:tc>
        <w:tc>
          <w:tcPr>
            <w:tcW w:w="2410" w:type="dxa"/>
            <w:gridSpan w:val="3"/>
            <w:tcBorders>
              <w:top w:val="outset" w:sz="6" w:space="0" w:color="auto"/>
              <w:left w:val="outset" w:sz="6" w:space="0" w:color="auto"/>
              <w:bottom w:val="outset" w:sz="6" w:space="0" w:color="auto"/>
              <w:right w:val="outset" w:sz="6" w:space="0" w:color="auto"/>
            </w:tcBorders>
          </w:tcPr>
          <w:p w:rsidR="004452FC" w:rsidRPr="000E08BE" w:rsidRDefault="004452FC" w:rsidP="0073720F">
            <w:pPr>
              <w:ind w:left="0"/>
              <w:rPr>
                <w:rFonts w:ascii="Times New Roman" w:eastAsia="Times New Roman" w:hAnsi="Times New Roman" w:cs="Times New Roman"/>
                <w:sz w:val="24"/>
                <w:szCs w:val="24"/>
                <w:lang w:eastAsia="lv-LV"/>
              </w:rPr>
            </w:pPr>
            <w:r w:rsidRPr="000E08BE">
              <w:rPr>
                <w:rFonts w:ascii="Times New Roman" w:eastAsia="Times New Roman" w:hAnsi="Times New Roman" w:cs="Times New Roman"/>
                <w:sz w:val="24"/>
                <w:szCs w:val="24"/>
                <w:lang w:eastAsia="lv-LV"/>
              </w:rPr>
              <w:t> </w:t>
            </w:r>
            <w:r w:rsidR="0073720F">
              <w:rPr>
                <w:rFonts w:ascii="Times New Roman" w:eastAsia="Times New Roman" w:hAnsi="Times New Roman" w:cs="Times New Roman"/>
                <w:sz w:val="24"/>
                <w:szCs w:val="24"/>
                <w:lang w:eastAsia="lv-LV"/>
              </w:rPr>
              <w:t>Noteikumu projekts 1.punkts</w:t>
            </w:r>
            <w:r w:rsidRPr="000E08BE">
              <w:rPr>
                <w:rFonts w:ascii="Times New Roman" w:eastAsia="Times New Roman" w:hAnsi="Times New Roman" w:cs="Times New Roman"/>
                <w:sz w:val="24"/>
                <w:szCs w:val="24"/>
                <w:lang w:eastAsia="lv-LV"/>
              </w:rPr>
              <w:t xml:space="preserve"> </w:t>
            </w:r>
          </w:p>
        </w:tc>
        <w:tc>
          <w:tcPr>
            <w:tcW w:w="2978" w:type="dxa"/>
            <w:tcBorders>
              <w:top w:val="outset" w:sz="6" w:space="0" w:color="auto"/>
              <w:left w:val="outset" w:sz="6" w:space="0" w:color="auto"/>
              <w:bottom w:val="outset" w:sz="6" w:space="0" w:color="auto"/>
              <w:right w:val="outset" w:sz="6" w:space="0" w:color="auto"/>
            </w:tcBorders>
          </w:tcPr>
          <w:p w:rsidR="004452FC" w:rsidRDefault="0073720F" w:rsidP="00297830">
            <w:pPr>
              <w:ind w:left="57" w:righ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pārņemts</w:t>
            </w:r>
            <w:r w:rsidR="00BA5D05">
              <w:rPr>
                <w:rFonts w:ascii="Times New Roman" w:eastAsia="Times New Roman" w:hAnsi="Times New Roman" w:cs="Times New Roman"/>
                <w:sz w:val="24"/>
                <w:szCs w:val="24"/>
                <w:lang w:eastAsia="lv-LV"/>
              </w:rPr>
              <w:t xml:space="preserve"> daļēji </w:t>
            </w:r>
            <w:r>
              <w:rPr>
                <w:rFonts w:ascii="Times New Roman" w:eastAsia="Times New Roman" w:hAnsi="Times New Roman" w:cs="Times New Roman"/>
                <w:sz w:val="24"/>
                <w:szCs w:val="24"/>
                <w:lang w:eastAsia="lv-LV"/>
              </w:rPr>
              <w:t xml:space="preserve"> </w:t>
            </w:r>
            <w:r w:rsidR="004452FC" w:rsidRPr="000E08B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attiecībā uz precēm, kurām </w:t>
            </w:r>
            <w:r>
              <w:rPr>
                <w:rFonts w:ascii="Times New Roman" w:eastAsia="Times New Roman" w:hAnsi="Times New Roman" w:cs="Times New Roman"/>
                <w:sz w:val="24"/>
                <w:szCs w:val="24"/>
                <w:lang w:eastAsia="lv-LV"/>
              </w:rPr>
              <w:lastRenderedPageBreak/>
              <w:t>piemēro akcīzes nodokli</w:t>
            </w:r>
            <w:r w:rsidR="00BA5D05">
              <w:rPr>
                <w:rFonts w:ascii="Times New Roman" w:eastAsia="Times New Roman" w:hAnsi="Times New Roman" w:cs="Times New Roman"/>
                <w:sz w:val="24"/>
                <w:szCs w:val="24"/>
                <w:lang w:eastAsia="lv-LV"/>
              </w:rPr>
              <w:t>.</w:t>
            </w:r>
          </w:p>
          <w:p w:rsidR="00DA57DA" w:rsidRPr="00DA57DA" w:rsidRDefault="00DA57DA" w:rsidP="00DA57DA">
            <w:pPr>
              <w:ind w:left="57" w:right="57"/>
              <w:rPr>
                <w:rFonts w:ascii="Times New Roman" w:eastAsia="Times New Roman" w:hAnsi="Times New Roman" w:cs="Times New Roman"/>
                <w:sz w:val="24"/>
                <w:szCs w:val="24"/>
                <w:lang w:eastAsia="lv-LV"/>
              </w:rPr>
            </w:pPr>
            <w:r w:rsidRPr="00DA57DA">
              <w:rPr>
                <w:rFonts w:ascii="Times New Roman" w:hAnsi="Times New Roman" w:cs="Times New Roman"/>
                <w:sz w:val="26"/>
                <w:szCs w:val="26"/>
              </w:rPr>
              <w:t xml:space="preserve">Saskaņā ar Regulas Nr.927/2012 I pielikuma 27.nodaļas 2.papildu piezīmei 2.f) </w:t>
            </w:r>
            <w:proofErr w:type="spellStart"/>
            <w:r w:rsidRPr="00DA57DA">
              <w:rPr>
                <w:rFonts w:ascii="Times New Roman" w:hAnsi="Times New Roman" w:cs="Times New Roman"/>
                <w:sz w:val="26"/>
                <w:szCs w:val="26"/>
              </w:rPr>
              <w:t>apakšpozīcijā</w:t>
            </w:r>
            <w:proofErr w:type="spellEnd"/>
            <w:r w:rsidRPr="00DA57DA">
              <w:rPr>
                <w:rFonts w:ascii="Times New Roman" w:hAnsi="Times New Roman" w:cs="Times New Roman"/>
                <w:sz w:val="26"/>
                <w:szCs w:val="26"/>
              </w:rPr>
              <w:t xml:space="preserve"> minētajām piezīmēm, KN kodos 27101951-27101968 un 27102031-27102039 tiek ietvertas tikai degvieleļļas dabiskā krāsā, tādējādi degvieleļļas, kas nav dabiskā krāsā tiek klasificētas ar KN kodu 2710 19 99, savukārt degvieleļļas, kas satur </w:t>
            </w:r>
            <w:proofErr w:type="spellStart"/>
            <w:r w:rsidRPr="00DA57DA">
              <w:rPr>
                <w:rFonts w:ascii="Times New Roman" w:hAnsi="Times New Roman" w:cs="Times New Roman"/>
                <w:sz w:val="26"/>
                <w:szCs w:val="26"/>
              </w:rPr>
              <w:t>biodīzeli</w:t>
            </w:r>
            <w:proofErr w:type="spellEnd"/>
            <w:r w:rsidRPr="00DA57DA">
              <w:rPr>
                <w:rFonts w:ascii="Times New Roman" w:hAnsi="Times New Roman" w:cs="Times New Roman"/>
                <w:sz w:val="26"/>
                <w:szCs w:val="26"/>
              </w:rPr>
              <w:t xml:space="preserve"> tiek klasificētas ar KN kodu 2710 20 90, kā arī Regulas Nr.927/2012 I pielikumā nav noteikts KN kods 2208 90 52. Līdz ar to Ministru kabineta 2011.gada 27.septembra noteikumu Nr.731 3. un 4.pielikumā nepieciešams no ar akcīzes nodokli apliekamo alkoholisko dzērienu un naftas produktu TARIC nacionālo </w:t>
            </w:r>
            <w:proofErr w:type="spellStart"/>
            <w:r w:rsidRPr="00DA57DA">
              <w:rPr>
                <w:rFonts w:ascii="Times New Roman" w:hAnsi="Times New Roman" w:cs="Times New Roman"/>
                <w:sz w:val="26"/>
                <w:szCs w:val="26"/>
              </w:rPr>
              <w:t>papildkodu</w:t>
            </w:r>
            <w:proofErr w:type="spellEnd"/>
            <w:r w:rsidRPr="00DA57DA">
              <w:rPr>
                <w:rFonts w:ascii="Times New Roman" w:hAnsi="Times New Roman" w:cs="Times New Roman"/>
                <w:sz w:val="26"/>
                <w:szCs w:val="26"/>
              </w:rPr>
              <w:t xml:space="preserve"> saraksta izsvītrot  produktus ar KN un TARIC nacionālajiem kodiem -  22089052 0076, 27101951 0311, 27101955 0311, 27101962 0311, 27101964 0311, 27101968 0311, 27102031 1036, 27102035 1036, 27102039 1036</w:t>
            </w:r>
            <w:r w:rsidR="0092148F">
              <w:rPr>
                <w:rFonts w:ascii="Times New Roman" w:hAnsi="Times New Roman" w:cs="Times New Roman"/>
                <w:sz w:val="26"/>
                <w:szCs w:val="26"/>
              </w:rPr>
              <w:t>.</w:t>
            </w:r>
          </w:p>
        </w:tc>
        <w:tc>
          <w:tcPr>
            <w:tcW w:w="709" w:type="dxa"/>
            <w:tcBorders>
              <w:top w:val="outset" w:sz="6" w:space="0" w:color="auto"/>
              <w:left w:val="outset" w:sz="6" w:space="0" w:color="auto"/>
              <w:bottom w:val="outset" w:sz="6" w:space="0" w:color="auto"/>
              <w:right w:val="outset" w:sz="6" w:space="0" w:color="auto"/>
            </w:tcBorders>
          </w:tcPr>
          <w:p w:rsidR="004452FC" w:rsidRPr="000E08BE" w:rsidRDefault="004452FC" w:rsidP="008C2ECF">
            <w:pPr>
              <w:ind w:right="57"/>
              <w:jc w:val="center"/>
              <w:rPr>
                <w:rFonts w:ascii="Times New Roman" w:hAnsi="Times New Roman" w:cs="Times New Roman"/>
                <w:sz w:val="24"/>
                <w:szCs w:val="24"/>
              </w:rPr>
            </w:pPr>
          </w:p>
        </w:tc>
      </w:tr>
      <w:tr w:rsidR="004452FC" w:rsidRPr="00C204DB" w:rsidTr="001C33A0">
        <w:trPr>
          <w:trHeight w:val="553"/>
          <w:tblCellSpacing w:w="0" w:type="dxa"/>
        </w:trPr>
        <w:tc>
          <w:tcPr>
            <w:tcW w:w="2850" w:type="dxa"/>
            <w:gridSpan w:val="4"/>
            <w:tcBorders>
              <w:top w:val="outset" w:sz="6" w:space="0" w:color="auto"/>
              <w:left w:val="outset" w:sz="6" w:space="0" w:color="auto"/>
              <w:bottom w:val="outset" w:sz="6" w:space="0" w:color="auto"/>
              <w:right w:val="outset" w:sz="6" w:space="0" w:color="auto"/>
            </w:tcBorders>
            <w:vAlign w:val="center"/>
            <w:hideMark/>
          </w:tcPr>
          <w:p w:rsidR="004452FC" w:rsidRPr="000E08BE" w:rsidRDefault="004452FC" w:rsidP="008C2ECF">
            <w:pPr>
              <w:ind w:left="127"/>
              <w:rPr>
                <w:rFonts w:ascii="Times New Roman" w:eastAsia="Times New Roman" w:hAnsi="Times New Roman" w:cs="Times New Roman"/>
                <w:sz w:val="24"/>
                <w:szCs w:val="24"/>
                <w:lang w:eastAsia="lv-LV"/>
              </w:rPr>
            </w:pPr>
            <w:r w:rsidRPr="000E08BE">
              <w:rPr>
                <w:rFonts w:ascii="Times New Roman" w:eastAsia="Times New Roman" w:hAnsi="Times New Roman" w:cs="Times New Roman"/>
                <w:sz w:val="24"/>
                <w:szCs w:val="24"/>
                <w:lang w:eastAsia="lv-LV"/>
              </w:rPr>
              <w:lastRenderedPageBreak/>
              <w:t xml:space="preserve">Kā ir izmantota ES tiesību aktā paredzētā rīcības brīvība dalībvalstij pārņemt vai ieviest noteiktas ES </w:t>
            </w:r>
            <w:r w:rsidRPr="000E08BE">
              <w:rPr>
                <w:rFonts w:ascii="Times New Roman" w:eastAsia="Times New Roman" w:hAnsi="Times New Roman" w:cs="Times New Roman"/>
                <w:sz w:val="24"/>
                <w:szCs w:val="24"/>
                <w:lang w:eastAsia="lv-LV"/>
              </w:rPr>
              <w:lastRenderedPageBreak/>
              <w:t>tiesību akta normas.  Kādēļ?</w:t>
            </w:r>
          </w:p>
        </w:tc>
        <w:tc>
          <w:tcPr>
            <w:tcW w:w="6097" w:type="dxa"/>
            <w:gridSpan w:val="5"/>
            <w:tcBorders>
              <w:top w:val="outset" w:sz="6" w:space="0" w:color="auto"/>
              <w:left w:val="outset" w:sz="6" w:space="0" w:color="auto"/>
              <w:bottom w:val="outset" w:sz="6" w:space="0" w:color="auto"/>
              <w:right w:val="outset" w:sz="6" w:space="0" w:color="auto"/>
            </w:tcBorders>
          </w:tcPr>
          <w:p w:rsidR="004452FC" w:rsidRPr="000E08BE" w:rsidRDefault="004452FC" w:rsidP="008C2ECF">
            <w:pPr>
              <w:ind w:left="78" w:right="127"/>
              <w:rPr>
                <w:rFonts w:ascii="Times New Roman" w:eastAsia="Times New Roman" w:hAnsi="Times New Roman" w:cs="Times New Roman"/>
                <w:sz w:val="24"/>
                <w:szCs w:val="24"/>
                <w:lang w:eastAsia="lv-LV"/>
              </w:rPr>
            </w:pPr>
            <w:r w:rsidRPr="000E08BE">
              <w:rPr>
                <w:rFonts w:ascii="Times New Roman" w:eastAsia="Times New Roman" w:hAnsi="Times New Roman" w:cs="Times New Roman"/>
                <w:sz w:val="24"/>
                <w:szCs w:val="24"/>
                <w:lang w:eastAsia="lv-LV"/>
              </w:rPr>
              <w:lastRenderedPageBreak/>
              <w:t>Projekts šo jomu neskar</w:t>
            </w:r>
          </w:p>
        </w:tc>
      </w:tr>
      <w:tr w:rsidR="004452FC" w:rsidRPr="00C204DB" w:rsidTr="00EB4BDF">
        <w:trPr>
          <w:trHeight w:val="263"/>
          <w:tblCellSpacing w:w="0" w:type="dxa"/>
        </w:trPr>
        <w:tc>
          <w:tcPr>
            <w:tcW w:w="2850" w:type="dxa"/>
            <w:gridSpan w:val="4"/>
            <w:tcBorders>
              <w:top w:val="outset" w:sz="6" w:space="0" w:color="auto"/>
              <w:left w:val="outset" w:sz="6" w:space="0" w:color="auto"/>
              <w:bottom w:val="outset" w:sz="6" w:space="0" w:color="auto"/>
              <w:right w:val="outset" w:sz="6" w:space="0" w:color="auto"/>
            </w:tcBorders>
            <w:vAlign w:val="center"/>
            <w:hideMark/>
          </w:tcPr>
          <w:p w:rsidR="004452FC" w:rsidRPr="000E08BE" w:rsidRDefault="004452FC" w:rsidP="008C2ECF">
            <w:pPr>
              <w:ind w:left="127" w:hanging="127"/>
              <w:rPr>
                <w:rFonts w:ascii="Times New Roman" w:eastAsia="Times New Roman" w:hAnsi="Times New Roman" w:cs="Times New Roman"/>
                <w:sz w:val="24"/>
                <w:szCs w:val="24"/>
                <w:lang w:eastAsia="lv-LV"/>
              </w:rPr>
            </w:pPr>
            <w:r w:rsidRPr="000E08BE">
              <w:rPr>
                <w:rFonts w:ascii="Times New Roman" w:eastAsia="Times New Roman" w:hAnsi="Times New Roman" w:cs="Times New Roman"/>
                <w:sz w:val="24"/>
                <w:szCs w:val="24"/>
                <w:lang w:eastAsia="lv-LV"/>
              </w:rPr>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097" w:type="dxa"/>
            <w:gridSpan w:val="5"/>
            <w:tcBorders>
              <w:top w:val="outset" w:sz="6" w:space="0" w:color="auto"/>
              <w:left w:val="outset" w:sz="6" w:space="0" w:color="auto"/>
              <w:bottom w:val="outset" w:sz="6" w:space="0" w:color="auto"/>
              <w:right w:val="outset" w:sz="6" w:space="0" w:color="auto"/>
            </w:tcBorders>
          </w:tcPr>
          <w:p w:rsidR="004452FC" w:rsidRPr="000E08BE" w:rsidRDefault="004452FC" w:rsidP="000E08BE">
            <w:pPr>
              <w:ind w:left="0" w:right="127"/>
              <w:rPr>
                <w:rFonts w:ascii="Times New Roman" w:eastAsia="Times New Roman" w:hAnsi="Times New Roman" w:cs="Times New Roman"/>
                <w:sz w:val="24"/>
                <w:szCs w:val="24"/>
                <w:lang w:eastAsia="lv-LV"/>
              </w:rPr>
            </w:pPr>
            <w:r w:rsidRPr="000E08BE">
              <w:rPr>
                <w:rFonts w:ascii="Times New Roman" w:eastAsia="Times New Roman" w:hAnsi="Times New Roman" w:cs="Times New Roman"/>
                <w:sz w:val="24"/>
                <w:szCs w:val="24"/>
                <w:lang w:eastAsia="lv-LV"/>
              </w:rPr>
              <w:t>Projekts šo jomu neskar</w:t>
            </w:r>
          </w:p>
        </w:tc>
      </w:tr>
      <w:tr w:rsidR="004452FC" w:rsidRPr="00C204DB" w:rsidTr="00EB4BDF">
        <w:trPr>
          <w:trHeight w:val="393"/>
          <w:tblCellSpacing w:w="0" w:type="dxa"/>
        </w:trPr>
        <w:tc>
          <w:tcPr>
            <w:tcW w:w="2850" w:type="dxa"/>
            <w:gridSpan w:val="4"/>
            <w:tcBorders>
              <w:top w:val="outset" w:sz="6" w:space="0" w:color="auto"/>
              <w:left w:val="outset" w:sz="6" w:space="0" w:color="auto"/>
              <w:bottom w:val="outset" w:sz="6" w:space="0" w:color="auto"/>
              <w:right w:val="outset" w:sz="6" w:space="0" w:color="auto"/>
            </w:tcBorders>
            <w:hideMark/>
          </w:tcPr>
          <w:p w:rsidR="004452FC" w:rsidRPr="000E08BE" w:rsidRDefault="004452FC" w:rsidP="000E08BE">
            <w:pPr>
              <w:ind w:left="0"/>
              <w:rPr>
                <w:rFonts w:ascii="Times New Roman" w:eastAsia="Times New Roman" w:hAnsi="Times New Roman" w:cs="Times New Roman"/>
                <w:sz w:val="24"/>
                <w:szCs w:val="24"/>
                <w:lang w:eastAsia="lv-LV"/>
              </w:rPr>
            </w:pPr>
            <w:r w:rsidRPr="000E08BE">
              <w:rPr>
                <w:rFonts w:ascii="Times New Roman" w:eastAsia="Times New Roman" w:hAnsi="Times New Roman" w:cs="Times New Roman"/>
                <w:sz w:val="24"/>
                <w:szCs w:val="24"/>
                <w:lang w:eastAsia="lv-LV"/>
              </w:rPr>
              <w:t> Cita informācija</w:t>
            </w:r>
          </w:p>
        </w:tc>
        <w:tc>
          <w:tcPr>
            <w:tcW w:w="6097" w:type="dxa"/>
            <w:gridSpan w:val="5"/>
            <w:tcBorders>
              <w:top w:val="outset" w:sz="6" w:space="0" w:color="auto"/>
              <w:left w:val="outset" w:sz="6" w:space="0" w:color="auto"/>
              <w:bottom w:val="outset" w:sz="6" w:space="0" w:color="auto"/>
              <w:right w:val="outset" w:sz="6" w:space="0" w:color="auto"/>
            </w:tcBorders>
            <w:hideMark/>
          </w:tcPr>
          <w:p w:rsidR="004452FC" w:rsidRPr="000E08BE" w:rsidRDefault="004452FC" w:rsidP="008C2ECF">
            <w:pPr>
              <w:ind w:left="78" w:right="127"/>
              <w:rPr>
                <w:rFonts w:ascii="Times New Roman" w:eastAsia="Times New Roman" w:hAnsi="Times New Roman" w:cs="Times New Roman"/>
                <w:sz w:val="24"/>
                <w:szCs w:val="24"/>
                <w:lang w:eastAsia="lv-LV"/>
              </w:rPr>
            </w:pPr>
            <w:r w:rsidRPr="000E08BE">
              <w:rPr>
                <w:rFonts w:ascii="Times New Roman" w:hAnsi="Times New Roman" w:cs="Times New Roman"/>
                <w:sz w:val="24"/>
                <w:szCs w:val="24"/>
              </w:rPr>
              <w:t xml:space="preserve">Nav </w:t>
            </w:r>
          </w:p>
        </w:tc>
      </w:tr>
      <w:tr w:rsidR="00836187" w:rsidRPr="0097174A" w:rsidTr="000E08BE">
        <w:trPr>
          <w:tblCellSpacing w:w="0" w:type="dxa"/>
        </w:trPr>
        <w:tc>
          <w:tcPr>
            <w:tcW w:w="8947" w:type="dxa"/>
            <w:gridSpan w:val="9"/>
            <w:tcBorders>
              <w:top w:val="outset" w:sz="6" w:space="0" w:color="auto"/>
              <w:left w:val="outset" w:sz="6" w:space="0" w:color="auto"/>
              <w:bottom w:val="outset" w:sz="6" w:space="0" w:color="auto"/>
              <w:right w:val="outset" w:sz="6" w:space="0" w:color="auto"/>
            </w:tcBorders>
            <w:hideMark/>
          </w:tcPr>
          <w:p w:rsidR="00836187" w:rsidRPr="0097174A" w:rsidRDefault="00836187" w:rsidP="008D539B">
            <w:pPr>
              <w:spacing w:before="100" w:beforeAutospacing="1" w:after="100" w:afterAutospacing="1" w:line="40" w:lineRule="atLeast"/>
              <w:ind w:left="0"/>
              <w:jc w:val="center"/>
              <w:rPr>
                <w:rFonts w:ascii="Times New Roman" w:eastAsia="Times New Roman" w:hAnsi="Times New Roman" w:cs="Times New Roman"/>
                <w:sz w:val="25"/>
                <w:szCs w:val="25"/>
                <w:lang w:eastAsia="lv-LV"/>
              </w:rPr>
            </w:pPr>
            <w:r w:rsidRPr="0097174A">
              <w:rPr>
                <w:rFonts w:ascii="Times New Roman" w:eastAsia="Times New Roman" w:hAnsi="Times New Roman" w:cs="Times New Roman"/>
                <w:b/>
                <w:bCs/>
                <w:sz w:val="25"/>
                <w:szCs w:val="25"/>
                <w:lang w:eastAsia="lv-LV"/>
              </w:rPr>
              <w:t>VII. Tiesību akta projekta izpildes nodrošināšana un tās ietekme uz institūcijām</w:t>
            </w:r>
          </w:p>
        </w:tc>
      </w:tr>
      <w:tr w:rsidR="00836187" w:rsidRPr="0097174A" w:rsidTr="000E08BE">
        <w:trPr>
          <w:trHeight w:val="427"/>
          <w:tblCellSpacing w:w="0" w:type="dxa"/>
        </w:trPr>
        <w:tc>
          <w:tcPr>
            <w:tcW w:w="469" w:type="dxa"/>
            <w:tcBorders>
              <w:top w:val="outset" w:sz="6" w:space="0" w:color="auto"/>
              <w:left w:val="outset" w:sz="6" w:space="0" w:color="auto"/>
              <w:bottom w:val="outset" w:sz="6" w:space="0" w:color="auto"/>
              <w:right w:val="outset" w:sz="6" w:space="0" w:color="auto"/>
            </w:tcBorders>
            <w:hideMark/>
          </w:tcPr>
          <w:p w:rsidR="00836187" w:rsidRPr="0097174A" w:rsidRDefault="00836187" w:rsidP="0097174A">
            <w:pPr>
              <w:spacing w:before="100" w:beforeAutospacing="1" w:after="100" w:afterAutospacing="1" w:line="40" w:lineRule="atLeast"/>
              <w:ind w:left="0" w:firstLineChars="709" w:firstLine="1773"/>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 1.</w:t>
            </w:r>
          </w:p>
        </w:tc>
        <w:tc>
          <w:tcPr>
            <w:tcW w:w="3698" w:type="dxa"/>
            <w:gridSpan w:val="5"/>
            <w:tcBorders>
              <w:top w:val="outset" w:sz="6" w:space="0" w:color="auto"/>
              <w:left w:val="outset" w:sz="6" w:space="0" w:color="auto"/>
              <w:bottom w:val="outset" w:sz="6" w:space="0" w:color="auto"/>
              <w:right w:val="outset" w:sz="6" w:space="0" w:color="auto"/>
            </w:tcBorders>
            <w:hideMark/>
          </w:tcPr>
          <w:p w:rsidR="00836187" w:rsidRPr="0097174A" w:rsidRDefault="00836187" w:rsidP="009D4AD8">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Projekta izpildē iesaistītās institūcijas</w:t>
            </w:r>
          </w:p>
        </w:tc>
        <w:tc>
          <w:tcPr>
            <w:tcW w:w="4780" w:type="dxa"/>
            <w:gridSpan w:val="3"/>
            <w:tcBorders>
              <w:top w:val="outset" w:sz="6" w:space="0" w:color="auto"/>
              <w:left w:val="outset" w:sz="6" w:space="0" w:color="auto"/>
              <w:bottom w:val="outset" w:sz="6" w:space="0" w:color="auto"/>
              <w:right w:val="outset" w:sz="6" w:space="0" w:color="auto"/>
            </w:tcBorders>
            <w:hideMark/>
          </w:tcPr>
          <w:p w:rsidR="00836187" w:rsidRPr="0097174A" w:rsidRDefault="00836187" w:rsidP="00670E79">
            <w:pPr>
              <w:spacing w:before="100" w:beforeAutospacing="1" w:after="100" w:afterAutospacing="1" w:line="40" w:lineRule="atLeast"/>
              <w:ind w:left="0" w:firstLine="432"/>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V</w:t>
            </w:r>
            <w:r w:rsidR="00AD6F89" w:rsidRPr="0097174A">
              <w:rPr>
                <w:rFonts w:ascii="Times New Roman" w:eastAsia="Times New Roman" w:hAnsi="Times New Roman" w:cs="Times New Roman"/>
                <w:sz w:val="25"/>
                <w:szCs w:val="25"/>
                <w:lang w:eastAsia="lv-LV"/>
              </w:rPr>
              <w:t>alsts ieņēmumu dienests</w:t>
            </w:r>
            <w:r w:rsidR="0009673C">
              <w:rPr>
                <w:rFonts w:ascii="Times New Roman" w:eastAsia="Times New Roman" w:hAnsi="Times New Roman" w:cs="Times New Roman"/>
                <w:sz w:val="25"/>
                <w:szCs w:val="25"/>
                <w:lang w:eastAsia="lv-LV"/>
              </w:rPr>
              <w:t>.</w:t>
            </w:r>
          </w:p>
        </w:tc>
      </w:tr>
      <w:tr w:rsidR="00836187" w:rsidRPr="0097174A" w:rsidTr="000E08BE">
        <w:trPr>
          <w:trHeight w:val="463"/>
          <w:tblCellSpacing w:w="0" w:type="dxa"/>
        </w:trPr>
        <w:tc>
          <w:tcPr>
            <w:tcW w:w="469" w:type="dxa"/>
            <w:tcBorders>
              <w:top w:val="outset" w:sz="6" w:space="0" w:color="auto"/>
              <w:left w:val="outset" w:sz="6" w:space="0" w:color="auto"/>
              <w:bottom w:val="outset" w:sz="6" w:space="0" w:color="auto"/>
              <w:right w:val="outset" w:sz="6" w:space="0" w:color="auto"/>
            </w:tcBorders>
            <w:hideMark/>
          </w:tcPr>
          <w:p w:rsidR="00836187" w:rsidRPr="0097174A" w:rsidRDefault="00836187" w:rsidP="0097174A">
            <w:pPr>
              <w:spacing w:before="100" w:beforeAutospacing="1" w:after="100" w:afterAutospacing="1" w:line="40" w:lineRule="atLeast"/>
              <w:ind w:left="0" w:firstLineChars="709" w:firstLine="1773"/>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 2.</w:t>
            </w:r>
          </w:p>
        </w:tc>
        <w:tc>
          <w:tcPr>
            <w:tcW w:w="3698" w:type="dxa"/>
            <w:gridSpan w:val="5"/>
            <w:tcBorders>
              <w:top w:val="outset" w:sz="6" w:space="0" w:color="auto"/>
              <w:left w:val="outset" w:sz="6" w:space="0" w:color="auto"/>
              <w:bottom w:val="outset" w:sz="6" w:space="0" w:color="auto"/>
              <w:right w:val="outset" w:sz="6" w:space="0" w:color="auto"/>
            </w:tcBorders>
            <w:hideMark/>
          </w:tcPr>
          <w:p w:rsidR="00836187" w:rsidRPr="0097174A" w:rsidRDefault="00836187" w:rsidP="000E08BE">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Projekta izpildes ietekme uz pārvaldes funkcijām</w:t>
            </w:r>
          </w:p>
        </w:tc>
        <w:tc>
          <w:tcPr>
            <w:tcW w:w="4780" w:type="dxa"/>
            <w:gridSpan w:val="3"/>
            <w:tcBorders>
              <w:top w:val="outset" w:sz="6" w:space="0" w:color="auto"/>
              <w:left w:val="outset" w:sz="6" w:space="0" w:color="auto"/>
              <w:bottom w:val="outset" w:sz="6" w:space="0" w:color="auto"/>
              <w:right w:val="outset" w:sz="6" w:space="0" w:color="auto"/>
            </w:tcBorders>
            <w:hideMark/>
          </w:tcPr>
          <w:p w:rsidR="00836187" w:rsidRPr="0097174A" w:rsidRDefault="00EB5F49" w:rsidP="00EB5F49">
            <w:pPr>
              <w:spacing w:before="100" w:beforeAutospacing="1" w:after="100" w:afterAutospacing="1" w:line="40" w:lineRule="atLeast"/>
              <w:ind w:left="149" w:right="127" w:firstLine="283"/>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Ministru kabineta noteikumu projekts</w:t>
            </w:r>
            <w:r w:rsidR="00836187" w:rsidRPr="0097174A">
              <w:rPr>
                <w:rFonts w:ascii="Times New Roman" w:eastAsia="Times New Roman" w:hAnsi="Times New Roman" w:cs="Times New Roman"/>
                <w:sz w:val="25"/>
                <w:szCs w:val="25"/>
                <w:lang w:eastAsia="lv-LV"/>
              </w:rPr>
              <w:t xml:space="preserve"> neietekmēs V</w:t>
            </w:r>
            <w:r w:rsidR="00993F64" w:rsidRPr="0097174A">
              <w:rPr>
                <w:rFonts w:ascii="Times New Roman" w:eastAsia="Times New Roman" w:hAnsi="Times New Roman" w:cs="Times New Roman"/>
                <w:sz w:val="25"/>
                <w:szCs w:val="25"/>
                <w:lang w:eastAsia="lv-LV"/>
              </w:rPr>
              <w:t xml:space="preserve">alsts ieņēmumu dienesta </w:t>
            </w:r>
            <w:r w:rsidR="00836187" w:rsidRPr="0097174A">
              <w:rPr>
                <w:rFonts w:ascii="Times New Roman" w:eastAsia="Times New Roman" w:hAnsi="Times New Roman" w:cs="Times New Roman"/>
                <w:sz w:val="25"/>
                <w:szCs w:val="25"/>
                <w:lang w:eastAsia="lv-LV"/>
              </w:rPr>
              <w:t>funkcijas un uzdevumus.</w:t>
            </w:r>
          </w:p>
        </w:tc>
      </w:tr>
      <w:tr w:rsidR="00836187" w:rsidRPr="0097174A" w:rsidTr="000E08BE">
        <w:trPr>
          <w:trHeight w:val="725"/>
          <w:tblCellSpacing w:w="0" w:type="dxa"/>
        </w:trPr>
        <w:tc>
          <w:tcPr>
            <w:tcW w:w="469" w:type="dxa"/>
            <w:tcBorders>
              <w:top w:val="outset" w:sz="6" w:space="0" w:color="auto"/>
              <w:left w:val="outset" w:sz="6" w:space="0" w:color="auto"/>
              <w:bottom w:val="outset" w:sz="6" w:space="0" w:color="auto"/>
              <w:right w:val="outset" w:sz="6" w:space="0" w:color="auto"/>
            </w:tcBorders>
            <w:hideMark/>
          </w:tcPr>
          <w:p w:rsidR="00836187" w:rsidRPr="0097174A" w:rsidRDefault="00836187" w:rsidP="0097174A">
            <w:pPr>
              <w:spacing w:before="100" w:beforeAutospacing="1" w:after="100" w:afterAutospacing="1" w:line="40" w:lineRule="atLeast"/>
              <w:ind w:left="0" w:firstLineChars="709" w:firstLine="1773"/>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 3.</w:t>
            </w:r>
          </w:p>
        </w:tc>
        <w:tc>
          <w:tcPr>
            <w:tcW w:w="3698" w:type="dxa"/>
            <w:gridSpan w:val="5"/>
            <w:tcBorders>
              <w:top w:val="outset" w:sz="6" w:space="0" w:color="auto"/>
              <w:left w:val="outset" w:sz="6" w:space="0" w:color="auto"/>
              <w:bottom w:val="outset" w:sz="6" w:space="0" w:color="auto"/>
              <w:right w:val="outset" w:sz="6" w:space="0" w:color="auto"/>
            </w:tcBorders>
            <w:hideMark/>
          </w:tcPr>
          <w:p w:rsidR="00836187" w:rsidRPr="0097174A" w:rsidRDefault="00836187" w:rsidP="009D4AD8">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Projekta izpildes ietekme uz pārvaldes institucionālo struktūru.</w:t>
            </w:r>
          </w:p>
          <w:p w:rsidR="00836187" w:rsidRPr="0097174A" w:rsidRDefault="00836187" w:rsidP="00407F01">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Jaunu institūciju izveide</w:t>
            </w:r>
          </w:p>
        </w:tc>
        <w:tc>
          <w:tcPr>
            <w:tcW w:w="4780" w:type="dxa"/>
            <w:gridSpan w:val="3"/>
            <w:tcBorders>
              <w:top w:val="outset" w:sz="6" w:space="0" w:color="auto"/>
              <w:left w:val="outset" w:sz="6" w:space="0" w:color="auto"/>
              <w:bottom w:val="outset" w:sz="6" w:space="0" w:color="auto"/>
              <w:right w:val="outset" w:sz="6" w:space="0" w:color="auto"/>
            </w:tcBorders>
            <w:hideMark/>
          </w:tcPr>
          <w:p w:rsidR="00836187" w:rsidRPr="0097174A" w:rsidRDefault="009A0DD2" w:rsidP="008E4886">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  </w:t>
            </w:r>
            <w:r w:rsidR="00987DE1" w:rsidRPr="00987DE1">
              <w:rPr>
                <w:rFonts w:ascii="Times New Roman" w:eastAsia="Times New Roman" w:hAnsi="Times New Roman" w:cs="Times New Roman"/>
                <w:sz w:val="25"/>
                <w:szCs w:val="25"/>
                <w:lang w:eastAsia="lv-LV"/>
              </w:rPr>
              <w:t>Projekts šo jomu neskar</w:t>
            </w:r>
          </w:p>
        </w:tc>
      </w:tr>
      <w:tr w:rsidR="00836187" w:rsidRPr="0097174A" w:rsidTr="000E08BE">
        <w:trPr>
          <w:trHeight w:val="780"/>
          <w:tblCellSpacing w:w="0" w:type="dxa"/>
        </w:trPr>
        <w:tc>
          <w:tcPr>
            <w:tcW w:w="469" w:type="dxa"/>
            <w:tcBorders>
              <w:top w:val="outset" w:sz="6" w:space="0" w:color="auto"/>
              <w:left w:val="outset" w:sz="6" w:space="0" w:color="auto"/>
              <w:bottom w:val="outset" w:sz="6" w:space="0" w:color="auto"/>
              <w:right w:val="outset" w:sz="6" w:space="0" w:color="auto"/>
            </w:tcBorders>
            <w:hideMark/>
          </w:tcPr>
          <w:p w:rsidR="00836187" w:rsidRPr="0097174A" w:rsidRDefault="00836187" w:rsidP="0097174A">
            <w:pPr>
              <w:spacing w:before="100" w:beforeAutospacing="1" w:after="100" w:afterAutospacing="1" w:line="40" w:lineRule="atLeast"/>
              <w:ind w:left="0" w:firstLineChars="709" w:firstLine="1773"/>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 4.</w:t>
            </w:r>
          </w:p>
        </w:tc>
        <w:tc>
          <w:tcPr>
            <w:tcW w:w="3698" w:type="dxa"/>
            <w:gridSpan w:val="5"/>
            <w:tcBorders>
              <w:top w:val="outset" w:sz="6" w:space="0" w:color="auto"/>
              <w:left w:val="outset" w:sz="6" w:space="0" w:color="auto"/>
              <w:bottom w:val="outset" w:sz="6" w:space="0" w:color="auto"/>
              <w:right w:val="outset" w:sz="6" w:space="0" w:color="auto"/>
            </w:tcBorders>
            <w:hideMark/>
          </w:tcPr>
          <w:p w:rsidR="00836187" w:rsidRPr="0097174A" w:rsidRDefault="00836187" w:rsidP="00407F01">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Projekta izpildes ietekme uz pārvaldes institucionālo struktūru.</w:t>
            </w:r>
          </w:p>
          <w:p w:rsidR="00836187" w:rsidRPr="0097174A" w:rsidRDefault="00836187" w:rsidP="00407F01">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Esošu institūciju likvidācija</w:t>
            </w:r>
          </w:p>
        </w:tc>
        <w:tc>
          <w:tcPr>
            <w:tcW w:w="4780" w:type="dxa"/>
            <w:gridSpan w:val="3"/>
            <w:tcBorders>
              <w:top w:val="outset" w:sz="6" w:space="0" w:color="auto"/>
              <w:left w:val="outset" w:sz="6" w:space="0" w:color="auto"/>
              <w:bottom w:val="outset" w:sz="6" w:space="0" w:color="auto"/>
              <w:right w:val="outset" w:sz="6" w:space="0" w:color="auto"/>
            </w:tcBorders>
            <w:hideMark/>
          </w:tcPr>
          <w:p w:rsidR="00836187" w:rsidRPr="0097174A" w:rsidRDefault="009A0DD2" w:rsidP="008E4886">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  </w:t>
            </w:r>
            <w:r w:rsidR="00987DE1" w:rsidRPr="00987DE1">
              <w:rPr>
                <w:rFonts w:ascii="Times New Roman" w:eastAsia="Times New Roman" w:hAnsi="Times New Roman" w:cs="Times New Roman"/>
                <w:sz w:val="25"/>
                <w:szCs w:val="25"/>
                <w:lang w:eastAsia="lv-LV"/>
              </w:rPr>
              <w:t>Projekts šo jomu neskar</w:t>
            </w:r>
          </w:p>
        </w:tc>
      </w:tr>
      <w:tr w:rsidR="00836187" w:rsidRPr="0097174A" w:rsidTr="000E08BE">
        <w:trPr>
          <w:trHeight w:val="703"/>
          <w:tblCellSpacing w:w="0" w:type="dxa"/>
        </w:trPr>
        <w:tc>
          <w:tcPr>
            <w:tcW w:w="469" w:type="dxa"/>
            <w:tcBorders>
              <w:top w:val="outset" w:sz="6" w:space="0" w:color="auto"/>
              <w:left w:val="outset" w:sz="6" w:space="0" w:color="auto"/>
              <w:bottom w:val="outset" w:sz="6" w:space="0" w:color="auto"/>
              <w:right w:val="outset" w:sz="6" w:space="0" w:color="auto"/>
            </w:tcBorders>
            <w:hideMark/>
          </w:tcPr>
          <w:p w:rsidR="00836187" w:rsidRPr="0097174A" w:rsidRDefault="00836187" w:rsidP="0097174A">
            <w:pPr>
              <w:spacing w:before="100" w:beforeAutospacing="1" w:after="100" w:afterAutospacing="1" w:line="40" w:lineRule="atLeast"/>
              <w:ind w:left="0" w:firstLineChars="709" w:firstLine="1773"/>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 5.</w:t>
            </w:r>
          </w:p>
        </w:tc>
        <w:tc>
          <w:tcPr>
            <w:tcW w:w="3698" w:type="dxa"/>
            <w:gridSpan w:val="5"/>
            <w:tcBorders>
              <w:top w:val="outset" w:sz="6" w:space="0" w:color="auto"/>
              <w:left w:val="outset" w:sz="6" w:space="0" w:color="auto"/>
              <w:bottom w:val="outset" w:sz="6" w:space="0" w:color="auto"/>
              <w:right w:val="outset" w:sz="6" w:space="0" w:color="auto"/>
            </w:tcBorders>
            <w:hideMark/>
          </w:tcPr>
          <w:p w:rsidR="00836187" w:rsidRPr="0097174A" w:rsidRDefault="00836187" w:rsidP="00407F01">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Projekta izpildes ietekme uz pārvaldes institucionālo struktūru.</w:t>
            </w:r>
          </w:p>
          <w:p w:rsidR="00836187" w:rsidRPr="0097174A" w:rsidRDefault="00836187" w:rsidP="00407F01">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Esošu institūciju reorganizācija</w:t>
            </w:r>
          </w:p>
        </w:tc>
        <w:tc>
          <w:tcPr>
            <w:tcW w:w="4780" w:type="dxa"/>
            <w:gridSpan w:val="3"/>
            <w:tcBorders>
              <w:top w:val="outset" w:sz="6" w:space="0" w:color="auto"/>
              <w:left w:val="outset" w:sz="6" w:space="0" w:color="auto"/>
              <w:bottom w:val="outset" w:sz="6" w:space="0" w:color="auto"/>
              <w:right w:val="outset" w:sz="6" w:space="0" w:color="auto"/>
            </w:tcBorders>
            <w:hideMark/>
          </w:tcPr>
          <w:p w:rsidR="00836187" w:rsidRPr="0097174A" w:rsidRDefault="009A0DD2" w:rsidP="008E4886">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  </w:t>
            </w:r>
            <w:r w:rsidR="00987DE1" w:rsidRPr="00987DE1">
              <w:rPr>
                <w:rFonts w:ascii="Times New Roman" w:eastAsia="Times New Roman" w:hAnsi="Times New Roman" w:cs="Times New Roman"/>
                <w:sz w:val="25"/>
                <w:szCs w:val="25"/>
                <w:lang w:eastAsia="lv-LV"/>
              </w:rPr>
              <w:t>Projekts šo jomu neskar</w:t>
            </w:r>
          </w:p>
        </w:tc>
      </w:tr>
      <w:tr w:rsidR="00836187" w:rsidRPr="0097174A" w:rsidTr="001C33A0">
        <w:trPr>
          <w:trHeight w:val="356"/>
          <w:tblCellSpacing w:w="0" w:type="dxa"/>
        </w:trPr>
        <w:tc>
          <w:tcPr>
            <w:tcW w:w="469" w:type="dxa"/>
            <w:tcBorders>
              <w:top w:val="outset" w:sz="6" w:space="0" w:color="auto"/>
              <w:left w:val="outset" w:sz="6" w:space="0" w:color="auto"/>
              <w:bottom w:val="outset" w:sz="6" w:space="0" w:color="auto"/>
              <w:right w:val="outset" w:sz="6" w:space="0" w:color="auto"/>
            </w:tcBorders>
            <w:hideMark/>
          </w:tcPr>
          <w:p w:rsidR="00836187" w:rsidRPr="0097174A" w:rsidRDefault="00836187" w:rsidP="0097174A">
            <w:pPr>
              <w:spacing w:before="100" w:beforeAutospacing="1" w:after="100" w:afterAutospacing="1" w:line="40" w:lineRule="atLeast"/>
              <w:ind w:left="0" w:firstLineChars="709" w:firstLine="1773"/>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 6.</w:t>
            </w:r>
          </w:p>
        </w:tc>
        <w:tc>
          <w:tcPr>
            <w:tcW w:w="3698" w:type="dxa"/>
            <w:gridSpan w:val="5"/>
            <w:tcBorders>
              <w:top w:val="outset" w:sz="6" w:space="0" w:color="auto"/>
              <w:left w:val="outset" w:sz="6" w:space="0" w:color="auto"/>
              <w:bottom w:val="outset" w:sz="6" w:space="0" w:color="auto"/>
              <w:right w:val="outset" w:sz="6" w:space="0" w:color="auto"/>
            </w:tcBorders>
            <w:hideMark/>
          </w:tcPr>
          <w:p w:rsidR="00836187" w:rsidRPr="0097174A" w:rsidRDefault="00836187" w:rsidP="00407F01">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sidRPr="0097174A">
              <w:rPr>
                <w:rFonts w:ascii="Times New Roman" w:eastAsia="Times New Roman" w:hAnsi="Times New Roman" w:cs="Times New Roman"/>
                <w:sz w:val="25"/>
                <w:szCs w:val="25"/>
                <w:lang w:eastAsia="lv-LV"/>
              </w:rPr>
              <w:t>Cita informācija</w:t>
            </w:r>
          </w:p>
        </w:tc>
        <w:tc>
          <w:tcPr>
            <w:tcW w:w="4780" w:type="dxa"/>
            <w:gridSpan w:val="3"/>
            <w:tcBorders>
              <w:top w:val="outset" w:sz="6" w:space="0" w:color="auto"/>
              <w:left w:val="outset" w:sz="6" w:space="0" w:color="auto"/>
              <w:bottom w:val="outset" w:sz="6" w:space="0" w:color="auto"/>
              <w:right w:val="outset" w:sz="6" w:space="0" w:color="auto"/>
            </w:tcBorders>
            <w:hideMark/>
          </w:tcPr>
          <w:p w:rsidR="00836187" w:rsidRPr="0097174A" w:rsidRDefault="009A0DD2" w:rsidP="008E4886">
            <w:pPr>
              <w:spacing w:before="100" w:beforeAutospacing="1" w:after="100" w:afterAutospacing="1" w:line="40" w:lineRule="atLeast"/>
              <w:ind w:left="0"/>
              <w:jc w:val="left"/>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  </w:t>
            </w:r>
            <w:r w:rsidR="007C6831" w:rsidRPr="0097174A">
              <w:rPr>
                <w:rFonts w:ascii="Times New Roman" w:eastAsia="Times New Roman" w:hAnsi="Times New Roman" w:cs="Times New Roman"/>
                <w:sz w:val="25"/>
                <w:szCs w:val="25"/>
                <w:lang w:eastAsia="lv-LV"/>
              </w:rPr>
              <w:t>Nav</w:t>
            </w:r>
          </w:p>
        </w:tc>
      </w:tr>
    </w:tbl>
    <w:p w:rsidR="00A672E0" w:rsidRPr="0097174A" w:rsidRDefault="00A672E0" w:rsidP="00670E79">
      <w:pPr>
        <w:spacing w:before="100" w:beforeAutospacing="1" w:after="100" w:afterAutospacing="1" w:line="40" w:lineRule="atLeast"/>
        <w:ind w:left="0" w:firstLine="709"/>
        <w:rPr>
          <w:rFonts w:ascii="Times New Roman" w:eastAsia="Times New Roman" w:hAnsi="Times New Roman" w:cs="Times New Roman"/>
          <w:b/>
          <w:sz w:val="25"/>
          <w:szCs w:val="25"/>
          <w:lang w:eastAsia="lv-LV"/>
        </w:rPr>
      </w:pPr>
      <w:r w:rsidRPr="0097174A">
        <w:rPr>
          <w:rFonts w:ascii="Times New Roman" w:eastAsia="Times New Roman" w:hAnsi="Times New Roman" w:cs="Times New Roman"/>
          <w:b/>
          <w:sz w:val="25"/>
          <w:szCs w:val="25"/>
          <w:lang w:eastAsia="lv-LV"/>
        </w:rPr>
        <w:t xml:space="preserve">Anotācijas </w:t>
      </w:r>
      <w:r w:rsidR="00BF4463" w:rsidRPr="0097174A">
        <w:rPr>
          <w:rFonts w:ascii="Times New Roman" w:eastAsia="Times New Roman" w:hAnsi="Times New Roman" w:cs="Times New Roman"/>
          <w:b/>
          <w:sz w:val="25"/>
          <w:szCs w:val="25"/>
          <w:lang w:eastAsia="lv-LV"/>
        </w:rPr>
        <w:t>I</w:t>
      </w:r>
      <w:r w:rsidRPr="0097174A">
        <w:rPr>
          <w:rFonts w:ascii="Times New Roman" w:eastAsia="Times New Roman" w:hAnsi="Times New Roman" w:cs="Times New Roman"/>
          <w:b/>
          <w:sz w:val="25"/>
          <w:szCs w:val="25"/>
          <w:lang w:eastAsia="lv-LV"/>
        </w:rPr>
        <w:t>II</w:t>
      </w:r>
      <w:r w:rsidR="00070992" w:rsidRPr="0097174A">
        <w:rPr>
          <w:rFonts w:ascii="Times New Roman" w:eastAsia="Times New Roman" w:hAnsi="Times New Roman" w:cs="Times New Roman"/>
          <w:b/>
          <w:sz w:val="25"/>
          <w:szCs w:val="25"/>
          <w:lang w:eastAsia="lv-LV"/>
        </w:rPr>
        <w:t xml:space="preserve">, </w:t>
      </w:r>
      <w:r w:rsidR="00EE2D34" w:rsidRPr="0097174A">
        <w:rPr>
          <w:rFonts w:ascii="Times New Roman" w:eastAsia="Times New Roman" w:hAnsi="Times New Roman" w:cs="Times New Roman"/>
          <w:b/>
          <w:sz w:val="25"/>
          <w:szCs w:val="25"/>
          <w:lang w:eastAsia="lv-LV"/>
        </w:rPr>
        <w:t>IV</w:t>
      </w:r>
      <w:r w:rsidR="00070992" w:rsidRPr="0097174A">
        <w:rPr>
          <w:rFonts w:ascii="Times New Roman" w:eastAsia="Times New Roman" w:hAnsi="Times New Roman" w:cs="Times New Roman"/>
          <w:b/>
          <w:sz w:val="25"/>
          <w:szCs w:val="25"/>
          <w:lang w:eastAsia="lv-LV"/>
        </w:rPr>
        <w:t xml:space="preserve"> un VI</w:t>
      </w:r>
      <w:r w:rsidR="00BF4463" w:rsidRPr="0097174A">
        <w:rPr>
          <w:rFonts w:ascii="Times New Roman" w:eastAsia="Times New Roman" w:hAnsi="Times New Roman" w:cs="Times New Roman"/>
          <w:b/>
          <w:sz w:val="25"/>
          <w:szCs w:val="25"/>
          <w:lang w:eastAsia="lv-LV"/>
        </w:rPr>
        <w:t xml:space="preserve"> sadaļ</w:t>
      </w:r>
      <w:r w:rsidR="00987DE1">
        <w:rPr>
          <w:rFonts w:ascii="Times New Roman" w:eastAsia="Times New Roman" w:hAnsi="Times New Roman" w:cs="Times New Roman"/>
          <w:b/>
          <w:sz w:val="25"/>
          <w:szCs w:val="25"/>
          <w:lang w:eastAsia="lv-LV"/>
        </w:rPr>
        <w:t>a – projekts šīs jomas neskar.</w:t>
      </w:r>
      <w:r w:rsidR="00670E79">
        <w:rPr>
          <w:rFonts w:ascii="Times New Roman" w:eastAsia="Times New Roman" w:hAnsi="Times New Roman" w:cs="Times New Roman"/>
          <w:b/>
          <w:sz w:val="25"/>
          <w:szCs w:val="25"/>
          <w:lang w:eastAsia="lv-LV"/>
        </w:rPr>
        <w:t xml:space="preserve"> </w:t>
      </w:r>
    </w:p>
    <w:p w:rsidR="001C33A0" w:rsidRDefault="001C33A0"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8"/>
          <w:szCs w:val="28"/>
          <w:lang w:eastAsia="lv-LV"/>
        </w:rPr>
      </w:pPr>
    </w:p>
    <w:p w:rsidR="00E04202" w:rsidRPr="001C33A0" w:rsidRDefault="00E04202"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6"/>
          <w:szCs w:val="26"/>
          <w:lang w:eastAsia="lv-LV"/>
        </w:rPr>
      </w:pPr>
      <w:r w:rsidRPr="0009673C">
        <w:rPr>
          <w:rFonts w:ascii="Times New Roman" w:eastAsia="Times New Roman" w:hAnsi="Times New Roman" w:cs="Times New Roman"/>
          <w:sz w:val="28"/>
          <w:szCs w:val="28"/>
          <w:lang w:eastAsia="lv-LV"/>
        </w:rPr>
        <w:t>Finanšu ministrs</w:t>
      </w:r>
      <w:r w:rsidR="00757DB4" w:rsidRPr="0009673C">
        <w:rPr>
          <w:rFonts w:ascii="Times New Roman" w:eastAsia="Times New Roman" w:hAnsi="Times New Roman" w:cs="Times New Roman"/>
          <w:sz w:val="28"/>
          <w:szCs w:val="28"/>
          <w:lang w:eastAsia="lv-LV"/>
        </w:rPr>
        <w:tab/>
      </w:r>
      <w:r w:rsidR="00757DB4" w:rsidRPr="0009673C">
        <w:rPr>
          <w:rFonts w:ascii="Times New Roman" w:eastAsia="Times New Roman" w:hAnsi="Times New Roman" w:cs="Times New Roman"/>
          <w:sz w:val="28"/>
          <w:szCs w:val="28"/>
          <w:lang w:eastAsia="lv-LV"/>
        </w:rPr>
        <w:tab/>
      </w:r>
      <w:r w:rsidR="00757DB4" w:rsidRPr="0009673C">
        <w:rPr>
          <w:rFonts w:ascii="Times New Roman" w:eastAsia="Times New Roman" w:hAnsi="Times New Roman" w:cs="Times New Roman"/>
          <w:sz w:val="28"/>
          <w:szCs w:val="28"/>
          <w:lang w:eastAsia="lv-LV"/>
        </w:rPr>
        <w:tab/>
      </w:r>
      <w:r w:rsidR="0001074A" w:rsidRPr="0009673C">
        <w:rPr>
          <w:rFonts w:ascii="Times New Roman" w:eastAsia="Times New Roman" w:hAnsi="Times New Roman" w:cs="Times New Roman"/>
          <w:sz w:val="28"/>
          <w:szCs w:val="28"/>
          <w:lang w:eastAsia="lv-LV"/>
        </w:rPr>
        <w:t>A.Vilks</w:t>
      </w:r>
    </w:p>
    <w:p w:rsidR="00CE7312" w:rsidRDefault="00CE7312" w:rsidP="00407F01">
      <w:pPr>
        <w:spacing w:after="0" w:line="40" w:lineRule="atLeast"/>
        <w:ind w:left="0"/>
        <w:jc w:val="left"/>
        <w:rPr>
          <w:rFonts w:ascii="Times New Roman" w:eastAsia="Times New Roman" w:hAnsi="Times New Roman" w:cs="Times New Roman"/>
          <w:lang w:eastAsia="lv-LV"/>
        </w:rPr>
      </w:pPr>
    </w:p>
    <w:p w:rsidR="00145066" w:rsidRPr="0009673C" w:rsidRDefault="001C33A0" w:rsidP="00407F01">
      <w:pPr>
        <w:spacing w:after="0" w:line="40" w:lineRule="atLeast"/>
        <w:ind w:left="0"/>
        <w:jc w:val="left"/>
        <w:rPr>
          <w:rFonts w:ascii="Times New Roman" w:eastAsia="Times New Roman" w:hAnsi="Times New Roman" w:cs="Times New Roman"/>
          <w:lang w:eastAsia="lv-LV"/>
        </w:rPr>
      </w:pPr>
      <w:r>
        <w:rPr>
          <w:rFonts w:ascii="Times New Roman" w:eastAsia="Times New Roman" w:hAnsi="Times New Roman" w:cs="Times New Roman"/>
          <w:lang w:eastAsia="lv-LV"/>
        </w:rPr>
        <w:t>10</w:t>
      </w:r>
      <w:r w:rsidR="0086665D">
        <w:rPr>
          <w:rFonts w:ascii="Times New Roman" w:eastAsia="Times New Roman" w:hAnsi="Times New Roman" w:cs="Times New Roman"/>
          <w:lang w:eastAsia="lv-LV"/>
        </w:rPr>
        <w:t>.12</w:t>
      </w:r>
      <w:r w:rsidR="0009673C" w:rsidRPr="0009673C">
        <w:rPr>
          <w:rFonts w:ascii="Times New Roman" w:eastAsia="Times New Roman" w:hAnsi="Times New Roman" w:cs="Times New Roman"/>
          <w:lang w:eastAsia="lv-LV"/>
        </w:rPr>
        <w:t>.201</w:t>
      </w:r>
      <w:r w:rsidR="005D315F">
        <w:rPr>
          <w:rFonts w:ascii="Times New Roman" w:eastAsia="Times New Roman" w:hAnsi="Times New Roman" w:cs="Times New Roman"/>
          <w:lang w:eastAsia="lv-LV"/>
        </w:rPr>
        <w:t>3</w:t>
      </w:r>
      <w:r w:rsidR="00145066" w:rsidRPr="0009673C">
        <w:rPr>
          <w:rFonts w:ascii="Times New Roman" w:eastAsia="Times New Roman" w:hAnsi="Times New Roman" w:cs="Times New Roman"/>
          <w:lang w:eastAsia="lv-LV"/>
        </w:rPr>
        <w:t xml:space="preserve">.  </w:t>
      </w:r>
      <w:r w:rsidR="001E4F4E">
        <w:rPr>
          <w:rFonts w:ascii="Times New Roman" w:eastAsia="Times New Roman" w:hAnsi="Times New Roman" w:cs="Times New Roman"/>
          <w:lang w:eastAsia="lv-LV"/>
        </w:rPr>
        <w:t>13</w:t>
      </w:r>
      <w:r w:rsidR="00145066" w:rsidRPr="0009673C">
        <w:rPr>
          <w:rFonts w:ascii="Times New Roman" w:eastAsia="Times New Roman" w:hAnsi="Times New Roman" w:cs="Times New Roman"/>
          <w:lang w:eastAsia="lv-LV"/>
        </w:rPr>
        <w:t>:</w:t>
      </w:r>
      <w:r w:rsidR="001E4F4E">
        <w:rPr>
          <w:rFonts w:ascii="Times New Roman" w:eastAsia="Times New Roman" w:hAnsi="Times New Roman" w:cs="Times New Roman"/>
          <w:lang w:eastAsia="lv-LV"/>
        </w:rPr>
        <w:t>0</w:t>
      </w:r>
      <w:r w:rsidR="0009673C" w:rsidRPr="0009673C">
        <w:rPr>
          <w:rFonts w:ascii="Times New Roman" w:eastAsia="Times New Roman" w:hAnsi="Times New Roman" w:cs="Times New Roman"/>
          <w:lang w:eastAsia="lv-LV"/>
        </w:rPr>
        <w:t>0</w:t>
      </w:r>
    </w:p>
    <w:p w:rsidR="00F8765B" w:rsidRPr="0009673C" w:rsidRDefault="001E4F4E" w:rsidP="00456C1B">
      <w:pPr>
        <w:spacing w:after="0" w:line="40" w:lineRule="atLeast"/>
        <w:ind w:left="0"/>
        <w:jc w:val="left"/>
        <w:rPr>
          <w:rFonts w:ascii="Times New Roman" w:eastAsia="Times New Roman" w:hAnsi="Times New Roman" w:cs="Times New Roman"/>
          <w:lang w:eastAsia="lv-LV"/>
        </w:rPr>
      </w:pPr>
      <w:r>
        <w:rPr>
          <w:rFonts w:ascii="Times New Roman" w:eastAsia="Times New Roman" w:hAnsi="Times New Roman" w:cs="Times New Roman"/>
          <w:lang w:eastAsia="lv-LV"/>
        </w:rPr>
        <w:t>1055</w:t>
      </w:r>
    </w:p>
    <w:p w:rsidR="007D750C" w:rsidRPr="0009673C" w:rsidRDefault="005D315F" w:rsidP="00456C1B">
      <w:pPr>
        <w:spacing w:after="0" w:line="40" w:lineRule="atLeast"/>
        <w:ind w:left="0"/>
        <w:jc w:val="left"/>
        <w:rPr>
          <w:rFonts w:ascii="Times New Roman" w:eastAsia="Times New Roman" w:hAnsi="Times New Roman" w:cs="Times New Roman"/>
          <w:lang w:eastAsia="lv-LV"/>
        </w:rPr>
      </w:pPr>
      <w:r>
        <w:rPr>
          <w:rFonts w:ascii="Times New Roman" w:eastAsia="Times New Roman" w:hAnsi="Times New Roman" w:cs="Times New Roman"/>
          <w:lang w:eastAsia="lv-LV"/>
        </w:rPr>
        <w:t>I.Jaunmuktāne</w:t>
      </w:r>
    </w:p>
    <w:p w:rsidR="0097174A" w:rsidRPr="00156451" w:rsidRDefault="007D750C" w:rsidP="00156451">
      <w:pPr>
        <w:spacing w:after="0" w:line="40" w:lineRule="atLeast"/>
        <w:ind w:left="0"/>
        <w:jc w:val="left"/>
        <w:rPr>
          <w:rFonts w:ascii="Times New Roman" w:hAnsi="Times New Roman" w:cs="Times New Roman"/>
        </w:rPr>
      </w:pPr>
      <w:r w:rsidRPr="0009673C">
        <w:rPr>
          <w:rFonts w:ascii="Times New Roman" w:eastAsia="Times New Roman" w:hAnsi="Times New Roman" w:cs="Times New Roman"/>
          <w:lang w:eastAsia="lv-LV"/>
        </w:rPr>
        <w:t>67</w:t>
      </w:r>
      <w:r w:rsidR="005D315F">
        <w:rPr>
          <w:rFonts w:ascii="Times New Roman" w:eastAsia="Times New Roman" w:hAnsi="Times New Roman" w:cs="Times New Roman"/>
          <w:lang w:eastAsia="lv-LV"/>
        </w:rPr>
        <w:t>111412</w:t>
      </w:r>
      <w:r w:rsidRPr="0009673C">
        <w:rPr>
          <w:rFonts w:ascii="Times New Roman" w:eastAsia="Times New Roman" w:hAnsi="Times New Roman" w:cs="Times New Roman"/>
          <w:lang w:eastAsia="lv-LV"/>
        </w:rPr>
        <w:t xml:space="preserve">, </w:t>
      </w:r>
      <w:r w:rsidR="005D315F">
        <w:rPr>
          <w:rFonts w:ascii="Times New Roman" w:eastAsia="Times New Roman" w:hAnsi="Times New Roman" w:cs="Times New Roman"/>
          <w:lang w:eastAsia="lv-LV"/>
        </w:rPr>
        <w:t>Inga.jaunmuktane</w:t>
      </w:r>
      <w:r w:rsidRPr="0009673C">
        <w:rPr>
          <w:rFonts w:ascii="Times New Roman" w:eastAsia="Times New Roman" w:hAnsi="Times New Roman" w:cs="Times New Roman"/>
          <w:lang w:eastAsia="lv-LV"/>
        </w:rPr>
        <w:t>@</w:t>
      </w:r>
      <w:r w:rsidR="005D315F">
        <w:rPr>
          <w:rFonts w:ascii="Times New Roman" w:eastAsia="Times New Roman" w:hAnsi="Times New Roman" w:cs="Times New Roman"/>
          <w:lang w:eastAsia="lv-LV"/>
        </w:rPr>
        <w:t>vid.</w:t>
      </w:r>
      <w:r w:rsidRPr="0009673C">
        <w:rPr>
          <w:rFonts w:ascii="Times New Roman" w:eastAsia="Times New Roman" w:hAnsi="Times New Roman" w:cs="Times New Roman"/>
          <w:lang w:eastAsia="lv-LV"/>
        </w:rPr>
        <w:t>gov.lv</w:t>
      </w:r>
    </w:p>
    <w:sectPr w:rsidR="0097174A" w:rsidRPr="00156451" w:rsidSect="006D0D3A">
      <w:headerReference w:type="default" r:id="rId9"/>
      <w:footerReference w:type="default" r:id="rId10"/>
      <w:footerReference w:type="first" r:id="rId11"/>
      <w:pgSz w:w="11906" w:h="16838"/>
      <w:pgMar w:top="1440" w:right="1133" w:bottom="1440" w:left="1800" w:header="708" w:footer="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58" w:rsidRDefault="00B54F58" w:rsidP="003B0A1E">
      <w:pPr>
        <w:spacing w:after="0"/>
      </w:pPr>
      <w:r>
        <w:separator/>
      </w:r>
    </w:p>
  </w:endnote>
  <w:endnote w:type="continuationSeparator" w:id="0">
    <w:p w:rsidR="00B54F58" w:rsidRDefault="00B54F58"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52" w:rsidRPr="002E2B4C" w:rsidRDefault="00DC6B52" w:rsidP="002E2B4C">
    <w:pPr>
      <w:ind w:left="0"/>
      <w:rPr>
        <w:rFonts w:ascii="Times New Roman" w:hAnsi="Times New Roman" w:cs="Times New Roman"/>
        <w:sz w:val="20"/>
        <w:szCs w:val="20"/>
      </w:rPr>
    </w:pPr>
    <w:r w:rsidRPr="002E2B4C">
      <w:rPr>
        <w:rFonts w:ascii="Times New Roman" w:hAnsi="Times New Roman" w:cs="Times New Roman"/>
        <w:sz w:val="20"/>
        <w:szCs w:val="20"/>
      </w:rPr>
      <w:t>FMAnot_</w:t>
    </w:r>
    <w:r w:rsidR="001C33A0">
      <w:rPr>
        <w:rFonts w:ascii="Times New Roman" w:hAnsi="Times New Roman" w:cs="Times New Roman"/>
        <w:sz w:val="20"/>
        <w:szCs w:val="20"/>
      </w:rPr>
      <w:t>10</w:t>
    </w:r>
    <w:r w:rsidR="002168EA">
      <w:rPr>
        <w:rFonts w:ascii="Times New Roman" w:hAnsi="Times New Roman" w:cs="Times New Roman"/>
        <w:sz w:val="20"/>
        <w:szCs w:val="20"/>
      </w:rPr>
      <w:t>12</w:t>
    </w:r>
    <w:r w:rsidR="00AC74A0">
      <w:rPr>
        <w:rFonts w:ascii="Times New Roman" w:hAnsi="Times New Roman" w:cs="Times New Roman"/>
        <w:sz w:val="20"/>
        <w:szCs w:val="20"/>
      </w:rPr>
      <w:t>13</w:t>
    </w:r>
    <w:r>
      <w:rPr>
        <w:rFonts w:ascii="Times New Roman" w:hAnsi="Times New Roman" w:cs="Times New Roman"/>
        <w:sz w:val="20"/>
        <w:szCs w:val="20"/>
      </w:rPr>
      <w:t>_TARIC_groz; Ministru kabineta noteikumu projekta „</w:t>
    </w:r>
    <w:r w:rsidRPr="002E2B4C">
      <w:rPr>
        <w:rFonts w:ascii="Times New Roman" w:hAnsi="Times New Roman" w:cs="Times New Roman"/>
        <w:sz w:val="20"/>
        <w:szCs w:val="20"/>
      </w:rPr>
      <w:t>Grozījum</w:t>
    </w:r>
    <w:r w:rsidR="0093254D">
      <w:rPr>
        <w:rFonts w:ascii="Times New Roman" w:hAnsi="Times New Roman" w:cs="Times New Roman"/>
        <w:sz w:val="20"/>
        <w:szCs w:val="20"/>
      </w:rPr>
      <w:t>s</w:t>
    </w:r>
    <w:r w:rsidRPr="002E2B4C">
      <w:rPr>
        <w:rFonts w:ascii="Times New Roman" w:hAnsi="Times New Roman" w:cs="Times New Roman"/>
        <w:sz w:val="20"/>
        <w:szCs w:val="20"/>
      </w:rPr>
      <w:t xml:space="preserve"> Ministru kabineta 2011.gada </w:t>
    </w:r>
    <w:r>
      <w:rPr>
        <w:rFonts w:ascii="Times New Roman" w:hAnsi="Times New Roman" w:cs="Times New Roman"/>
        <w:sz w:val="20"/>
        <w:szCs w:val="20"/>
      </w:rPr>
      <w:t>27.septembra noteikumos Nr.731 „</w:t>
    </w:r>
    <w:r w:rsidRPr="002E2B4C">
      <w:rPr>
        <w:rFonts w:ascii="Times New Roman" w:hAnsi="Times New Roman" w:cs="Times New Roman"/>
        <w:bCs/>
        <w:sz w:val="20"/>
        <w:szCs w:val="20"/>
      </w:rPr>
      <w:t>Noteikumi par akcīzes preču apvienotā Kopienas tarifa (TARIC) nacionālajiem kodiem un to piemērošanas kārtību</w:t>
    </w:r>
    <w:r w:rsidRPr="002E2B4C">
      <w:rPr>
        <w:rFonts w:ascii="Times New Roman" w:hAnsi="Times New Roman" w:cs="Times New Roman"/>
        <w:sz w:val="20"/>
        <w:szCs w:val="20"/>
      </w:rPr>
      <w:t>”</w:t>
    </w:r>
    <w:r>
      <w:rPr>
        <w:rFonts w:ascii="Times New Roman" w:hAnsi="Times New Roman" w:cs="Times New Roman"/>
        <w:sz w:val="20"/>
        <w:szCs w:val="20"/>
      </w:rPr>
      <w:t>”</w:t>
    </w:r>
    <w:r w:rsidRPr="002E2B4C">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52" w:rsidRPr="002E2B4C" w:rsidRDefault="00DC6B52" w:rsidP="003677B2">
    <w:pPr>
      <w:ind w:left="0"/>
      <w:rPr>
        <w:rFonts w:ascii="Times New Roman" w:hAnsi="Times New Roman" w:cs="Times New Roman"/>
        <w:sz w:val="20"/>
        <w:szCs w:val="20"/>
      </w:rPr>
    </w:pPr>
    <w:r>
      <w:rPr>
        <w:rFonts w:ascii="Times New Roman" w:hAnsi="Times New Roman" w:cs="Times New Roman"/>
        <w:sz w:val="20"/>
        <w:szCs w:val="20"/>
      </w:rPr>
      <w:t>FMAnot_</w:t>
    </w:r>
    <w:r w:rsidR="001C33A0">
      <w:rPr>
        <w:rFonts w:ascii="Times New Roman" w:hAnsi="Times New Roman" w:cs="Times New Roman"/>
        <w:sz w:val="20"/>
        <w:szCs w:val="20"/>
      </w:rPr>
      <w:t>10</w:t>
    </w:r>
    <w:r w:rsidR="002168EA">
      <w:rPr>
        <w:rFonts w:ascii="Times New Roman" w:hAnsi="Times New Roman" w:cs="Times New Roman"/>
        <w:sz w:val="20"/>
        <w:szCs w:val="20"/>
      </w:rPr>
      <w:t>12</w:t>
    </w:r>
    <w:r w:rsidR="00AC74A0">
      <w:rPr>
        <w:rFonts w:ascii="Times New Roman" w:hAnsi="Times New Roman" w:cs="Times New Roman"/>
        <w:sz w:val="20"/>
        <w:szCs w:val="20"/>
      </w:rPr>
      <w:t>13</w:t>
    </w:r>
    <w:r>
      <w:rPr>
        <w:rFonts w:ascii="Times New Roman" w:hAnsi="Times New Roman" w:cs="Times New Roman"/>
        <w:sz w:val="20"/>
        <w:szCs w:val="20"/>
      </w:rPr>
      <w:t>_TARIC</w:t>
    </w:r>
    <w:r w:rsidR="009826CC">
      <w:rPr>
        <w:rFonts w:ascii="Times New Roman" w:hAnsi="Times New Roman" w:cs="Times New Roman"/>
        <w:sz w:val="20"/>
        <w:szCs w:val="20"/>
      </w:rPr>
      <w:t>_groz</w:t>
    </w:r>
    <w:r w:rsidRPr="002E2B4C">
      <w:rPr>
        <w:rFonts w:ascii="Times New Roman" w:hAnsi="Times New Roman" w:cs="Times New Roman"/>
        <w:sz w:val="20"/>
        <w:szCs w:val="20"/>
      </w:rPr>
      <w:t xml:space="preserve">; </w:t>
    </w:r>
    <w:r>
      <w:rPr>
        <w:rFonts w:ascii="Times New Roman" w:hAnsi="Times New Roman" w:cs="Times New Roman"/>
        <w:sz w:val="20"/>
        <w:szCs w:val="20"/>
      </w:rPr>
      <w:t>Ministru kabineta noteikumu projekta „</w:t>
    </w:r>
    <w:r w:rsidRPr="002E2B4C">
      <w:rPr>
        <w:rFonts w:ascii="Times New Roman" w:hAnsi="Times New Roman" w:cs="Times New Roman"/>
        <w:sz w:val="20"/>
        <w:szCs w:val="20"/>
      </w:rPr>
      <w:t>Grozījumi Ministru kabineta 2011.gada 27.septembra noteikumos Nr.731 “</w:t>
    </w:r>
    <w:r w:rsidRPr="002E2B4C">
      <w:rPr>
        <w:rFonts w:ascii="Times New Roman" w:hAnsi="Times New Roman" w:cs="Times New Roman"/>
        <w:bCs/>
        <w:sz w:val="20"/>
        <w:szCs w:val="20"/>
      </w:rPr>
      <w:t>Noteikumi par akcīzes preču apvienotā Kopienas tarifa (TARIC) nacionālajiem kodiem un to piemērošanas kārtību</w:t>
    </w:r>
    <w:r w:rsidRPr="002E2B4C">
      <w:rPr>
        <w:rFonts w:ascii="Times New Roman" w:hAnsi="Times New Roman" w:cs="Times New Roman"/>
        <w:sz w:val="20"/>
        <w:szCs w:val="20"/>
      </w:rPr>
      <w:t>”</w:t>
    </w:r>
    <w:r>
      <w:rPr>
        <w:rFonts w:ascii="Times New Roman" w:hAnsi="Times New Roman" w:cs="Times New Roman"/>
        <w:sz w:val="20"/>
        <w:szCs w:val="20"/>
      </w:rPr>
      <w:t>”</w:t>
    </w:r>
    <w:r w:rsidRPr="002E2B4C">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58" w:rsidRDefault="00B54F58" w:rsidP="003B0A1E">
      <w:pPr>
        <w:spacing w:after="0"/>
      </w:pPr>
      <w:r>
        <w:separator/>
      </w:r>
    </w:p>
  </w:footnote>
  <w:footnote w:type="continuationSeparator" w:id="0">
    <w:p w:rsidR="00B54F58" w:rsidRDefault="00B54F58"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DC6B52" w:rsidRDefault="00DC6B52">
        <w:pPr>
          <w:pStyle w:val="Header"/>
          <w:jc w:val="center"/>
        </w:pPr>
        <w:r>
          <w:fldChar w:fldCharType="begin"/>
        </w:r>
        <w:r>
          <w:instrText xml:space="preserve"> PAGE   \* MERGEFORMAT </w:instrText>
        </w:r>
        <w:r>
          <w:fldChar w:fldCharType="separate"/>
        </w:r>
        <w:r w:rsidR="00120112">
          <w:rPr>
            <w:noProof/>
          </w:rPr>
          <w:t>5</w:t>
        </w:r>
        <w:r>
          <w:rPr>
            <w:noProof/>
          </w:rPr>
          <w:fldChar w:fldCharType="end"/>
        </w:r>
      </w:p>
    </w:sdtContent>
  </w:sdt>
  <w:p w:rsidR="00DC6B52" w:rsidRDefault="00DC6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E5D68D8"/>
    <w:multiLevelType w:val="hybridMultilevel"/>
    <w:tmpl w:val="C94CE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CA11C5E"/>
    <w:multiLevelType w:val="hybridMultilevel"/>
    <w:tmpl w:val="368E569C"/>
    <w:lvl w:ilvl="0" w:tplc="4A0E4ACE">
      <w:start w:val="42"/>
      <w:numFmt w:val="bullet"/>
      <w:lvlText w:val="-"/>
      <w:lvlJc w:val="left"/>
      <w:pPr>
        <w:ind w:left="628" w:hanging="360"/>
      </w:pPr>
      <w:rPr>
        <w:rFonts w:ascii="Times New Roman" w:eastAsia="Times New Roman" w:hAnsi="Times New Roman" w:cs="Times New Roman" w:hint="default"/>
      </w:rPr>
    </w:lvl>
    <w:lvl w:ilvl="1" w:tplc="04260003" w:tentative="1">
      <w:start w:val="1"/>
      <w:numFmt w:val="bullet"/>
      <w:lvlText w:val="o"/>
      <w:lvlJc w:val="left"/>
      <w:pPr>
        <w:ind w:left="1348" w:hanging="360"/>
      </w:pPr>
      <w:rPr>
        <w:rFonts w:ascii="Courier New" w:hAnsi="Courier New" w:cs="Courier New" w:hint="default"/>
      </w:rPr>
    </w:lvl>
    <w:lvl w:ilvl="2" w:tplc="04260005" w:tentative="1">
      <w:start w:val="1"/>
      <w:numFmt w:val="bullet"/>
      <w:lvlText w:val=""/>
      <w:lvlJc w:val="left"/>
      <w:pPr>
        <w:ind w:left="2068" w:hanging="360"/>
      </w:pPr>
      <w:rPr>
        <w:rFonts w:ascii="Wingdings" w:hAnsi="Wingdings" w:hint="default"/>
      </w:rPr>
    </w:lvl>
    <w:lvl w:ilvl="3" w:tplc="04260001" w:tentative="1">
      <w:start w:val="1"/>
      <w:numFmt w:val="bullet"/>
      <w:lvlText w:val=""/>
      <w:lvlJc w:val="left"/>
      <w:pPr>
        <w:ind w:left="2788" w:hanging="360"/>
      </w:pPr>
      <w:rPr>
        <w:rFonts w:ascii="Symbol" w:hAnsi="Symbol" w:hint="default"/>
      </w:rPr>
    </w:lvl>
    <w:lvl w:ilvl="4" w:tplc="04260003" w:tentative="1">
      <w:start w:val="1"/>
      <w:numFmt w:val="bullet"/>
      <w:lvlText w:val="o"/>
      <w:lvlJc w:val="left"/>
      <w:pPr>
        <w:ind w:left="3508" w:hanging="360"/>
      </w:pPr>
      <w:rPr>
        <w:rFonts w:ascii="Courier New" w:hAnsi="Courier New" w:cs="Courier New" w:hint="default"/>
      </w:rPr>
    </w:lvl>
    <w:lvl w:ilvl="5" w:tplc="04260005" w:tentative="1">
      <w:start w:val="1"/>
      <w:numFmt w:val="bullet"/>
      <w:lvlText w:val=""/>
      <w:lvlJc w:val="left"/>
      <w:pPr>
        <w:ind w:left="4228" w:hanging="360"/>
      </w:pPr>
      <w:rPr>
        <w:rFonts w:ascii="Wingdings" w:hAnsi="Wingdings" w:hint="default"/>
      </w:rPr>
    </w:lvl>
    <w:lvl w:ilvl="6" w:tplc="04260001" w:tentative="1">
      <w:start w:val="1"/>
      <w:numFmt w:val="bullet"/>
      <w:lvlText w:val=""/>
      <w:lvlJc w:val="left"/>
      <w:pPr>
        <w:ind w:left="4948" w:hanging="360"/>
      </w:pPr>
      <w:rPr>
        <w:rFonts w:ascii="Symbol" w:hAnsi="Symbol" w:hint="default"/>
      </w:rPr>
    </w:lvl>
    <w:lvl w:ilvl="7" w:tplc="04260003" w:tentative="1">
      <w:start w:val="1"/>
      <w:numFmt w:val="bullet"/>
      <w:lvlText w:val="o"/>
      <w:lvlJc w:val="left"/>
      <w:pPr>
        <w:ind w:left="5668" w:hanging="360"/>
      </w:pPr>
      <w:rPr>
        <w:rFonts w:ascii="Courier New" w:hAnsi="Courier New" w:cs="Courier New" w:hint="default"/>
      </w:rPr>
    </w:lvl>
    <w:lvl w:ilvl="8" w:tplc="04260005" w:tentative="1">
      <w:start w:val="1"/>
      <w:numFmt w:val="bullet"/>
      <w:lvlText w:val=""/>
      <w:lvlJc w:val="left"/>
      <w:pPr>
        <w:ind w:left="6388" w:hanging="360"/>
      </w:pPr>
      <w:rPr>
        <w:rFonts w:ascii="Wingdings" w:hAnsi="Wingdings" w:hint="default"/>
      </w:rPr>
    </w:lvl>
  </w:abstractNum>
  <w:abstractNum w:abstractNumId="5">
    <w:nsid w:val="65762F32"/>
    <w:multiLevelType w:val="hybridMultilevel"/>
    <w:tmpl w:val="FACAB124"/>
    <w:lvl w:ilvl="0" w:tplc="C6B0C2C8">
      <w:numFmt w:val="bullet"/>
      <w:lvlText w:val="-"/>
      <w:lvlJc w:val="left"/>
      <w:pPr>
        <w:ind w:left="640" w:hanging="360"/>
      </w:pPr>
      <w:rPr>
        <w:rFonts w:ascii="Times New Roman" w:eastAsiaTheme="minorHAnsi"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06251"/>
    <w:rsid w:val="0001074A"/>
    <w:rsid w:val="0001413F"/>
    <w:rsid w:val="00014352"/>
    <w:rsid w:val="00016716"/>
    <w:rsid w:val="00026F81"/>
    <w:rsid w:val="0003110D"/>
    <w:rsid w:val="00040544"/>
    <w:rsid w:val="0004072A"/>
    <w:rsid w:val="00041339"/>
    <w:rsid w:val="000432DC"/>
    <w:rsid w:val="000455CC"/>
    <w:rsid w:val="00054DDF"/>
    <w:rsid w:val="0005520E"/>
    <w:rsid w:val="0006100D"/>
    <w:rsid w:val="00063C76"/>
    <w:rsid w:val="00064612"/>
    <w:rsid w:val="0006671A"/>
    <w:rsid w:val="00066DD7"/>
    <w:rsid w:val="00070186"/>
    <w:rsid w:val="00070992"/>
    <w:rsid w:val="00075AE3"/>
    <w:rsid w:val="00081806"/>
    <w:rsid w:val="00082B1E"/>
    <w:rsid w:val="00082BE2"/>
    <w:rsid w:val="00085163"/>
    <w:rsid w:val="00086C4E"/>
    <w:rsid w:val="00091396"/>
    <w:rsid w:val="0009378E"/>
    <w:rsid w:val="00094113"/>
    <w:rsid w:val="0009673C"/>
    <w:rsid w:val="00096E55"/>
    <w:rsid w:val="000A05CC"/>
    <w:rsid w:val="000A094D"/>
    <w:rsid w:val="000A4766"/>
    <w:rsid w:val="000A573B"/>
    <w:rsid w:val="000B0BF5"/>
    <w:rsid w:val="000B1464"/>
    <w:rsid w:val="000B29AA"/>
    <w:rsid w:val="000B2BA5"/>
    <w:rsid w:val="000B624E"/>
    <w:rsid w:val="000B7C36"/>
    <w:rsid w:val="000C30E6"/>
    <w:rsid w:val="000C32C9"/>
    <w:rsid w:val="000C54B0"/>
    <w:rsid w:val="000C79BC"/>
    <w:rsid w:val="000D2C98"/>
    <w:rsid w:val="000E08BE"/>
    <w:rsid w:val="000E208D"/>
    <w:rsid w:val="000E262F"/>
    <w:rsid w:val="000E3353"/>
    <w:rsid w:val="000E6DF8"/>
    <w:rsid w:val="000F0E77"/>
    <w:rsid w:val="000F17FF"/>
    <w:rsid w:val="000F3ADC"/>
    <w:rsid w:val="000F7BE7"/>
    <w:rsid w:val="00100644"/>
    <w:rsid w:val="001007FA"/>
    <w:rsid w:val="00101542"/>
    <w:rsid w:val="00107B6C"/>
    <w:rsid w:val="001171B7"/>
    <w:rsid w:val="00117E73"/>
    <w:rsid w:val="00120112"/>
    <w:rsid w:val="00124882"/>
    <w:rsid w:val="00136854"/>
    <w:rsid w:val="00136A66"/>
    <w:rsid w:val="001428D1"/>
    <w:rsid w:val="00142C3D"/>
    <w:rsid w:val="00144589"/>
    <w:rsid w:val="001447CA"/>
    <w:rsid w:val="00145066"/>
    <w:rsid w:val="00145BC2"/>
    <w:rsid w:val="00146D2C"/>
    <w:rsid w:val="0015424F"/>
    <w:rsid w:val="00154D04"/>
    <w:rsid w:val="00156451"/>
    <w:rsid w:val="001566F5"/>
    <w:rsid w:val="0016210B"/>
    <w:rsid w:val="00164545"/>
    <w:rsid w:val="00167BF2"/>
    <w:rsid w:val="00167D58"/>
    <w:rsid w:val="00173D17"/>
    <w:rsid w:val="00180440"/>
    <w:rsid w:val="00183ABA"/>
    <w:rsid w:val="00196C75"/>
    <w:rsid w:val="001B238A"/>
    <w:rsid w:val="001B36B5"/>
    <w:rsid w:val="001B50C6"/>
    <w:rsid w:val="001B514E"/>
    <w:rsid w:val="001C0AFC"/>
    <w:rsid w:val="001C33A0"/>
    <w:rsid w:val="001D1731"/>
    <w:rsid w:val="001E0C45"/>
    <w:rsid w:val="001E4F4E"/>
    <w:rsid w:val="001F249E"/>
    <w:rsid w:val="001F3523"/>
    <w:rsid w:val="001F54B3"/>
    <w:rsid w:val="001F6D21"/>
    <w:rsid w:val="00201A4D"/>
    <w:rsid w:val="002078C5"/>
    <w:rsid w:val="00207D4F"/>
    <w:rsid w:val="00212388"/>
    <w:rsid w:val="00212DF2"/>
    <w:rsid w:val="00213214"/>
    <w:rsid w:val="00215DFB"/>
    <w:rsid w:val="002168EA"/>
    <w:rsid w:val="00216F28"/>
    <w:rsid w:val="0021754D"/>
    <w:rsid w:val="00220B8F"/>
    <w:rsid w:val="00221224"/>
    <w:rsid w:val="00223646"/>
    <w:rsid w:val="00227178"/>
    <w:rsid w:val="0023067C"/>
    <w:rsid w:val="002308C7"/>
    <w:rsid w:val="00233436"/>
    <w:rsid w:val="002334D5"/>
    <w:rsid w:val="00233E8D"/>
    <w:rsid w:val="002352B9"/>
    <w:rsid w:val="002402E4"/>
    <w:rsid w:val="00241038"/>
    <w:rsid w:val="0024350A"/>
    <w:rsid w:val="00246B36"/>
    <w:rsid w:val="0024715B"/>
    <w:rsid w:val="002522D4"/>
    <w:rsid w:val="00254D23"/>
    <w:rsid w:val="0026022E"/>
    <w:rsid w:val="00261BD4"/>
    <w:rsid w:val="00266487"/>
    <w:rsid w:val="00276147"/>
    <w:rsid w:val="00284C81"/>
    <w:rsid w:val="00285B54"/>
    <w:rsid w:val="00290545"/>
    <w:rsid w:val="0029066D"/>
    <w:rsid w:val="0029116E"/>
    <w:rsid w:val="00292AC0"/>
    <w:rsid w:val="002930E7"/>
    <w:rsid w:val="002932D1"/>
    <w:rsid w:val="0029537B"/>
    <w:rsid w:val="00297830"/>
    <w:rsid w:val="002A319B"/>
    <w:rsid w:val="002A3474"/>
    <w:rsid w:val="002A5DF2"/>
    <w:rsid w:val="002B5591"/>
    <w:rsid w:val="002B55E6"/>
    <w:rsid w:val="002B60F5"/>
    <w:rsid w:val="002C0A46"/>
    <w:rsid w:val="002C0D2E"/>
    <w:rsid w:val="002C2F0E"/>
    <w:rsid w:val="002C3D74"/>
    <w:rsid w:val="002C4963"/>
    <w:rsid w:val="002D10FE"/>
    <w:rsid w:val="002D3734"/>
    <w:rsid w:val="002D712A"/>
    <w:rsid w:val="002D7DCA"/>
    <w:rsid w:val="002E18AE"/>
    <w:rsid w:val="002E2A8C"/>
    <w:rsid w:val="002E2B4C"/>
    <w:rsid w:val="002E7084"/>
    <w:rsid w:val="002E73A3"/>
    <w:rsid w:val="002F0097"/>
    <w:rsid w:val="002F5294"/>
    <w:rsid w:val="00302B00"/>
    <w:rsid w:val="00304EC6"/>
    <w:rsid w:val="003069BB"/>
    <w:rsid w:val="0031215B"/>
    <w:rsid w:val="00313DD0"/>
    <w:rsid w:val="003153FD"/>
    <w:rsid w:val="00316D9E"/>
    <w:rsid w:val="00323F1A"/>
    <w:rsid w:val="0033269B"/>
    <w:rsid w:val="00333667"/>
    <w:rsid w:val="00334621"/>
    <w:rsid w:val="003407E5"/>
    <w:rsid w:val="00340A83"/>
    <w:rsid w:val="00341FDE"/>
    <w:rsid w:val="00346AE0"/>
    <w:rsid w:val="00347A37"/>
    <w:rsid w:val="003527F8"/>
    <w:rsid w:val="00353957"/>
    <w:rsid w:val="003562AF"/>
    <w:rsid w:val="00356689"/>
    <w:rsid w:val="00365978"/>
    <w:rsid w:val="00365DF2"/>
    <w:rsid w:val="00366413"/>
    <w:rsid w:val="003677B2"/>
    <w:rsid w:val="00367A5D"/>
    <w:rsid w:val="0037077D"/>
    <w:rsid w:val="00371A60"/>
    <w:rsid w:val="0037378B"/>
    <w:rsid w:val="00374251"/>
    <w:rsid w:val="0037544A"/>
    <w:rsid w:val="003770DD"/>
    <w:rsid w:val="00380F42"/>
    <w:rsid w:val="0038166F"/>
    <w:rsid w:val="0038206D"/>
    <w:rsid w:val="00385C57"/>
    <w:rsid w:val="003862DA"/>
    <w:rsid w:val="003868F2"/>
    <w:rsid w:val="003873CB"/>
    <w:rsid w:val="00394693"/>
    <w:rsid w:val="00394CFF"/>
    <w:rsid w:val="00395096"/>
    <w:rsid w:val="00395307"/>
    <w:rsid w:val="003975DF"/>
    <w:rsid w:val="003A0C55"/>
    <w:rsid w:val="003A2FEC"/>
    <w:rsid w:val="003A4836"/>
    <w:rsid w:val="003A48CC"/>
    <w:rsid w:val="003B0A1E"/>
    <w:rsid w:val="003B196C"/>
    <w:rsid w:val="003B3A42"/>
    <w:rsid w:val="003B3CCA"/>
    <w:rsid w:val="003B720D"/>
    <w:rsid w:val="003C116F"/>
    <w:rsid w:val="003C62FD"/>
    <w:rsid w:val="003C74FD"/>
    <w:rsid w:val="003D0EE4"/>
    <w:rsid w:val="003D0F6A"/>
    <w:rsid w:val="003D7E8C"/>
    <w:rsid w:val="003E1B62"/>
    <w:rsid w:val="003E21F9"/>
    <w:rsid w:val="003E55A8"/>
    <w:rsid w:val="003F0903"/>
    <w:rsid w:val="003F4905"/>
    <w:rsid w:val="003F5366"/>
    <w:rsid w:val="003F5B02"/>
    <w:rsid w:val="0040143E"/>
    <w:rsid w:val="00401FF6"/>
    <w:rsid w:val="0040354D"/>
    <w:rsid w:val="004061B2"/>
    <w:rsid w:val="00406B05"/>
    <w:rsid w:val="0040753A"/>
    <w:rsid w:val="00407E46"/>
    <w:rsid w:val="00407F01"/>
    <w:rsid w:val="0041017F"/>
    <w:rsid w:val="00413FA9"/>
    <w:rsid w:val="00414FEE"/>
    <w:rsid w:val="00416ABD"/>
    <w:rsid w:val="0041746F"/>
    <w:rsid w:val="004205AD"/>
    <w:rsid w:val="00420C2A"/>
    <w:rsid w:val="00423709"/>
    <w:rsid w:val="004248AC"/>
    <w:rsid w:val="00424CCB"/>
    <w:rsid w:val="00435971"/>
    <w:rsid w:val="004378AA"/>
    <w:rsid w:val="00444800"/>
    <w:rsid w:val="00444DA2"/>
    <w:rsid w:val="004452FC"/>
    <w:rsid w:val="004478E6"/>
    <w:rsid w:val="004534A5"/>
    <w:rsid w:val="00456C1B"/>
    <w:rsid w:val="0046650E"/>
    <w:rsid w:val="00475A91"/>
    <w:rsid w:val="00476455"/>
    <w:rsid w:val="00481998"/>
    <w:rsid w:val="00485FB6"/>
    <w:rsid w:val="00490599"/>
    <w:rsid w:val="00492D0D"/>
    <w:rsid w:val="004954F4"/>
    <w:rsid w:val="004A0401"/>
    <w:rsid w:val="004A0D08"/>
    <w:rsid w:val="004A13E6"/>
    <w:rsid w:val="004A6B56"/>
    <w:rsid w:val="004A773E"/>
    <w:rsid w:val="004B2071"/>
    <w:rsid w:val="004B2DFA"/>
    <w:rsid w:val="004B3BAB"/>
    <w:rsid w:val="004B4AAF"/>
    <w:rsid w:val="004D079F"/>
    <w:rsid w:val="004D42FE"/>
    <w:rsid w:val="004D49CE"/>
    <w:rsid w:val="004E4ED0"/>
    <w:rsid w:val="004E5205"/>
    <w:rsid w:val="004E70CB"/>
    <w:rsid w:val="004F2CF1"/>
    <w:rsid w:val="004F40BF"/>
    <w:rsid w:val="004F5F66"/>
    <w:rsid w:val="00501916"/>
    <w:rsid w:val="00505801"/>
    <w:rsid w:val="00512D0C"/>
    <w:rsid w:val="00513CB4"/>
    <w:rsid w:val="0052471D"/>
    <w:rsid w:val="00526592"/>
    <w:rsid w:val="005358A6"/>
    <w:rsid w:val="00541F04"/>
    <w:rsid w:val="0054250A"/>
    <w:rsid w:val="005477A6"/>
    <w:rsid w:val="00551798"/>
    <w:rsid w:val="005554A4"/>
    <w:rsid w:val="00555BC8"/>
    <w:rsid w:val="00563436"/>
    <w:rsid w:val="00564DD3"/>
    <w:rsid w:val="00565BA7"/>
    <w:rsid w:val="005713BB"/>
    <w:rsid w:val="00572784"/>
    <w:rsid w:val="00572C7A"/>
    <w:rsid w:val="00575E29"/>
    <w:rsid w:val="00575F4D"/>
    <w:rsid w:val="005808DA"/>
    <w:rsid w:val="00582354"/>
    <w:rsid w:val="00587441"/>
    <w:rsid w:val="00592C65"/>
    <w:rsid w:val="005938F0"/>
    <w:rsid w:val="005940FD"/>
    <w:rsid w:val="005A0ECD"/>
    <w:rsid w:val="005A2614"/>
    <w:rsid w:val="005A2AC1"/>
    <w:rsid w:val="005A6D2D"/>
    <w:rsid w:val="005A79E1"/>
    <w:rsid w:val="005B0DE6"/>
    <w:rsid w:val="005B3604"/>
    <w:rsid w:val="005B3F4F"/>
    <w:rsid w:val="005B793B"/>
    <w:rsid w:val="005C4B5B"/>
    <w:rsid w:val="005C5709"/>
    <w:rsid w:val="005C6818"/>
    <w:rsid w:val="005C6F43"/>
    <w:rsid w:val="005D2C81"/>
    <w:rsid w:val="005D315F"/>
    <w:rsid w:val="005D4A18"/>
    <w:rsid w:val="005E15DC"/>
    <w:rsid w:val="005F7CD2"/>
    <w:rsid w:val="00603101"/>
    <w:rsid w:val="00607794"/>
    <w:rsid w:val="0060791D"/>
    <w:rsid w:val="00607E84"/>
    <w:rsid w:val="006156FB"/>
    <w:rsid w:val="006173DB"/>
    <w:rsid w:val="00617DD3"/>
    <w:rsid w:val="00622CDC"/>
    <w:rsid w:val="00624D1C"/>
    <w:rsid w:val="00632E2F"/>
    <w:rsid w:val="00634539"/>
    <w:rsid w:val="0063594D"/>
    <w:rsid w:val="0063732D"/>
    <w:rsid w:val="00640D66"/>
    <w:rsid w:val="006436AF"/>
    <w:rsid w:val="00643A5A"/>
    <w:rsid w:val="00643BC9"/>
    <w:rsid w:val="006539EA"/>
    <w:rsid w:val="006630ED"/>
    <w:rsid w:val="00670E79"/>
    <w:rsid w:val="006743CE"/>
    <w:rsid w:val="006766DF"/>
    <w:rsid w:val="00683B03"/>
    <w:rsid w:val="00685905"/>
    <w:rsid w:val="0068776E"/>
    <w:rsid w:val="006912C8"/>
    <w:rsid w:val="00692697"/>
    <w:rsid w:val="00694472"/>
    <w:rsid w:val="006977F2"/>
    <w:rsid w:val="006A2EF9"/>
    <w:rsid w:val="006A3C8F"/>
    <w:rsid w:val="006A479A"/>
    <w:rsid w:val="006B2047"/>
    <w:rsid w:val="006B25A4"/>
    <w:rsid w:val="006B40A0"/>
    <w:rsid w:val="006C1638"/>
    <w:rsid w:val="006C247B"/>
    <w:rsid w:val="006C2740"/>
    <w:rsid w:val="006C3CB1"/>
    <w:rsid w:val="006D0336"/>
    <w:rsid w:val="006D0D3A"/>
    <w:rsid w:val="006D3957"/>
    <w:rsid w:val="006D4119"/>
    <w:rsid w:val="006D4DA7"/>
    <w:rsid w:val="006E074E"/>
    <w:rsid w:val="006E239F"/>
    <w:rsid w:val="006E7A84"/>
    <w:rsid w:val="006F0BF7"/>
    <w:rsid w:val="00701BE8"/>
    <w:rsid w:val="007113F0"/>
    <w:rsid w:val="00711DE2"/>
    <w:rsid w:val="007153F1"/>
    <w:rsid w:val="00716645"/>
    <w:rsid w:val="00717783"/>
    <w:rsid w:val="00717B54"/>
    <w:rsid w:val="00722B4F"/>
    <w:rsid w:val="00722F9D"/>
    <w:rsid w:val="00730F9A"/>
    <w:rsid w:val="007310A0"/>
    <w:rsid w:val="00731B81"/>
    <w:rsid w:val="007323C3"/>
    <w:rsid w:val="00732690"/>
    <w:rsid w:val="00736B54"/>
    <w:rsid w:val="0073720F"/>
    <w:rsid w:val="0073754B"/>
    <w:rsid w:val="00740CA7"/>
    <w:rsid w:val="0074329F"/>
    <w:rsid w:val="00746B6C"/>
    <w:rsid w:val="00747858"/>
    <w:rsid w:val="0075166E"/>
    <w:rsid w:val="00757DB4"/>
    <w:rsid w:val="007611D3"/>
    <w:rsid w:val="00765CD2"/>
    <w:rsid w:val="00766BE3"/>
    <w:rsid w:val="0077354C"/>
    <w:rsid w:val="00776CAE"/>
    <w:rsid w:val="00781413"/>
    <w:rsid w:val="007817B5"/>
    <w:rsid w:val="00781BEF"/>
    <w:rsid w:val="007852AF"/>
    <w:rsid w:val="00792D51"/>
    <w:rsid w:val="0079609A"/>
    <w:rsid w:val="007964EB"/>
    <w:rsid w:val="007A065A"/>
    <w:rsid w:val="007A51F1"/>
    <w:rsid w:val="007B04AC"/>
    <w:rsid w:val="007B3914"/>
    <w:rsid w:val="007C31D1"/>
    <w:rsid w:val="007C3DF6"/>
    <w:rsid w:val="007C5A61"/>
    <w:rsid w:val="007C6831"/>
    <w:rsid w:val="007C7503"/>
    <w:rsid w:val="007C7E6C"/>
    <w:rsid w:val="007D1F94"/>
    <w:rsid w:val="007D3BF4"/>
    <w:rsid w:val="007D53D6"/>
    <w:rsid w:val="007D750C"/>
    <w:rsid w:val="007E531B"/>
    <w:rsid w:val="007E54FC"/>
    <w:rsid w:val="007E6EA4"/>
    <w:rsid w:val="007E71F1"/>
    <w:rsid w:val="007F03BE"/>
    <w:rsid w:val="007F13F6"/>
    <w:rsid w:val="007F1BD9"/>
    <w:rsid w:val="007F1E4E"/>
    <w:rsid w:val="008015AC"/>
    <w:rsid w:val="008015B5"/>
    <w:rsid w:val="008016D8"/>
    <w:rsid w:val="00804853"/>
    <w:rsid w:val="00816DD0"/>
    <w:rsid w:val="00817FAC"/>
    <w:rsid w:val="0082055F"/>
    <w:rsid w:val="00820829"/>
    <w:rsid w:val="00820857"/>
    <w:rsid w:val="00822EC2"/>
    <w:rsid w:val="0082342A"/>
    <w:rsid w:val="0083478F"/>
    <w:rsid w:val="008352F1"/>
    <w:rsid w:val="00836187"/>
    <w:rsid w:val="008376B8"/>
    <w:rsid w:val="008414D6"/>
    <w:rsid w:val="008456D3"/>
    <w:rsid w:val="00846E26"/>
    <w:rsid w:val="00847995"/>
    <w:rsid w:val="008557BD"/>
    <w:rsid w:val="008575B5"/>
    <w:rsid w:val="0086376E"/>
    <w:rsid w:val="008654C8"/>
    <w:rsid w:val="0086665D"/>
    <w:rsid w:val="0087285C"/>
    <w:rsid w:val="008774FE"/>
    <w:rsid w:val="00882993"/>
    <w:rsid w:val="008861E2"/>
    <w:rsid w:val="00886629"/>
    <w:rsid w:val="00887B99"/>
    <w:rsid w:val="00887DDB"/>
    <w:rsid w:val="008A2B48"/>
    <w:rsid w:val="008A613F"/>
    <w:rsid w:val="008A64BD"/>
    <w:rsid w:val="008B1F07"/>
    <w:rsid w:val="008B2510"/>
    <w:rsid w:val="008C1AF0"/>
    <w:rsid w:val="008C1DCB"/>
    <w:rsid w:val="008C2643"/>
    <w:rsid w:val="008C4AF7"/>
    <w:rsid w:val="008C5285"/>
    <w:rsid w:val="008C54F4"/>
    <w:rsid w:val="008C6393"/>
    <w:rsid w:val="008C7D84"/>
    <w:rsid w:val="008D539B"/>
    <w:rsid w:val="008E4886"/>
    <w:rsid w:val="008E5C04"/>
    <w:rsid w:val="008E7FA7"/>
    <w:rsid w:val="008F1539"/>
    <w:rsid w:val="008F2869"/>
    <w:rsid w:val="008F770F"/>
    <w:rsid w:val="00914234"/>
    <w:rsid w:val="009154AA"/>
    <w:rsid w:val="009166C8"/>
    <w:rsid w:val="00917650"/>
    <w:rsid w:val="00920186"/>
    <w:rsid w:val="009210B3"/>
    <w:rsid w:val="0092148F"/>
    <w:rsid w:val="00921E94"/>
    <w:rsid w:val="00922661"/>
    <w:rsid w:val="00922766"/>
    <w:rsid w:val="009257ED"/>
    <w:rsid w:val="0092701A"/>
    <w:rsid w:val="00930B0A"/>
    <w:rsid w:val="00930B21"/>
    <w:rsid w:val="0093254D"/>
    <w:rsid w:val="00937F13"/>
    <w:rsid w:val="00940112"/>
    <w:rsid w:val="009410C5"/>
    <w:rsid w:val="00942319"/>
    <w:rsid w:val="0095254C"/>
    <w:rsid w:val="00953AA6"/>
    <w:rsid w:val="00953D0D"/>
    <w:rsid w:val="00956CAC"/>
    <w:rsid w:val="00960AEB"/>
    <w:rsid w:val="00961381"/>
    <w:rsid w:val="0096204E"/>
    <w:rsid w:val="00965BA7"/>
    <w:rsid w:val="009672A1"/>
    <w:rsid w:val="009713B6"/>
    <w:rsid w:val="0097174A"/>
    <w:rsid w:val="0097287D"/>
    <w:rsid w:val="00972D21"/>
    <w:rsid w:val="00972E6D"/>
    <w:rsid w:val="009826CC"/>
    <w:rsid w:val="00984053"/>
    <w:rsid w:val="00987DE1"/>
    <w:rsid w:val="00990310"/>
    <w:rsid w:val="0099205D"/>
    <w:rsid w:val="00993129"/>
    <w:rsid w:val="00993F64"/>
    <w:rsid w:val="009A0DD2"/>
    <w:rsid w:val="009A33AF"/>
    <w:rsid w:val="009B4C3D"/>
    <w:rsid w:val="009C2620"/>
    <w:rsid w:val="009C2FE6"/>
    <w:rsid w:val="009C5880"/>
    <w:rsid w:val="009D0B7B"/>
    <w:rsid w:val="009D4AD8"/>
    <w:rsid w:val="009D50B2"/>
    <w:rsid w:val="009E1EDB"/>
    <w:rsid w:val="009E25FE"/>
    <w:rsid w:val="009F266B"/>
    <w:rsid w:val="009F3890"/>
    <w:rsid w:val="00A13DDC"/>
    <w:rsid w:val="00A15C5E"/>
    <w:rsid w:val="00A22599"/>
    <w:rsid w:val="00A22FE6"/>
    <w:rsid w:val="00A24070"/>
    <w:rsid w:val="00A27A38"/>
    <w:rsid w:val="00A3060B"/>
    <w:rsid w:val="00A34550"/>
    <w:rsid w:val="00A40211"/>
    <w:rsid w:val="00A43E12"/>
    <w:rsid w:val="00A44D4F"/>
    <w:rsid w:val="00A47166"/>
    <w:rsid w:val="00A47322"/>
    <w:rsid w:val="00A523C6"/>
    <w:rsid w:val="00A5425B"/>
    <w:rsid w:val="00A5596C"/>
    <w:rsid w:val="00A57794"/>
    <w:rsid w:val="00A672E0"/>
    <w:rsid w:val="00A77204"/>
    <w:rsid w:val="00A77745"/>
    <w:rsid w:val="00A84954"/>
    <w:rsid w:val="00A85229"/>
    <w:rsid w:val="00A87103"/>
    <w:rsid w:val="00A91A60"/>
    <w:rsid w:val="00A94D51"/>
    <w:rsid w:val="00A95E92"/>
    <w:rsid w:val="00AA44C2"/>
    <w:rsid w:val="00AA7E67"/>
    <w:rsid w:val="00AB05BE"/>
    <w:rsid w:val="00AB51B0"/>
    <w:rsid w:val="00AC196C"/>
    <w:rsid w:val="00AC3116"/>
    <w:rsid w:val="00AC5A84"/>
    <w:rsid w:val="00AC71BE"/>
    <w:rsid w:val="00AC74A0"/>
    <w:rsid w:val="00AD0042"/>
    <w:rsid w:val="00AD16A9"/>
    <w:rsid w:val="00AD38FB"/>
    <w:rsid w:val="00AD43F2"/>
    <w:rsid w:val="00AD637E"/>
    <w:rsid w:val="00AD6F89"/>
    <w:rsid w:val="00AE0F4C"/>
    <w:rsid w:val="00AE29E7"/>
    <w:rsid w:val="00AE4D62"/>
    <w:rsid w:val="00AF119F"/>
    <w:rsid w:val="00AF3991"/>
    <w:rsid w:val="00B00016"/>
    <w:rsid w:val="00B03F04"/>
    <w:rsid w:val="00B1276D"/>
    <w:rsid w:val="00B14E71"/>
    <w:rsid w:val="00B172EB"/>
    <w:rsid w:val="00B24517"/>
    <w:rsid w:val="00B26F78"/>
    <w:rsid w:val="00B32FA1"/>
    <w:rsid w:val="00B41AFE"/>
    <w:rsid w:val="00B42309"/>
    <w:rsid w:val="00B433BC"/>
    <w:rsid w:val="00B446E0"/>
    <w:rsid w:val="00B46848"/>
    <w:rsid w:val="00B54459"/>
    <w:rsid w:val="00B54F58"/>
    <w:rsid w:val="00B550E7"/>
    <w:rsid w:val="00B552A2"/>
    <w:rsid w:val="00B55757"/>
    <w:rsid w:val="00B55846"/>
    <w:rsid w:val="00B56E35"/>
    <w:rsid w:val="00B8165F"/>
    <w:rsid w:val="00B820DD"/>
    <w:rsid w:val="00B84EA9"/>
    <w:rsid w:val="00B93D4E"/>
    <w:rsid w:val="00B94AAB"/>
    <w:rsid w:val="00BA03E9"/>
    <w:rsid w:val="00BA5D05"/>
    <w:rsid w:val="00BB17BD"/>
    <w:rsid w:val="00BB7CD5"/>
    <w:rsid w:val="00BC1D0C"/>
    <w:rsid w:val="00BC25DF"/>
    <w:rsid w:val="00BD36B1"/>
    <w:rsid w:val="00BE0048"/>
    <w:rsid w:val="00BE1A9B"/>
    <w:rsid w:val="00BE445F"/>
    <w:rsid w:val="00BE70CA"/>
    <w:rsid w:val="00BE725F"/>
    <w:rsid w:val="00BE737A"/>
    <w:rsid w:val="00BE7817"/>
    <w:rsid w:val="00BF045F"/>
    <w:rsid w:val="00BF2ECB"/>
    <w:rsid w:val="00BF4463"/>
    <w:rsid w:val="00BF5773"/>
    <w:rsid w:val="00BF6DA8"/>
    <w:rsid w:val="00C01AFD"/>
    <w:rsid w:val="00C04F50"/>
    <w:rsid w:val="00C06FFA"/>
    <w:rsid w:val="00C07036"/>
    <w:rsid w:val="00C17DED"/>
    <w:rsid w:val="00C22D8F"/>
    <w:rsid w:val="00C23AE7"/>
    <w:rsid w:val="00C2445E"/>
    <w:rsid w:val="00C258D8"/>
    <w:rsid w:val="00C26070"/>
    <w:rsid w:val="00C27D63"/>
    <w:rsid w:val="00C32362"/>
    <w:rsid w:val="00C3335E"/>
    <w:rsid w:val="00C33917"/>
    <w:rsid w:val="00C4071F"/>
    <w:rsid w:val="00C42F1D"/>
    <w:rsid w:val="00C44C5D"/>
    <w:rsid w:val="00C450C4"/>
    <w:rsid w:val="00C457D4"/>
    <w:rsid w:val="00C501B8"/>
    <w:rsid w:val="00C51307"/>
    <w:rsid w:val="00C52C82"/>
    <w:rsid w:val="00C56C72"/>
    <w:rsid w:val="00C574BF"/>
    <w:rsid w:val="00C61247"/>
    <w:rsid w:val="00C61B2A"/>
    <w:rsid w:val="00C6328B"/>
    <w:rsid w:val="00C6364E"/>
    <w:rsid w:val="00C750C1"/>
    <w:rsid w:val="00C75B55"/>
    <w:rsid w:val="00C77EB8"/>
    <w:rsid w:val="00C9275F"/>
    <w:rsid w:val="00C97E24"/>
    <w:rsid w:val="00CA2FD4"/>
    <w:rsid w:val="00CB42A4"/>
    <w:rsid w:val="00CB6EA8"/>
    <w:rsid w:val="00CC007C"/>
    <w:rsid w:val="00CC148C"/>
    <w:rsid w:val="00CC1F33"/>
    <w:rsid w:val="00CC74EF"/>
    <w:rsid w:val="00CD0FDA"/>
    <w:rsid w:val="00CD219E"/>
    <w:rsid w:val="00CD30F3"/>
    <w:rsid w:val="00CD4E4A"/>
    <w:rsid w:val="00CD76BE"/>
    <w:rsid w:val="00CE09F6"/>
    <w:rsid w:val="00CE7312"/>
    <w:rsid w:val="00CF14FB"/>
    <w:rsid w:val="00CF3848"/>
    <w:rsid w:val="00CF4705"/>
    <w:rsid w:val="00CF5CE6"/>
    <w:rsid w:val="00D01496"/>
    <w:rsid w:val="00D02C55"/>
    <w:rsid w:val="00D04427"/>
    <w:rsid w:val="00D06B75"/>
    <w:rsid w:val="00D115E0"/>
    <w:rsid w:val="00D11BD4"/>
    <w:rsid w:val="00D27A56"/>
    <w:rsid w:val="00D30816"/>
    <w:rsid w:val="00D35106"/>
    <w:rsid w:val="00D361F8"/>
    <w:rsid w:val="00D36684"/>
    <w:rsid w:val="00D43EB7"/>
    <w:rsid w:val="00D503E9"/>
    <w:rsid w:val="00D54AB5"/>
    <w:rsid w:val="00D56850"/>
    <w:rsid w:val="00D57CEA"/>
    <w:rsid w:val="00D637C7"/>
    <w:rsid w:val="00D66441"/>
    <w:rsid w:val="00D671BC"/>
    <w:rsid w:val="00D71067"/>
    <w:rsid w:val="00D75D34"/>
    <w:rsid w:val="00D7660E"/>
    <w:rsid w:val="00D81C2C"/>
    <w:rsid w:val="00D85406"/>
    <w:rsid w:val="00D85C90"/>
    <w:rsid w:val="00D87689"/>
    <w:rsid w:val="00D96A72"/>
    <w:rsid w:val="00D97C40"/>
    <w:rsid w:val="00DA0491"/>
    <w:rsid w:val="00DA391B"/>
    <w:rsid w:val="00DA4DFD"/>
    <w:rsid w:val="00DA57DA"/>
    <w:rsid w:val="00DB0742"/>
    <w:rsid w:val="00DB16B4"/>
    <w:rsid w:val="00DB57AB"/>
    <w:rsid w:val="00DC4A69"/>
    <w:rsid w:val="00DC6B52"/>
    <w:rsid w:val="00DD4665"/>
    <w:rsid w:val="00DD65CF"/>
    <w:rsid w:val="00DD68AF"/>
    <w:rsid w:val="00DE0407"/>
    <w:rsid w:val="00DE06D2"/>
    <w:rsid w:val="00DE2DED"/>
    <w:rsid w:val="00DE5E20"/>
    <w:rsid w:val="00DF2603"/>
    <w:rsid w:val="00DF4DF3"/>
    <w:rsid w:val="00E00A81"/>
    <w:rsid w:val="00E01D8C"/>
    <w:rsid w:val="00E04030"/>
    <w:rsid w:val="00E04202"/>
    <w:rsid w:val="00E0438B"/>
    <w:rsid w:val="00E04DC8"/>
    <w:rsid w:val="00E05EF2"/>
    <w:rsid w:val="00E062D6"/>
    <w:rsid w:val="00E13BAF"/>
    <w:rsid w:val="00E16243"/>
    <w:rsid w:val="00E25A08"/>
    <w:rsid w:val="00E27964"/>
    <w:rsid w:val="00E32419"/>
    <w:rsid w:val="00E34C26"/>
    <w:rsid w:val="00E358F9"/>
    <w:rsid w:val="00E35BFB"/>
    <w:rsid w:val="00E37521"/>
    <w:rsid w:val="00E4473D"/>
    <w:rsid w:val="00E52DE4"/>
    <w:rsid w:val="00E568AA"/>
    <w:rsid w:val="00E605B7"/>
    <w:rsid w:val="00E706B2"/>
    <w:rsid w:val="00E72C99"/>
    <w:rsid w:val="00E8328F"/>
    <w:rsid w:val="00E9063B"/>
    <w:rsid w:val="00E93646"/>
    <w:rsid w:val="00E970C6"/>
    <w:rsid w:val="00EA390D"/>
    <w:rsid w:val="00EA67A7"/>
    <w:rsid w:val="00EB1337"/>
    <w:rsid w:val="00EB334C"/>
    <w:rsid w:val="00EB4BDF"/>
    <w:rsid w:val="00EB5F49"/>
    <w:rsid w:val="00EC0AF8"/>
    <w:rsid w:val="00EC1172"/>
    <w:rsid w:val="00EC2580"/>
    <w:rsid w:val="00EC5DA9"/>
    <w:rsid w:val="00ED0C9E"/>
    <w:rsid w:val="00ED32F8"/>
    <w:rsid w:val="00ED473C"/>
    <w:rsid w:val="00ED5857"/>
    <w:rsid w:val="00EE0855"/>
    <w:rsid w:val="00EE136D"/>
    <w:rsid w:val="00EE1BC8"/>
    <w:rsid w:val="00EE2D34"/>
    <w:rsid w:val="00EE698D"/>
    <w:rsid w:val="00EE73D4"/>
    <w:rsid w:val="00EE7566"/>
    <w:rsid w:val="00EF2470"/>
    <w:rsid w:val="00EF31E5"/>
    <w:rsid w:val="00EF39B1"/>
    <w:rsid w:val="00EF4F42"/>
    <w:rsid w:val="00EF5031"/>
    <w:rsid w:val="00EF63D5"/>
    <w:rsid w:val="00EF6D45"/>
    <w:rsid w:val="00F03EF2"/>
    <w:rsid w:val="00F057FB"/>
    <w:rsid w:val="00F06171"/>
    <w:rsid w:val="00F071DA"/>
    <w:rsid w:val="00F079A8"/>
    <w:rsid w:val="00F1151B"/>
    <w:rsid w:val="00F16125"/>
    <w:rsid w:val="00F17BB9"/>
    <w:rsid w:val="00F23EA1"/>
    <w:rsid w:val="00F323D1"/>
    <w:rsid w:val="00F34223"/>
    <w:rsid w:val="00F3587F"/>
    <w:rsid w:val="00F36198"/>
    <w:rsid w:val="00F379B6"/>
    <w:rsid w:val="00F42374"/>
    <w:rsid w:val="00F4326B"/>
    <w:rsid w:val="00F451A2"/>
    <w:rsid w:val="00F4603D"/>
    <w:rsid w:val="00F46BA7"/>
    <w:rsid w:val="00F50334"/>
    <w:rsid w:val="00F575C7"/>
    <w:rsid w:val="00F647BC"/>
    <w:rsid w:val="00F673C9"/>
    <w:rsid w:val="00F72005"/>
    <w:rsid w:val="00F722F4"/>
    <w:rsid w:val="00F72528"/>
    <w:rsid w:val="00F735DB"/>
    <w:rsid w:val="00F73B38"/>
    <w:rsid w:val="00F74728"/>
    <w:rsid w:val="00F7482C"/>
    <w:rsid w:val="00F75551"/>
    <w:rsid w:val="00F75921"/>
    <w:rsid w:val="00F773D4"/>
    <w:rsid w:val="00F855BE"/>
    <w:rsid w:val="00F8765B"/>
    <w:rsid w:val="00F8788B"/>
    <w:rsid w:val="00F92E91"/>
    <w:rsid w:val="00F932BA"/>
    <w:rsid w:val="00FA0ECB"/>
    <w:rsid w:val="00FA429B"/>
    <w:rsid w:val="00FA4FF5"/>
    <w:rsid w:val="00FB0320"/>
    <w:rsid w:val="00FB16DD"/>
    <w:rsid w:val="00FB4DBC"/>
    <w:rsid w:val="00FB51CE"/>
    <w:rsid w:val="00FC03B7"/>
    <w:rsid w:val="00FC7181"/>
    <w:rsid w:val="00FC7B99"/>
    <w:rsid w:val="00FD1504"/>
    <w:rsid w:val="00FD42E4"/>
    <w:rsid w:val="00FD5F8C"/>
    <w:rsid w:val="00FE03BC"/>
    <w:rsid w:val="00FE10D8"/>
    <w:rsid w:val="00FE451F"/>
    <w:rsid w:val="00FE5BE7"/>
    <w:rsid w:val="00FF06A6"/>
    <w:rsid w:val="00FF3766"/>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uiPriority w:val="99"/>
    <w:rsid w:val="00DC4A69"/>
    <w:pPr>
      <w:autoSpaceDE w:val="0"/>
      <w:autoSpaceDN w:val="0"/>
      <w:spacing w:after="0"/>
      <w:ind w:left="0"/>
      <w:jc w:val="left"/>
    </w:pPr>
    <w:rPr>
      <w:rFonts w:ascii="EUAlbertina" w:eastAsia="Calibri" w:hAnsi="EUAlbertina"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uiPriority w:val="99"/>
    <w:rsid w:val="00DC4A69"/>
    <w:pPr>
      <w:autoSpaceDE w:val="0"/>
      <w:autoSpaceDN w:val="0"/>
      <w:spacing w:after="0"/>
      <w:ind w:left="0"/>
      <w:jc w:val="left"/>
    </w:pPr>
    <w:rPr>
      <w:rFonts w:ascii="EUAlbertina" w:eastAsia="Calibri" w:hAnsi="EUAlbertina"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1705">
      <w:bodyDiv w:val="1"/>
      <w:marLeft w:val="0"/>
      <w:marRight w:val="0"/>
      <w:marTop w:val="0"/>
      <w:marBottom w:val="0"/>
      <w:divBdr>
        <w:top w:val="none" w:sz="0" w:space="0" w:color="auto"/>
        <w:left w:val="none" w:sz="0" w:space="0" w:color="auto"/>
        <w:bottom w:val="none" w:sz="0" w:space="0" w:color="auto"/>
        <w:right w:val="none" w:sz="0" w:space="0" w:color="auto"/>
      </w:divBdr>
    </w:div>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938411936">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3133-6AE0-44CB-9725-40A17BF2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5429</Words>
  <Characters>3096</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27.septembra noteikumos Nr.731 “Noteikumi par akcīzes preču apvienotā Kopienas tarifa (TARIC) nacionālajiem kodiem un to piemērošanas kārtību””</vt:lpstr>
      <vt:lpstr>Noteikumi par vienkāršoto deklarēšanu un vietējo muitošanu, atzītā nosūtītāja un atzītā saņēmēja statusu, vienoto atļauju un atzītā komersanta sertifikātu</vt:lpstr>
    </vt:vector>
  </TitlesOfParts>
  <Manager>S.Āmare-Pilka</Manager>
  <Company>Finanšu ministrija</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27.septembra noteikumos Nr.731 “Noteikumi par akcīzes preču apvienotā Kopienas tarifa (TARIC) nacionālajiem kodiem un to piemērošanas kārtību””</dc:title>
  <dc:subject>Anotācija</dc:subject>
  <dc:creator>Ella Hartmane</dc:creator>
  <dc:description>67095525
Ella.Hartmane@fm.gov.lv</dc:description>
  <cp:lastModifiedBy>Inga Jaunmuktāne</cp:lastModifiedBy>
  <cp:revision>3</cp:revision>
  <cp:lastPrinted>2011-12-29T09:37:00Z</cp:lastPrinted>
  <dcterms:created xsi:type="dcterms:W3CDTF">2013-12-12T13:15:00Z</dcterms:created>
  <dcterms:modified xsi:type="dcterms:W3CDTF">2013-12-12T13:17:00Z</dcterms:modified>
  <cp:category>anotācija</cp:category>
</cp:coreProperties>
</file>