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CB" w:rsidRPr="002666CB" w:rsidRDefault="002666CB" w:rsidP="002666CB">
      <w:pPr>
        <w:jc w:val="right"/>
        <w:rPr>
          <w:sz w:val="20"/>
          <w:szCs w:val="20"/>
        </w:rPr>
      </w:pPr>
      <w:r w:rsidRPr="002666CB">
        <w:rPr>
          <w:sz w:val="20"/>
          <w:szCs w:val="20"/>
        </w:rPr>
        <w:t xml:space="preserve">Pielikums </w:t>
      </w:r>
    </w:p>
    <w:p w:rsidR="002666CB" w:rsidRPr="002666CB" w:rsidRDefault="002666CB" w:rsidP="002666CB">
      <w:pPr>
        <w:jc w:val="right"/>
        <w:rPr>
          <w:sz w:val="20"/>
          <w:szCs w:val="20"/>
        </w:rPr>
      </w:pPr>
      <w:r w:rsidRPr="002666CB">
        <w:rPr>
          <w:sz w:val="20"/>
          <w:szCs w:val="20"/>
        </w:rPr>
        <w:t xml:space="preserve">Ministru kabineta rīkojuma projekta </w:t>
      </w:r>
    </w:p>
    <w:p w:rsidR="002666CB" w:rsidRDefault="002666CB" w:rsidP="002666CB">
      <w:pPr>
        <w:jc w:val="right"/>
        <w:rPr>
          <w:sz w:val="20"/>
          <w:szCs w:val="20"/>
        </w:rPr>
      </w:pPr>
      <w:r w:rsidRPr="002666CB">
        <w:rPr>
          <w:sz w:val="20"/>
          <w:szCs w:val="20"/>
        </w:rPr>
        <w:t xml:space="preserve"> „</w:t>
      </w:r>
      <w:bookmarkStart w:id="0" w:name="_GoBack"/>
      <w:r w:rsidRPr="002666CB">
        <w:rPr>
          <w:sz w:val="20"/>
          <w:szCs w:val="20"/>
        </w:rPr>
        <w:t xml:space="preserve">Par finansējuma piešķiršanu </w:t>
      </w:r>
    </w:p>
    <w:p w:rsidR="002666CB" w:rsidRDefault="002666CB" w:rsidP="002666CB">
      <w:pPr>
        <w:jc w:val="right"/>
        <w:rPr>
          <w:sz w:val="20"/>
          <w:szCs w:val="20"/>
        </w:rPr>
      </w:pPr>
      <w:r w:rsidRPr="002666CB">
        <w:rPr>
          <w:sz w:val="20"/>
          <w:szCs w:val="20"/>
        </w:rPr>
        <w:t xml:space="preserve">Nacionālajai elektronisko plašsaziņas līdzekļu padomei </w:t>
      </w:r>
    </w:p>
    <w:p w:rsidR="002666CB" w:rsidRDefault="002666CB" w:rsidP="002666CB">
      <w:pPr>
        <w:jc w:val="right"/>
        <w:rPr>
          <w:sz w:val="20"/>
          <w:szCs w:val="20"/>
        </w:rPr>
      </w:pPr>
      <w:proofErr w:type="spellStart"/>
      <w:r w:rsidRPr="002666CB">
        <w:rPr>
          <w:i/>
          <w:sz w:val="20"/>
          <w:szCs w:val="20"/>
        </w:rPr>
        <w:t>euro</w:t>
      </w:r>
      <w:proofErr w:type="spellEnd"/>
      <w:r w:rsidRPr="002666CB">
        <w:rPr>
          <w:sz w:val="20"/>
          <w:szCs w:val="20"/>
        </w:rPr>
        <w:t xml:space="preserve"> komunikācijas pasākumu izdevumu segšanai</w:t>
      </w:r>
      <w:bookmarkEnd w:id="0"/>
      <w:r w:rsidRPr="002666CB">
        <w:rPr>
          <w:sz w:val="20"/>
          <w:szCs w:val="20"/>
        </w:rPr>
        <w:t xml:space="preserve">” </w:t>
      </w:r>
    </w:p>
    <w:p w:rsidR="002666CB" w:rsidRPr="002666CB" w:rsidRDefault="002666CB" w:rsidP="002666CB">
      <w:pPr>
        <w:jc w:val="right"/>
        <w:rPr>
          <w:b/>
          <w:sz w:val="20"/>
          <w:szCs w:val="20"/>
        </w:rPr>
      </w:pPr>
      <w:r w:rsidRPr="002666CB">
        <w:rPr>
          <w:sz w:val="20"/>
          <w:szCs w:val="20"/>
        </w:rPr>
        <w:t>sākotnējās ietekmes novērtējuma ziņojumam (anotācijai)</w:t>
      </w:r>
    </w:p>
    <w:p w:rsidR="002666CB" w:rsidRDefault="002666CB" w:rsidP="00897C71">
      <w:pPr>
        <w:jc w:val="center"/>
        <w:rPr>
          <w:b/>
        </w:rPr>
      </w:pPr>
    </w:p>
    <w:p w:rsidR="00897C71" w:rsidRDefault="00897C71" w:rsidP="00897C71">
      <w:pPr>
        <w:jc w:val="center"/>
        <w:rPr>
          <w:b/>
        </w:rPr>
      </w:pPr>
      <w:r>
        <w:rPr>
          <w:b/>
        </w:rPr>
        <w:t>K</w:t>
      </w:r>
      <w:r w:rsidRPr="000E2151">
        <w:rPr>
          <w:b/>
        </w:rPr>
        <w:t>omunikācijas pasākumu tām</w:t>
      </w:r>
      <w:r>
        <w:rPr>
          <w:b/>
        </w:rPr>
        <w:t>e</w:t>
      </w:r>
    </w:p>
    <w:p w:rsidR="00897C71" w:rsidRDefault="00897C71" w:rsidP="00897C71">
      <w:pPr>
        <w:jc w:val="center"/>
      </w:pPr>
    </w:p>
    <w:p w:rsidR="00897C71" w:rsidRPr="000E2151" w:rsidRDefault="00897C71" w:rsidP="00897C71">
      <w:pPr>
        <w:jc w:val="center"/>
      </w:pPr>
      <w:r w:rsidRPr="000E2151">
        <w:t xml:space="preserve">Fiskālās politikas  un monetāro jautājumu skaidrojums  LTV  raidījumos noslēdzošajā gadā pirms Latvijas pievienošanās </w:t>
      </w:r>
      <w:proofErr w:type="spellStart"/>
      <w:r w:rsidRPr="000E2151">
        <w:t>eirozonai</w:t>
      </w:r>
      <w:proofErr w:type="spellEnd"/>
    </w:p>
    <w:p w:rsidR="00897C71" w:rsidRPr="000E2151" w:rsidRDefault="00897C71" w:rsidP="00897C71">
      <w:pPr>
        <w:jc w:val="center"/>
      </w:pPr>
      <w:r w:rsidRPr="000E2151">
        <w:t>(LTV 1  projekts  papildus finansējuma izlietojumam 2013.gada janvārī)</w:t>
      </w:r>
    </w:p>
    <w:p w:rsidR="00897C71" w:rsidRPr="00C248F0" w:rsidRDefault="00897C71" w:rsidP="00897C71">
      <w:pPr>
        <w:ind w:firstLine="720"/>
        <w:jc w:val="both"/>
        <w:rPr>
          <w:b/>
        </w:rPr>
      </w:pPr>
    </w:p>
    <w:tbl>
      <w:tblPr>
        <w:tblStyle w:val="TableGrid"/>
        <w:tblW w:w="0" w:type="auto"/>
        <w:tblInd w:w="-72" w:type="dxa"/>
        <w:tblLayout w:type="fixed"/>
        <w:tblLook w:val="01E0" w:firstRow="1" w:lastRow="1" w:firstColumn="1" w:lastColumn="1" w:noHBand="0" w:noVBand="0"/>
      </w:tblPr>
      <w:tblGrid>
        <w:gridCol w:w="540"/>
        <w:gridCol w:w="9705"/>
        <w:gridCol w:w="2693"/>
        <w:gridCol w:w="1701"/>
      </w:tblGrid>
      <w:tr w:rsidR="00965AAB" w:rsidTr="00BC4AAE">
        <w:tc>
          <w:tcPr>
            <w:tcW w:w="540" w:type="dxa"/>
          </w:tcPr>
          <w:p w:rsidR="00965AAB" w:rsidRDefault="00965AAB" w:rsidP="00280827">
            <w:pPr>
              <w:jc w:val="both"/>
            </w:pPr>
            <w:proofErr w:type="spellStart"/>
            <w:r>
              <w:t>Nr</w:t>
            </w:r>
            <w:proofErr w:type="spellEnd"/>
            <w:r>
              <w:t>.</w:t>
            </w:r>
          </w:p>
        </w:tc>
        <w:tc>
          <w:tcPr>
            <w:tcW w:w="9705" w:type="dxa"/>
          </w:tcPr>
          <w:p w:rsidR="00965AAB" w:rsidRDefault="00965AAB" w:rsidP="00280827">
            <w:pPr>
              <w:jc w:val="both"/>
            </w:pPr>
            <w:r>
              <w:t>Raidījuma īss saturs</w:t>
            </w:r>
          </w:p>
        </w:tc>
        <w:tc>
          <w:tcPr>
            <w:tcW w:w="2693" w:type="dxa"/>
          </w:tcPr>
          <w:p w:rsidR="00965AAB" w:rsidRDefault="00965AAB" w:rsidP="00280827">
            <w:pPr>
              <w:jc w:val="both"/>
            </w:pPr>
            <w:proofErr w:type="spellStart"/>
            <w:r>
              <w:t>Hronometr</w:t>
            </w:r>
            <w:proofErr w:type="spellEnd"/>
            <w:r>
              <w:t>.,</w:t>
            </w:r>
          </w:p>
          <w:p w:rsidR="00965AAB" w:rsidRDefault="00965AAB" w:rsidP="00280827">
            <w:pPr>
              <w:jc w:val="both"/>
            </w:pPr>
            <w:r>
              <w:t>ētera laiks</w:t>
            </w:r>
          </w:p>
        </w:tc>
        <w:tc>
          <w:tcPr>
            <w:tcW w:w="1701" w:type="dxa"/>
          </w:tcPr>
          <w:p w:rsidR="00965AAB" w:rsidRDefault="00965AAB" w:rsidP="00280827">
            <w:pPr>
              <w:jc w:val="both"/>
            </w:pPr>
            <w:r>
              <w:t>Nepieciešamais</w:t>
            </w:r>
          </w:p>
          <w:p w:rsidR="00965AAB" w:rsidRDefault="0018534F" w:rsidP="00280827">
            <w:pPr>
              <w:jc w:val="both"/>
            </w:pPr>
            <w:r>
              <w:t>F</w:t>
            </w:r>
            <w:r w:rsidR="00965AAB">
              <w:t>inansējums</w:t>
            </w:r>
            <w:r>
              <w:t>, Ls</w:t>
            </w:r>
          </w:p>
        </w:tc>
      </w:tr>
      <w:tr w:rsidR="00965AAB" w:rsidTr="00BC4AAE">
        <w:trPr>
          <w:trHeight w:val="597"/>
        </w:trPr>
        <w:tc>
          <w:tcPr>
            <w:tcW w:w="540" w:type="dxa"/>
          </w:tcPr>
          <w:p w:rsidR="00965AAB" w:rsidRDefault="00965AAB" w:rsidP="00280827">
            <w:pPr>
              <w:jc w:val="both"/>
            </w:pPr>
            <w:r>
              <w:t>1.</w:t>
            </w:r>
          </w:p>
        </w:tc>
        <w:tc>
          <w:tcPr>
            <w:tcW w:w="9705" w:type="dxa"/>
          </w:tcPr>
          <w:p w:rsidR="00965AAB" w:rsidRDefault="00965AAB" w:rsidP="00280827">
            <w:pPr>
              <w:jc w:val="both"/>
            </w:pPr>
            <w:r>
              <w:t>Informatīvi dokumentālas videofilmas par Slovākijas (</w:t>
            </w:r>
            <w:proofErr w:type="spellStart"/>
            <w:r>
              <w:t>eirozonā</w:t>
            </w:r>
            <w:proofErr w:type="spellEnd"/>
            <w:r>
              <w:t xml:space="preserve"> no 2009.g.1.janv.) un Polijas (gatavojas pievienoties </w:t>
            </w:r>
            <w:proofErr w:type="spellStart"/>
            <w:r>
              <w:t>eirozonai</w:t>
            </w:r>
            <w:proofErr w:type="spellEnd"/>
            <w:r>
              <w:t xml:space="preserve"> pēc 2015.g.) pieredzi. Reportāžas no abu valstu pierobežas. Autore – Ina Strazdiņa </w:t>
            </w:r>
          </w:p>
          <w:p w:rsidR="00965AAB" w:rsidRDefault="00965AAB" w:rsidP="00280827">
            <w:pPr>
              <w:jc w:val="both"/>
            </w:pPr>
            <w:r>
              <w:t>( LTV speciālkorespondente Briselē).</w:t>
            </w:r>
          </w:p>
        </w:tc>
        <w:tc>
          <w:tcPr>
            <w:tcW w:w="2693" w:type="dxa"/>
          </w:tcPr>
          <w:p w:rsidR="00965AAB" w:rsidRDefault="00965AAB" w:rsidP="00280827">
            <w:pPr>
              <w:jc w:val="both"/>
            </w:pPr>
            <w:r>
              <w:t xml:space="preserve">13 </w:t>
            </w:r>
            <w:proofErr w:type="spellStart"/>
            <w:r>
              <w:t>min</w:t>
            </w:r>
            <w:proofErr w:type="spellEnd"/>
            <w:r>
              <w:t>. x 2</w:t>
            </w:r>
          </w:p>
          <w:p w:rsidR="00965AAB" w:rsidRDefault="00965AAB" w:rsidP="00280827">
            <w:pPr>
              <w:jc w:val="both"/>
            </w:pPr>
            <w:r>
              <w:t>Ēterā 21., 22. janvārī</w:t>
            </w:r>
          </w:p>
          <w:p w:rsidR="00965AAB" w:rsidRDefault="00965AAB" w:rsidP="00280827">
            <w:pPr>
              <w:jc w:val="both"/>
            </w:pPr>
            <w:proofErr w:type="spellStart"/>
            <w:r>
              <w:t>plkst</w:t>
            </w:r>
            <w:proofErr w:type="spellEnd"/>
            <w:r>
              <w:t>. 21.15  **</w:t>
            </w:r>
          </w:p>
        </w:tc>
        <w:tc>
          <w:tcPr>
            <w:tcW w:w="1701" w:type="dxa"/>
          </w:tcPr>
          <w:p w:rsidR="00965AAB" w:rsidRDefault="00965AAB" w:rsidP="00280827">
            <w:pPr>
              <w:jc w:val="both"/>
            </w:pPr>
          </w:p>
          <w:p w:rsidR="00965AAB" w:rsidRDefault="00965AAB" w:rsidP="00280827">
            <w:pPr>
              <w:jc w:val="both"/>
            </w:pPr>
            <w:r>
              <w:t>5 750,-</w:t>
            </w:r>
          </w:p>
        </w:tc>
      </w:tr>
      <w:tr w:rsidR="00965AAB" w:rsidTr="00BC4AAE">
        <w:tc>
          <w:tcPr>
            <w:tcW w:w="540" w:type="dxa"/>
          </w:tcPr>
          <w:p w:rsidR="00965AAB" w:rsidRDefault="00965AAB" w:rsidP="00280827">
            <w:pPr>
              <w:jc w:val="both"/>
            </w:pPr>
            <w:r>
              <w:t xml:space="preserve">2. </w:t>
            </w:r>
          </w:p>
        </w:tc>
        <w:tc>
          <w:tcPr>
            <w:tcW w:w="9705" w:type="dxa"/>
          </w:tcPr>
          <w:p w:rsidR="00965AAB" w:rsidRDefault="00965AAB" w:rsidP="00965AAB">
            <w:pPr>
              <w:jc w:val="both"/>
            </w:pPr>
            <w:r>
              <w:t xml:space="preserve">Informatīvi dokumentālas videofilmas par  Igaunijas pieredzi un secinājumiem, jau divus gadus lietojot Eiropas vienoto valūtu. Uzņēmēju, ģimeņu ar bērniem, dažādu sociālo grupu vērtējums. Autors – Toms </w:t>
            </w:r>
            <w:proofErr w:type="spellStart"/>
            <w:r>
              <w:t>Pastors</w:t>
            </w:r>
            <w:proofErr w:type="spellEnd"/>
            <w:r>
              <w:t xml:space="preserve"> (LTV Ziņu dienesta ārzemju ziņu redaktors).</w:t>
            </w:r>
          </w:p>
        </w:tc>
        <w:tc>
          <w:tcPr>
            <w:tcW w:w="2693" w:type="dxa"/>
          </w:tcPr>
          <w:p w:rsidR="00965AAB" w:rsidRDefault="00965AAB" w:rsidP="00280827">
            <w:pPr>
              <w:jc w:val="both"/>
            </w:pPr>
            <w:r>
              <w:t xml:space="preserve">13 </w:t>
            </w:r>
            <w:proofErr w:type="spellStart"/>
            <w:r>
              <w:t>min</w:t>
            </w:r>
            <w:proofErr w:type="spellEnd"/>
            <w:r>
              <w:t>.  x 2</w:t>
            </w:r>
          </w:p>
          <w:p w:rsidR="00965AAB" w:rsidRDefault="00965AAB" w:rsidP="00280827">
            <w:pPr>
              <w:jc w:val="both"/>
            </w:pPr>
            <w:r>
              <w:t>Ēterā 23., 24. janvārī</w:t>
            </w:r>
          </w:p>
          <w:p w:rsidR="00965AAB" w:rsidRDefault="00965AAB" w:rsidP="00280827">
            <w:pPr>
              <w:jc w:val="both"/>
            </w:pPr>
            <w:proofErr w:type="spellStart"/>
            <w:r>
              <w:t>plkst</w:t>
            </w:r>
            <w:proofErr w:type="spellEnd"/>
            <w:r>
              <w:t>. 21.15</w:t>
            </w:r>
          </w:p>
        </w:tc>
        <w:tc>
          <w:tcPr>
            <w:tcW w:w="1701" w:type="dxa"/>
          </w:tcPr>
          <w:p w:rsidR="00965AAB" w:rsidRDefault="00965AAB" w:rsidP="00280827">
            <w:pPr>
              <w:jc w:val="both"/>
            </w:pPr>
          </w:p>
          <w:p w:rsidR="00965AAB" w:rsidRDefault="00965AAB" w:rsidP="00280827">
            <w:pPr>
              <w:jc w:val="both"/>
            </w:pPr>
            <w:r>
              <w:t>4 750,-</w:t>
            </w:r>
          </w:p>
        </w:tc>
      </w:tr>
      <w:tr w:rsidR="00965AAB" w:rsidTr="00BC4AAE">
        <w:tc>
          <w:tcPr>
            <w:tcW w:w="540" w:type="dxa"/>
          </w:tcPr>
          <w:p w:rsidR="00965AAB" w:rsidRDefault="00965AAB" w:rsidP="00280827">
            <w:pPr>
              <w:jc w:val="both"/>
            </w:pPr>
            <w:r>
              <w:t>3.</w:t>
            </w:r>
          </w:p>
        </w:tc>
        <w:tc>
          <w:tcPr>
            <w:tcW w:w="9705" w:type="dxa"/>
          </w:tcPr>
          <w:p w:rsidR="00965AAB" w:rsidRDefault="00965AAB" w:rsidP="00280827">
            <w:pPr>
              <w:jc w:val="both"/>
            </w:pPr>
            <w:r>
              <w:t xml:space="preserve">Informatīvi dokumentāla videofilma par Lietuvas ceļu uz </w:t>
            </w:r>
            <w:proofErr w:type="spellStart"/>
            <w:r>
              <w:t>eirozonu</w:t>
            </w:r>
            <w:proofErr w:type="spellEnd"/>
            <w:r>
              <w:t xml:space="preserve"> (eiro ieviešanu 2014.g. prognozē kā nereālu).</w:t>
            </w:r>
          </w:p>
          <w:p w:rsidR="00965AAB" w:rsidRDefault="00965AAB" w:rsidP="00280827">
            <w:pPr>
              <w:jc w:val="both"/>
            </w:pPr>
            <w:r>
              <w:t>Autori  tiks precizēti .</w:t>
            </w:r>
          </w:p>
        </w:tc>
        <w:tc>
          <w:tcPr>
            <w:tcW w:w="2693" w:type="dxa"/>
          </w:tcPr>
          <w:p w:rsidR="00965AAB" w:rsidRDefault="00965AAB" w:rsidP="00280827">
            <w:pPr>
              <w:jc w:val="both"/>
            </w:pPr>
            <w:r>
              <w:t xml:space="preserve">13 </w:t>
            </w:r>
            <w:proofErr w:type="spellStart"/>
            <w:r>
              <w:t>min</w:t>
            </w:r>
            <w:proofErr w:type="spellEnd"/>
            <w:r>
              <w:t xml:space="preserve">. </w:t>
            </w:r>
          </w:p>
          <w:p w:rsidR="00965AAB" w:rsidRDefault="00965AAB" w:rsidP="00280827">
            <w:pPr>
              <w:jc w:val="both"/>
            </w:pPr>
            <w:r>
              <w:t xml:space="preserve">Ēterā 28. </w:t>
            </w:r>
            <w:proofErr w:type="spellStart"/>
            <w:r>
              <w:t>janv</w:t>
            </w:r>
            <w:proofErr w:type="spellEnd"/>
            <w:r>
              <w:t>.</w:t>
            </w:r>
          </w:p>
          <w:p w:rsidR="00965AAB" w:rsidRDefault="00965AAB" w:rsidP="00280827">
            <w:pPr>
              <w:jc w:val="both"/>
            </w:pPr>
            <w:proofErr w:type="spellStart"/>
            <w:r>
              <w:t>plkst</w:t>
            </w:r>
            <w:proofErr w:type="spellEnd"/>
            <w:r>
              <w:t>. 21.15</w:t>
            </w:r>
          </w:p>
        </w:tc>
        <w:tc>
          <w:tcPr>
            <w:tcW w:w="1701" w:type="dxa"/>
          </w:tcPr>
          <w:p w:rsidR="00965AAB" w:rsidRDefault="00965AAB" w:rsidP="00280827">
            <w:pPr>
              <w:jc w:val="both"/>
            </w:pPr>
          </w:p>
          <w:p w:rsidR="00965AAB" w:rsidRDefault="00965AAB" w:rsidP="00280827">
            <w:pPr>
              <w:jc w:val="both"/>
            </w:pPr>
            <w:r>
              <w:t>2 000,-</w:t>
            </w:r>
          </w:p>
        </w:tc>
      </w:tr>
      <w:tr w:rsidR="00965AAB" w:rsidTr="00BC4AAE">
        <w:tc>
          <w:tcPr>
            <w:tcW w:w="540" w:type="dxa"/>
          </w:tcPr>
          <w:p w:rsidR="00965AAB" w:rsidRDefault="00965AAB" w:rsidP="00280827">
            <w:pPr>
              <w:jc w:val="both"/>
            </w:pPr>
            <w:r>
              <w:t>4.</w:t>
            </w:r>
          </w:p>
        </w:tc>
        <w:tc>
          <w:tcPr>
            <w:tcW w:w="9705" w:type="dxa"/>
          </w:tcPr>
          <w:p w:rsidR="00965AAB" w:rsidRDefault="00965AAB" w:rsidP="00280827">
            <w:pPr>
              <w:jc w:val="both"/>
            </w:pPr>
            <w:r>
              <w:t xml:space="preserve">Izglītojoši analītiski raidījumi par vienotās Eiropas valūtas  vēsturi,  attīstību un sarežģījumiem laika posmā no 1999.g.1.janv., kad 11 valstīs ieviesa eiro; iedzīvotāju atbalsts; </w:t>
            </w:r>
            <w:proofErr w:type="spellStart"/>
            <w:r>
              <w:t>eirozonas</w:t>
            </w:r>
            <w:proofErr w:type="spellEnd"/>
            <w:r>
              <w:t xml:space="preserve"> valstu kopējā finanšu atbildība;   problēmas un risinājumi šodien.  </w:t>
            </w:r>
          </w:p>
        </w:tc>
        <w:tc>
          <w:tcPr>
            <w:tcW w:w="2693" w:type="dxa"/>
          </w:tcPr>
          <w:p w:rsidR="00965AAB" w:rsidRDefault="00965AAB" w:rsidP="00280827">
            <w:pPr>
              <w:jc w:val="both"/>
            </w:pPr>
            <w:r>
              <w:t xml:space="preserve">13 </w:t>
            </w:r>
            <w:proofErr w:type="spellStart"/>
            <w:r>
              <w:t>min</w:t>
            </w:r>
            <w:proofErr w:type="spellEnd"/>
            <w:r>
              <w:t xml:space="preserve">. x 2 </w:t>
            </w:r>
          </w:p>
          <w:p w:rsidR="00965AAB" w:rsidRDefault="00965AAB" w:rsidP="00280827">
            <w:pPr>
              <w:jc w:val="both"/>
            </w:pPr>
            <w:r>
              <w:t>Ēterā 29., 31. janvārī</w:t>
            </w:r>
          </w:p>
          <w:p w:rsidR="00965AAB" w:rsidRDefault="00965AAB" w:rsidP="00280827">
            <w:pPr>
              <w:jc w:val="both"/>
            </w:pPr>
            <w:r>
              <w:t xml:space="preserve"> </w:t>
            </w:r>
            <w:proofErr w:type="spellStart"/>
            <w:r>
              <w:t>plkst</w:t>
            </w:r>
            <w:proofErr w:type="spellEnd"/>
            <w:r>
              <w:t>. 21.15</w:t>
            </w:r>
          </w:p>
        </w:tc>
        <w:tc>
          <w:tcPr>
            <w:tcW w:w="1701" w:type="dxa"/>
          </w:tcPr>
          <w:p w:rsidR="00965AAB" w:rsidRDefault="00965AAB" w:rsidP="00280827">
            <w:pPr>
              <w:jc w:val="both"/>
            </w:pPr>
          </w:p>
          <w:p w:rsidR="00965AAB" w:rsidRDefault="00965AAB" w:rsidP="00280827">
            <w:pPr>
              <w:jc w:val="both"/>
            </w:pPr>
            <w:r>
              <w:t>3 500,-</w:t>
            </w:r>
          </w:p>
        </w:tc>
      </w:tr>
      <w:tr w:rsidR="00965AAB" w:rsidTr="00BC4AAE">
        <w:tc>
          <w:tcPr>
            <w:tcW w:w="540" w:type="dxa"/>
          </w:tcPr>
          <w:p w:rsidR="00965AAB" w:rsidRDefault="00965AAB" w:rsidP="00280827">
            <w:pPr>
              <w:jc w:val="both"/>
            </w:pPr>
            <w:r>
              <w:t>5.</w:t>
            </w:r>
          </w:p>
        </w:tc>
        <w:tc>
          <w:tcPr>
            <w:tcW w:w="9705" w:type="dxa"/>
          </w:tcPr>
          <w:p w:rsidR="00965AAB" w:rsidRDefault="00965AAB" w:rsidP="00280827">
            <w:pPr>
              <w:jc w:val="both"/>
            </w:pPr>
            <w:r>
              <w:t xml:space="preserve">Diskusiju raidījums „Sastrēgumstunda”- speciālizlaidums. </w:t>
            </w:r>
          </w:p>
          <w:p w:rsidR="00965AAB" w:rsidRDefault="00965AAB" w:rsidP="00280827">
            <w:pPr>
              <w:jc w:val="both"/>
            </w:pPr>
            <w:r>
              <w:t>Studijā – visu Latvijas reģionu pārstāvji – sabiedrības viedokļu paudēji.</w:t>
            </w:r>
          </w:p>
        </w:tc>
        <w:tc>
          <w:tcPr>
            <w:tcW w:w="2693" w:type="dxa"/>
          </w:tcPr>
          <w:p w:rsidR="00965AAB" w:rsidRDefault="00965AAB" w:rsidP="00280827">
            <w:pPr>
              <w:jc w:val="both"/>
            </w:pPr>
            <w:r>
              <w:t xml:space="preserve">75  </w:t>
            </w:r>
            <w:proofErr w:type="spellStart"/>
            <w:r>
              <w:t>min</w:t>
            </w:r>
            <w:proofErr w:type="spellEnd"/>
            <w:r>
              <w:t>.</w:t>
            </w:r>
          </w:p>
          <w:p w:rsidR="00965AAB" w:rsidRDefault="00965AAB" w:rsidP="00280827">
            <w:pPr>
              <w:jc w:val="both"/>
            </w:pPr>
            <w:r>
              <w:t xml:space="preserve">30. janvārī </w:t>
            </w:r>
          </w:p>
          <w:p w:rsidR="00965AAB" w:rsidRDefault="00965AAB" w:rsidP="00280827">
            <w:pPr>
              <w:jc w:val="both"/>
            </w:pPr>
            <w:proofErr w:type="spellStart"/>
            <w:r>
              <w:t>plkst</w:t>
            </w:r>
            <w:proofErr w:type="spellEnd"/>
            <w:r>
              <w:t>. 21.20</w:t>
            </w:r>
          </w:p>
        </w:tc>
        <w:tc>
          <w:tcPr>
            <w:tcW w:w="1701" w:type="dxa"/>
          </w:tcPr>
          <w:p w:rsidR="00965AAB" w:rsidRDefault="00965AAB" w:rsidP="00280827">
            <w:pPr>
              <w:jc w:val="both"/>
            </w:pPr>
          </w:p>
          <w:p w:rsidR="00965AAB" w:rsidRDefault="00965AAB" w:rsidP="00280827">
            <w:pPr>
              <w:jc w:val="both"/>
            </w:pPr>
            <w:r>
              <w:t>2 500,-</w:t>
            </w:r>
          </w:p>
        </w:tc>
      </w:tr>
      <w:tr w:rsidR="00965AAB" w:rsidTr="00BC4AAE">
        <w:tc>
          <w:tcPr>
            <w:tcW w:w="540" w:type="dxa"/>
          </w:tcPr>
          <w:p w:rsidR="00965AAB" w:rsidRDefault="00965AAB" w:rsidP="00280827">
            <w:pPr>
              <w:jc w:val="both"/>
            </w:pPr>
            <w:r>
              <w:t>6.</w:t>
            </w:r>
          </w:p>
        </w:tc>
        <w:tc>
          <w:tcPr>
            <w:tcW w:w="9705" w:type="dxa"/>
          </w:tcPr>
          <w:p w:rsidR="00965AAB" w:rsidRDefault="00965AAB" w:rsidP="00280827">
            <w:pPr>
              <w:jc w:val="both"/>
            </w:pPr>
            <w:r>
              <w:t xml:space="preserve"> „100.panta preses klubs” – speciālizlaidums.</w:t>
            </w:r>
          </w:p>
        </w:tc>
        <w:tc>
          <w:tcPr>
            <w:tcW w:w="2693" w:type="dxa"/>
          </w:tcPr>
          <w:p w:rsidR="00965AAB" w:rsidRDefault="00965AAB" w:rsidP="00280827">
            <w:pPr>
              <w:jc w:val="both"/>
            </w:pPr>
            <w:r>
              <w:t xml:space="preserve">65  </w:t>
            </w:r>
            <w:proofErr w:type="spellStart"/>
            <w:r>
              <w:t>min</w:t>
            </w:r>
            <w:proofErr w:type="spellEnd"/>
            <w:r>
              <w:t>.</w:t>
            </w:r>
          </w:p>
          <w:p w:rsidR="00965AAB" w:rsidRDefault="00965AAB" w:rsidP="00280827">
            <w:pPr>
              <w:jc w:val="both"/>
            </w:pPr>
            <w:r>
              <w:t xml:space="preserve">25.janvārī </w:t>
            </w:r>
          </w:p>
          <w:p w:rsidR="00965AAB" w:rsidRDefault="00965AAB" w:rsidP="00280827">
            <w:pPr>
              <w:jc w:val="both"/>
            </w:pPr>
            <w:proofErr w:type="spellStart"/>
            <w:r>
              <w:t>plkst</w:t>
            </w:r>
            <w:proofErr w:type="spellEnd"/>
            <w:r>
              <w:t>. 21.15</w:t>
            </w:r>
          </w:p>
        </w:tc>
        <w:tc>
          <w:tcPr>
            <w:tcW w:w="1701" w:type="dxa"/>
          </w:tcPr>
          <w:p w:rsidR="00965AAB" w:rsidRDefault="00965AAB" w:rsidP="00280827">
            <w:pPr>
              <w:jc w:val="both"/>
            </w:pPr>
            <w:r>
              <w:t>1 500,-</w:t>
            </w:r>
          </w:p>
        </w:tc>
      </w:tr>
      <w:tr w:rsidR="00965AAB" w:rsidRPr="00276DA3" w:rsidTr="00BC4AAE">
        <w:tc>
          <w:tcPr>
            <w:tcW w:w="540" w:type="dxa"/>
          </w:tcPr>
          <w:p w:rsidR="00965AAB" w:rsidRPr="00276DA3" w:rsidRDefault="00965AAB" w:rsidP="00280827">
            <w:pPr>
              <w:jc w:val="both"/>
              <w:rPr>
                <w:b/>
              </w:rPr>
            </w:pPr>
          </w:p>
        </w:tc>
        <w:tc>
          <w:tcPr>
            <w:tcW w:w="9705" w:type="dxa"/>
          </w:tcPr>
          <w:p w:rsidR="00965AAB" w:rsidRPr="00276DA3" w:rsidRDefault="00965AAB" w:rsidP="00280827">
            <w:pPr>
              <w:jc w:val="both"/>
              <w:rPr>
                <w:b/>
              </w:rPr>
            </w:pPr>
            <w:r w:rsidRPr="00276DA3">
              <w:rPr>
                <w:b/>
              </w:rPr>
              <w:t>Kopā</w:t>
            </w:r>
          </w:p>
        </w:tc>
        <w:tc>
          <w:tcPr>
            <w:tcW w:w="2693" w:type="dxa"/>
          </w:tcPr>
          <w:p w:rsidR="00965AAB" w:rsidRPr="00276DA3" w:rsidRDefault="00965AAB" w:rsidP="00280827">
            <w:pPr>
              <w:jc w:val="both"/>
              <w:rPr>
                <w:b/>
              </w:rPr>
            </w:pPr>
          </w:p>
        </w:tc>
        <w:tc>
          <w:tcPr>
            <w:tcW w:w="1701" w:type="dxa"/>
          </w:tcPr>
          <w:p w:rsidR="00965AAB" w:rsidRPr="00276DA3" w:rsidRDefault="00965AAB" w:rsidP="00280827">
            <w:pPr>
              <w:jc w:val="both"/>
              <w:rPr>
                <w:b/>
              </w:rPr>
            </w:pPr>
            <w:r>
              <w:rPr>
                <w:b/>
              </w:rPr>
              <w:t>20 000,-  *</w:t>
            </w:r>
          </w:p>
        </w:tc>
      </w:tr>
    </w:tbl>
    <w:p w:rsidR="00965AAB" w:rsidRPr="00965AAB" w:rsidRDefault="00965AAB" w:rsidP="00965AAB">
      <w:pPr>
        <w:rPr>
          <w:i/>
          <w:sz w:val="20"/>
          <w:szCs w:val="20"/>
        </w:rPr>
      </w:pPr>
      <w:r w:rsidRPr="00965AAB">
        <w:rPr>
          <w:i/>
          <w:sz w:val="20"/>
          <w:szCs w:val="20"/>
        </w:rPr>
        <w:t>* Raidījumu veidošanas izmaksās ir iekļauta raidījumu pašreklāmas kampaņa un  raidījumu sagatavošana ar subtitriem vai surdotulkojumu.</w:t>
      </w:r>
    </w:p>
    <w:p w:rsidR="00965AAB" w:rsidRPr="00965AAB" w:rsidRDefault="00965AAB" w:rsidP="00965AAB">
      <w:pPr>
        <w:rPr>
          <w:i/>
          <w:sz w:val="20"/>
          <w:szCs w:val="20"/>
        </w:rPr>
      </w:pPr>
      <w:r w:rsidRPr="00965AAB">
        <w:rPr>
          <w:i/>
          <w:sz w:val="20"/>
          <w:szCs w:val="20"/>
        </w:rPr>
        <w:t>** Raidījumu pārraidīšanas secība var tikt mainīta  atkarībā no to sagatavošanas grafika.</w:t>
      </w:r>
    </w:p>
    <w:p w:rsidR="004F6D43" w:rsidRDefault="004F6D43">
      <w:pPr>
        <w:rPr>
          <w:sz w:val="20"/>
          <w:szCs w:val="20"/>
        </w:rPr>
      </w:pPr>
    </w:p>
    <w:p w:rsidR="00BC4AAE" w:rsidRPr="00BC4AAE" w:rsidRDefault="00BC4AAE" w:rsidP="00BC4AAE">
      <w:pPr>
        <w:jc w:val="center"/>
      </w:pPr>
      <w:r w:rsidRPr="00BC4AAE">
        <w:lastRenderedPageBreak/>
        <w:t>VSIA „Latvijas Radio”</w:t>
      </w:r>
    </w:p>
    <w:p w:rsidR="00BC4AAE" w:rsidRDefault="00BC4AAE" w:rsidP="00BC4AAE">
      <w:pPr>
        <w:jc w:val="center"/>
      </w:pPr>
      <w:r w:rsidRPr="00BC4AAE">
        <w:t>Eiro ieviešanas tematikas atspoguļošana programmās</w:t>
      </w:r>
    </w:p>
    <w:p w:rsidR="00BC4AAE" w:rsidRDefault="00BC4AAE" w:rsidP="00BC4AAE">
      <w:pPr>
        <w:jc w:val="center"/>
      </w:pPr>
      <w:r>
        <w:t>(p</w:t>
      </w:r>
      <w:r w:rsidRPr="00BC4AAE">
        <w:t>lānoto pasākumu 2013.gadā izmaksu tāme</w:t>
      </w:r>
      <w:r>
        <w:t>)</w:t>
      </w:r>
    </w:p>
    <w:p w:rsidR="00BC4AAE" w:rsidRPr="00BC4AAE" w:rsidRDefault="00BC4AAE" w:rsidP="00BC4AAE">
      <w:pPr>
        <w:jc w:val="center"/>
      </w:pPr>
    </w:p>
    <w:tbl>
      <w:tblPr>
        <w:tblW w:w="14757" w:type="dxa"/>
        <w:tblInd w:w="93" w:type="dxa"/>
        <w:tblLook w:val="04A0" w:firstRow="1" w:lastRow="0" w:firstColumn="1" w:lastColumn="0" w:noHBand="0" w:noVBand="1"/>
      </w:tblPr>
      <w:tblGrid>
        <w:gridCol w:w="4835"/>
        <w:gridCol w:w="1984"/>
        <w:gridCol w:w="1843"/>
        <w:gridCol w:w="1559"/>
        <w:gridCol w:w="1276"/>
        <w:gridCol w:w="1040"/>
        <w:gridCol w:w="1000"/>
        <w:gridCol w:w="1220"/>
      </w:tblGrid>
      <w:tr w:rsidR="00F76FEF" w:rsidRPr="007B0B45" w:rsidTr="00F76FEF">
        <w:trPr>
          <w:trHeight w:val="600"/>
        </w:trPr>
        <w:tc>
          <w:tcPr>
            <w:tcW w:w="4835" w:type="dxa"/>
            <w:tcBorders>
              <w:top w:val="single" w:sz="8" w:space="0" w:color="auto"/>
              <w:left w:val="single" w:sz="8" w:space="0" w:color="auto"/>
              <w:bottom w:val="nil"/>
              <w:right w:val="nil"/>
            </w:tcBorders>
            <w:shd w:val="clear" w:color="auto" w:fill="auto"/>
            <w:noWrap/>
            <w:vAlign w:val="bottom"/>
            <w:hideMark/>
          </w:tcPr>
          <w:p w:rsidR="007B0B45" w:rsidRPr="007B0B45" w:rsidRDefault="007B0B45" w:rsidP="007B0B45">
            <w:pPr>
              <w:rPr>
                <w:b/>
                <w:bCs/>
                <w:sz w:val="20"/>
                <w:szCs w:val="20"/>
              </w:rPr>
            </w:pPr>
            <w:r w:rsidRPr="007B0B45">
              <w:rPr>
                <w:b/>
                <w:bCs/>
                <w:sz w:val="20"/>
                <w:szCs w:val="20"/>
              </w:rPr>
              <w:t>Programma / Izmaksu Pozīcija</w:t>
            </w:r>
          </w:p>
        </w:tc>
        <w:tc>
          <w:tcPr>
            <w:tcW w:w="1984" w:type="dxa"/>
            <w:tcBorders>
              <w:top w:val="single" w:sz="8" w:space="0" w:color="auto"/>
              <w:left w:val="single" w:sz="4" w:space="0" w:color="auto"/>
              <w:bottom w:val="nil"/>
              <w:right w:val="single" w:sz="4" w:space="0" w:color="auto"/>
            </w:tcBorders>
            <w:shd w:val="clear" w:color="auto" w:fill="auto"/>
            <w:noWrap/>
            <w:vAlign w:val="bottom"/>
            <w:hideMark/>
          </w:tcPr>
          <w:p w:rsidR="007B0B45" w:rsidRPr="007B0B45" w:rsidRDefault="007B0B45" w:rsidP="007B0B45">
            <w:pPr>
              <w:rPr>
                <w:b/>
                <w:bCs/>
                <w:sz w:val="20"/>
                <w:szCs w:val="20"/>
              </w:rPr>
            </w:pPr>
            <w:r w:rsidRPr="007B0B45">
              <w:rPr>
                <w:b/>
                <w:bCs/>
                <w:sz w:val="20"/>
                <w:szCs w:val="20"/>
              </w:rPr>
              <w:t>Plānotie pasākumi / pozīcijas nosaukums</w:t>
            </w:r>
          </w:p>
        </w:tc>
        <w:tc>
          <w:tcPr>
            <w:tcW w:w="1843" w:type="dxa"/>
            <w:tcBorders>
              <w:top w:val="single" w:sz="8" w:space="0" w:color="auto"/>
              <w:left w:val="nil"/>
              <w:bottom w:val="nil"/>
              <w:right w:val="single" w:sz="4" w:space="0" w:color="auto"/>
            </w:tcBorders>
            <w:shd w:val="clear" w:color="auto" w:fill="auto"/>
            <w:noWrap/>
            <w:vAlign w:val="bottom"/>
            <w:hideMark/>
          </w:tcPr>
          <w:p w:rsidR="007B0B45" w:rsidRPr="007B0B45" w:rsidRDefault="007B0B45" w:rsidP="007B0B45">
            <w:pPr>
              <w:rPr>
                <w:b/>
                <w:bCs/>
                <w:sz w:val="20"/>
                <w:szCs w:val="20"/>
              </w:rPr>
            </w:pPr>
            <w:r w:rsidRPr="007B0B45">
              <w:rPr>
                <w:b/>
                <w:bCs/>
                <w:sz w:val="20"/>
                <w:szCs w:val="20"/>
              </w:rPr>
              <w:t>Mērvienība</w:t>
            </w:r>
          </w:p>
        </w:tc>
        <w:tc>
          <w:tcPr>
            <w:tcW w:w="1559" w:type="dxa"/>
            <w:tcBorders>
              <w:top w:val="single" w:sz="8" w:space="0" w:color="auto"/>
              <w:left w:val="nil"/>
              <w:bottom w:val="nil"/>
              <w:right w:val="single" w:sz="4" w:space="0" w:color="auto"/>
            </w:tcBorders>
            <w:shd w:val="clear" w:color="auto" w:fill="auto"/>
            <w:vAlign w:val="bottom"/>
            <w:hideMark/>
          </w:tcPr>
          <w:p w:rsidR="007B0B45" w:rsidRPr="007B0B45" w:rsidRDefault="007B0B45" w:rsidP="007B0B45">
            <w:pPr>
              <w:rPr>
                <w:b/>
                <w:bCs/>
                <w:sz w:val="20"/>
                <w:szCs w:val="20"/>
              </w:rPr>
            </w:pPr>
            <w:r w:rsidRPr="007B0B45">
              <w:rPr>
                <w:b/>
                <w:bCs/>
                <w:sz w:val="20"/>
                <w:szCs w:val="20"/>
              </w:rPr>
              <w:t>Daudzums</w:t>
            </w:r>
          </w:p>
        </w:tc>
        <w:tc>
          <w:tcPr>
            <w:tcW w:w="1276" w:type="dxa"/>
            <w:tcBorders>
              <w:top w:val="single" w:sz="8" w:space="0" w:color="auto"/>
              <w:left w:val="nil"/>
              <w:bottom w:val="nil"/>
              <w:right w:val="single" w:sz="4" w:space="0" w:color="auto"/>
            </w:tcBorders>
            <w:shd w:val="clear" w:color="auto" w:fill="auto"/>
            <w:vAlign w:val="bottom"/>
            <w:hideMark/>
          </w:tcPr>
          <w:p w:rsidR="007B0B45" w:rsidRPr="007B0B45" w:rsidRDefault="007B0B45" w:rsidP="007B0B45">
            <w:pPr>
              <w:rPr>
                <w:b/>
                <w:bCs/>
                <w:sz w:val="20"/>
                <w:szCs w:val="20"/>
              </w:rPr>
            </w:pPr>
            <w:r w:rsidRPr="007B0B45">
              <w:rPr>
                <w:b/>
                <w:bCs/>
                <w:sz w:val="20"/>
                <w:szCs w:val="20"/>
              </w:rPr>
              <w:t>Izmaksas par vienību</w:t>
            </w:r>
          </w:p>
        </w:tc>
        <w:tc>
          <w:tcPr>
            <w:tcW w:w="1040" w:type="dxa"/>
            <w:tcBorders>
              <w:top w:val="single" w:sz="8" w:space="0" w:color="auto"/>
              <w:left w:val="nil"/>
              <w:bottom w:val="nil"/>
              <w:right w:val="nil"/>
            </w:tcBorders>
            <w:shd w:val="clear" w:color="auto" w:fill="auto"/>
            <w:noWrap/>
            <w:vAlign w:val="bottom"/>
            <w:hideMark/>
          </w:tcPr>
          <w:p w:rsidR="007B0B45" w:rsidRPr="007B0B45" w:rsidRDefault="007B0B45" w:rsidP="007B0B45">
            <w:pPr>
              <w:rPr>
                <w:sz w:val="20"/>
                <w:szCs w:val="20"/>
              </w:rPr>
            </w:pPr>
            <w:r w:rsidRPr="007B0B45">
              <w:rPr>
                <w:sz w:val="20"/>
                <w:szCs w:val="20"/>
              </w:rPr>
              <w:t>Kopā, Ls</w:t>
            </w:r>
          </w:p>
        </w:tc>
        <w:tc>
          <w:tcPr>
            <w:tcW w:w="1000" w:type="dxa"/>
            <w:tcBorders>
              <w:top w:val="single" w:sz="8" w:space="0" w:color="auto"/>
              <w:left w:val="single" w:sz="4" w:space="0" w:color="auto"/>
              <w:bottom w:val="nil"/>
              <w:right w:val="nil"/>
            </w:tcBorders>
            <w:shd w:val="clear" w:color="auto" w:fill="auto"/>
            <w:vAlign w:val="bottom"/>
            <w:hideMark/>
          </w:tcPr>
          <w:p w:rsidR="007B0B45" w:rsidRPr="007B0B45" w:rsidRDefault="007B0B45" w:rsidP="007B0B45">
            <w:pPr>
              <w:rPr>
                <w:i/>
                <w:iCs/>
                <w:sz w:val="20"/>
                <w:szCs w:val="20"/>
              </w:rPr>
            </w:pPr>
            <w:proofErr w:type="spellStart"/>
            <w:r w:rsidRPr="007B0B45">
              <w:rPr>
                <w:i/>
                <w:iCs/>
                <w:sz w:val="20"/>
                <w:szCs w:val="20"/>
              </w:rPr>
              <w:t>D.d.soc</w:t>
            </w:r>
            <w:proofErr w:type="spellEnd"/>
            <w:r w:rsidRPr="007B0B45">
              <w:rPr>
                <w:i/>
                <w:iCs/>
                <w:sz w:val="20"/>
                <w:szCs w:val="20"/>
              </w:rPr>
              <w:t>. 24.09%</w:t>
            </w:r>
          </w:p>
        </w:tc>
        <w:tc>
          <w:tcPr>
            <w:tcW w:w="1220" w:type="dxa"/>
            <w:tcBorders>
              <w:top w:val="single" w:sz="8" w:space="0" w:color="auto"/>
              <w:left w:val="single" w:sz="4" w:space="0" w:color="auto"/>
              <w:bottom w:val="nil"/>
              <w:right w:val="single" w:sz="8" w:space="0" w:color="auto"/>
            </w:tcBorders>
            <w:shd w:val="clear" w:color="auto" w:fill="auto"/>
            <w:noWrap/>
            <w:vAlign w:val="bottom"/>
            <w:hideMark/>
          </w:tcPr>
          <w:p w:rsidR="007B0B45" w:rsidRPr="007B0B45" w:rsidRDefault="007B0B45" w:rsidP="007B0B45">
            <w:pPr>
              <w:rPr>
                <w:b/>
                <w:bCs/>
                <w:sz w:val="20"/>
                <w:szCs w:val="20"/>
              </w:rPr>
            </w:pPr>
            <w:r w:rsidRPr="007B0B45">
              <w:rPr>
                <w:b/>
                <w:bCs/>
                <w:sz w:val="20"/>
                <w:szCs w:val="20"/>
              </w:rPr>
              <w:t>Pavisam kopā, Ls</w:t>
            </w:r>
          </w:p>
        </w:tc>
      </w:tr>
      <w:tr w:rsidR="00F76FEF" w:rsidRPr="007B0B45" w:rsidTr="00F76FEF">
        <w:trPr>
          <w:trHeight w:val="315"/>
        </w:trPr>
        <w:tc>
          <w:tcPr>
            <w:tcW w:w="48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B0B45" w:rsidRPr="00F76FEF" w:rsidRDefault="007B0B45" w:rsidP="007B0B45">
            <w:pPr>
              <w:rPr>
                <w:b/>
                <w:bCs/>
                <w:sz w:val="20"/>
                <w:szCs w:val="20"/>
              </w:rPr>
            </w:pPr>
            <w:r w:rsidRPr="00F76FEF">
              <w:rPr>
                <w:b/>
                <w:bCs/>
                <w:sz w:val="20"/>
                <w:szCs w:val="20"/>
              </w:rPr>
              <w:t>LR1 ZD</w:t>
            </w:r>
          </w:p>
        </w:tc>
        <w:tc>
          <w:tcPr>
            <w:tcW w:w="1984"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843"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040" w:type="dxa"/>
            <w:tcBorders>
              <w:top w:val="single" w:sz="8" w:space="0" w:color="auto"/>
              <w:left w:val="nil"/>
              <w:bottom w:val="single" w:sz="8" w:space="0" w:color="auto"/>
              <w:right w:val="nil"/>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000" w:type="dxa"/>
            <w:tcBorders>
              <w:top w:val="single" w:sz="8" w:space="0" w:color="auto"/>
              <w:left w:val="single" w:sz="4" w:space="0" w:color="auto"/>
              <w:bottom w:val="single" w:sz="8" w:space="0" w:color="auto"/>
              <w:right w:val="nil"/>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22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2 343,33</w:t>
            </w:r>
          </w:p>
        </w:tc>
      </w:tr>
      <w:tr w:rsidR="00F76FEF" w:rsidRPr="007B0B45" w:rsidTr="00F76FEF">
        <w:trPr>
          <w:trHeight w:val="300"/>
        </w:trPr>
        <w:tc>
          <w:tcPr>
            <w:tcW w:w="4835" w:type="dxa"/>
            <w:tcBorders>
              <w:top w:val="nil"/>
              <w:left w:val="single" w:sz="8"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984" w:type="dxa"/>
            <w:tcBorders>
              <w:top w:val="nil"/>
              <w:left w:val="single" w:sz="4" w:space="0" w:color="auto"/>
              <w:bottom w:val="single" w:sz="4" w:space="0" w:color="auto"/>
              <w:right w:val="nil"/>
            </w:tcBorders>
            <w:shd w:val="clear" w:color="auto" w:fill="auto"/>
            <w:noWrap/>
            <w:vAlign w:val="bottom"/>
            <w:hideMark/>
          </w:tcPr>
          <w:p w:rsidR="007B0B45" w:rsidRPr="00F76FEF" w:rsidRDefault="007B0B45" w:rsidP="007B0B45">
            <w:pPr>
              <w:rPr>
                <w:sz w:val="20"/>
                <w:szCs w:val="20"/>
              </w:rPr>
            </w:pPr>
            <w:r w:rsidRPr="00F76FEF">
              <w:rPr>
                <w:sz w:val="20"/>
                <w:szCs w:val="20"/>
              </w:rPr>
              <w:t>Speciāli gatavoti sižetu izmaksas</w:t>
            </w:r>
          </w:p>
        </w:tc>
        <w:tc>
          <w:tcPr>
            <w:tcW w:w="1843"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1260,29</w:t>
            </w:r>
          </w:p>
        </w:tc>
        <w:tc>
          <w:tcPr>
            <w:tcW w:w="1040"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1536,74</w:t>
            </w:r>
          </w:p>
        </w:tc>
        <w:tc>
          <w:tcPr>
            <w:tcW w:w="1000" w:type="dxa"/>
            <w:tcBorders>
              <w:top w:val="nil"/>
              <w:left w:val="nil"/>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1 536,74</w:t>
            </w:r>
          </w:p>
        </w:tc>
      </w:tr>
      <w:tr w:rsidR="00F76FEF" w:rsidRPr="007B0B45" w:rsidTr="00F76FEF">
        <w:trPr>
          <w:trHeight w:val="1140"/>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B0B45" w:rsidRPr="00F76FEF" w:rsidRDefault="007B0B45" w:rsidP="007B0B45">
            <w:pPr>
              <w:rPr>
                <w:sz w:val="20"/>
                <w:szCs w:val="20"/>
              </w:rPr>
            </w:pPr>
            <w:r w:rsidRPr="00F76FEF">
              <w:rPr>
                <w:sz w:val="20"/>
                <w:szCs w:val="20"/>
              </w:rPr>
              <w:t>1. Reportāžas no Slovēnijas par to, kā 2007.gadā tika ieviests eiro. Slovēnija eiro ieviesa kā pirmā no desmit jaunajām ES dalībvalstīm, kas savienībā iestājās 2004.gada maijā. Tādēļ komandējuma laikā plānots gūt informāciju par to, kādas bija lielākās slovēņu bažas, un vai tās piepildījušās</w:t>
            </w:r>
          </w:p>
        </w:tc>
        <w:tc>
          <w:tcPr>
            <w:tcW w:w="1984"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Komandējumu izmaksas Slovēnija</w:t>
            </w:r>
          </w:p>
        </w:tc>
        <w:tc>
          <w:tcPr>
            <w:tcW w:w="1843" w:type="dxa"/>
            <w:tcBorders>
              <w:top w:val="nil"/>
              <w:left w:val="nil"/>
              <w:bottom w:val="single" w:sz="4" w:space="0" w:color="auto"/>
              <w:right w:val="single" w:sz="4" w:space="0" w:color="auto"/>
            </w:tcBorders>
            <w:shd w:val="clear" w:color="auto" w:fill="auto"/>
            <w:vAlign w:val="bottom"/>
            <w:hideMark/>
          </w:tcPr>
          <w:p w:rsidR="007B0B45" w:rsidRPr="00F76FEF" w:rsidRDefault="007B0B45" w:rsidP="007B0B45">
            <w:pPr>
              <w:rPr>
                <w:i/>
                <w:iCs/>
                <w:sz w:val="20"/>
                <w:szCs w:val="20"/>
              </w:rPr>
            </w:pPr>
            <w:r w:rsidRPr="00F76FEF">
              <w:rPr>
                <w:i/>
                <w:iCs/>
                <w:sz w:val="20"/>
                <w:szCs w:val="20"/>
              </w:rPr>
              <w:t>komandējums (ceļa un uzturēšanās izdevumi, dienas nauda, apdrošināšana)</w:t>
            </w:r>
          </w:p>
        </w:tc>
        <w:tc>
          <w:tcPr>
            <w:tcW w:w="1559"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800,00</w:t>
            </w:r>
          </w:p>
        </w:tc>
        <w:tc>
          <w:tcPr>
            <w:tcW w:w="1040" w:type="dxa"/>
            <w:tcBorders>
              <w:top w:val="nil"/>
              <w:left w:val="nil"/>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800,00</w:t>
            </w:r>
          </w:p>
        </w:tc>
        <w:tc>
          <w:tcPr>
            <w:tcW w:w="1000" w:type="dxa"/>
            <w:tcBorders>
              <w:top w:val="nil"/>
              <w:left w:val="single" w:sz="4" w:space="0" w:color="auto"/>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r>
      <w:tr w:rsidR="00F76FEF" w:rsidRPr="007B0B45" w:rsidTr="00F76FEF">
        <w:trPr>
          <w:trHeight w:val="1140"/>
        </w:trPr>
        <w:tc>
          <w:tcPr>
            <w:tcW w:w="4835" w:type="dxa"/>
            <w:tcBorders>
              <w:top w:val="nil"/>
              <w:left w:val="single" w:sz="8" w:space="0" w:color="auto"/>
              <w:bottom w:val="single" w:sz="4" w:space="0" w:color="auto"/>
              <w:right w:val="single" w:sz="4" w:space="0" w:color="auto"/>
            </w:tcBorders>
            <w:shd w:val="clear" w:color="auto" w:fill="auto"/>
            <w:vAlign w:val="bottom"/>
            <w:hideMark/>
          </w:tcPr>
          <w:p w:rsidR="007B0B45" w:rsidRPr="00F76FEF" w:rsidRDefault="007B0B45" w:rsidP="007B0B45">
            <w:pPr>
              <w:rPr>
                <w:sz w:val="20"/>
                <w:szCs w:val="20"/>
              </w:rPr>
            </w:pPr>
            <w:r w:rsidRPr="00F76FEF">
              <w:rPr>
                <w:sz w:val="20"/>
                <w:szCs w:val="20"/>
              </w:rPr>
              <w:t xml:space="preserve">2. Reportāžas no Igaunijas. Tā ir valsts, kura pēdējā ieviesusi eiro. Komandējuma laikā plānots atspoguļot gan eiro skeptiķu, gan eiro optimistu argumentus pirms un pēc eiro ieviešanas. Tāpat plānota intervija programmā „Labrīt” ar Igaunijas centrālās bankas prezidentu </w:t>
            </w:r>
            <w:proofErr w:type="spellStart"/>
            <w:r w:rsidRPr="00F76FEF">
              <w:rPr>
                <w:sz w:val="20"/>
                <w:szCs w:val="20"/>
              </w:rPr>
              <w:t>Ardo</w:t>
            </w:r>
            <w:proofErr w:type="spellEnd"/>
            <w:r w:rsidRPr="00F76FEF">
              <w:rPr>
                <w:sz w:val="20"/>
                <w:szCs w:val="20"/>
              </w:rPr>
              <w:t xml:space="preserve"> </w:t>
            </w:r>
            <w:proofErr w:type="spellStart"/>
            <w:r w:rsidRPr="00F76FEF">
              <w:rPr>
                <w:sz w:val="20"/>
                <w:szCs w:val="20"/>
              </w:rPr>
              <w:t>Hansson</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Komandējumu izmaksas Igaunija</w:t>
            </w:r>
          </w:p>
        </w:tc>
        <w:tc>
          <w:tcPr>
            <w:tcW w:w="1843" w:type="dxa"/>
            <w:tcBorders>
              <w:top w:val="nil"/>
              <w:left w:val="nil"/>
              <w:bottom w:val="single" w:sz="4" w:space="0" w:color="auto"/>
              <w:right w:val="single" w:sz="4" w:space="0" w:color="auto"/>
            </w:tcBorders>
            <w:shd w:val="clear" w:color="auto" w:fill="auto"/>
            <w:vAlign w:val="bottom"/>
            <w:hideMark/>
          </w:tcPr>
          <w:p w:rsidR="007B0B45" w:rsidRPr="00F76FEF" w:rsidRDefault="007B0B45" w:rsidP="007B0B45">
            <w:pPr>
              <w:rPr>
                <w:i/>
                <w:iCs/>
                <w:sz w:val="20"/>
                <w:szCs w:val="20"/>
              </w:rPr>
            </w:pPr>
            <w:r w:rsidRPr="00F76FEF">
              <w:rPr>
                <w:i/>
                <w:iCs/>
                <w:sz w:val="20"/>
                <w:szCs w:val="20"/>
              </w:rPr>
              <w:t>komandējums (ceļa un uzturēšanās izdevumi, dienas nauda, apdrošināšana)</w:t>
            </w:r>
          </w:p>
        </w:tc>
        <w:tc>
          <w:tcPr>
            <w:tcW w:w="1559"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405,00</w:t>
            </w:r>
          </w:p>
        </w:tc>
        <w:tc>
          <w:tcPr>
            <w:tcW w:w="1040" w:type="dxa"/>
            <w:tcBorders>
              <w:top w:val="nil"/>
              <w:left w:val="nil"/>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405,00</w:t>
            </w:r>
          </w:p>
        </w:tc>
        <w:tc>
          <w:tcPr>
            <w:tcW w:w="1000" w:type="dxa"/>
            <w:tcBorders>
              <w:top w:val="nil"/>
              <w:left w:val="single" w:sz="4" w:space="0" w:color="auto"/>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r>
      <w:tr w:rsidR="00F76FEF" w:rsidRPr="007B0B45" w:rsidTr="00F76FEF">
        <w:trPr>
          <w:trHeight w:val="1455"/>
        </w:trPr>
        <w:tc>
          <w:tcPr>
            <w:tcW w:w="4835" w:type="dxa"/>
            <w:tcBorders>
              <w:top w:val="nil"/>
              <w:left w:val="single" w:sz="8" w:space="0" w:color="auto"/>
              <w:bottom w:val="single" w:sz="4" w:space="0" w:color="auto"/>
              <w:right w:val="single" w:sz="4" w:space="0" w:color="auto"/>
            </w:tcBorders>
            <w:shd w:val="clear" w:color="auto" w:fill="auto"/>
            <w:vAlign w:val="bottom"/>
            <w:hideMark/>
          </w:tcPr>
          <w:p w:rsidR="007B0B45" w:rsidRPr="00F76FEF" w:rsidRDefault="007B0B45" w:rsidP="007B0B45">
            <w:pPr>
              <w:rPr>
                <w:sz w:val="20"/>
                <w:szCs w:val="20"/>
              </w:rPr>
            </w:pPr>
            <w:r w:rsidRPr="00F76FEF">
              <w:rPr>
                <w:sz w:val="20"/>
                <w:szCs w:val="20"/>
              </w:rPr>
              <w:t xml:space="preserve">3. Janvārī Ziņu dienesta veidotajā programmā „Labrīt” sāksim sižetu sēriju, kurā gada garumā sekosim līdzi vienam Latvijas uzņēmējam. Ko viņš domā par eiro ieviešanu šobrīd, kādas ir viņa bažas? Kā viņš apzina visu to, kas firmai/uzņēmumam jādara, lai ieviestu eiro? Kā viņš veic šīs izmaiņas uzņēmumā. Un kā tas galu galā ietekmē viņa biznesu- vienalga, ievieš vai nē Latvijā eiro? </w:t>
            </w:r>
          </w:p>
        </w:tc>
        <w:tc>
          <w:tcPr>
            <w:tcW w:w="1984" w:type="dxa"/>
            <w:tcBorders>
              <w:top w:val="nil"/>
              <w:left w:val="nil"/>
              <w:bottom w:val="nil"/>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Iekšzemes komandējumi</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7B0B45" w:rsidRPr="00F76FEF" w:rsidRDefault="007B0B45" w:rsidP="007B0B45">
            <w:pPr>
              <w:rPr>
                <w:i/>
                <w:iCs/>
                <w:sz w:val="20"/>
                <w:szCs w:val="20"/>
              </w:rPr>
            </w:pPr>
            <w:r w:rsidRPr="00F76FEF">
              <w:rPr>
                <w:i/>
                <w:iCs/>
                <w:sz w:val="20"/>
                <w:szCs w:val="20"/>
              </w:rPr>
              <w:t>komandējums (uzturēšanās izdevumi, degviela, dienas nauda)</w:t>
            </w:r>
          </w:p>
        </w:tc>
        <w:tc>
          <w:tcPr>
            <w:tcW w:w="1559" w:type="dxa"/>
            <w:tcBorders>
              <w:top w:val="nil"/>
              <w:left w:val="nil"/>
              <w:bottom w:val="nil"/>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6</w:t>
            </w:r>
          </w:p>
        </w:tc>
        <w:tc>
          <w:tcPr>
            <w:tcW w:w="1276" w:type="dxa"/>
            <w:tcBorders>
              <w:top w:val="nil"/>
              <w:left w:val="single" w:sz="4" w:space="0" w:color="auto"/>
              <w:bottom w:val="nil"/>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55,29</w:t>
            </w:r>
          </w:p>
        </w:tc>
        <w:tc>
          <w:tcPr>
            <w:tcW w:w="1040" w:type="dxa"/>
            <w:tcBorders>
              <w:top w:val="nil"/>
              <w:left w:val="single" w:sz="4" w:space="0" w:color="auto"/>
              <w:bottom w:val="nil"/>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331,74</w:t>
            </w:r>
          </w:p>
        </w:tc>
        <w:tc>
          <w:tcPr>
            <w:tcW w:w="1000" w:type="dxa"/>
            <w:tcBorders>
              <w:top w:val="nil"/>
              <w:left w:val="single" w:sz="4" w:space="0" w:color="auto"/>
              <w:bottom w:val="nil"/>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220" w:type="dxa"/>
            <w:tcBorders>
              <w:top w:val="nil"/>
              <w:left w:val="single" w:sz="4" w:space="0" w:color="auto"/>
              <w:bottom w:val="nil"/>
              <w:right w:val="single" w:sz="8"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r>
      <w:tr w:rsidR="00F76FEF" w:rsidRPr="007B0B45" w:rsidTr="00F76FEF">
        <w:trPr>
          <w:trHeight w:val="300"/>
        </w:trPr>
        <w:tc>
          <w:tcPr>
            <w:tcW w:w="4835" w:type="dxa"/>
            <w:tcBorders>
              <w:top w:val="nil"/>
              <w:left w:val="single" w:sz="8"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7B0B45" w:rsidRPr="00F76FEF" w:rsidRDefault="007B0B45" w:rsidP="007B0B45">
            <w:pPr>
              <w:rPr>
                <w:sz w:val="20"/>
                <w:szCs w:val="20"/>
              </w:rPr>
            </w:pPr>
            <w:r w:rsidRPr="00F76FEF">
              <w:rPr>
                <w:sz w:val="20"/>
                <w:szCs w:val="20"/>
              </w:rPr>
              <w:t>Sižetu gatavošanas izmaksas</w:t>
            </w:r>
          </w:p>
        </w:tc>
        <w:tc>
          <w:tcPr>
            <w:tcW w:w="1843" w:type="dxa"/>
            <w:tcBorders>
              <w:top w:val="nil"/>
              <w:left w:val="single" w:sz="4" w:space="0" w:color="auto"/>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sižets</w:t>
            </w:r>
          </w:p>
        </w:tc>
        <w:tc>
          <w:tcPr>
            <w:tcW w:w="1559" w:type="dxa"/>
            <w:tcBorders>
              <w:top w:val="single" w:sz="4" w:space="0" w:color="auto"/>
              <w:left w:val="single" w:sz="4" w:space="0" w:color="auto"/>
              <w:bottom w:val="single" w:sz="4" w:space="0" w:color="auto"/>
              <w:right w:val="nil"/>
            </w:tcBorders>
            <w:shd w:val="clear" w:color="auto" w:fill="auto"/>
            <w:noWrap/>
            <w:vAlign w:val="bottom"/>
            <w:hideMark/>
          </w:tcPr>
          <w:p w:rsidR="007B0B45" w:rsidRPr="00F76FEF" w:rsidRDefault="007B0B45" w:rsidP="007B0B45">
            <w:pPr>
              <w:rPr>
                <w:sz w:val="20"/>
                <w:szCs w:val="20"/>
              </w:rPr>
            </w:pPr>
            <w:r w:rsidRPr="00F76FEF">
              <w:rPr>
                <w:sz w:val="20"/>
                <w:szCs w:val="20"/>
              </w:rPr>
              <w:t>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7B0B45" w:rsidRPr="00F76FEF" w:rsidRDefault="007B0B45" w:rsidP="007B0B45">
            <w:pPr>
              <w:rPr>
                <w:sz w:val="20"/>
                <w:szCs w:val="20"/>
              </w:rPr>
            </w:pPr>
            <w:r w:rsidRPr="00F76FEF">
              <w:rPr>
                <w:sz w:val="20"/>
                <w:szCs w:val="20"/>
              </w:rPr>
              <w:t>130,00</w:t>
            </w:r>
          </w:p>
        </w:tc>
        <w:tc>
          <w:tcPr>
            <w:tcW w:w="1040" w:type="dxa"/>
            <w:tcBorders>
              <w:top w:val="single" w:sz="4" w:space="0" w:color="auto"/>
              <w:left w:val="single" w:sz="4" w:space="0" w:color="auto"/>
              <w:bottom w:val="single" w:sz="4" w:space="0" w:color="auto"/>
              <w:right w:val="nil"/>
            </w:tcBorders>
            <w:shd w:val="clear" w:color="auto" w:fill="auto"/>
            <w:noWrap/>
            <w:vAlign w:val="bottom"/>
            <w:hideMark/>
          </w:tcPr>
          <w:p w:rsidR="007B0B45" w:rsidRPr="00F76FEF" w:rsidRDefault="007B0B45" w:rsidP="007B0B45">
            <w:pPr>
              <w:rPr>
                <w:sz w:val="20"/>
                <w:szCs w:val="20"/>
              </w:rPr>
            </w:pPr>
            <w:r w:rsidRPr="00F76FEF">
              <w:rPr>
                <w:sz w:val="20"/>
                <w:szCs w:val="20"/>
              </w:rPr>
              <w:t>650</w:t>
            </w:r>
          </w:p>
        </w:tc>
        <w:tc>
          <w:tcPr>
            <w:tcW w:w="1000" w:type="dxa"/>
            <w:tcBorders>
              <w:top w:val="single" w:sz="4" w:space="0" w:color="auto"/>
              <w:left w:val="single" w:sz="4" w:space="0" w:color="auto"/>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156,59</w:t>
            </w:r>
          </w:p>
        </w:tc>
        <w:tc>
          <w:tcPr>
            <w:tcW w:w="12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806,59</w:t>
            </w:r>
          </w:p>
        </w:tc>
      </w:tr>
      <w:tr w:rsidR="00F76FEF" w:rsidRPr="007B0B45" w:rsidTr="00F76FEF">
        <w:trPr>
          <w:trHeight w:val="300"/>
        </w:trPr>
        <w:tc>
          <w:tcPr>
            <w:tcW w:w="4835" w:type="dxa"/>
            <w:tcBorders>
              <w:top w:val="nil"/>
              <w:left w:val="single" w:sz="8"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Producents</w:t>
            </w:r>
          </w:p>
        </w:tc>
        <w:tc>
          <w:tcPr>
            <w:tcW w:w="1843"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70,00</w:t>
            </w:r>
          </w:p>
        </w:tc>
        <w:tc>
          <w:tcPr>
            <w:tcW w:w="1040" w:type="dxa"/>
            <w:tcBorders>
              <w:top w:val="nil"/>
              <w:left w:val="nil"/>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000" w:type="dxa"/>
            <w:tcBorders>
              <w:top w:val="nil"/>
              <w:left w:val="single" w:sz="4" w:space="0" w:color="auto"/>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r>
      <w:tr w:rsidR="00F76FEF" w:rsidRPr="007B0B45" w:rsidTr="00F76FEF">
        <w:trPr>
          <w:trHeight w:val="315"/>
        </w:trPr>
        <w:tc>
          <w:tcPr>
            <w:tcW w:w="4835" w:type="dxa"/>
            <w:tcBorders>
              <w:top w:val="nil"/>
              <w:left w:val="single" w:sz="8" w:space="0" w:color="auto"/>
              <w:bottom w:val="single" w:sz="4" w:space="0" w:color="auto"/>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Korespondents</w:t>
            </w:r>
          </w:p>
        </w:tc>
        <w:tc>
          <w:tcPr>
            <w:tcW w:w="1843" w:type="dxa"/>
            <w:tcBorders>
              <w:top w:val="nil"/>
              <w:left w:val="nil"/>
              <w:bottom w:val="single" w:sz="4" w:space="0" w:color="auto"/>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60,00</w:t>
            </w:r>
          </w:p>
        </w:tc>
        <w:tc>
          <w:tcPr>
            <w:tcW w:w="1040" w:type="dxa"/>
            <w:tcBorders>
              <w:top w:val="nil"/>
              <w:left w:val="nil"/>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000" w:type="dxa"/>
            <w:tcBorders>
              <w:top w:val="nil"/>
              <w:left w:val="single" w:sz="4" w:space="0" w:color="auto"/>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r>
      <w:tr w:rsidR="00F76FEF" w:rsidRPr="007B0B45" w:rsidTr="008B1769">
        <w:trPr>
          <w:trHeight w:val="315"/>
        </w:trPr>
        <w:tc>
          <w:tcPr>
            <w:tcW w:w="4835" w:type="dxa"/>
            <w:tcBorders>
              <w:top w:val="single" w:sz="4" w:space="0" w:color="auto"/>
              <w:left w:val="single" w:sz="8" w:space="0" w:color="auto"/>
              <w:bottom w:val="single" w:sz="8" w:space="0" w:color="auto"/>
              <w:right w:val="nil"/>
            </w:tcBorders>
            <w:shd w:val="clear" w:color="auto" w:fill="auto"/>
            <w:noWrap/>
            <w:vAlign w:val="bottom"/>
            <w:hideMark/>
          </w:tcPr>
          <w:p w:rsidR="007B0B45" w:rsidRPr="00F76FEF" w:rsidRDefault="007B0B45" w:rsidP="007B0B45">
            <w:pPr>
              <w:rPr>
                <w:b/>
                <w:bCs/>
                <w:sz w:val="20"/>
                <w:szCs w:val="20"/>
              </w:rPr>
            </w:pPr>
            <w:r w:rsidRPr="00F76FEF">
              <w:rPr>
                <w:b/>
                <w:bCs/>
                <w:sz w:val="20"/>
                <w:szCs w:val="20"/>
              </w:rPr>
              <w:t>LR2</w:t>
            </w:r>
          </w:p>
        </w:tc>
        <w:tc>
          <w:tcPr>
            <w:tcW w:w="198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843" w:type="dxa"/>
            <w:tcBorders>
              <w:top w:val="single" w:sz="4" w:space="0" w:color="auto"/>
              <w:left w:val="nil"/>
              <w:bottom w:val="single" w:sz="8" w:space="0" w:color="auto"/>
              <w:right w:val="single" w:sz="8"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559" w:type="dxa"/>
            <w:tcBorders>
              <w:top w:val="single" w:sz="4"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040" w:type="dxa"/>
            <w:tcBorders>
              <w:top w:val="single" w:sz="4" w:space="0" w:color="auto"/>
              <w:left w:val="nil"/>
              <w:bottom w:val="single" w:sz="8" w:space="0" w:color="auto"/>
              <w:right w:val="nil"/>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000" w:type="dxa"/>
            <w:tcBorders>
              <w:top w:val="single" w:sz="4" w:space="0" w:color="auto"/>
              <w:left w:val="single" w:sz="4" w:space="0" w:color="auto"/>
              <w:bottom w:val="single" w:sz="8" w:space="0" w:color="auto"/>
              <w:right w:val="nil"/>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22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2 000,00</w:t>
            </w:r>
          </w:p>
        </w:tc>
      </w:tr>
      <w:tr w:rsidR="00F76FEF" w:rsidRPr="007B0B45" w:rsidTr="008B1769">
        <w:trPr>
          <w:trHeight w:val="1215"/>
        </w:trPr>
        <w:tc>
          <w:tcPr>
            <w:tcW w:w="4835" w:type="dxa"/>
            <w:tcBorders>
              <w:top w:val="single" w:sz="8" w:space="0" w:color="auto"/>
              <w:left w:val="single" w:sz="8" w:space="0" w:color="auto"/>
              <w:bottom w:val="single" w:sz="8" w:space="0" w:color="auto"/>
              <w:right w:val="nil"/>
            </w:tcBorders>
            <w:shd w:val="clear" w:color="auto" w:fill="auto"/>
            <w:vAlign w:val="bottom"/>
            <w:hideMark/>
          </w:tcPr>
          <w:p w:rsidR="007B0B45" w:rsidRPr="00F76FEF" w:rsidRDefault="007B0B45" w:rsidP="007B0B45">
            <w:pPr>
              <w:rPr>
                <w:sz w:val="20"/>
                <w:szCs w:val="20"/>
              </w:rPr>
            </w:pPr>
            <w:r w:rsidRPr="00F76FEF">
              <w:rPr>
                <w:sz w:val="20"/>
                <w:szCs w:val="20"/>
              </w:rPr>
              <w:lastRenderedPageBreak/>
              <w:t xml:space="preserve">Katru darba dienu veidot īsus ziņu izlaidumus, iekļaujot informāciju par aktualitātēm saistībā ar Latvijas </w:t>
            </w:r>
            <w:proofErr w:type="spellStart"/>
            <w:r w:rsidRPr="00F76FEF">
              <w:rPr>
                <w:sz w:val="20"/>
                <w:szCs w:val="20"/>
              </w:rPr>
              <w:t>iespējāmo</w:t>
            </w:r>
            <w:proofErr w:type="spellEnd"/>
            <w:r w:rsidRPr="00F76FEF">
              <w:rPr>
                <w:sz w:val="20"/>
                <w:szCs w:val="20"/>
              </w:rPr>
              <w:t xml:space="preserve"> pievienošanos eiro zonai, kā arī notikumiem pašreizējās eiro zonas valstīs. Ziņu izlaidumos tiktu izmantoti arī Ziņu dienesta komandējumu materiāli.</w:t>
            </w:r>
          </w:p>
        </w:tc>
        <w:tc>
          <w:tcPr>
            <w:tcW w:w="198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 xml:space="preserve"> Speciāli gatavots raidījumu cikls „</w:t>
            </w:r>
            <w:proofErr w:type="spellStart"/>
            <w:r w:rsidRPr="00F76FEF">
              <w:rPr>
                <w:sz w:val="20"/>
                <w:szCs w:val="20"/>
              </w:rPr>
              <w:t>Eiroziņas</w:t>
            </w:r>
            <w:proofErr w:type="spellEnd"/>
            <w:r w:rsidRPr="00F76FEF">
              <w:rPr>
                <w:sz w:val="20"/>
                <w:szCs w:val="20"/>
              </w:rPr>
              <w:t xml:space="preserve">". </w:t>
            </w:r>
          </w:p>
        </w:tc>
        <w:tc>
          <w:tcPr>
            <w:tcW w:w="184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raidījums</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40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50</w:t>
            </w:r>
          </w:p>
        </w:tc>
        <w:tc>
          <w:tcPr>
            <w:tcW w:w="1040" w:type="dxa"/>
            <w:tcBorders>
              <w:top w:val="single" w:sz="8" w:space="0" w:color="auto"/>
              <w:left w:val="nil"/>
              <w:bottom w:val="single" w:sz="8"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2 000,00</w:t>
            </w:r>
          </w:p>
        </w:tc>
        <w:tc>
          <w:tcPr>
            <w:tcW w:w="1000" w:type="dxa"/>
            <w:tcBorders>
              <w:top w:val="single" w:sz="8" w:space="0" w:color="auto"/>
              <w:left w:val="single" w:sz="4" w:space="0" w:color="auto"/>
              <w:bottom w:val="single" w:sz="8"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22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2 000,00</w:t>
            </w:r>
          </w:p>
        </w:tc>
      </w:tr>
      <w:tr w:rsidR="00F76FEF" w:rsidRPr="007B0B45" w:rsidTr="00F76FEF">
        <w:trPr>
          <w:trHeight w:val="315"/>
        </w:trPr>
        <w:tc>
          <w:tcPr>
            <w:tcW w:w="4835" w:type="dxa"/>
            <w:tcBorders>
              <w:top w:val="single" w:sz="8" w:space="0" w:color="auto"/>
              <w:left w:val="single" w:sz="8" w:space="0" w:color="auto"/>
              <w:bottom w:val="single" w:sz="8" w:space="0" w:color="auto"/>
              <w:right w:val="nil"/>
            </w:tcBorders>
            <w:shd w:val="clear" w:color="auto" w:fill="auto"/>
            <w:noWrap/>
            <w:vAlign w:val="bottom"/>
            <w:hideMark/>
          </w:tcPr>
          <w:p w:rsidR="007B0B45" w:rsidRPr="00F76FEF" w:rsidRDefault="007B0B45" w:rsidP="007B0B45">
            <w:pPr>
              <w:rPr>
                <w:b/>
                <w:bCs/>
                <w:sz w:val="20"/>
                <w:szCs w:val="20"/>
              </w:rPr>
            </w:pPr>
            <w:r w:rsidRPr="00F76FEF">
              <w:rPr>
                <w:b/>
                <w:bCs/>
                <w:sz w:val="20"/>
                <w:szCs w:val="20"/>
              </w:rPr>
              <w:t>LR4</w:t>
            </w:r>
          </w:p>
        </w:tc>
        <w:tc>
          <w:tcPr>
            <w:tcW w:w="198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000" w:type="dxa"/>
            <w:tcBorders>
              <w:top w:val="single" w:sz="8" w:space="0" w:color="auto"/>
              <w:left w:val="nil"/>
              <w:bottom w:val="single" w:sz="8" w:space="0" w:color="auto"/>
              <w:right w:val="nil"/>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22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2 172,90</w:t>
            </w:r>
          </w:p>
        </w:tc>
      </w:tr>
      <w:tr w:rsidR="00F76FEF" w:rsidRPr="007B0B45" w:rsidTr="00F76FEF">
        <w:trPr>
          <w:trHeight w:val="885"/>
        </w:trPr>
        <w:tc>
          <w:tcPr>
            <w:tcW w:w="4835" w:type="dxa"/>
            <w:tcBorders>
              <w:top w:val="nil"/>
              <w:left w:val="single" w:sz="8"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Kā iespējamai eiro ieviešanai gatavojas Latvijas uzņēmēji un iedzīvotāji?</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7B0B45" w:rsidRPr="00F76FEF" w:rsidRDefault="007B0B45" w:rsidP="007B0B45">
            <w:pPr>
              <w:rPr>
                <w:sz w:val="20"/>
                <w:szCs w:val="20"/>
              </w:rPr>
            </w:pPr>
            <w:r w:rsidRPr="00F76FEF">
              <w:rPr>
                <w:sz w:val="20"/>
                <w:szCs w:val="20"/>
              </w:rPr>
              <w:t>Sižeti analītisko raidījumu ietvaros ("Doma laukums", „Diena pēc dienas”, „Aleksandra studija” vai „Atklātais jautājums”)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sižets</w:t>
            </w:r>
          </w:p>
        </w:tc>
        <w:tc>
          <w:tcPr>
            <w:tcW w:w="1559" w:type="dxa"/>
            <w:tcBorders>
              <w:top w:val="nil"/>
              <w:left w:val="nil"/>
              <w:bottom w:val="single" w:sz="4" w:space="0" w:color="auto"/>
              <w:right w:val="nil"/>
            </w:tcBorders>
            <w:shd w:val="clear" w:color="auto" w:fill="auto"/>
            <w:noWrap/>
            <w:vAlign w:val="bottom"/>
            <w:hideMark/>
          </w:tcPr>
          <w:p w:rsidR="007B0B45" w:rsidRPr="00F76FEF" w:rsidRDefault="007B0B45" w:rsidP="007B0B45">
            <w:pPr>
              <w:rPr>
                <w:sz w:val="20"/>
                <w:szCs w:val="20"/>
              </w:rPr>
            </w:pPr>
            <w:r w:rsidRPr="00F76FEF">
              <w:rPr>
                <w:sz w:val="20"/>
                <w:szCs w:val="20"/>
              </w:rPr>
              <w:t>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130,00</w:t>
            </w:r>
          </w:p>
        </w:tc>
        <w:tc>
          <w:tcPr>
            <w:tcW w:w="1040" w:type="dxa"/>
            <w:tcBorders>
              <w:top w:val="nil"/>
              <w:left w:val="nil"/>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780,00</w:t>
            </w:r>
          </w:p>
        </w:tc>
        <w:tc>
          <w:tcPr>
            <w:tcW w:w="1000" w:type="dxa"/>
            <w:tcBorders>
              <w:top w:val="nil"/>
              <w:left w:val="single" w:sz="4" w:space="0" w:color="auto"/>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187,90</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967,90</w:t>
            </w:r>
          </w:p>
        </w:tc>
      </w:tr>
      <w:tr w:rsidR="00F76FEF" w:rsidRPr="007B0B45" w:rsidTr="00F76FEF">
        <w:trPr>
          <w:trHeight w:val="270"/>
        </w:trPr>
        <w:tc>
          <w:tcPr>
            <w:tcW w:w="4835" w:type="dxa"/>
            <w:tcBorders>
              <w:top w:val="nil"/>
              <w:left w:val="single" w:sz="8"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Producents</w:t>
            </w:r>
          </w:p>
        </w:tc>
        <w:tc>
          <w:tcPr>
            <w:tcW w:w="1843"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70,00</w:t>
            </w:r>
          </w:p>
        </w:tc>
        <w:tc>
          <w:tcPr>
            <w:tcW w:w="1040" w:type="dxa"/>
            <w:tcBorders>
              <w:top w:val="nil"/>
              <w:left w:val="nil"/>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000" w:type="dxa"/>
            <w:tcBorders>
              <w:top w:val="nil"/>
              <w:left w:val="single" w:sz="4" w:space="0" w:color="auto"/>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r>
      <w:tr w:rsidR="00F76FEF" w:rsidRPr="007B0B45" w:rsidTr="00F76FEF">
        <w:trPr>
          <w:trHeight w:val="270"/>
        </w:trPr>
        <w:tc>
          <w:tcPr>
            <w:tcW w:w="4835" w:type="dxa"/>
            <w:tcBorders>
              <w:top w:val="nil"/>
              <w:left w:val="single" w:sz="8"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Korespondents</w:t>
            </w:r>
          </w:p>
        </w:tc>
        <w:tc>
          <w:tcPr>
            <w:tcW w:w="1843"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60,00</w:t>
            </w:r>
          </w:p>
        </w:tc>
        <w:tc>
          <w:tcPr>
            <w:tcW w:w="1040" w:type="dxa"/>
            <w:tcBorders>
              <w:top w:val="nil"/>
              <w:left w:val="nil"/>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000" w:type="dxa"/>
            <w:tcBorders>
              <w:top w:val="nil"/>
              <w:left w:val="single" w:sz="4" w:space="0" w:color="auto"/>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r>
      <w:tr w:rsidR="00F76FEF" w:rsidRPr="007B0B45" w:rsidTr="00F76FEF">
        <w:trPr>
          <w:trHeight w:val="345"/>
        </w:trPr>
        <w:tc>
          <w:tcPr>
            <w:tcW w:w="4835" w:type="dxa"/>
            <w:tcBorders>
              <w:top w:val="nil"/>
              <w:left w:val="single" w:sz="8"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984" w:type="dxa"/>
            <w:tcBorders>
              <w:top w:val="nil"/>
              <w:left w:val="single" w:sz="4" w:space="0" w:color="auto"/>
              <w:bottom w:val="nil"/>
              <w:right w:val="single" w:sz="4" w:space="0" w:color="auto"/>
            </w:tcBorders>
            <w:shd w:val="clear" w:color="auto" w:fill="auto"/>
            <w:vAlign w:val="bottom"/>
            <w:hideMark/>
          </w:tcPr>
          <w:p w:rsidR="007B0B45" w:rsidRPr="00F76FEF" w:rsidRDefault="007B0B45" w:rsidP="007B0B45">
            <w:pPr>
              <w:rPr>
                <w:sz w:val="20"/>
                <w:szCs w:val="20"/>
              </w:rPr>
            </w:pPr>
            <w:r w:rsidRPr="00F76FEF">
              <w:rPr>
                <w:sz w:val="20"/>
                <w:szCs w:val="20"/>
              </w:rPr>
              <w:t>Komandējumu izmaksas</w:t>
            </w:r>
          </w:p>
        </w:tc>
        <w:tc>
          <w:tcPr>
            <w:tcW w:w="1843" w:type="dxa"/>
            <w:tcBorders>
              <w:top w:val="nil"/>
              <w:left w:val="single" w:sz="4" w:space="0" w:color="auto"/>
              <w:bottom w:val="nil"/>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559" w:type="dxa"/>
            <w:tcBorders>
              <w:top w:val="nil"/>
              <w:left w:val="nil"/>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1</w:t>
            </w:r>
          </w:p>
        </w:tc>
        <w:tc>
          <w:tcPr>
            <w:tcW w:w="1276" w:type="dxa"/>
            <w:tcBorders>
              <w:top w:val="nil"/>
              <w:left w:val="single" w:sz="4" w:space="0" w:color="auto"/>
              <w:bottom w:val="nil"/>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1205,00</w:t>
            </w:r>
          </w:p>
        </w:tc>
        <w:tc>
          <w:tcPr>
            <w:tcW w:w="1040" w:type="dxa"/>
            <w:tcBorders>
              <w:top w:val="nil"/>
              <w:left w:val="nil"/>
              <w:bottom w:val="nil"/>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1 205,00</w:t>
            </w:r>
          </w:p>
        </w:tc>
        <w:tc>
          <w:tcPr>
            <w:tcW w:w="1000" w:type="dxa"/>
            <w:tcBorders>
              <w:top w:val="nil"/>
              <w:left w:val="single" w:sz="4" w:space="0" w:color="auto"/>
              <w:bottom w:val="nil"/>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220" w:type="dxa"/>
            <w:tcBorders>
              <w:top w:val="nil"/>
              <w:left w:val="single" w:sz="4" w:space="0" w:color="auto"/>
              <w:bottom w:val="nil"/>
              <w:right w:val="single" w:sz="8"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1 205,00</w:t>
            </w:r>
          </w:p>
        </w:tc>
      </w:tr>
      <w:tr w:rsidR="00F76FEF" w:rsidRPr="007B0B45" w:rsidTr="00F76FEF">
        <w:trPr>
          <w:trHeight w:val="375"/>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B0B45" w:rsidRPr="00F76FEF" w:rsidRDefault="007B0B45" w:rsidP="007B0B45">
            <w:pPr>
              <w:rPr>
                <w:sz w:val="20"/>
                <w:szCs w:val="20"/>
              </w:rPr>
            </w:pPr>
            <w:r w:rsidRPr="00F76FEF">
              <w:rPr>
                <w:sz w:val="20"/>
                <w:szCs w:val="20"/>
              </w:rPr>
              <w:t>1. Reportāžas no Slovēnijas (</w:t>
            </w:r>
            <w:proofErr w:type="spellStart"/>
            <w:r w:rsidRPr="00F76FEF">
              <w:rPr>
                <w:sz w:val="20"/>
                <w:szCs w:val="20"/>
              </w:rPr>
              <w:t>sk</w:t>
            </w:r>
            <w:proofErr w:type="spellEnd"/>
            <w:r w:rsidRPr="00F76FEF">
              <w:rPr>
                <w:sz w:val="20"/>
                <w:szCs w:val="20"/>
              </w:rPr>
              <w:t>. līdzīgi kā Ziņu dienestā LR1).</w:t>
            </w:r>
          </w:p>
        </w:tc>
        <w:tc>
          <w:tcPr>
            <w:tcW w:w="1984" w:type="dxa"/>
            <w:tcBorders>
              <w:top w:val="single" w:sz="4" w:space="0" w:color="auto"/>
              <w:left w:val="nil"/>
              <w:bottom w:val="nil"/>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Komandējumu izmaksas Slovākija</w:t>
            </w:r>
          </w:p>
        </w:tc>
        <w:tc>
          <w:tcPr>
            <w:tcW w:w="1843" w:type="dxa"/>
            <w:tcBorders>
              <w:top w:val="single" w:sz="4" w:space="0" w:color="auto"/>
              <w:left w:val="nil"/>
              <w:bottom w:val="nil"/>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559" w:type="dxa"/>
            <w:tcBorders>
              <w:top w:val="single" w:sz="4" w:space="0" w:color="auto"/>
              <w:left w:val="nil"/>
              <w:bottom w:val="nil"/>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276" w:type="dxa"/>
            <w:tcBorders>
              <w:top w:val="single" w:sz="4" w:space="0" w:color="auto"/>
              <w:left w:val="nil"/>
              <w:bottom w:val="nil"/>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800,00</w:t>
            </w:r>
          </w:p>
        </w:tc>
        <w:tc>
          <w:tcPr>
            <w:tcW w:w="1040" w:type="dxa"/>
            <w:tcBorders>
              <w:top w:val="single" w:sz="4" w:space="0" w:color="auto"/>
              <w:left w:val="nil"/>
              <w:bottom w:val="nil"/>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000" w:type="dxa"/>
            <w:tcBorders>
              <w:top w:val="single" w:sz="4" w:space="0" w:color="auto"/>
              <w:left w:val="single" w:sz="4" w:space="0" w:color="auto"/>
              <w:bottom w:val="nil"/>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220" w:type="dxa"/>
            <w:tcBorders>
              <w:top w:val="single" w:sz="4" w:space="0" w:color="auto"/>
              <w:left w:val="single" w:sz="4" w:space="0" w:color="auto"/>
              <w:bottom w:val="nil"/>
              <w:right w:val="single" w:sz="8"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r>
      <w:tr w:rsidR="00F76FEF" w:rsidRPr="007B0B45" w:rsidTr="00F76FEF">
        <w:trPr>
          <w:trHeight w:val="345"/>
        </w:trPr>
        <w:tc>
          <w:tcPr>
            <w:tcW w:w="4835" w:type="dxa"/>
            <w:tcBorders>
              <w:top w:val="nil"/>
              <w:left w:val="single" w:sz="8" w:space="0" w:color="auto"/>
              <w:bottom w:val="single" w:sz="4" w:space="0" w:color="auto"/>
              <w:right w:val="nil"/>
            </w:tcBorders>
            <w:shd w:val="clear" w:color="auto" w:fill="auto"/>
            <w:noWrap/>
            <w:vAlign w:val="bottom"/>
            <w:hideMark/>
          </w:tcPr>
          <w:p w:rsidR="007B0B45" w:rsidRPr="00F76FEF" w:rsidRDefault="007B0B45" w:rsidP="007B0B45">
            <w:pPr>
              <w:rPr>
                <w:sz w:val="20"/>
                <w:szCs w:val="20"/>
              </w:rPr>
            </w:pPr>
            <w:r w:rsidRPr="00F76FEF">
              <w:rPr>
                <w:sz w:val="20"/>
                <w:szCs w:val="20"/>
              </w:rPr>
              <w:t>2. Reportāžas no Igaunijas (</w:t>
            </w:r>
            <w:proofErr w:type="spellStart"/>
            <w:r w:rsidRPr="00F76FEF">
              <w:rPr>
                <w:sz w:val="20"/>
                <w:szCs w:val="20"/>
              </w:rPr>
              <w:t>sk</w:t>
            </w:r>
            <w:proofErr w:type="spellEnd"/>
            <w:r w:rsidRPr="00F76FEF">
              <w:rPr>
                <w:sz w:val="20"/>
                <w:szCs w:val="20"/>
              </w:rPr>
              <w:t>. līdzīgi kā Ziņu dienestā LR1).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Komandējumu izmaksas Igaunija</w:t>
            </w:r>
          </w:p>
        </w:tc>
        <w:tc>
          <w:tcPr>
            <w:tcW w:w="1843"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405,00</w:t>
            </w:r>
          </w:p>
        </w:tc>
        <w:tc>
          <w:tcPr>
            <w:tcW w:w="1040" w:type="dxa"/>
            <w:tcBorders>
              <w:top w:val="nil"/>
              <w:left w:val="nil"/>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000" w:type="dxa"/>
            <w:tcBorders>
              <w:top w:val="nil"/>
              <w:left w:val="single" w:sz="4" w:space="0" w:color="auto"/>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r>
      <w:tr w:rsidR="00F76FEF" w:rsidRPr="007B0B45" w:rsidTr="00F76FEF">
        <w:trPr>
          <w:trHeight w:val="315"/>
        </w:trPr>
        <w:tc>
          <w:tcPr>
            <w:tcW w:w="48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B0B45" w:rsidRPr="00F76FEF" w:rsidRDefault="007B0B45" w:rsidP="007B0B45">
            <w:pPr>
              <w:rPr>
                <w:b/>
                <w:bCs/>
                <w:sz w:val="20"/>
                <w:szCs w:val="20"/>
              </w:rPr>
            </w:pPr>
            <w:r w:rsidRPr="00F76FEF">
              <w:rPr>
                <w:b/>
                <w:bCs/>
                <w:sz w:val="20"/>
                <w:szCs w:val="20"/>
              </w:rPr>
              <w:t>Citas izmaksas (pašreklāma, Internets)</w:t>
            </w:r>
          </w:p>
        </w:tc>
        <w:tc>
          <w:tcPr>
            <w:tcW w:w="1984"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843"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040" w:type="dxa"/>
            <w:tcBorders>
              <w:top w:val="single" w:sz="8" w:space="0" w:color="auto"/>
              <w:left w:val="nil"/>
              <w:bottom w:val="single" w:sz="8" w:space="0" w:color="auto"/>
              <w:right w:val="nil"/>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000" w:type="dxa"/>
            <w:tcBorders>
              <w:top w:val="single" w:sz="8" w:space="0" w:color="auto"/>
              <w:left w:val="single" w:sz="4" w:space="0" w:color="auto"/>
              <w:bottom w:val="single" w:sz="8" w:space="0" w:color="auto"/>
              <w:right w:val="nil"/>
            </w:tcBorders>
            <w:shd w:val="clear" w:color="auto" w:fill="auto"/>
            <w:noWrap/>
            <w:vAlign w:val="bottom"/>
            <w:hideMark/>
          </w:tcPr>
          <w:p w:rsidR="007B0B45" w:rsidRPr="00F76FEF" w:rsidRDefault="007B0B45" w:rsidP="007B0B45">
            <w:pPr>
              <w:rPr>
                <w:b/>
                <w:sz w:val="20"/>
                <w:szCs w:val="20"/>
              </w:rPr>
            </w:pPr>
            <w:r w:rsidRPr="00F76FEF">
              <w:rPr>
                <w:b/>
                <w:sz w:val="20"/>
                <w:szCs w:val="20"/>
              </w:rPr>
              <w:t> </w:t>
            </w:r>
          </w:p>
        </w:tc>
        <w:tc>
          <w:tcPr>
            <w:tcW w:w="122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2 996,77</w:t>
            </w:r>
          </w:p>
        </w:tc>
      </w:tr>
      <w:tr w:rsidR="00F76FEF" w:rsidRPr="007B0B45" w:rsidTr="00F76FEF">
        <w:trPr>
          <w:trHeight w:val="300"/>
        </w:trPr>
        <w:tc>
          <w:tcPr>
            <w:tcW w:w="4835" w:type="dxa"/>
            <w:tcBorders>
              <w:top w:val="nil"/>
              <w:left w:val="single" w:sz="8"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Pašreklāmas džingli programmās ZD, LR2, LR4</w:t>
            </w:r>
          </w:p>
        </w:tc>
        <w:tc>
          <w:tcPr>
            <w:tcW w:w="1984" w:type="dxa"/>
            <w:tcBorders>
              <w:top w:val="nil"/>
              <w:left w:val="single" w:sz="4"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Skaņas džinglu sagatavošana</w:t>
            </w:r>
          </w:p>
        </w:tc>
        <w:tc>
          <w:tcPr>
            <w:tcW w:w="1843" w:type="dxa"/>
            <w:tcBorders>
              <w:top w:val="nil"/>
              <w:left w:val="single" w:sz="4" w:space="0" w:color="auto"/>
              <w:bottom w:val="nil"/>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džingls</w:t>
            </w:r>
          </w:p>
        </w:tc>
        <w:tc>
          <w:tcPr>
            <w:tcW w:w="1559" w:type="dxa"/>
            <w:tcBorders>
              <w:top w:val="nil"/>
              <w:left w:val="single" w:sz="4"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3</w:t>
            </w:r>
          </w:p>
        </w:tc>
        <w:tc>
          <w:tcPr>
            <w:tcW w:w="1276" w:type="dxa"/>
            <w:tcBorders>
              <w:top w:val="nil"/>
              <w:left w:val="single" w:sz="4"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120</w:t>
            </w:r>
          </w:p>
        </w:tc>
        <w:tc>
          <w:tcPr>
            <w:tcW w:w="1040" w:type="dxa"/>
            <w:tcBorders>
              <w:top w:val="nil"/>
              <w:left w:val="single" w:sz="4" w:space="0" w:color="auto"/>
              <w:bottom w:val="nil"/>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360</w:t>
            </w:r>
          </w:p>
        </w:tc>
        <w:tc>
          <w:tcPr>
            <w:tcW w:w="1000" w:type="dxa"/>
            <w:tcBorders>
              <w:top w:val="nil"/>
              <w:left w:val="nil"/>
              <w:bottom w:val="nil"/>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86,72</w:t>
            </w:r>
          </w:p>
        </w:tc>
        <w:tc>
          <w:tcPr>
            <w:tcW w:w="1220" w:type="dxa"/>
            <w:tcBorders>
              <w:top w:val="nil"/>
              <w:left w:val="nil"/>
              <w:bottom w:val="nil"/>
              <w:right w:val="single" w:sz="8"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446,72</w:t>
            </w:r>
          </w:p>
        </w:tc>
      </w:tr>
      <w:tr w:rsidR="00F76FEF" w:rsidRPr="007B0B45" w:rsidTr="00F76FEF">
        <w:trPr>
          <w:trHeight w:val="300"/>
        </w:trPr>
        <w:tc>
          <w:tcPr>
            <w:tcW w:w="4835" w:type="dxa"/>
            <w:tcBorders>
              <w:top w:val="nil"/>
              <w:left w:val="single" w:sz="8"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 xml:space="preserve">Mājas lapas izveidošana (tematisko </w:t>
            </w:r>
            <w:proofErr w:type="spellStart"/>
            <w:r w:rsidRPr="00F76FEF">
              <w:rPr>
                <w:sz w:val="20"/>
                <w:szCs w:val="20"/>
              </w:rPr>
              <w:t>apakšlapu</w:t>
            </w:r>
            <w:proofErr w:type="spellEnd"/>
            <w:r w:rsidRPr="00F76FEF">
              <w:rPr>
                <w:sz w:val="20"/>
                <w:szCs w:val="20"/>
              </w:rPr>
              <w:t xml:space="preserve"> struktūras izveide, </w:t>
            </w:r>
            <w:proofErr w:type="spellStart"/>
            <w:r w:rsidRPr="00F76FEF">
              <w:rPr>
                <w:sz w:val="20"/>
                <w:szCs w:val="20"/>
              </w:rPr>
              <w:t>u.c</w:t>
            </w:r>
            <w:proofErr w:type="spellEnd"/>
            <w:r w:rsidRPr="00F76FEF">
              <w:rPr>
                <w:sz w:val="20"/>
                <w:szCs w:val="20"/>
              </w:rPr>
              <w:t>.)</w:t>
            </w:r>
          </w:p>
        </w:tc>
        <w:tc>
          <w:tcPr>
            <w:tcW w:w="1984" w:type="dxa"/>
            <w:tcBorders>
              <w:top w:val="nil"/>
              <w:left w:val="single" w:sz="4"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843" w:type="dxa"/>
            <w:tcBorders>
              <w:top w:val="nil"/>
              <w:left w:val="single" w:sz="4" w:space="0" w:color="auto"/>
              <w:bottom w:val="nil"/>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559" w:type="dxa"/>
            <w:tcBorders>
              <w:top w:val="nil"/>
              <w:left w:val="single" w:sz="4"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3</w:t>
            </w:r>
          </w:p>
        </w:tc>
        <w:tc>
          <w:tcPr>
            <w:tcW w:w="1276" w:type="dxa"/>
            <w:tcBorders>
              <w:top w:val="nil"/>
              <w:left w:val="single" w:sz="4"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450</w:t>
            </w:r>
          </w:p>
        </w:tc>
        <w:tc>
          <w:tcPr>
            <w:tcW w:w="1040" w:type="dxa"/>
            <w:tcBorders>
              <w:top w:val="nil"/>
              <w:left w:val="single" w:sz="4" w:space="0" w:color="auto"/>
              <w:bottom w:val="nil"/>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1350</w:t>
            </w:r>
          </w:p>
        </w:tc>
        <w:tc>
          <w:tcPr>
            <w:tcW w:w="1000" w:type="dxa"/>
            <w:tcBorders>
              <w:top w:val="nil"/>
              <w:left w:val="nil"/>
              <w:bottom w:val="nil"/>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325,22</w:t>
            </w:r>
          </w:p>
        </w:tc>
        <w:tc>
          <w:tcPr>
            <w:tcW w:w="1220" w:type="dxa"/>
            <w:tcBorders>
              <w:top w:val="nil"/>
              <w:left w:val="nil"/>
              <w:bottom w:val="nil"/>
              <w:right w:val="single" w:sz="8"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1 675,22</w:t>
            </w:r>
          </w:p>
        </w:tc>
      </w:tr>
      <w:tr w:rsidR="00F76FEF" w:rsidRPr="007B0B45" w:rsidTr="00F76FEF">
        <w:trPr>
          <w:trHeight w:val="315"/>
        </w:trPr>
        <w:tc>
          <w:tcPr>
            <w:tcW w:w="4835" w:type="dxa"/>
            <w:tcBorders>
              <w:top w:val="nil"/>
              <w:left w:val="single" w:sz="8"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Materiālu adaptācija un izvietošana Internetā (Interneta redaktori)</w:t>
            </w:r>
          </w:p>
        </w:tc>
        <w:tc>
          <w:tcPr>
            <w:tcW w:w="1984" w:type="dxa"/>
            <w:tcBorders>
              <w:top w:val="nil"/>
              <w:left w:val="single" w:sz="4"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843" w:type="dxa"/>
            <w:tcBorders>
              <w:top w:val="nil"/>
              <w:left w:val="single" w:sz="4"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559" w:type="dxa"/>
            <w:tcBorders>
              <w:top w:val="nil"/>
              <w:left w:val="single" w:sz="4"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3</w:t>
            </w:r>
          </w:p>
        </w:tc>
        <w:tc>
          <w:tcPr>
            <w:tcW w:w="1276" w:type="dxa"/>
            <w:tcBorders>
              <w:top w:val="nil"/>
              <w:left w:val="single" w:sz="4"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235</w:t>
            </w:r>
          </w:p>
        </w:tc>
        <w:tc>
          <w:tcPr>
            <w:tcW w:w="1040" w:type="dxa"/>
            <w:tcBorders>
              <w:top w:val="nil"/>
              <w:left w:val="single" w:sz="4" w:space="0" w:color="auto"/>
              <w:bottom w:val="nil"/>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705</w:t>
            </w:r>
          </w:p>
        </w:tc>
        <w:tc>
          <w:tcPr>
            <w:tcW w:w="1000" w:type="dxa"/>
            <w:tcBorders>
              <w:top w:val="nil"/>
              <w:left w:val="nil"/>
              <w:bottom w:val="nil"/>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169,83</w:t>
            </w:r>
          </w:p>
        </w:tc>
        <w:tc>
          <w:tcPr>
            <w:tcW w:w="1220" w:type="dxa"/>
            <w:tcBorders>
              <w:top w:val="nil"/>
              <w:left w:val="nil"/>
              <w:bottom w:val="nil"/>
              <w:right w:val="single" w:sz="8"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874,83</w:t>
            </w:r>
          </w:p>
        </w:tc>
      </w:tr>
      <w:tr w:rsidR="00F76FEF" w:rsidRPr="007B0B45" w:rsidTr="00F76FEF">
        <w:trPr>
          <w:trHeight w:val="405"/>
        </w:trPr>
        <w:tc>
          <w:tcPr>
            <w:tcW w:w="48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B0B45" w:rsidRPr="00F76FEF" w:rsidRDefault="007B0B45" w:rsidP="007B0B45">
            <w:pPr>
              <w:rPr>
                <w:b/>
                <w:bCs/>
                <w:sz w:val="20"/>
                <w:szCs w:val="20"/>
              </w:rPr>
            </w:pPr>
            <w:r w:rsidRPr="00F76FEF">
              <w:rPr>
                <w:b/>
                <w:bCs/>
                <w:sz w:val="20"/>
                <w:szCs w:val="20"/>
              </w:rPr>
              <w:t>Autortiesību maksājumi aģentūrām</w:t>
            </w:r>
          </w:p>
        </w:tc>
        <w:tc>
          <w:tcPr>
            <w:tcW w:w="1984"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Pamatlikme saskaņā ar noslēgtajiem līgumiem</w:t>
            </w:r>
          </w:p>
        </w:tc>
        <w:tc>
          <w:tcPr>
            <w:tcW w:w="1843"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559" w:type="dxa"/>
            <w:tcBorders>
              <w:top w:val="single" w:sz="8" w:space="0" w:color="auto"/>
              <w:left w:val="nil"/>
              <w:bottom w:val="single" w:sz="8" w:space="0" w:color="auto"/>
              <w:right w:val="single" w:sz="4" w:space="0" w:color="auto"/>
            </w:tcBorders>
            <w:shd w:val="clear" w:color="auto" w:fill="auto"/>
            <w:vAlign w:val="bottom"/>
            <w:hideMark/>
          </w:tcPr>
          <w:p w:rsidR="007B0B45" w:rsidRPr="00F76FEF" w:rsidRDefault="007B0B45" w:rsidP="007B0B45">
            <w:pPr>
              <w:rPr>
                <w:sz w:val="20"/>
                <w:szCs w:val="20"/>
              </w:rPr>
            </w:pPr>
            <w:r w:rsidRPr="00F76FEF">
              <w:rPr>
                <w:sz w:val="20"/>
                <w:szCs w:val="20"/>
              </w:rPr>
              <w:t>koriģētā likme</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040" w:type="dxa"/>
            <w:tcBorders>
              <w:top w:val="single" w:sz="8" w:space="0" w:color="auto"/>
              <w:left w:val="nil"/>
              <w:bottom w:val="single" w:sz="8" w:space="0" w:color="auto"/>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000" w:type="dxa"/>
            <w:tcBorders>
              <w:top w:val="single" w:sz="8" w:space="0" w:color="auto"/>
              <w:left w:val="single" w:sz="4" w:space="0" w:color="auto"/>
              <w:bottom w:val="single" w:sz="8" w:space="0" w:color="auto"/>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22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B0B45" w:rsidRPr="00F76FEF" w:rsidRDefault="007B0B45" w:rsidP="007B0B45">
            <w:pPr>
              <w:rPr>
                <w:b/>
                <w:sz w:val="20"/>
                <w:szCs w:val="20"/>
              </w:rPr>
            </w:pPr>
            <w:r w:rsidRPr="00F76FEF">
              <w:rPr>
                <w:b/>
                <w:sz w:val="20"/>
                <w:szCs w:val="20"/>
              </w:rPr>
              <w:t>487,00</w:t>
            </w:r>
          </w:p>
        </w:tc>
      </w:tr>
      <w:tr w:rsidR="00F76FEF" w:rsidRPr="007B0B45" w:rsidTr="00F76FEF">
        <w:trPr>
          <w:trHeight w:val="300"/>
        </w:trPr>
        <w:tc>
          <w:tcPr>
            <w:tcW w:w="4835" w:type="dxa"/>
            <w:tcBorders>
              <w:top w:val="nil"/>
              <w:left w:val="single" w:sz="8" w:space="0" w:color="auto"/>
              <w:bottom w:val="single" w:sz="4" w:space="0" w:color="auto"/>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AKKA/LAA</w:t>
            </w:r>
          </w:p>
        </w:tc>
        <w:tc>
          <w:tcPr>
            <w:tcW w:w="1984" w:type="dxa"/>
            <w:tcBorders>
              <w:top w:val="nil"/>
              <w:left w:val="single" w:sz="4" w:space="0" w:color="auto"/>
              <w:bottom w:val="single" w:sz="4" w:space="0" w:color="auto"/>
              <w:right w:val="nil"/>
            </w:tcBorders>
            <w:shd w:val="clear" w:color="auto" w:fill="auto"/>
            <w:noWrap/>
            <w:vAlign w:val="bottom"/>
            <w:hideMark/>
          </w:tcPr>
          <w:p w:rsidR="007B0B45" w:rsidRPr="00F76FEF" w:rsidRDefault="007B0B45" w:rsidP="007B0B45">
            <w:pPr>
              <w:rPr>
                <w:sz w:val="20"/>
                <w:szCs w:val="20"/>
              </w:rPr>
            </w:pPr>
            <w:r w:rsidRPr="00F76FEF">
              <w:rPr>
                <w:sz w:val="20"/>
                <w:szCs w:val="20"/>
              </w:rPr>
              <w:t>3.45% no apgrozījuma</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7B0B45" w:rsidRPr="00F76FEF" w:rsidRDefault="007B0B45" w:rsidP="007B0B45">
            <w:pPr>
              <w:rPr>
                <w:i/>
                <w:iCs/>
                <w:sz w:val="20"/>
                <w:szCs w:val="20"/>
              </w:rPr>
            </w:pPr>
            <w:r w:rsidRPr="00F76FEF">
              <w:rPr>
                <w:i/>
                <w:iCs/>
                <w:sz w:val="20"/>
                <w:szCs w:val="20"/>
              </w:rPr>
              <w:t>% no apgrozījuma</w:t>
            </w:r>
          </w:p>
        </w:tc>
        <w:tc>
          <w:tcPr>
            <w:tcW w:w="1559"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3,45%</w:t>
            </w:r>
          </w:p>
        </w:tc>
        <w:tc>
          <w:tcPr>
            <w:tcW w:w="1276"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000" w:type="dxa"/>
            <w:tcBorders>
              <w:top w:val="nil"/>
              <w:left w:val="nil"/>
              <w:bottom w:val="single" w:sz="4" w:space="0" w:color="auto"/>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345,07</w:t>
            </w:r>
          </w:p>
        </w:tc>
      </w:tr>
      <w:tr w:rsidR="00F76FEF" w:rsidRPr="007B0B45" w:rsidTr="00F76FEF">
        <w:trPr>
          <w:trHeight w:val="300"/>
        </w:trPr>
        <w:tc>
          <w:tcPr>
            <w:tcW w:w="4835" w:type="dxa"/>
            <w:tcBorders>
              <w:top w:val="single" w:sz="4" w:space="0" w:color="auto"/>
              <w:left w:val="single" w:sz="8" w:space="0" w:color="auto"/>
              <w:bottom w:val="nil"/>
              <w:right w:val="nil"/>
            </w:tcBorders>
            <w:shd w:val="clear" w:color="auto" w:fill="auto"/>
            <w:noWrap/>
            <w:vAlign w:val="bottom"/>
            <w:hideMark/>
          </w:tcPr>
          <w:p w:rsidR="007B0B45" w:rsidRPr="00F76FEF" w:rsidRDefault="007B0B45" w:rsidP="007B0B45">
            <w:pPr>
              <w:rPr>
                <w:i/>
                <w:iCs/>
                <w:sz w:val="20"/>
                <w:szCs w:val="20"/>
              </w:rPr>
            </w:pPr>
            <w:r w:rsidRPr="00F76FEF">
              <w:rPr>
                <w:i/>
                <w:iCs/>
                <w:sz w:val="20"/>
                <w:szCs w:val="20"/>
              </w:rPr>
              <w:t>AKKA/LAA (reproducēšanas tiesības)</w:t>
            </w:r>
          </w:p>
        </w:tc>
        <w:tc>
          <w:tcPr>
            <w:tcW w:w="1984" w:type="dxa"/>
            <w:tcBorders>
              <w:top w:val="single" w:sz="4" w:space="0" w:color="auto"/>
              <w:left w:val="single" w:sz="4"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 xml:space="preserve">2% no aprēķinātā maksājuma </w:t>
            </w:r>
            <w:r w:rsidRPr="00F76FEF">
              <w:rPr>
                <w:sz w:val="20"/>
                <w:szCs w:val="20"/>
              </w:rPr>
              <w:lastRenderedPageBreak/>
              <w:t>AKKA/LAA</w:t>
            </w:r>
          </w:p>
        </w:tc>
        <w:tc>
          <w:tcPr>
            <w:tcW w:w="1843" w:type="dxa"/>
            <w:tcBorders>
              <w:top w:val="single" w:sz="4" w:space="0" w:color="auto"/>
              <w:left w:val="single" w:sz="4" w:space="0" w:color="auto"/>
              <w:bottom w:val="nil"/>
              <w:right w:val="single" w:sz="4" w:space="0" w:color="auto"/>
            </w:tcBorders>
            <w:shd w:val="clear" w:color="auto" w:fill="auto"/>
            <w:vAlign w:val="bottom"/>
            <w:hideMark/>
          </w:tcPr>
          <w:p w:rsidR="007B0B45" w:rsidRPr="00F76FEF" w:rsidRDefault="007B0B45" w:rsidP="007B0B45">
            <w:pPr>
              <w:rPr>
                <w:i/>
                <w:iCs/>
                <w:sz w:val="20"/>
                <w:szCs w:val="20"/>
              </w:rPr>
            </w:pPr>
            <w:r w:rsidRPr="00F76FEF">
              <w:rPr>
                <w:i/>
                <w:iCs/>
                <w:sz w:val="20"/>
                <w:szCs w:val="20"/>
              </w:rPr>
              <w:lastRenderedPageBreak/>
              <w:t>% no apgrozījuma</w:t>
            </w:r>
          </w:p>
        </w:tc>
        <w:tc>
          <w:tcPr>
            <w:tcW w:w="1559" w:type="dxa"/>
            <w:tcBorders>
              <w:top w:val="single" w:sz="4" w:space="0" w:color="auto"/>
              <w:left w:val="nil"/>
              <w:bottom w:val="nil"/>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0,07%</w:t>
            </w:r>
          </w:p>
        </w:tc>
        <w:tc>
          <w:tcPr>
            <w:tcW w:w="1276" w:type="dxa"/>
            <w:tcBorders>
              <w:top w:val="single" w:sz="4" w:space="0" w:color="auto"/>
              <w:left w:val="nil"/>
              <w:bottom w:val="nil"/>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040" w:type="dxa"/>
            <w:tcBorders>
              <w:top w:val="single" w:sz="4" w:space="0" w:color="auto"/>
              <w:left w:val="nil"/>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000" w:type="dxa"/>
            <w:tcBorders>
              <w:top w:val="single" w:sz="4" w:space="0" w:color="auto"/>
              <w:left w:val="single" w:sz="4"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220" w:type="dxa"/>
            <w:tcBorders>
              <w:top w:val="single" w:sz="4" w:space="0" w:color="auto"/>
              <w:left w:val="single" w:sz="4" w:space="0" w:color="auto"/>
              <w:bottom w:val="nil"/>
              <w:right w:val="single" w:sz="8"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6,90</w:t>
            </w:r>
          </w:p>
        </w:tc>
      </w:tr>
      <w:tr w:rsidR="00F76FEF" w:rsidRPr="007B0B45" w:rsidTr="00F76FEF">
        <w:trPr>
          <w:trHeight w:val="315"/>
        </w:trPr>
        <w:tc>
          <w:tcPr>
            <w:tcW w:w="4835" w:type="dxa"/>
            <w:tcBorders>
              <w:top w:val="nil"/>
              <w:left w:val="single" w:sz="8" w:space="0" w:color="auto"/>
              <w:bottom w:val="nil"/>
              <w:right w:val="nil"/>
            </w:tcBorders>
            <w:shd w:val="clear" w:color="auto" w:fill="auto"/>
            <w:noWrap/>
            <w:vAlign w:val="bottom"/>
            <w:hideMark/>
          </w:tcPr>
          <w:p w:rsidR="007B0B45" w:rsidRPr="00F76FEF" w:rsidRDefault="007B0B45" w:rsidP="007B0B45">
            <w:pPr>
              <w:rPr>
                <w:i/>
                <w:iCs/>
                <w:sz w:val="20"/>
                <w:szCs w:val="20"/>
              </w:rPr>
            </w:pPr>
            <w:proofErr w:type="spellStart"/>
            <w:r w:rsidRPr="00F76FEF">
              <w:rPr>
                <w:i/>
                <w:iCs/>
                <w:sz w:val="20"/>
                <w:szCs w:val="20"/>
              </w:rPr>
              <w:lastRenderedPageBreak/>
              <w:t>LaIPA</w:t>
            </w:r>
            <w:proofErr w:type="spellEnd"/>
          </w:p>
        </w:tc>
        <w:tc>
          <w:tcPr>
            <w:tcW w:w="1984" w:type="dxa"/>
            <w:tcBorders>
              <w:top w:val="nil"/>
              <w:left w:val="single" w:sz="4"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2.67% no apgrozījuma</w:t>
            </w:r>
          </w:p>
        </w:tc>
        <w:tc>
          <w:tcPr>
            <w:tcW w:w="1843" w:type="dxa"/>
            <w:tcBorders>
              <w:top w:val="nil"/>
              <w:left w:val="single" w:sz="4" w:space="0" w:color="auto"/>
              <w:bottom w:val="nil"/>
              <w:right w:val="single" w:sz="4" w:space="0" w:color="auto"/>
            </w:tcBorders>
            <w:shd w:val="clear" w:color="auto" w:fill="auto"/>
            <w:vAlign w:val="bottom"/>
            <w:hideMark/>
          </w:tcPr>
          <w:p w:rsidR="007B0B45" w:rsidRPr="00F76FEF" w:rsidRDefault="007B0B45" w:rsidP="007B0B45">
            <w:pPr>
              <w:rPr>
                <w:i/>
                <w:iCs/>
                <w:sz w:val="20"/>
                <w:szCs w:val="20"/>
              </w:rPr>
            </w:pPr>
            <w:r w:rsidRPr="00F76FEF">
              <w:rPr>
                <w:i/>
                <w:iCs/>
                <w:sz w:val="20"/>
                <w:szCs w:val="20"/>
              </w:rPr>
              <w:t>% no apgrozījuma</w:t>
            </w:r>
          </w:p>
        </w:tc>
        <w:tc>
          <w:tcPr>
            <w:tcW w:w="1559" w:type="dxa"/>
            <w:tcBorders>
              <w:top w:val="nil"/>
              <w:left w:val="nil"/>
              <w:bottom w:val="nil"/>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1,35%</w:t>
            </w:r>
          </w:p>
        </w:tc>
        <w:tc>
          <w:tcPr>
            <w:tcW w:w="1276" w:type="dxa"/>
            <w:tcBorders>
              <w:top w:val="nil"/>
              <w:left w:val="nil"/>
              <w:bottom w:val="nil"/>
              <w:right w:val="single" w:sz="4" w:space="0" w:color="auto"/>
            </w:tcBorders>
            <w:shd w:val="clear" w:color="auto" w:fill="auto"/>
            <w:noWrap/>
            <w:vAlign w:val="bottom"/>
            <w:hideMark/>
          </w:tcPr>
          <w:p w:rsidR="007B0B45" w:rsidRPr="00F76FEF" w:rsidRDefault="007B0B45" w:rsidP="007B0B45">
            <w:pPr>
              <w:rPr>
                <w:i/>
                <w:iCs/>
                <w:sz w:val="20"/>
                <w:szCs w:val="20"/>
              </w:rPr>
            </w:pPr>
            <w:r w:rsidRPr="00F76FEF">
              <w:rPr>
                <w:i/>
                <w:iCs/>
                <w:sz w:val="20"/>
                <w:szCs w:val="20"/>
              </w:rPr>
              <w:t> </w:t>
            </w:r>
          </w:p>
        </w:tc>
        <w:tc>
          <w:tcPr>
            <w:tcW w:w="1040" w:type="dxa"/>
            <w:tcBorders>
              <w:top w:val="nil"/>
              <w:left w:val="nil"/>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000" w:type="dxa"/>
            <w:tcBorders>
              <w:top w:val="nil"/>
              <w:left w:val="single" w:sz="4" w:space="0" w:color="auto"/>
              <w:bottom w:val="nil"/>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220" w:type="dxa"/>
            <w:tcBorders>
              <w:top w:val="nil"/>
              <w:left w:val="single" w:sz="4" w:space="0" w:color="auto"/>
              <w:bottom w:val="nil"/>
              <w:right w:val="single" w:sz="8"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135,03</w:t>
            </w:r>
          </w:p>
        </w:tc>
      </w:tr>
      <w:tr w:rsidR="00F76FEF" w:rsidRPr="007B0B45" w:rsidTr="00F76FEF">
        <w:trPr>
          <w:trHeight w:val="315"/>
        </w:trPr>
        <w:tc>
          <w:tcPr>
            <w:tcW w:w="48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B0B45" w:rsidRPr="00F76FEF" w:rsidRDefault="007B0B45" w:rsidP="007B0B45">
            <w:pPr>
              <w:rPr>
                <w:b/>
                <w:bCs/>
                <w:sz w:val="20"/>
                <w:szCs w:val="20"/>
              </w:rPr>
            </w:pPr>
            <w:r w:rsidRPr="00F76FEF">
              <w:rPr>
                <w:b/>
                <w:bCs/>
                <w:sz w:val="20"/>
                <w:szCs w:val="20"/>
              </w:rPr>
              <w:t> </w:t>
            </w:r>
          </w:p>
        </w:tc>
        <w:tc>
          <w:tcPr>
            <w:tcW w:w="1984"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843"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040" w:type="dxa"/>
            <w:tcBorders>
              <w:top w:val="single" w:sz="8" w:space="0" w:color="auto"/>
              <w:left w:val="nil"/>
              <w:bottom w:val="single" w:sz="8" w:space="0" w:color="auto"/>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000" w:type="dxa"/>
            <w:tcBorders>
              <w:top w:val="single" w:sz="8" w:space="0" w:color="auto"/>
              <w:left w:val="single" w:sz="4" w:space="0" w:color="auto"/>
              <w:bottom w:val="single" w:sz="8" w:space="0" w:color="auto"/>
              <w:right w:val="nil"/>
            </w:tcBorders>
            <w:shd w:val="clear" w:color="auto" w:fill="auto"/>
            <w:noWrap/>
            <w:vAlign w:val="bottom"/>
            <w:hideMark/>
          </w:tcPr>
          <w:p w:rsidR="007B0B45" w:rsidRPr="00F76FEF" w:rsidRDefault="007B0B45" w:rsidP="007B0B45">
            <w:pPr>
              <w:rPr>
                <w:sz w:val="20"/>
                <w:szCs w:val="20"/>
              </w:rPr>
            </w:pPr>
            <w:r w:rsidRPr="00F76FEF">
              <w:rPr>
                <w:sz w:val="20"/>
                <w:szCs w:val="20"/>
              </w:rPr>
              <w:t> </w:t>
            </w:r>
          </w:p>
        </w:tc>
        <w:tc>
          <w:tcPr>
            <w:tcW w:w="122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B0B45" w:rsidRPr="00F76FEF" w:rsidRDefault="007B0B45" w:rsidP="007B0B45">
            <w:pPr>
              <w:rPr>
                <w:sz w:val="20"/>
                <w:szCs w:val="20"/>
              </w:rPr>
            </w:pPr>
            <w:r w:rsidRPr="00F76FEF">
              <w:rPr>
                <w:sz w:val="20"/>
                <w:szCs w:val="20"/>
              </w:rPr>
              <w:t> </w:t>
            </w:r>
          </w:p>
        </w:tc>
      </w:tr>
      <w:tr w:rsidR="00F76FEF" w:rsidRPr="007B0B45" w:rsidTr="00F76FEF">
        <w:trPr>
          <w:trHeight w:val="315"/>
        </w:trPr>
        <w:tc>
          <w:tcPr>
            <w:tcW w:w="4835" w:type="dxa"/>
            <w:tcBorders>
              <w:top w:val="single" w:sz="4" w:space="0" w:color="auto"/>
              <w:left w:val="single" w:sz="8" w:space="0" w:color="auto"/>
              <w:bottom w:val="single" w:sz="8" w:space="0" w:color="auto"/>
              <w:right w:val="nil"/>
            </w:tcBorders>
            <w:shd w:val="clear" w:color="auto" w:fill="auto"/>
            <w:noWrap/>
            <w:vAlign w:val="bottom"/>
            <w:hideMark/>
          </w:tcPr>
          <w:p w:rsidR="007B0B45" w:rsidRPr="00F76FEF" w:rsidRDefault="007B0B45" w:rsidP="007B0B45">
            <w:pPr>
              <w:rPr>
                <w:b/>
                <w:bCs/>
                <w:sz w:val="20"/>
                <w:szCs w:val="20"/>
              </w:rPr>
            </w:pPr>
            <w:r w:rsidRPr="00F76FEF">
              <w:rPr>
                <w:b/>
                <w:bCs/>
                <w:sz w:val="20"/>
                <w:szCs w:val="20"/>
              </w:rPr>
              <w:t>Kopā, Ls</w:t>
            </w:r>
          </w:p>
        </w:tc>
        <w:tc>
          <w:tcPr>
            <w:tcW w:w="1984" w:type="dxa"/>
            <w:tcBorders>
              <w:top w:val="single" w:sz="4" w:space="0" w:color="auto"/>
              <w:left w:val="nil"/>
              <w:bottom w:val="single" w:sz="8" w:space="0" w:color="auto"/>
              <w:right w:val="nil"/>
            </w:tcBorders>
            <w:shd w:val="clear" w:color="auto" w:fill="auto"/>
            <w:noWrap/>
            <w:vAlign w:val="bottom"/>
            <w:hideMark/>
          </w:tcPr>
          <w:p w:rsidR="007B0B45" w:rsidRPr="00F76FEF" w:rsidRDefault="007B0B45" w:rsidP="007B0B45">
            <w:pPr>
              <w:rPr>
                <w:b/>
                <w:bCs/>
                <w:sz w:val="20"/>
                <w:szCs w:val="20"/>
              </w:rPr>
            </w:pPr>
            <w:r w:rsidRPr="00F76FEF">
              <w:rPr>
                <w:b/>
                <w:bCs/>
                <w:sz w:val="20"/>
                <w:szCs w:val="20"/>
              </w:rPr>
              <w:t> </w:t>
            </w:r>
          </w:p>
        </w:tc>
        <w:tc>
          <w:tcPr>
            <w:tcW w:w="1843" w:type="dxa"/>
            <w:tcBorders>
              <w:top w:val="single" w:sz="4" w:space="0" w:color="auto"/>
              <w:left w:val="nil"/>
              <w:bottom w:val="single" w:sz="8" w:space="0" w:color="auto"/>
              <w:right w:val="nil"/>
            </w:tcBorders>
            <w:shd w:val="clear" w:color="auto" w:fill="auto"/>
            <w:noWrap/>
            <w:vAlign w:val="bottom"/>
            <w:hideMark/>
          </w:tcPr>
          <w:p w:rsidR="007B0B45" w:rsidRPr="00F76FEF" w:rsidRDefault="007B0B45" w:rsidP="007B0B45">
            <w:pPr>
              <w:rPr>
                <w:b/>
                <w:bCs/>
                <w:sz w:val="20"/>
                <w:szCs w:val="20"/>
              </w:rPr>
            </w:pPr>
            <w:r w:rsidRPr="00F76FEF">
              <w:rPr>
                <w:b/>
                <w:bCs/>
                <w:sz w:val="20"/>
                <w:szCs w:val="20"/>
              </w:rPr>
              <w:t> </w:t>
            </w:r>
          </w:p>
        </w:tc>
        <w:tc>
          <w:tcPr>
            <w:tcW w:w="1559" w:type="dxa"/>
            <w:tcBorders>
              <w:top w:val="single" w:sz="4" w:space="0" w:color="auto"/>
              <w:left w:val="nil"/>
              <w:bottom w:val="single" w:sz="8" w:space="0" w:color="auto"/>
              <w:right w:val="nil"/>
            </w:tcBorders>
            <w:shd w:val="clear" w:color="auto" w:fill="auto"/>
            <w:noWrap/>
            <w:vAlign w:val="bottom"/>
            <w:hideMark/>
          </w:tcPr>
          <w:p w:rsidR="007B0B45" w:rsidRPr="00F76FEF" w:rsidRDefault="007B0B45" w:rsidP="007B0B45">
            <w:pPr>
              <w:rPr>
                <w:b/>
                <w:bCs/>
                <w:sz w:val="20"/>
                <w:szCs w:val="20"/>
              </w:rPr>
            </w:pPr>
            <w:r w:rsidRPr="00F76FEF">
              <w:rPr>
                <w:b/>
                <w:bCs/>
                <w:sz w:val="20"/>
                <w:szCs w:val="20"/>
              </w:rPr>
              <w:t> </w:t>
            </w:r>
          </w:p>
        </w:tc>
        <w:tc>
          <w:tcPr>
            <w:tcW w:w="1276" w:type="dxa"/>
            <w:tcBorders>
              <w:top w:val="single" w:sz="4" w:space="0" w:color="auto"/>
              <w:left w:val="nil"/>
              <w:bottom w:val="single" w:sz="8" w:space="0" w:color="auto"/>
              <w:right w:val="nil"/>
            </w:tcBorders>
            <w:shd w:val="clear" w:color="auto" w:fill="auto"/>
            <w:noWrap/>
            <w:vAlign w:val="bottom"/>
            <w:hideMark/>
          </w:tcPr>
          <w:p w:rsidR="007B0B45" w:rsidRPr="00F76FEF" w:rsidRDefault="007B0B45" w:rsidP="007B0B45">
            <w:pPr>
              <w:rPr>
                <w:b/>
                <w:bCs/>
                <w:sz w:val="20"/>
                <w:szCs w:val="20"/>
              </w:rPr>
            </w:pPr>
            <w:r w:rsidRPr="00F76FEF">
              <w:rPr>
                <w:b/>
                <w:bCs/>
                <w:sz w:val="20"/>
                <w:szCs w:val="20"/>
              </w:rPr>
              <w:t> </w:t>
            </w:r>
          </w:p>
        </w:tc>
        <w:tc>
          <w:tcPr>
            <w:tcW w:w="1040" w:type="dxa"/>
            <w:tcBorders>
              <w:top w:val="single" w:sz="4" w:space="0" w:color="auto"/>
              <w:left w:val="nil"/>
              <w:bottom w:val="single" w:sz="8" w:space="0" w:color="auto"/>
              <w:right w:val="single" w:sz="4" w:space="0" w:color="auto"/>
            </w:tcBorders>
            <w:shd w:val="clear" w:color="auto" w:fill="auto"/>
            <w:noWrap/>
            <w:vAlign w:val="bottom"/>
            <w:hideMark/>
          </w:tcPr>
          <w:p w:rsidR="007B0B45" w:rsidRPr="00F76FEF" w:rsidRDefault="007B0B45" w:rsidP="007B0B45">
            <w:pPr>
              <w:rPr>
                <w:b/>
                <w:bCs/>
                <w:sz w:val="20"/>
                <w:szCs w:val="20"/>
              </w:rPr>
            </w:pPr>
            <w:r w:rsidRPr="00F76FEF">
              <w:rPr>
                <w:b/>
                <w:bCs/>
                <w:sz w:val="20"/>
                <w:szCs w:val="20"/>
              </w:rPr>
              <w:t> </w:t>
            </w:r>
          </w:p>
        </w:tc>
        <w:tc>
          <w:tcPr>
            <w:tcW w:w="1000" w:type="dxa"/>
            <w:tcBorders>
              <w:top w:val="single" w:sz="4" w:space="0" w:color="auto"/>
              <w:left w:val="nil"/>
              <w:bottom w:val="single" w:sz="8" w:space="0" w:color="auto"/>
              <w:right w:val="nil"/>
            </w:tcBorders>
            <w:shd w:val="clear" w:color="auto" w:fill="auto"/>
            <w:noWrap/>
            <w:vAlign w:val="bottom"/>
            <w:hideMark/>
          </w:tcPr>
          <w:p w:rsidR="007B0B45" w:rsidRPr="00F76FEF" w:rsidRDefault="007B0B45" w:rsidP="007B0B45">
            <w:pPr>
              <w:rPr>
                <w:b/>
                <w:bCs/>
                <w:sz w:val="20"/>
                <w:szCs w:val="20"/>
              </w:rPr>
            </w:pPr>
            <w:r w:rsidRPr="00F76FEF">
              <w:rPr>
                <w:b/>
                <w:bCs/>
                <w:sz w:val="20"/>
                <w:szCs w:val="20"/>
              </w:rPr>
              <w:t> </w:t>
            </w:r>
          </w:p>
        </w:tc>
        <w:tc>
          <w:tcPr>
            <w:tcW w:w="122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B0B45" w:rsidRPr="00F76FEF" w:rsidRDefault="007B0B45" w:rsidP="007B0B45">
            <w:pPr>
              <w:rPr>
                <w:b/>
                <w:bCs/>
                <w:sz w:val="20"/>
                <w:szCs w:val="20"/>
              </w:rPr>
            </w:pPr>
            <w:r w:rsidRPr="00F76FEF">
              <w:rPr>
                <w:b/>
                <w:bCs/>
                <w:sz w:val="20"/>
                <w:szCs w:val="20"/>
              </w:rPr>
              <w:t>10 000,00</w:t>
            </w:r>
          </w:p>
        </w:tc>
      </w:tr>
    </w:tbl>
    <w:p w:rsidR="002666CB" w:rsidRDefault="002666CB">
      <w:pPr>
        <w:rPr>
          <w:sz w:val="20"/>
          <w:szCs w:val="20"/>
        </w:rPr>
      </w:pPr>
    </w:p>
    <w:p w:rsidR="002666CB" w:rsidRDefault="002666CB">
      <w:pPr>
        <w:rPr>
          <w:sz w:val="20"/>
          <w:szCs w:val="20"/>
        </w:rPr>
      </w:pPr>
    </w:p>
    <w:p w:rsidR="00965AAB" w:rsidRDefault="00965AAB">
      <w:pPr>
        <w:rPr>
          <w:sz w:val="20"/>
          <w:szCs w:val="20"/>
        </w:rPr>
      </w:pPr>
    </w:p>
    <w:p w:rsidR="00A66209" w:rsidRDefault="00A66209" w:rsidP="00BC4AAE">
      <w:pPr>
        <w:pStyle w:val="BodyText2"/>
        <w:tabs>
          <w:tab w:val="left" w:pos="9072"/>
        </w:tabs>
        <w:spacing w:after="0" w:line="240" w:lineRule="auto"/>
        <w:ind w:firstLine="720"/>
        <w:jc w:val="both"/>
        <w:rPr>
          <w:sz w:val="26"/>
          <w:szCs w:val="26"/>
        </w:rPr>
      </w:pPr>
    </w:p>
    <w:p w:rsidR="002666CB" w:rsidRPr="00760C59" w:rsidRDefault="002666CB" w:rsidP="00BC4AAE">
      <w:pPr>
        <w:pStyle w:val="BodyText2"/>
        <w:tabs>
          <w:tab w:val="left" w:pos="9072"/>
        </w:tabs>
        <w:spacing w:after="0" w:line="240" w:lineRule="auto"/>
        <w:ind w:firstLine="720"/>
        <w:jc w:val="both"/>
        <w:rPr>
          <w:sz w:val="26"/>
          <w:szCs w:val="26"/>
        </w:rPr>
      </w:pPr>
      <w:r>
        <w:rPr>
          <w:sz w:val="26"/>
          <w:szCs w:val="26"/>
        </w:rPr>
        <w:t>Finanšu ministrs</w:t>
      </w:r>
      <w:r w:rsidRPr="00760C59">
        <w:rPr>
          <w:sz w:val="26"/>
          <w:szCs w:val="26"/>
        </w:rPr>
        <w:tab/>
      </w:r>
      <w:r>
        <w:rPr>
          <w:sz w:val="26"/>
          <w:szCs w:val="26"/>
        </w:rPr>
        <w:t>A</w:t>
      </w:r>
      <w:r w:rsidRPr="00760C59">
        <w:rPr>
          <w:sz w:val="26"/>
          <w:szCs w:val="26"/>
        </w:rPr>
        <w:t>.</w:t>
      </w:r>
      <w:r>
        <w:rPr>
          <w:sz w:val="26"/>
          <w:szCs w:val="26"/>
        </w:rPr>
        <w:t>Vilks</w:t>
      </w:r>
    </w:p>
    <w:p w:rsidR="002666CB" w:rsidRPr="00760C59" w:rsidRDefault="002666CB" w:rsidP="002666CB">
      <w:pPr>
        <w:autoSpaceDE w:val="0"/>
        <w:autoSpaceDN w:val="0"/>
        <w:adjustRightInd w:val="0"/>
        <w:ind w:left="567"/>
        <w:jc w:val="both"/>
        <w:rPr>
          <w:color w:val="000000"/>
          <w:sz w:val="26"/>
          <w:szCs w:val="26"/>
        </w:rPr>
      </w:pPr>
      <w:r w:rsidRPr="00760C59">
        <w:rPr>
          <w:color w:val="000000"/>
          <w:sz w:val="26"/>
          <w:szCs w:val="26"/>
        </w:rPr>
        <w:t xml:space="preserve"> </w:t>
      </w:r>
    </w:p>
    <w:p w:rsidR="002666CB" w:rsidRDefault="002666CB" w:rsidP="002666CB">
      <w:pPr>
        <w:jc w:val="both"/>
        <w:rPr>
          <w:sz w:val="22"/>
          <w:szCs w:val="22"/>
        </w:rPr>
      </w:pPr>
    </w:p>
    <w:p w:rsidR="002666CB" w:rsidRDefault="002666CB" w:rsidP="002666CB">
      <w:pPr>
        <w:pStyle w:val="NoSpacing"/>
        <w:ind w:left="720"/>
        <w:rPr>
          <w:sz w:val="22"/>
        </w:rPr>
      </w:pPr>
    </w:p>
    <w:p w:rsidR="002666CB" w:rsidRDefault="002666CB" w:rsidP="002666CB">
      <w:pPr>
        <w:pStyle w:val="NoSpacing"/>
        <w:ind w:left="720"/>
        <w:rPr>
          <w:sz w:val="22"/>
        </w:rPr>
      </w:pPr>
    </w:p>
    <w:p w:rsidR="008B1769" w:rsidRDefault="008B1769" w:rsidP="002666CB">
      <w:pPr>
        <w:pStyle w:val="NoSpacing"/>
        <w:ind w:left="720"/>
        <w:rPr>
          <w:sz w:val="22"/>
        </w:rPr>
      </w:pPr>
    </w:p>
    <w:p w:rsidR="008B1769" w:rsidRDefault="008B1769" w:rsidP="002666CB">
      <w:pPr>
        <w:pStyle w:val="NoSpacing"/>
        <w:ind w:left="720"/>
        <w:rPr>
          <w:sz w:val="22"/>
        </w:rPr>
      </w:pPr>
    </w:p>
    <w:p w:rsidR="002666CB" w:rsidRPr="00760C59" w:rsidRDefault="002666CB" w:rsidP="002666CB">
      <w:pPr>
        <w:pStyle w:val="NoSpacing"/>
        <w:ind w:left="720"/>
        <w:rPr>
          <w:sz w:val="22"/>
        </w:rPr>
      </w:pPr>
      <w:r>
        <w:rPr>
          <w:sz w:val="22"/>
        </w:rPr>
        <w:t>28</w:t>
      </w:r>
      <w:r w:rsidRPr="00760C59">
        <w:rPr>
          <w:sz w:val="22"/>
        </w:rPr>
        <w:t xml:space="preserve">.12.2012. </w:t>
      </w:r>
      <w:r>
        <w:rPr>
          <w:sz w:val="22"/>
        </w:rPr>
        <w:t>09</w:t>
      </w:r>
      <w:r w:rsidRPr="00760C59">
        <w:rPr>
          <w:sz w:val="22"/>
        </w:rPr>
        <w:t>:</w:t>
      </w:r>
      <w:r w:rsidR="00BC4AAE">
        <w:rPr>
          <w:sz w:val="22"/>
        </w:rPr>
        <w:t>27</w:t>
      </w:r>
    </w:p>
    <w:p w:rsidR="002666CB" w:rsidRDefault="002666CB" w:rsidP="002666CB">
      <w:pPr>
        <w:pStyle w:val="NoSpacing"/>
        <w:ind w:firstLine="720"/>
        <w:rPr>
          <w:sz w:val="22"/>
        </w:rPr>
      </w:pPr>
      <w:r>
        <w:rPr>
          <w:sz w:val="22"/>
        </w:rPr>
        <w:fldChar w:fldCharType="begin"/>
      </w:r>
      <w:r>
        <w:rPr>
          <w:sz w:val="22"/>
        </w:rPr>
        <w:instrText xml:space="preserve"> NUMWORDS   \* MERGEFORMAT </w:instrText>
      </w:r>
      <w:r>
        <w:rPr>
          <w:sz w:val="22"/>
        </w:rPr>
        <w:fldChar w:fldCharType="separate"/>
      </w:r>
      <w:r w:rsidR="0018534F">
        <w:rPr>
          <w:noProof/>
          <w:sz w:val="22"/>
        </w:rPr>
        <w:t>745</w:t>
      </w:r>
      <w:r>
        <w:rPr>
          <w:sz w:val="22"/>
        </w:rPr>
        <w:fldChar w:fldCharType="end"/>
      </w:r>
    </w:p>
    <w:p w:rsidR="002666CB" w:rsidRPr="00760C59" w:rsidRDefault="002666CB" w:rsidP="002666CB">
      <w:pPr>
        <w:pStyle w:val="NoSpacing"/>
        <w:ind w:firstLine="720"/>
        <w:rPr>
          <w:b/>
          <w:sz w:val="22"/>
        </w:rPr>
      </w:pPr>
      <w:proofErr w:type="spellStart"/>
      <w:r>
        <w:rPr>
          <w:sz w:val="22"/>
        </w:rPr>
        <w:t>D.Bogomols</w:t>
      </w:r>
      <w:proofErr w:type="spellEnd"/>
    </w:p>
    <w:p w:rsidR="002666CB" w:rsidRDefault="002666CB" w:rsidP="002666CB">
      <w:pPr>
        <w:pStyle w:val="NoSpacing"/>
        <w:ind w:left="720"/>
        <w:rPr>
          <w:sz w:val="22"/>
        </w:rPr>
      </w:pPr>
      <w:r w:rsidRPr="00760C59">
        <w:rPr>
          <w:sz w:val="22"/>
        </w:rPr>
        <w:t>670</w:t>
      </w:r>
      <w:r>
        <w:rPr>
          <w:sz w:val="22"/>
        </w:rPr>
        <w:t>95658</w:t>
      </w:r>
      <w:r w:rsidRPr="00760C59">
        <w:rPr>
          <w:sz w:val="22"/>
        </w:rPr>
        <w:t xml:space="preserve">, </w:t>
      </w:r>
      <w:hyperlink r:id="rId7" w:history="1">
        <w:r w:rsidRPr="005450A2">
          <w:rPr>
            <w:rStyle w:val="Hyperlink"/>
            <w:sz w:val="22"/>
          </w:rPr>
          <w:t>Dainis.Bogomols@fm.gov.lv</w:t>
        </w:r>
      </w:hyperlink>
      <w:r>
        <w:rPr>
          <w:sz w:val="22"/>
        </w:rPr>
        <w:t xml:space="preserve"> </w:t>
      </w:r>
    </w:p>
    <w:p w:rsidR="002666CB" w:rsidRPr="00897C71" w:rsidRDefault="002666CB">
      <w:pPr>
        <w:rPr>
          <w:sz w:val="20"/>
          <w:szCs w:val="20"/>
        </w:rPr>
      </w:pPr>
    </w:p>
    <w:sectPr w:rsidR="002666CB" w:rsidRPr="00897C71" w:rsidSect="00965AAB">
      <w:footerReference w:type="default" r:id="rId8"/>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E6" w:rsidRDefault="002B0FE6" w:rsidP="00D72ADA">
      <w:r>
        <w:separator/>
      </w:r>
    </w:p>
  </w:endnote>
  <w:endnote w:type="continuationSeparator" w:id="0">
    <w:p w:rsidR="002B0FE6" w:rsidRDefault="002B0FE6" w:rsidP="00D7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DA" w:rsidRPr="00A23EC3" w:rsidRDefault="00D72ADA" w:rsidP="00D72ADA">
    <w:pPr>
      <w:jc w:val="both"/>
      <w:rPr>
        <w:sz w:val="22"/>
        <w:szCs w:val="22"/>
      </w:rPr>
    </w:pPr>
    <w:r>
      <w:rPr>
        <w:sz w:val="22"/>
        <w:szCs w:val="22"/>
      </w:rPr>
      <w:t>FMAnotp_281212</w:t>
    </w:r>
    <w:r w:rsidRPr="004816F6">
      <w:rPr>
        <w:sz w:val="22"/>
        <w:szCs w:val="22"/>
      </w:rPr>
      <w:t>_</w:t>
    </w:r>
    <w:r>
      <w:rPr>
        <w:sz w:val="22"/>
        <w:szCs w:val="22"/>
      </w:rPr>
      <w:t>euro</w:t>
    </w:r>
    <w:r w:rsidRPr="004816F6">
      <w:rPr>
        <w:sz w:val="22"/>
        <w:szCs w:val="22"/>
      </w:rPr>
      <w:t>; Ministru kabineta rīkojuma projekta „</w:t>
    </w:r>
    <w:r w:rsidRPr="00167AB6">
      <w:rPr>
        <w:sz w:val="22"/>
        <w:szCs w:val="22"/>
      </w:rPr>
      <w:t xml:space="preserve">Par finansējuma piešķiršanu Nacionālajai elektronisko plašsaziņas līdzekļu padomei </w:t>
    </w:r>
    <w:proofErr w:type="spellStart"/>
    <w:r w:rsidRPr="00F70786">
      <w:rPr>
        <w:i/>
        <w:sz w:val="22"/>
        <w:szCs w:val="22"/>
      </w:rPr>
      <w:t>euro</w:t>
    </w:r>
    <w:proofErr w:type="spellEnd"/>
    <w:r w:rsidRPr="00167AB6">
      <w:rPr>
        <w:sz w:val="22"/>
        <w:szCs w:val="22"/>
      </w:rPr>
      <w:t xml:space="preserve"> komunikācijas </w:t>
    </w:r>
    <w:r>
      <w:rPr>
        <w:sz w:val="22"/>
        <w:szCs w:val="22"/>
      </w:rPr>
      <w:t xml:space="preserve">pasākumu </w:t>
    </w:r>
    <w:r w:rsidRPr="00167AB6">
      <w:rPr>
        <w:sz w:val="22"/>
        <w:szCs w:val="22"/>
      </w:rPr>
      <w:t>izdevumu segšanai</w:t>
    </w:r>
    <w:r w:rsidRPr="004816F6">
      <w:rPr>
        <w:sz w:val="22"/>
        <w:szCs w:val="22"/>
      </w:rPr>
      <w:t>” sākotnējās ietekmes novērtējuma ziņojum</w:t>
    </w:r>
    <w:r>
      <w:rPr>
        <w:sz w:val="22"/>
        <w:szCs w:val="22"/>
      </w:rPr>
      <w:t>a</w:t>
    </w:r>
    <w:r w:rsidRPr="004816F6">
      <w:rPr>
        <w:sz w:val="22"/>
        <w:szCs w:val="22"/>
      </w:rPr>
      <w:t xml:space="preserve"> (anotācija)</w:t>
    </w:r>
    <w:r>
      <w:rPr>
        <w:sz w:val="22"/>
        <w:szCs w:val="22"/>
      </w:rPr>
      <w:t xml:space="preserve"> pielikums</w:t>
    </w:r>
  </w:p>
  <w:p w:rsidR="00D72ADA" w:rsidRDefault="00D72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E6" w:rsidRDefault="002B0FE6" w:rsidP="00D72ADA">
      <w:r>
        <w:separator/>
      </w:r>
    </w:p>
  </w:footnote>
  <w:footnote w:type="continuationSeparator" w:id="0">
    <w:p w:rsidR="002B0FE6" w:rsidRDefault="002B0FE6" w:rsidP="00D72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71"/>
    <w:rsid w:val="0018534F"/>
    <w:rsid w:val="00196174"/>
    <w:rsid w:val="001A6BFA"/>
    <w:rsid w:val="002666CB"/>
    <w:rsid w:val="002B0FE6"/>
    <w:rsid w:val="00390B3C"/>
    <w:rsid w:val="004F6D43"/>
    <w:rsid w:val="004F74FF"/>
    <w:rsid w:val="007B0B45"/>
    <w:rsid w:val="00897C71"/>
    <w:rsid w:val="008B1769"/>
    <w:rsid w:val="00965AAB"/>
    <w:rsid w:val="00A25D96"/>
    <w:rsid w:val="00A66209"/>
    <w:rsid w:val="00BC4AAE"/>
    <w:rsid w:val="00D40B78"/>
    <w:rsid w:val="00D5604F"/>
    <w:rsid w:val="00D72ADA"/>
    <w:rsid w:val="00E40146"/>
    <w:rsid w:val="00E90253"/>
    <w:rsid w:val="00F76F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71"/>
    <w:rPr>
      <w:rFonts w:eastAsia="Calibri"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C71"/>
    <w:rPr>
      <w:rFonts w:eastAsia="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666CB"/>
    <w:rPr>
      <w:color w:val="0000FF"/>
      <w:u w:val="single"/>
    </w:rPr>
  </w:style>
  <w:style w:type="paragraph" w:styleId="BodyText2">
    <w:name w:val="Body Text 2"/>
    <w:basedOn w:val="Normal"/>
    <w:link w:val="BodyText2Char"/>
    <w:rsid w:val="002666CB"/>
    <w:pPr>
      <w:spacing w:after="120" w:line="480" w:lineRule="auto"/>
    </w:pPr>
    <w:rPr>
      <w:rFonts w:eastAsia="Times New Roman"/>
      <w:lang w:eastAsia="en-US"/>
    </w:rPr>
  </w:style>
  <w:style w:type="character" w:customStyle="1" w:styleId="BodyText2Char">
    <w:name w:val="Body Text 2 Char"/>
    <w:basedOn w:val="DefaultParagraphFont"/>
    <w:link w:val="BodyText2"/>
    <w:rsid w:val="002666CB"/>
    <w:rPr>
      <w:rFonts w:eastAsia="Times New Roman" w:cs="Times New Roman"/>
      <w:szCs w:val="24"/>
    </w:rPr>
  </w:style>
  <w:style w:type="paragraph" w:styleId="NoSpacing">
    <w:name w:val="No Spacing"/>
    <w:uiPriority w:val="1"/>
    <w:qFormat/>
    <w:rsid w:val="002666CB"/>
    <w:pPr>
      <w:jc w:val="both"/>
    </w:pPr>
    <w:rPr>
      <w:rFonts w:eastAsia="Calibri" w:cs="Times New Roman"/>
    </w:rPr>
  </w:style>
  <w:style w:type="paragraph" w:styleId="Header">
    <w:name w:val="header"/>
    <w:basedOn w:val="Normal"/>
    <w:link w:val="HeaderChar"/>
    <w:uiPriority w:val="99"/>
    <w:unhideWhenUsed/>
    <w:rsid w:val="00D72ADA"/>
    <w:pPr>
      <w:tabs>
        <w:tab w:val="center" w:pos="4153"/>
        <w:tab w:val="right" w:pos="8306"/>
      </w:tabs>
    </w:pPr>
  </w:style>
  <w:style w:type="character" w:customStyle="1" w:styleId="HeaderChar">
    <w:name w:val="Header Char"/>
    <w:basedOn w:val="DefaultParagraphFont"/>
    <w:link w:val="Header"/>
    <w:uiPriority w:val="99"/>
    <w:rsid w:val="00D72ADA"/>
    <w:rPr>
      <w:rFonts w:eastAsia="Calibri" w:cs="Times New Roman"/>
      <w:szCs w:val="24"/>
      <w:lang w:eastAsia="lv-LV"/>
    </w:rPr>
  </w:style>
  <w:style w:type="paragraph" w:styleId="Footer">
    <w:name w:val="footer"/>
    <w:basedOn w:val="Normal"/>
    <w:link w:val="FooterChar"/>
    <w:uiPriority w:val="99"/>
    <w:unhideWhenUsed/>
    <w:rsid w:val="00D72ADA"/>
    <w:pPr>
      <w:tabs>
        <w:tab w:val="center" w:pos="4153"/>
        <w:tab w:val="right" w:pos="8306"/>
      </w:tabs>
    </w:pPr>
  </w:style>
  <w:style w:type="character" w:customStyle="1" w:styleId="FooterChar">
    <w:name w:val="Footer Char"/>
    <w:basedOn w:val="DefaultParagraphFont"/>
    <w:link w:val="Footer"/>
    <w:uiPriority w:val="99"/>
    <w:rsid w:val="00D72ADA"/>
    <w:rPr>
      <w:rFonts w:eastAsia="Calibri"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71"/>
    <w:rPr>
      <w:rFonts w:eastAsia="Calibri"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C71"/>
    <w:rPr>
      <w:rFonts w:eastAsia="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666CB"/>
    <w:rPr>
      <w:color w:val="0000FF"/>
      <w:u w:val="single"/>
    </w:rPr>
  </w:style>
  <w:style w:type="paragraph" w:styleId="BodyText2">
    <w:name w:val="Body Text 2"/>
    <w:basedOn w:val="Normal"/>
    <w:link w:val="BodyText2Char"/>
    <w:rsid w:val="002666CB"/>
    <w:pPr>
      <w:spacing w:after="120" w:line="480" w:lineRule="auto"/>
    </w:pPr>
    <w:rPr>
      <w:rFonts w:eastAsia="Times New Roman"/>
      <w:lang w:eastAsia="en-US"/>
    </w:rPr>
  </w:style>
  <w:style w:type="character" w:customStyle="1" w:styleId="BodyText2Char">
    <w:name w:val="Body Text 2 Char"/>
    <w:basedOn w:val="DefaultParagraphFont"/>
    <w:link w:val="BodyText2"/>
    <w:rsid w:val="002666CB"/>
    <w:rPr>
      <w:rFonts w:eastAsia="Times New Roman" w:cs="Times New Roman"/>
      <w:szCs w:val="24"/>
    </w:rPr>
  </w:style>
  <w:style w:type="paragraph" w:styleId="NoSpacing">
    <w:name w:val="No Spacing"/>
    <w:uiPriority w:val="1"/>
    <w:qFormat/>
    <w:rsid w:val="002666CB"/>
    <w:pPr>
      <w:jc w:val="both"/>
    </w:pPr>
    <w:rPr>
      <w:rFonts w:eastAsia="Calibri" w:cs="Times New Roman"/>
    </w:rPr>
  </w:style>
  <w:style w:type="paragraph" w:styleId="Header">
    <w:name w:val="header"/>
    <w:basedOn w:val="Normal"/>
    <w:link w:val="HeaderChar"/>
    <w:uiPriority w:val="99"/>
    <w:unhideWhenUsed/>
    <w:rsid w:val="00D72ADA"/>
    <w:pPr>
      <w:tabs>
        <w:tab w:val="center" w:pos="4153"/>
        <w:tab w:val="right" w:pos="8306"/>
      </w:tabs>
    </w:pPr>
  </w:style>
  <w:style w:type="character" w:customStyle="1" w:styleId="HeaderChar">
    <w:name w:val="Header Char"/>
    <w:basedOn w:val="DefaultParagraphFont"/>
    <w:link w:val="Header"/>
    <w:uiPriority w:val="99"/>
    <w:rsid w:val="00D72ADA"/>
    <w:rPr>
      <w:rFonts w:eastAsia="Calibri" w:cs="Times New Roman"/>
      <w:szCs w:val="24"/>
      <w:lang w:eastAsia="lv-LV"/>
    </w:rPr>
  </w:style>
  <w:style w:type="paragraph" w:styleId="Footer">
    <w:name w:val="footer"/>
    <w:basedOn w:val="Normal"/>
    <w:link w:val="FooterChar"/>
    <w:uiPriority w:val="99"/>
    <w:unhideWhenUsed/>
    <w:rsid w:val="00D72ADA"/>
    <w:pPr>
      <w:tabs>
        <w:tab w:val="center" w:pos="4153"/>
        <w:tab w:val="right" w:pos="8306"/>
      </w:tabs>
    </w:pPr>
  </w:style>
  <w:style w:type="character" w:customStyle="1" w:styleId="FooterChar">
    <w:name w:val="Footer Char"/>
    <w:basedOn w:val="DefaultParagraphFont"/>
    <w:link w:val="Footer"/>
    <w:uiPriority w:val="99"/>
    <w:rsid w:val="00D72ADA"/>
    <w:rPr>
      <w:rFonts w:eastAsia="Calibri"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1378">
      <w:bodyDiv w:val="1"/>
      <w:marLeft w:val="0"/>
      <w:marRight w:val="0"/>
      <w:marTop w:val="0"/>
      <w:marBottom w:val="0"/>
      <w:divBdr>
        <w:top w:val="none" w:sz="0" w:space="0" w:color="auto"/>
        <w:left w:val="none" w:sz="0" w:space="0" w:color="auto"/>
        <w:bottom w:val="none" w:sz="0" w:space="0" w:color="auto"/>
        <w:right w:val="none" w:sz="0" w:space="0" w:color="auto"/>
      </w:divBdr>
    </w:div>
    <w:div w:id="679938774">
      <w:bodyDiv w:val="1"/>
      <w:marLeft w:val="0"/>
      <w:marRight w:val="0"/>
      <w:marTop w:val="0"/>
      <w:marBottom w:val="0"/>
      <w:divBdr>
        <w:top w:val="none" w:sz="0" w:space="0" w:color="auto"/>
        <w:left w:val="none" w:sz="0" w:space="0" w:color="auto"/>
        <w:bottom w:val="none" w:sz="0" w:space="0" w:color="auto"/>
        <w:right w:val="none" w:sz="0" w:space="0" w:color="auto"/>
      </w:divBdr>
    </w:div>
    <w:div w:id="19676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inis.Bogomols@f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3780</Words>
  <Characters>2155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finansējuma piešķiršanu Nacionālajai elektronisko plašsaziņas līdzekļu padomei euro komunikācijas pasākumu izdevumu segšanai</dc:title>
  <dc:subject>Anotācijas pielikums</dc:subject>
  <dc:creator>Dainis Bogomols</dc:creator>
  <dc:description>Tel: 67095658
e-pasts: Dainis.Bogomols@fm.gov.lv</dc:description>
  <cp:lastModifiedBy>Windows User</cp:lastModifiedBy>
  <cp:revision>12</cp:revision>
  <cp:lastPrinted>2012-12-28T08:17:00Z</cp:lastPrinted>
  <dcterms:created xsi:type="dcterms:W3CDTF">2012-12-28T06:51:00Z</dcterms:created>
  <dcterms:modified xsi:type="dcterms:W3CDTF">2012-12-28T10:15:00Z</dcterms:modified>
</cp:coreProperties>
</file>