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AB1" w:rsidRDefault="00C06AB1" w:rsidP="00C06AB1">
      <w:pPr>
        <w:jc w:val="right"/>
      </w:pPr>
      <w:r>
        <w:t>3.pielikums</w:t>
      </w:r>
    </w:p>
    <w:p w:rsidR="00C06AB1" w:rsidRDefault="00C06AB1" w:rsidP="00C06AB1">
      <w:pPr>
        <w:jc w:val="right"/>
      </w:pPr>
      <w:r>
        <w:t>Koncepcijai par Eiropas Reģionālās</w:t>
      </w:r>
    </w:p>
    <w:p w:rsidR="00C06AB1" w:rsidRDefault="00C06AB1" w:rsidP="00C06AB1">
      <w:pPr>
        <w:jc w:val="right"/>
      </w:pPr>
      <w:r>
        <w:t xml:space="preserve">attīstības fonda, Eiropas Sociālā fonda, </w:t>
      </w:r>
    </w:p>
    <w:p w:rsidR="00C06AB1" w:rsidRDefault="00C06AB1" w:rsidP="00C06AB1">
      <w:pPr>
        <w:jc w:val="right"/>
      </w:pPr>
      <w:r>
        <w:t xml:space="preserve">Kohēzijas fonda, Eiropas Lauksaimniecības fonda </w:t>
      </w:r>
    </w:p>
    <w:p w:rsidR="00C06AB1" w:rsidRDefault="00C06AB1" w:rsidP="00C06AB1">
      <w:pPr>
        <w:jc w:val="right"/>
      </w:pPr>
      <w:r>
        <w:t xml:space="preserve">Lauku attīstībai un Eiropas Jūrlietu  un zivsaimniecības </w:t>
      </w:r>
    </w:p>
    <w:p w:rsidR="004A6054" w:rsidRDefault="00C06AB1" w:rsidP="00BE4243">
      <w:pPr>
        <w:jc w:val="right"/>
      </w:pPr>
      <w:r>
        <w:t>fonda ieviešan</w:t>
      </w:r>
      <w:r w:rsidR="00DB7905">
        <w:t>u</w:t>
      </w:r>
      <w:r>
        <w:t xml:space="preserve"> 2014. – 2020.gadā Latvijā</w:t>
      </w:r>
    </w:p>
    <w:p w:rsidR="004A6054" w:rsidRDefault="004A6054" w:rsidP="00C06AB1">
      <w:pPr>
        <w:jc w:val="right"/>
      </w:pPr>
    </w:p>
    <w:p w:rsidR="004A6054" w:rsidRPr="004A6054" w:rsidRDefault="00C06AB1" w:rsidP="004A6054">
      <w:pPr>
        <w:jc w:val="center"/>
        <w:rPr>
          <w:b/>
        </w:rPr>
      </w:pPr>
      <w:r w:rsidRPr="004A6054">
        <w:rPr>
          <w:b/>
        </w:rPr>
        <w:t>ES KP fondu institucionālo modeļu</w:t>
      </w:r>
      <w:r w:rsidR="003572E9">
        <w:rPr>
          <w:b/>
        </w:rPr>
        <w:t xml:space="preserve"> un iestāžu</w:t>
      </w:r>
      <w:r w:rsidRPr="004A6054">
        <w:rPr>
          <w:b/>
        </w:rPr>
        <w:t xml:space="preserve"> variāciju analīze</w:t>
      </w:r>
    </w:p>
    <w:p w:rsidR="00C06AB1" w:rsidRDefault="00C06AB1" w:rsidP="00C06AB1">
      <w:pPr>
        <w:jc w:val="right"/>
      </w:pPr>
    </w:p>
    <w:tbl>
      <w:tblPr>
        <w:tblStyle w:val="TableGrid"/>
        <w:tblW w:w="14425" w:type="dxa"/>
        <w:tblLook w:val="04A0" w:firstRow="1" w:lastRow="0" w:firstColumn="1" w:lastColumn="0" w:noHBand="0" w:noVBand="1"/>
      </w:tblPr>
      <w:tblGrid>
        <w:gridCol w:w="3652"/>
        <w:gridCol w:w="4961"/>
        <w:gridCol w:w="5812"/>
      </w:tblGrid>
      <w:tr w:rsidR="00C06AB1" w:rsidRPr="000F551C" w:rsidTr="000F551C">
        <w:trPr>
          <w:tblHeader/>
        </w:trPr>
        <w:tc>
          <w:tcPr>
            <w:tcW w:w="3652" w:type="dxa"/>
            <w:vAlign w:val="center"/>
          </w:tcPr>
          <w:p w:rsidR="00C06AB1" w:rsidRPr="000F551C" w:rsidRDefault="00C06AB1" w:rsidP="000F551C">
            <w:pPr>
              <w:jc w:val="center"/>
              <w:rPr>
                <w:rFonts w:cs="Times New Roman"/>
                <w:b/>
                <w:szCs w:val="24"/>
              </w:rPr>
            </w:pPr>
            <w:r w:rsidRPr="000F551C">
              <w:rPr>
                <w:rFonts w:cs="Times New Roman"/>
                <w:b/>
                <w:szCs w:val="24"/>
              </w:rPr>
              <w:t>Institucionālā ietvara piedāvājums</w:t>
            </w:r>
          </w:p>
        </w:tc>
        <w:tc>
          <w:tcPr>
            <w:tcW w:w="4961" w:type="dxa"/>
            <w:vAlign w:val="center"/>
          </w:tcPr>
          <w:p w:rsidR="00C06AB1" w:rsidRPr="000F551C" w:rsidRDefault="00C06AB1" w:rsidP="000F551C">
            <w:pPr>
              <w:jc w:val="center"/>
              <w:rPr>
                <w:rFonts w:cs="Times New Roman"/>
                <w:b/>
                <w:szCs w:val="24"/>
              </w:rPr>
            </w:pPr>
            <w:r w:rsidRPr="000F551C">
              <w:rPr>
                <w:rFonts w:cs="Times New Roman"/>
                <w:b/>
                <w:szCs w:val="24"/>
              </w:rPr>
              <w:t>Priekšrocības</w:t>
            </w:r>
          </w:p>
        </w:tc>
        <w:tc>
          <w:tcPr>
            <w:tcW w:w="5812" w:type="dxa"/>
            <w:vAlign w:val="center"/>
          </w:tcPr>
          <w:p w:rsidR="00C06AB1" w:rsidRPr="000F551C" w:rsidRDefault="00B60B80" w:rsidP="000F551C">
            <w:pPr>
              <w:jc w:val="center"/>
              <w:rPr>
                <w:rFonts w:cs="Times New Roman"/>
                <w:b/>
                <w:szCs w:val="24"/>
              </w:rPr>
            </w:pPr>
            <w:r w:rsidRPr="000F551C">
              <w:rPr>
                <w:rFonts w:cs="Times New Roman"/>
                <w:b/>
                <w:szCs w:val="24"/>
              </w:rPr>
              <w:t>Riski</w:t>
            </w:r>
          </w:p>
        </w:tc>
      </w:tr>
      <w:tr w:rsidR="00C06AB1" w:rsidRPr="000F551C" w:rsidTr="000F551C">
        <w:tc>
          <w:tcPr>
            <w:tcW w:w="14425" w:type="dxa"/>
            <w:gridSpan w:val="3"/>
          </w:tcPr>
          <w:p w:rsidR="00C06AB1" w:rsidRPr="000F551C" w:rsidRDefault="00C06AB1" w:rsidP="00C06AB1">
            <w:pPr>
              <w:rPr>
                <w:rFonts w:cs="Times New Roman"/>
                <w:b/>
                <w:szCs w:val="24"/>
              </w:rPr>
            </w:pPr>
            <w:r w:rsidRPr="000F551C">
              <w:rPr>
                <w:rFonts w:cs="Times New Roman"/>
                <w:b/>
                <w:szCs w:val="24"/>
              </w:rPr>
              <w:t>Atbildīgās iestādes</w:t>
            </w:r>
            <w:r w:rsidR="00DA6C02" w:rsidRPr="000F551C">
              <w:rPr>
                <w:rFonts w:cs="Times New Roman"/>
                <w:b/>
                <w:szCs w:val="24"/>
              </w:rPr>
              <w:t xml:space="preserve"> (AI)</w:t>
            </w:r>
          </w:p>
        </w:tc>
      </w:tr>
      <w:tr w:rsidR="00C06AB1" w:rsidRPr="000F551C" w:rsidTr="000F551C">
        <w:tc>
          <w:tcPr>
            <w:tcW w:w="3652" w:type="dxa"/>
          </w:tcPr>
          <w:p w:rsidR="00C06AB1" w:rsidRPr="000F551C" w:rsidRDefault="00C06AB1" w:rsidP="000F551C">
            <w:pPr>
              <w:pStyle w:val="ListParagraph"/>
              <w:numPr>
                <w:ilvl w:val="0"/>
                <w:numId w:val="3"/>
              </w:numPr>
              <w:ind w:left="0" w:firstLine="0"/>
              <w:jc w:val="both"/>
              <w:rPr>
                <w:rFonts w:cs="Times New Roman"/>
                <w:szCs w:val="24"/>
              </w:rPr>
            </w:pPr>
            <w:r w:rsidRPr="000F551C">
              <w:rPr>
                <w:rFonts w:cs="Times New Roman"/>
                <w:b/>
                <w:szCs w:val="24"/>
              </w:rPr>
              <w:t>2007 – 2013.g. atbildīgās iestādes un papildu ministrijas (Tieslietu ministrija un Aizsardzības ministrija) – atbilstoši NAP par rīcības virzieniem atbildīgajām institūcijām</w:t>
            </w:r>
            <w:r w:rsidR="008075DD" w:rsidRPr="000F551C">
              <w:rPr>
                <w:rFonts w:cs="Times New Roman"/>
                <w:b/>
                <w:szCs w:val="24"/>
              </w:rPr>
              <w:t>.</w:t>
            </w:r>
          </w:p>
        </w:tc>
        <w:tc>
          <w:tcPr>
            <w:tcW w:w="4961" w:type="dxa"/>
          </w:tcPr>
          <w:p w:rsidR="00616944" w:rsidRDefault="00C06AB1" w:rsidP="000F551C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="Times New Roman"/>
                <w:szCs w:val="24"/>
              </w:rPr>
            </w:pPr>
            <w:r w:rsidRPr="000F551C">
              <w:rPr>
                <w:rFonts w:cs="Times New Roman"/>
                <w:szCs w:val="24"/>
              </w:rPr>
              <w:t>Nav nepieciešamas izmaiņas ieviešanas si</w:t>
            </w:r>
            <w:r w:rsidR="00F20FE1" w:rsidRPr="000F551C">
              <w:rPr>
                <w:rFonts w:cs="Times New Roman"/>
                <w:szCs w:val="24"/>
              </w:rPr>
              <w:t xml:space="preserve">stēmā </w:t>
            </w:r>
          </w:p>
          <w:p w:rsidR="00C06AB1" w:rsidRPr="000F551C" w:rsidRDefault="00616944" w:rsidP="000F551C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="Times New Roman"/>
                <w:szCs w:val="24"/>
              </w:rPr>
            </w:pPr>
            <w:r w:rsidRPr="000F551C">
              <w:rPr>
                <w:rFonts w:cs="Times New Roman"/>
                <w:szCs w:val="24"/>
              </w:rPr>
              <w:t>Pēctecības nodrošināšana, ņemot vērā 2007.- 2013.gada plānošanas perioda izveidojušos pieredzi</w:t>
            </w:r>
            <w:r w:rsidRPr="000F551C" w:rsidDel="00616944">
              <w:rPr>
                <w:rFonts w:cs="Times New Roman"/>
                <w:szCs w:val="24"/>
              </w:rPr>
              <w:t xml:space="preserve"> </w:t>
            </w:r>
            <w:r w:rsidR="00C06AB1" w:rsidRPr="000F551C">
              <w:rPr>
                <w:rFonts w:cs="Times New Roman"/>
                <w:szCs w:val="24"/>
              </w:rPr>
              <w:t>Visas ministrijas vienlīdzīgi līdzatbildīgas par rezultātiem</w:t>
            </w:r>
          </w:p>
          <w:p w:rsidR="007F0238" w:rsidRPr="000F551C" w:rsidRDefault="007F0238" w:rsidP="000F551C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="Times New Roman"/>
                <w:szCs w:val="24"/>
              </w:rPr>
            </w:pPr>
            <w:r w:rsidRPr="000F551C">
              <w:rPr>
                <w:rFonts w:cs="Times New Roman"/>
                <w:szCs w:val="24"/>
              </w:rPr>
              <w:t>Par nozares politiku atbi</w:t>
            </w:r>
            <w:r w:rsidR="002D364E" w:rsidRPr="000F551C">
              <w:rPr>
                <w:rFonts w:cs="Times New Roman"/>
                <w:szCs w:val="24"/>
              </w:rPr>
              <w:t>l</w:t>
            </w:r>
            <w:r w:rsidRPr="000F551C">
              <w:rPr>
                <w:rFonts w:cs="Times New Roman"/>
                <w:szCs w:val="24"/>
              </w:rPr>
              <w:t>dīga attiecīgā nozares ministrija</w:t>
            </w:r>
            <w:r w:rsidR="002D364E" w:rsidRPr="000F551C">
              <w:rPr>
                <w:rFonts w:cs="Times New Roman"/>
                <w:szCs w:val="24"/>
              </w:rPr>
              <w:t>/Valsts kanceleja</w:t>
            </w:r>
          </w:p>
        </w:tc>
        <w:tc>
          <w:tcPr>
            <w:tcW w:w="5812" w:type="dxa"/>
          </w:tcPr>
          <w:p w:rsidR="00B60B80" w:rsidRPr="000F551C" w:rsidRDefault="00B60B80" w:rsidP="000F551C">
            <w:pPr>
              <w:pStyle w:val="ListParagraph"/>
              <w:numPr>
                <w:ilvl w:val="0"/>
                <w:numId w:val="10"/>
              </w:numPr>
              <w:jc w:val="both"/>
              <w:rPr>
                <w:rFonts w:cs="Times New Roman"/>
                <w:color w:val="000000"/>
                <w:szCs w:val="24"/>
              </w:rPr>
            </w:pPr>
            <w:r w:rsidRPr="000F551C">
              <w:rPr>
                <w:rFonts w:cs="Times New Roman"/>
                <w:color w:val="000000"/>
                <w:szCs w:val="24"/>
              </w:rPr>
              <w:t>Izkliedēta atbildība un sarežģīta programmas kopējo mērķu un rezultātu sasniegšana</w:t>
            </w:r>
          </w:p>
          <w:p w:rsidR="00C06AB1" w:rsidRPr="000F551C" w:rsidRDefault="00F20FE1" w:rsidP="000F551C">
            <w:pPr>
              <w:pStyle w:val="ListParagraph"/>
              <w:numPr>
                <w:ilvl w:val="0"/>
                <w:numId w:val="10"/>
              </w:numPr>
              <w:jc w:val="both"/>
              <w:rPr>
                <w:rFonts w:cs="Times New Roman"/>
                <w:color w:val="000000"/>
                <w:szCs w:val="24"/>
              </w:rPr>
            </w:pPr>
            <w:r w:rsidRPr="000F551C">
              <w:rPr>
                <w:rFonts w:cs="Times New Roman"/>
                <w:color w:val="000000"/>
                <w:szCs w:val="24"/>
              </w:rPr>
              <w:t>N</w:t>
            </w:r>
            <w:r w:rsidR="00C06AB1" w:rsidRPr="000F551C">
              <w:rPr>
                <w:rFonts w:cs="Times New Roman"/>
                <w:szCs w:val="24"/>
              </w:rPr>
              <w:t xml:space="preserve">etiek ievēroti </w:t>
            </w:r>
            <w:r w:rsidR="00C06AB1" w:rsidRPr="000F551C">
              <w:rPr>
                <w:rFonts w:cs="Times New Roman"/>
                <w:color w:val="000000"/>
                <w:szCs w:val="24"/>
              </w:rPr>
              <w:t xml:space="preserve">Latvijas un ES saprašanās memorandā paredzētie pasākumi un revīzijas iestādes  ieteikumi </w:t>
            </w:r>
            <w:r w:rsidR="00DC106D" w:rsidRPr="000F551C">
              <w:rPr>
                <w:rFonts w:cs="Times New Roman"/>
                <w:szCs w:val="24"/>
              </w:rPr>
              <w:t>decentralizēt funkciju deleģēšanu un mazināt ES fondu administrēšanā iesaistīto institūciju skaitu</w:t>
            </w:r>
          </w:p>
          <w:p w:rsidR="00C06AB1" w:rsidRPr="000F551C" w:rsidRDefault="00C06AB1" w:rsidP="000F551C">
            <w:pPr>
              <w:pStyle w:val="ListParagraph"/>
              <w:numPr>
                <w:ilvl w:val="0"/>
                <w:numId w:val="10"/>
              </w:numPr>
              <w:jc w:val="both"/>
              <w:rPr>
                <w:rFonts w:cs="Times New Roman"/>
                <w:color w:val="000000"/>
                <w:szCs w:val="24"/>
              </w:rPr>
            </w:pPr>
            <w:r w:rsidRPr="000F551C">
              <w:rPr>
                <w:rFonts w:cs="Times New Roman"/>
                <w:color w:val="000000"/>
                <w:szCs w:val="24"/>
              </w:rPr>
              <w:t>Kopējais ES fondu administrēšanā iesaistīto institūci</w:t>
            </w:r>
            <w:r w:rsidR="00F20FE1" w:rsidRPr="000F551C">
              <w:rPr>
                <w:rFonts w:cs="Times New Roman"/>
                <w:color w:val="000000"/>
                <w:szCs w:val="24"/>
              </w:rPr>
              <w:t>ju un ierēdņu skaits palielinās</w:t>
            </w:r>
            <w:r w:rsidRPr="000F551C">
              <w:rPr>
                <w:rFonts w:cs="Times New Roman"/>
                <w:color w:val="000000"/>
                <w:szCs w:val="24"/>
              </w:rPr>
              <w:t xml:space="preserve"> </w:t>
            </w:r>
          </w:p>
          <w:p w:rsidR="00F20FE1" w:rsidRPr="000F551C" w:rsidRDefault="0049375F" w:rsidP="000F551C">
            <w:pPr>
              <w:pStyle w:val="ListParagraph"/>
              <w:numPr>
                <w:ilvl w:val="0"/>
                <w:numId w:val="10"/>
              </w:numPr>
              <w:jc w:val="both"/>
              <w:rPr>
                <w:rFonts w:cs="Times New Roman"/>
                <w:bCs/>
                <w:color w:val="000000"/>
                <w:szCs w:val="24"/>
              </w:rPr>
            </w:pPr>
            <w:r w:rsidRPr="000F551C">
              <w:rPr>
                <w:rFonts w:cs="Times New Roman"/>
                <w:szCs w:val="24"/>
              </w:rPr>
              <w:t>Vadošajai iestādei ir nepieciešami papildus resursi, lai uzraudzītu lielu iesaistīto iestāžu skaitu. Nepietiekamas uzraudzības gadījumā audita pārbaudēs konstatētās sistēmiskās kļūdas var novest pie maksājumu apturēšanas</w:t>
            </w:r>
          </w:p>
          <w:p w:rsidR="00C06AB1" w:rsidRPr="000F551C" w:rsidRDefault="00C06AB1" w:rsidP="000F551C">
            <w:pPr>
              <w:pStyle w:val="ListParagraph"/>
              <w:numPr>
                <w:ilvl w:val="0"/>
                <w:numId w:val="10"/>
              </w:numPr>
              <w:jc w:val="both"/>
              <w:rPr>
                <w:rFonts w:cs="Times New Roman"/>
                <w:szCs w:val="24"/>
              </w:rPr>
            </w:pPr>
            <w:r w:rsidRPr="000F551C">
              <w:rPr>
                <w:rFonts w:cs="Times New Roman"/>
                <w:color w:val="000000"/>
                <w:szCs w:val="24"/>
              </w:rPr>
              <w:t xml:space="preserve">Atbilstoši EK regulu piedāvājumam akreditācijas struktūrai ziņojumu par iestāžu akreditāciju un izveidoto vadības un kontroles sistēmu EK jāiesniedz 6 mēnešu laikā pēc darbības programmas apstiprināšanas, kas daudzu </w:t>
            </w:r>
            <w:r w:rsidR="00E83809" w:rsidRPr="000F551C">
              <w:rPr>
                <w:rFonts w:cs="Times New Roman"/>
                <w:color w:val="000000"/>
                <w:szCs w:val="24"/>
              </w:rPr>
              <w:t>starpniekinstitūciju</w:t>
            </w:r>
            <w:r w:rsidRPr="000F551C">
              <w:rPr>
                <w:rFonts w:cs="Times New Roman"/>
                <w:color w:val="000000"/>
                <w:szCs w:val="24"/>
              </w:rPr>
              <w:t xml:space="preserve"> gadījumā būs nepietiekams laiks kvalitatīva</w:t>
            </w:r>
            <w:r w:rsidR="00D77424" w:rsidRPr="000F551C">
              <w:rPr>
                <w:rFonts w:cs="Times New Roman"/>
                <w:color w:val="000000"/>
                <w:szCs w:val="24"/>
              </w:rPr>
              <w:t>i</w:t>
            </w:r>
            <w:r w:rsidRPr="000F551C">
              <w:rPr>
                <w:rFonts w:cs="Times New Roman"/>
                <w:color w:val="000000"/>
                <w:szCs w:val="24"/>
              </w:rPr>
              <w:t xml:space="preserve"> akreditācijas </w:t>
            </w:r>
            <w:r w:rsidR="00D77424" w:rsidRPr="000F551C">
              <w:rPr>
                <w:rFonts w:cs="Times New Roman"/>
                <w:color w:val="000000"/>
                <w:szCs w:val="24"/>
              </w:rPr>
              <w:t xml:space="preserve">nosacījumu </w:t>
            </w:r>
            <w:r w:rsidR="00D77424" w:rsidRPr="000F551C">
              <w:rPr>
                <w:rFonts w:cs="Times New Roman"/>
                <w:color w:val="000000"/>
                <w:szCs w:val="24"/>
              </w:rPr>
              <w:lastRenderedPageBreak/>
              <w:t xml:space="preserve">sagatavošanai (t.sk. iekšējo kontroles sistēmu izveidei) un akreditācijas </w:t>
            </w:r>
            <w:r w:rsidRPr="000F551C">
              <w:rPr>
                <w:rFonts w:cs="Times New Roman"/>
                <w:color w:val="000000"/>
                <w:szCs w:val="24"/>
              </w:rPr>
              <w:t>procesa nodrošināšanai, kas var aizkavēt ES KP fondu 2014. – 2020.gada plānošanas perioda uzsākšanu.</w:t>
            </w:r>
          </w:p>
        </w:tc>
      </w:tr>
      <w:tr w:rsidR="00C06AB1" w:rsidRPr="000F551C" w:rsidTr="000F551C">
        <w:tc>
          <w:tcPr>
            <w:tcW w:w="3652" w:type="dxa"/>
          </w:tcPr>
          <w:p w:rsidR="00C06AB1" w:rsidRPr="000F551C" w:rsidRDefault="008075DD" w:rsidP="000F551C">
            <w:pPr>
              <w:pStyle w:val="ListParagraph"/>
              <w:numPr>
                <w:ilvl w:val="0"/>
                <w:numId w:val="3"/>
              </w:numPr>
              <w:ind w:left="0" w:firstLine="0"/>
              <w:jc w:val="both"/>
              <w:rPr>
                <w:rFonts w:cs="Times New Roman"/>
                <w:szCs w:val="24"/>
              </w:rPr>
            </w:pPr>
            <w:r w:rsidRPr="000F551C">
              <w:rPr>
                <w:rFonts w:cs="Times New Roman"/>
                <w:b/>
                <w:szCs w:val="24"/>
              </w:rPr>
              <w:lastRenderedPageBreak/>
              <w:t xml:space="preserve">AI tiek noteiktas atbilstoši </w:t>
            </w:r>
            <w:r w:rsidR="00C1799A" w:rsidRPr="000F551C">
              <w:rPr>
                <w:rFonts w:cs="Times New Roman"/>
                <w:b/>
                <w:szCs w:val="24"/>
              </w:rPr>
              <w:t xml:space="preserve">darbības programmas </w:t>
            </w:r>
            <w:r w:rsidRPr="000F551C">
              <w:rPr>
                <w:rFonts w:cs="Times New Roman"/>
                <w:b/>
                <w:szCs w:val="24"/>
              </w:rPr>
              <w:t>prioritāriem virzieniem. Viena AI var būt atbildīga par vairāk</w:t>
            </w:r>
            <w:r w:rsidR="00DA6C02" w:rsidRPr="000F551C">
              <w:rPr>
                <w:rFonts w:cs="Times New Roman"/>
                <w:b/>
                <w:szCs w:val="24"/>
              </w:rPr>
              <w:t>iem</w:t>
            </w:r>
            <w:r w:rsidRPr="000F551C">
              <w:rPr>
                <w:rFonts w:cs="Times New Roman"/>
                <w:b/>
                <w:szCs w:val="24"/>
              </w:rPr>
              <w:t xml:space="preserve"> prioritār</w:t>
            </w:r>
            <w:r w:rsidR="00C1799A" w:rsidRPr="000F551C">
              <w:rPr>
                <w:rFonts w:cs="Times New Roman"/>
                <w:b/>
                <w:szCs w:val="24"/>
              </w:rPr>
              <w:t>aj</w:t>
            </w:r>
            <w:r w:rsidRPr="000F551C">
              <w:rPr>
                <w:rFonts w:cs="Times New Roman"/>
                <w:b/>
                <w:szCs w:val="24"/>
              </w:rPr>
              <w:t>iem virzieniem</w:t>
            </w:r>
          </w:p>
        </w:tc>
        <w:tc>
          <w:tcPr>
            <w:tcW w:w="4961" w:type="dxa"/>
          </w:tcPr>
          <w:p w:rsidR="007F0238" w:rsidRPr="000F551C" w:rsidRDefault="008075DD" w:rsidP="000F551C">
            <w:pPr>
              <w:pStyle w:val="ListParagraph"/>
              <w:numPr>
                <w:ilvl w:val="0"/>
                <w:numId w:val="11"/>
              </w:numPr>
              <w:jc w:val="both"/>
              <w:rPr>
                <w:rFonts w:cs="Times New Roman"/>
                <w:color w:val="000000"/>
                <w:szCs w:val="24"/>
              </w:rPr>
            </w:pPr>
            <w:r w:rsidRPr="000F551C">
              <w:rPr>
                <w:rFonts w:cs="Times New Roman"/>
                <w:color w:val="000000"/>
                <w:szCs w:val="24"/>
              </w:rPr>
              <w:t xml:space="preserve">Tiek nodrošināta tematiskā koncentrācija, </w:t>
            </w:r>
            <w:r w:rsidR="007F0238" w:rsidRPr="000F551C">
              <w:rPr>
                <w:rFonts w:cs="Times New Roman"/>
                <w:color w:val="000000"/>
                <w:szCs w:val="24"/>
              </w:rPr>
              <w:t>tiek konsolidēti plānotie mērķi. Atbildīgās iestādes nodrošina pārresorisku skatījumu, nodrošinot  koncentrētāku un efektīvāku investīciju ieguldījumu Latvijai no</w:t>
            </w:r>
            <w:r w:rsidR="00F20FE1" w:rsidRPr="000F551C">
              <w:rPr>
                <w:rFonts w:cs="Times New Roman"/>
                <w:color w:val="000000"/>
                <w:szCs w:val="24"/>
              </w:rPr>
              <w:t>teiktajos sasniedzamajos mērķos</w:t>
            </w:r>
            <w:r w:rsidR="00A86F84">
              <w:rPr>
                <w:rFonts w:cs="Times New Roman"/>
                <w:color w:val="000000"/>
                <w:szCs w:val="24"/>
              </w:rPr>
              <w:t xml:space="preserve">. </w:t>
            </w:r>
            <w:r w:rsidR="00A86F84" w:rsidRPr="000F551C">
              <w:rPr>
                <w:rFonts w:cs="Times New Roman"/>
                <w:color w:val="000000"/>
                <w:szCs w:val="24"/>
              </w:rPr>
              <w:t>Veidojas skaidrāks atbildību sadalījums par konkrētu mērķu (pārnozares) sasniegšanu, tiek nodrošināta efektīvāka pārvaldība, kas veicina orientāciju uz rezultātu</w:t>
            </w:r>
            <w:r w:rsidR="00A86F84">
              <w:rPr>
                <w:rFonts w:cs="Times New Roman"/>
                <w:color w:val="000000"/>
                <w:szCs w:val="24"/>
              </w:rPr>
              <w:t>.</w:t>
            </w:r>
          </w:p>
          <w:p w:rsidR="008075DD" w:rsidRPr="000F551C" w:rsidRDefault="00F20FE1" w:rsidP="000F551C">
            <w:pPr>
              <w:pStyle w:val="ListParagraph"/>
              <w:numPr>
                <w:ilvl w:val="0"/>
                <w:numId w:val="11"/>
              </w:numPr>
              <w:jc w:val="both"/>
              <w:rPr>
                <w:rFonts w:cs="Times New Roman"/>
                <w:color w:val="000000"/>
                <w:szCs w:val="24"/>
              </w:rPr>
            </w:pPr>
            <w:r w:rsidRPr="000F551C">
              <w:rPr>
                <w:rFonts w:cs="Times New Roman"/>
                <w:color w:val="000000"/>
                <w:szCs w:val="24"/>
              </w:rPr>
              <w:t>A</w:t>
            </w:r>
            <w:r w:rsidR="008075DD" w:rsidRPr="000F551C">
              <w:rPr>
                <w:rFonts w:cs="Times New Roman"/>
                <w:color w:val="000000"/>
                <w:szCs w:val="24"/>
              </w:rPr>
              <w:t>d</w:t>
            </w:r>
            <w:r w:rsidR="007F0238" w:rsidRPr="000F551C">
              <w:rPr>
                <w:rFonts w:cs="Times New Roman"/>
                <w:color w:val="000000"/>
                <w:szCs w:val="24"/>
              </w:rPr>
              <w:t>ministratīvā sloga samazināšana gan fondu administrētāj</w:t>
            </w:r>
            <w:r w:rsidRPr="000F551C">
              <w:rPr>
                <w:rFonts w:cs="Times New Roman"/>
                <w:color w:val="000000"/>
                <w:szCs w:val="24"/>
              </w:rPr>
              <w:t>iem, gan finansējuma saņēmējiem</w:t>
            </w:r>
            <w:r w:rsidR="008075DD" w:rsidRPr="000F551C">
              <w:rPr>
                <w:rFonts w:cs="Times New Roman"/>
                <w:color w:val="000000"/>
                <w:szCs w:val="24"/>
              </w:rPr>
              <w:t xml:space="preserve"> </w:t>
            </w:r>
          </w:p>
          <w:p w:rsidR="007F0238" w:rsidRPr="000F551C" w:rsidRDefault="008075DD" w:rsidP="000F551C">
            <w:pPr>
              <w:pStyle w:val="ListParagraph"/>
              <w:numPr>
                <w:ilvl w:val="0"/>
                <w:numId w:val="11"/>
              </w:numPr>
              <w:jc w:val="both"/>
              <w:rPr>
                <w:rFonts w:cs="Times New Roman"/>
                <w:color w:val="000000"/>
                <w:szCs w:val="24"/>
              </w:rPr>
            </w:pPr>
            <w:r w:rsidRPr="000F551C">
              <w:rPr>
                <w:rFonts w:cs="Times New Roman"/>
                <w:color w:val="000000"/>
                <w:szCs w:val="24"/>
              </w:rPr>
              <w:t xml:space="preserve">Tiek </w:t>
            </w:r>
            <w:r w:rsidRPr="000F551C">
              <w:rPr>
                <w:rFonts w:cs="Times New Roman"/>
                <w:szCs w:val="24"/>
              </w:rPr>
              <w:t xml:space="preserve">ievēroti </w:t>
            </w:r>
            <w:r w:rsidRPr="000F551C">
              <w:rPr>
                <w:rFonts w:cs="Times New Roman"/>
                <w:color w:val="000000"/>
                <w:szCs w:val="24"/>
              </w:rPr>
              <w:t xml:space="preserve">Latvijas un </w:t>
            </w:r>
            <w:r w:rsidR="007F0238" w:rsidRPr="000F551C">
              <w:rPr>
                <w:rFonts w:cs="Times New Roman"/>
                <w:color w:val="000000"/>
                <w:szCs w:val="24"/>
              </w:rPr>
              <w:t>ES</w:t>
            </w:r>
            <w:r w:rsidRPr="000F551C">
              <w:rPr>
                <w:rFonts w:cs="Times New Roman"/>
                <w:color w:val="000000"/>
                <w:szCs w:val="24"/>
              </w:rPr>
              <w:t xml:space="preserve"> saprašanās memorandā paredzētie pasākumi un revīzijas iestādes ieteikumi decentr</w:t>
            </w:r>
            <w:r w:rsidR="00F20FE1" w:rsidRPr="000F551C">
              <w:rPr>
                <w:rFonts w:cs="Times New Roman"/>
                <w:color w:val="000000"/>
                <w:szCs w:val="24"/>
              </w:rPr>
              <w:t>alizētās sistēmas pārskatīšanai</w:t>
            </w:r>
            <w:r w:rsidRPr="000F551C">
              <w:rPr>
                <w:rFonts w:cs="Times New Roman"/>
                <w:color w:val="000000"/>
                <w:szCs w:val="24"/>
              </w:rPr>
              <w:t xml:space="preserve"> </w:t>
            </w:r>
          </w:p>
          <w:p w:rsidR="00C06AB1" w:rsidRPr="000F551C" w:rsidRDefault="00C06AB1" w:rsidP="000F551C">
            <w:pPr>
              <w:pStyle w:val="ListParagraph"/>
              <w:numPr>
                <w:ilvl w:val="0"/>
                <w:numId w:val="11"/>
              </w:numPr>
              <w:jc w:val="both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812" w:type="dxa"/>
          </w:tcPr>
          <w:p w:rsidR="00C06AB1" w:rsidRPr="000F551C" w:rsidRDefault="008075DD" w:rsidP="000F551C">
            <w:pPr>
              <w:pStyle w:val="ListParagraph"/>
              <w:numPr>
                <w:ilvl w:val="0"/>
                <w:numId w:val="12"/>
              </w:numPr>
              <w:jc w:val="both"/>
              <w:rPr>
                <w:rFonts w:cs="Times New Roman"/>
                <w:szCs w:val="24"/>
              </w:rPr>
            </w:pPr>
            <w:r w:rsidRPr="000F551C">
              <w:rPr>
                <w:rFonts w:cs="Times New Roman"/>
                <w:szCs w:val="24"/>
              </w:rPr>
              <w:t>A</w:t>
            </w:r>
            <w:r w:rsidRPr="000F551C">
              <w:rPr>
                <w:rFonts w:cs="Times New Roman"/>
                <w:color w:val="000000"/>
                <w:szCs w:val="24"/>
              </w:rPr>
              <w:t>ugtāka funkciju centralizācija, attiecīgi attālināta/pastarpināta ES fondu darbību pārvalde katrai nozarei.</w:t>
            </w:r>
          </w:p>
          <w:p w:rsidR="00C1799A" w:rsidRPr="000F551C" w:rsidRDefault="00C1799A" w:rsidP="000F551C">
            <w:pPr>
              <w:pStyle w:val="ListParagraph"/>
              <w:numPr>
                <w:ilvl w:val="0"/>
                <w:numId w:val="12"/>
              </w:numPr>
              <w:jc w:val="both"/>
              <w:rPr>
                <w:rFonts w:cs="Times New Roman"/>
                <w:szCs w:val="24"/>
              </w:rPr>
            </w:pPr>
            <w:r w:rsidRPr="000F551C">
              <w:rPr>
                <w:rFonts w:cs="Times New Roman"/>
                <w:color w:val="000000"/>
                <w:szCs w:val="24"/>
              </w:rPr>
              <w:t>Nozaru ministriju sadarbības problēmas Latvijas vienot</w:t>
            </w:r>
            <w:r w:rsidR="00F20FE1" w:rsidRPr="000F551C">
              <w:rPr>
                <w:rFonts w:cs="Times New Roman"/>
                <w:color w:val="000000"/>
                <w:szCs w:val="24"/>
              </w:rPr>
              <w:t>u koncentrēto mērķu sasniegšanā</w:t>
            </w:r>
          </w:p>
          <w:p w:rsidR="00E83809" w:rsidRDefault="00E83809" w:rsidP="000F551C">
            <w:pPr>
              <w:pStyle w:val="ListParagraph"/>
              <w:numPr>
                <w:ilvl w:val="0"/>
                <w:numId w:val="12"/>
              </w:numPr>
              <w:jc w:val="both"/>
              <w:rPr>
                <w:rFonts w:cs="Times New Roman"/>
                <w:szCs w:val="24"/>
              </w:rPr>
            </w:pPr>
            <w:r w:rsidRPr="000F551C">
              <w:rPr>
                <w:rFonts w:cs="Times New Roman"/>
                <w:szCs w:val="24"/>
              </w:rPr>
              <w:t>Mazinās  nozaru ministriju tiešā atbildība par rādītājiem, izmaksu attiecināmības nosacījumu definēšanu, utt.</w:t>
            </w:r>
          </w:p>
          <w:p w:rsidR="004E7F4B" w:rsidRPr="000F551C" w:rsidRDefault="004E7F4B" w:rsidP="004E7F4B">
            <w:pPr>
              <w:pStyle w:val="ListParagraph"/>
              <w:numPr>
                <w:ilvl w:val="0"/>
                <w:numId w:val="12"/>
              </w:numPr>
              <w:jc w:val="both"/>
              <w:rPr>
                <w:rFonts w:cs="Times New Roman"/>
                <w:szCs w:val="24"/>
              </w:rPr>
            </w:pPr>
            <w:r w:rsidRPr="0002092B">
              <w:t>jauns ieviešanas modelis, līdz</w:t>
            </w:r>
            <w:r>
              <w:t xml:space="preserve"> ar to </w:t>
            </w:r>
            <w:r w:rsidRPr="0002092B">
              <w:t>būs  nepieciešams  laiks  un  papildu r</w:t>
            </w:r>
            <w:r>
              <w:t xml:space="preserve">esursi, lai atbildīgās iestādes </w:t>
            </w:r>
            <w:r w:rsidRPr="0002092B">
              <w:t>nodrošinātu  nepieciešamo kapacitāti pi</w:t>
            </w:r>
            <w:r>
              <w:t xml:space="preserve">enākumu veikšanai, kā rezultātā </w:t>
            </w:r>
            <w:r w:rsidRPr="0002092B">
              <w:t xml:space="preserve">tiks  apdraudēta  ES  fondu  apguve, </w:t>
            </w:r>
            <w:r>
              <w:t xml:space="preserve">pārejas periodā potenciāli </w:t>
            </w:r>
            <w:r w:rsidRPr="0002092B">
              <w:t>palielināsies neatbilstoši veikto izdevumu apjoms</w:t>
            </w:r>
          </w:p>
        </w:tc>
      </w:tr>
      <w:tr w:rsidR="008075DD" w:rsidRPr="000F551C" w:rsidTr="000F551C">
        <w:tc>
          <w:tcPr>
            <w:tcW w:w="3652" w:type="dxa"/>
          </w:tcPr>
          <w:p w:rsidR="008075DD" w:rsidRPr="000F551C" w:rsidRDefault="008075DD" w:rsidP="000F551C">
            <w:pPr>
              <w:pStyle w:val="ListParagraph"/>
              <w:numPr>
                <w:ilvl w:val="0"/>
                <w:numId w:val="3"/>
              </w:numPr>
              <w:ind w:left="0" w:firstLine="0"/>
              <w:jc w:val="both"/>
              <w:rPr>
                <w:rFonts w:cs="Times New Roman"/>
                <w:b/>
                <w:szCs w:val="24"/>
              </w:rPr>
            </w:pPr>
            <w:r w:rsidRPr="000F551C">
              <w:rPr>
                <w:rFonts w:cs="Times New Roman"/>
                <w:b/>
                <w:szCs w:val="24"/>
              </w:rPr>
              <w:t xml:space="preserve">AI tiek noteiktas atbilstoši </w:t>
            </w:r>
            <w:r w:rsidR="003641C3" w:rsidRPr="000F551C">
              <w:rPr>
                <w:rFonts w:cs="Times New Roman"/>
                <w:b/>
                <w:szCs w:val="24"/>
              </w:rPr>
              <w:t>darbības programmā definētajiem specifiskajiem atbalsta mērķiem</w:t>
            </w:r>
          </w:p>
        </w:tc>
        <w:tc>
          <w:tcPr>
            <w:tcW w:w="4961" w:type="dxa"/>
          </w:tcPr>
          <w:p w:rsidR="00616944" w:rsidRDefault="002D364E" w:rsidP="000F551C">
            <w:pPr>
              <w:pStyle w:val="ListParagraph"/>
              <w:numPr>
                <w:ilvl w:val="0"/>
                <w:numId w:val="13"/>
              </w:numPr>
              <w:jc w:val="both"/>
              <w:rPr>
                <w:rFonts w:cs="Times New Roman"/>
                <w:szCs w:val="24"/>
              </w:rPr>
            </w:pPr>
            <w:r w:rsidRPr="000F551C">
              <w:rPr>
                <w:rFonts w:cs="Times New Roman"/>
                <w:szCs w:val="24"/>
              </w:rPr>
              <w:t>Nav nepieciešamas izmaiņas ieviešanas si</w:t>
            </w:r>
            <w:r w:rsidR="00F20FE1" w:rsidRPr="000F551C">
              <w:rPr>
                <w:rFonts w:cs="Times New Roman"/>
                <w:szCs w:val="24"/>
              </w:rPr>
              <w:t xml:space="preserve">stēmā </w:t>
            </w:r>
          </w:p>
          <w:p w:rsidR="002D364E" w:rsidRPr="000F551C" w:rsidRDefault="00616944" w:rsidP="000F551C">
            <w:pPr>
              <w:pStyle w:val="ListParagraph"/>
              <w:numPr>
                <w:ilvl w:val="0"/>
                <w:numId w:val="13"/>
              </w:numPr>
              <w:jc w:val="both"/>
              <w:rPr>
                <w:rFonts w:cs="Times New Roman"/>
                <w:szCs w:val="24"/>
              </w:rPr>
            </w:pPr>
            <w:r w:rsidRPr="000F551C">
              <w:rPr>
                <w:rFonts w:cs="Times New Roman"/>
                <w:szCs w:val="24"/>
              </w:rPr>
              <w:t>Pēctecības nodrošināšana, ņemot vērā 2007.- 2013.gada plānošanas perioda izveidojušos pieredzi</w:t>
            </w:r>
            <w:r w:rsidRPr="000F551C" w:rsidDel="00616944">
              <w:rPr>
                <w:rFonts w:cs="Times New Roman"/>
                <w:szCs w:val="24"/>
              </w:rPr>
              <w:t xml:space="preserve"> </w:t>
            </w:r>
            <w:r w:rsidR="002D364E" w:rsidRPr="000F551C">
              <w:rPr>
                <w:rFonts w:cs="Times New Roman"/>
                <w:szCs w:val="24"/>
              </w:rPr>
              <w:t>Visas ministrijas vienlīdzīgi līdzatbildīgas par rezultātiem</w:t>
            </w:r>
          </w:p>
          <w:p w:rsidR="008075DD" w:rsidRPr="0075342E" w:rsidRDefault="002D364E" w:rsidP="000F551C">
            <w:pPr>
              <w:pStyle w:val="ListParagraph"/>
              <w:numPr>
                <w:ilvl w:val="0"/>
                <w:numId w:val="13"/>
              </w:numPr>
              <w:jc w:val="both"/>
              <w:rPr>
                <w:rFonts w:cs="Times New Roman"/>
                <w:color w:val="000000"/>
                <w:szCs w:val="24"/>
              </w:rPr>
            </w:pPr>
            <w:r w:rsidRPr="000F551C">
              <w:rPr>
                <w:rFonts w:cs="Times New Roman"/>
                <w:szCs w:val="24"/>
              </w:rPr>
              <w:t xml:space="preserve">Par nozares politiku atbildīga attiecīgā </w:t>
            </w:r>
            <w:r w:rsidRPr="000F551C">
              <w:rPr>
                <w:rFonts w:cs="Times New Roman"/>
                <w:szCs w:val="24"/>
              </w:rPr>
              <w:lastRenderedPageBreak/>
              <w:t>nozares ministrija/Valsts kanceleja</w:t>
            </w:r>
          </w:p>
          <w:p w:rsidR="00A56300" w:rsidRPr="000F551C" w:rsidRDefault="00A56300" w:rsidP="000F551C">
            <w:pPr>
              <w:pStyle w:val="ListParagraph"/>
              <w:numPr>
                <w:ilvl w:val="0"/>
                <w:numId w:val="13"/>
              </w:numPr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szCs w:val="24"/>
              </w:rPr>
              <w:t>Skaidrs atbildību sadalījums</w:t>
            </w:r>
          </w:p>
        </w:tc>
        <w:tc>
          <w:tcPr>
            <w:tcW w:w="5812" w:type="dxa"/>
          </w:tcPr>
          <w:p w:rsidR="002D364E" w:rsidRPr="000F551C" w:rsidRDefault="00B60B80" w:rsidP="000F551C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="Times New Roman"/>
                <w:color w:val="000000"/>
                <w:szCs w:val="24"/>
              </w:rPr>
            </w:pPr>
            <w:r w:rsidRPr="000F551C">
              <w:rPr>
                <w:rFonts w:cs="Times New Roman"/>
                <w:color w:val="000000"/>
                <w:szCs w:val="24"/>
              </w:rPr>
              <w:lastRenderedPageBreak/>
              <w:t>Pretrunā ar</w:t>
            </w:r>
            <w:r w:rsidR="002D364E" w:rsidRPr="000F551C">
              <w:rPr>
                <w:rFonts w:cs="Times New Roman"/>
                <w:szCs w:val="24"/>
              </w:rPr>
              <w:t xml:space="preserve"> </w:t>
            </w:r>
            <w:r w:rsidR="002D364E" w:rsidRPr="000F551C">
              <w:rPr>
                <w:rFonts w:cs="Times New Roman"/>
                <w:color w:val="000000"/>
                <w:szCs w:val="24"/>
              </w:rPr>
              <w:t>Latvijas un ES saprašanās memorandā paredzēt</w:t>
            </w:r>
            <w:r w:rsidRPr="000F551C">
              <w:rPr>
                <w:rFonts w:cs="Times New Roman"/>
                <w:color w:val="000000"/>
                <w:szCs w:val="24"/>
              </w:rPr>
              <w:t>ajiem</w:t>
            </w:r>
            <w:r w:rsidR="002D364E" w:rsidRPr="000F551C">
              <w:rPr>
                <w:rFonts w:cs="Times New Roman"/>
                <w:color w:val="000000"/>
                <w:szCs w:val="24"/>
              </w:rPr>
              <w:t xml:space="preserve"> pasākumi</w:t>
            </w:r>
            <w:r w:rsidRPr="000F551C">
              <w:rPr>
                <w:rFonts w:cs="Times New Roman"/>
                <w:color w:val="000000"/>
                <w:szCs w:val="24"/>
              </w:rPr>
              <w:t>em</w:t>
            </w:r>
            <w:r w:rsidR="002D364E" w:rsidRPr="000F551C">
              <w:rPr>
                <w:rFonts w:cs="Times New Roman"/>
                <w:color w:val="000000"/>
                <w:szCs w:val="24"/>
              </w:rPr>
              <w:t xml:space="preserve"> un revīzijas iestādes  ieteikumi</w:t>
            </w:r>
            <w:r w:rsidRPr="000F551C">
              <w:rPr>
                <w:rFonts w:cs="Times New Roman"/>
                <w:color w:val="000000"/>
                <w:szCs w:val="24"/>
              </w:rPr>
              <w:t>em</w:t>
            </w:r>
            <w:r w:rsidR="002D364E" w:rsidRPr="000F551C">
              <w:rPr>
                <w:rFonts w:cs="Times New Roman"/>
                <w:color w:val="000000"/>
                <w:szCs w:val="24"/>
              </w:rPr>
              <w:t xml:space="preserve"> </w:t>
            </w:r>
            <w:r w:rsidR="002A75AB" w:rsidRPr="000F551C">
              <w:rPr>
                <w:rFonts w:cs="Times New Roman"/>
                <w:szCs w:val="24"/>
              </w:rPr>
              <w:t>decentralizēt funkciju deleģēšanu un mazināt ES fondu administrēšanā iesaistīto institūciju skaitu</w:t>
            </w:r>
          </w:p>
          <w:p w:rsidR="002D364E" w:rsidRPr="000F551C" w:rsidRDefault="002D364E" w:rsidP="000F551C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="Times New Roman"/>
                <w:color w:val="000000"/>
                <w:szCs w:val="24"/>
              </w:rPr>
            </w:pPr>
            <w:r w:rsidRPr="000F551C">
              <w:rPr>
                <w:rFonts w:cs="Times New Roman"/>
                <w:color w:val="000000"/>
                <w:szCs w:val="24"/>
              </w:rPr>
              <w:t>Netiek nodrošināta tematiskā koncentrācija, ne</w:t>
            </w:r>
            <w:r w:rsidR="00F20FE1" w:rsidRPr="000F551C">
              <w:rPr>
                <w:rFonts w:cs="Times New Roman"/>
                <w:color w:val="000000"/>
                <w:szCs w:val="24"/>
              </w:rPr>
              <w:t>tiek konsolidēti plānotie mērķi</w:t>
            </w:r>
            <w:r w:rsidR="00570B93">
              <w:rPr>
                <w:rFonts w:cs="Times New Roman"/>
                <w:color w:val="000000"/>
                <w:szCs w:val="24"/>
              </w:rPr>
              <w:t>,</w:t>
            </w:r>
            <w:r w:rsidRPr="000F551C">
              <w:rPr>
                <w:rFonts w:cs="Times New Roman"/>
                <w:color w:val="000000"/>
                <w:szCs w:val="24"/>
              </w:rPr>
              <w:t xml:space="preserve"> </w:t>
            </w:r>
            <w:r w:rsidR="00570B93">
              <w:rPr>
                <w:rFonts w:cs="Times New Roman"/>
                <w:color w:val="000000"/>
                <w:szCs w:val="24"/>
              </w:rPr>
              <w:t>a</w:t>
            </w:r>
            <w:r w:rsidR="00570B93" w:rsidRPr="000F551C">
              <w:rPr>
                <w:rFonts w:cs="Times New Roman"/>
                <w:color w:val="000000"/>
                <w:szCs w:val="24"/>
              </w:rPr>
              <w:t xml:space="preserve">tbildīgās iestādes </w:t>
            </w:r>
            <w:r w:rsidR="00570B93" w:rsidRPr="000F551C">
              <w:rPr>
                <w:rFonts w:cs="Times New Roman"/>
                <w:color w:val="000000"/>
                <w:szCs w:val="24"/>
              </w:rPr>
              <w:lastRenderedPageBreak/>
              <w:t>nenodrošina pārresorisku skatījumu</w:t>
            </w:r>
          </w:p>
          <w:p w:rsidR="008075DD" w:rsidRPr="000F551C" w:rsidRDefault="002D364E" w:rsidP="000F551C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="Times New Roman"/>
                <w:szCs w:val="24"/>
              </w:rPr>
            </w:pPr>
            <w:r w:rsidRPr="000F551C">
              <w:rPr>
                <w:rFonts w:cs="Times New Roman"/>
                <w:color w:val="000000"/>
                <w:szCs w:val="24"/>
              </w:rPr>
              <w:t>.</w:t>
            </w:r>
          </w:p>
        </w:tc>
      </w:tr>
      <w:tr w:rsidR="008075DD" w:rsidRPr="000F551C" w:rsidTr="000F551C">
        <w:tc>
          <w:tcPr>
            <w:tcW w:w="14425" w:type="dxa"/>
            <w:gridSpan w:val="3"/>
          </w:tcPr>
          <w:p w:rsidR="008075DD" w:rsidRPr="000F551C" w:rsidRDefault="008075DD" w:rsidP="003641C3">
            <w:pPr>
              <w:rPr>
                <w:rFonts w:cs="Times New Roman"/>
                <w:b/>
                <w:szCs w:val="24"/>
              </w:rPr>
            </w:pPr>
            <w:r w:rsidRPr="000F551C">
              <w:rPr>
                <w:rFonts w:cs="Times New Roman"/>
                <w:b/>
                <w:szCs w:val="24"/>
              </w:rPr>
              <w:lastRenderedPageBreak/>
              <w:t>Sadarbības iestādes</w:t>
            </w:r>
            <w:r w:rsidR="003641C3" w:rsidRPr="000F551C">
              <w:rPr>
                <w:rFonts w:cs="Times New Roman"/>
                <w:b/>
                <w:szCs w:val="24"/>
              </w:rPr>
              <w:t xml:space="preserve"> (SI)</w:t>
            </w:r>
          </w:p>
        </w:tc>
      </w:tr>
      <w:tr w:rsidR="008075DD" w:rsidRPr="000F551C" w:rsidTr="000F551C">
        <w:tc>
          <w:tcPr>
            <w:tcW w:w="3652" w:type="dxa"/>
          </w:tcPr>
          <w:p w:rsidR="008075DD" w:rsidRPr="000F551C" w:rsidRDefault="002D364E" w:rsidP="000F551C">
            <w:pPr>
              <w:pStyle w:val="ListParagraph"/>
              <w:numPr>
                <w:ilvl w:val="0"/>
                <w:numId w:val="4"/>
              </w:numPr>
              <w:ind w:left="0" w:firstLine="0"/>
              <w:jc w:val="both"/>
              <w:rPr>
                <w:rFonts w:cs="Times New Roman"/>
                <w:b/>
                <w:szCs w:val="24"/>
              </w:rPr>
            </w:pPr>
            <w:r w:rsidRPr="000F551C">
              <w:rPr>
                <w:rFonts w:cs="Times New Roman"/>
                <w:b/>
                <w:szCs w:val="24"/>
              </w:rPr>
              <w:t>2007. – 2013.gada plānošanas perioda</w:t>
            </w:r>
            <w:r w:rsidR="008075DD" w:rsidRPr="000F551C">
              <w:rPr>
                <w:rFonts w:cs="Times New Roman"/>
                <w:b/>
                <w:szCs w:val="24"/>
              </w:rPr>
              <w:t xml:space="preserve"> sadarbības iestādes</w:t>
            </w:r>
          </w:p>
          <w:p w:rsidR="008075DD" w:rsidRPr="000F551C" w:rsidRDefault="008075DD" w:rsidP="000F551C">
            <w:pPr>
              <w:pStyle w:val="ListParagraph"/>
              <w:ind w:left="108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4961" w:type="dxa"/>
          </w:tcPr>
          <w:p w:rsidR="007D2358" w:rsidRPr="000F551C" w:rsidRDefault="008075DD" w:rsidP="000F551C">
            <w:pPr>
              <w:pStyle w:val="ListParagraph"/>
              <w:numPr>
                <w:ilvl w:val="0"/>
                <w:numId w:val="15"/>
              </w:numPr>
              <w:jc w:val="both"/>
              <w:rPr>
                <w:rFonts w:cs="Times New Roman"/>
                <w:szCs w:val="24"/>
              </w:rPr>
            </w:pPr>
            <w:r w:rsidRPr="000F551C">
              <w:rPr>
                <w:rFonts w:cs="Times New Roman"/>
                <w:szCs w:val="24"/>
              </w:rPr>
              <w:t xml:space="preserve">Nav nepieciešamas izmaiņas ieviešanas sistēmā </w:t>
            </w:r>
          </w:p>
          <w:p w:rsidR="008075DD" w:rsidRPr="000F551C" w:rsidRDefault="00E65228" w:rsidP="000F551C">
            <w:pPr>
              <w:pStyle w:val="ListParagraph"/>
              <w:numPr>
                <w:ilvl w:val="0"/>
                <w:numId w:val="15"/>
              </w:numPr>
              <w:jc w:val="both"/>
              <w:rPr>
                <w:rFonts w:cs="Times New Roman"/>
                <w:color w:val="000000"/>
                <w:szCs w:val="24"/>
              </w:rPr>
            </w:pPr>
            <w:r w:rsidRPr="000F551C">
              <w:rPr>
                <w:rFonts w:cs="Times New Roman"/>
                <w:szCs w:val="24"/>
              </w:rPr>
              <w:t>Pēctecības nodrošināšana, ņemot vērā 2007.- 2013.gada plānošanas perioda izveidojušos pieredzi</w:t>
            </w:r>
            <w:r w:rsidR="008075DD" w:rsidRPr="000F551C">
              <w:rPr>
                <w:rFonts w:cs="Times New Roman"/>
                <w:szCs w:val="24"/>
              </w:rPr>
              <w:t>.</w:t>
            </w:r>
          </w:p>
        </w:tc>
        <w:tc>
          <w:tcPr>
            <w:tcW w:w="5812" w:type="dxa"/>
          </w:tcPr>
          <w:p w:rsidR="007D2358" w:rsidRPr="000F551C" w:rsidRDefault="008075DD" w:rsidP="000F551C">
            <w:pPr>
              <w:pStyle w:val="ListParagraph"/>
              <w:numPr>
                <w:ilvl w:val="0"/>
                <w:numId w:val="16"/>
              </w:numPr>
              <w:jc w:val="both"/>
              <w:rPr>
                <w:rFonts w:cs="Times New Roman"/>
                <w:szCs w:val="24"/>
              </w:rPr>
            </w:pPr>
            <w:r w:rsidRPr="000F551C">
              <w:rPr>
                <w:rFonts w:cs="Times New Roman"/>
                <w:color w:val="000000"/>
                <w:szCs w:val="24"/>
              </w:rPr>
              <w:t>Finansiāli ietilpīg</w:t>
            </w:r>
            <w:r w:rsidR="007D2358" w:rsidRPr="000F551C">
              <w:rPr>
                <w:rFonts w:cs="Times New Roman"/>
                <w:color w:val="000000"/>
                <w:szCs w:val="24"/>
              </w:rPr>
              <w:t>a</w:t>
            </w:r>
            <w:r w:rsidRPr="000F551C">
              <w:rPr>
                <w:rFonts w:cs="Times New Roman"/>
                <w:color w:val="000000"/>
                <w:szCs w:val="24"/>
              </w:rPr>
              <w:t xml:space="preserve"> deleģēto funkciju izpilde</w:t>
            </w:r>
            <w:r w:rsidR="00E65228" w:rsidRPr="000F551C">
              <w:rPr>
                <w:rFonts w:cs="Times New Roman"/>
                <w:color w:val="000000"/>
                <w:szCs w:val="24"/>
              </w:rPr>
              <w:t xml:space="preserve"> </w:t>
            </w:r>
            <w:r w:rsidR="00BE4243" w:rsidRPr="000F551C">
              <w:rPr>
                <w:rFonts w:cs="Times New Roman"/>
                <w:color w:val="000000"/>
                <w:szCs w:val="24"/>
              </w:rPr>
              <w:t xml:space="preserve">un uzraudzība </w:t>
            </w:r>
            <w:r w:rsidR="00E65228" w:rsidRPr="000F551C">
              <w:rPr>
                <w:rFonts w:cs="Times New Roman"/>
                <w:color w:val="000000"/>
                <w:szCs w:val="24"/>
              </w:rPr>
              <w:t>(daudzu starpniekinstitūciju gadījumā)</w:t>
            </w:r>
            <w:r w:rsidR="00BE4243" w:rsidRPr="000F551C">
              <w:rPr>
                <w:rFonts w:cs="Times New Roman"/>
                <w:color w:val="000000"/>
                <w:szCs w:val="24"/>
              </w:rPr>
              <w:t>, dubulta uzraudzība, kontroles process</w:t>
            </w:r>
            <w:r w:rsidRPr="000F551C">
              <w:rPr>
                <w:rFonts w:cs="Times New Roman"/>
                <w:color w:val="000000"/>
                <w:szCs w:val="24"/>
              </w:rPr>
              <w:t xml:space="preserve"> </w:t>
            </w:r>
          </w:p>
          <w:p w:rsidR="007D2358" w:rsidRPr="000F551C" w:rsidRDefault="00B60B80" w:rsidP="000F551C">
            <w:pPr>
              <w:pStyle w:val="ListParagraph"/>
              <w:numPr>
                <w:ilvl w:val="0"/>
                <w:numId w:val="16"/>
              </w:numPr>
              <w:jc w:val="both"/>
              <w:rPr>
                <w:rFonts w:cs="Times New Roman"/>
                <w:szCs w:val="24"/>
              </w:rPr>
            </w:pPr>
            <w:r w:rsidRPr="000F551C">
              <w:rPr>
                <w:rFonts w:cs="Times New Roman"/>
                <w:color w:val="000000"/>
                <w:szCs w:val="24"/>
              </w:rPr>
              <w:t>Pretrunā ar</w:t>
            </w:r>
            <w:r w:rsidRPr="000F551C">
              <w:rPr>
                <w:rFonts w:cs="Times New Roman"/>
                <w:szCs w:val="24"/>
              </w:rPr>
              <w:t xml:space="preserve"> </w:t>
            </w:r>
            <w:r w:rsidRPr="000F551C">
              <w:rPr>
                <w:rFonts w:cs="Times New Roman"/>
                <w:color w:val="000000"/>
                <w:szCs w:val="24"/>
              </w:rPr>
              <w:t xml:space="preserve">Latvijas un ES saprašanās memorandā paredzētajiem pasākumiem un revīzijas iestādes  ieteikumiem </w:t>
            </w:r>
            <w:r w:rsidR="00BE4243" w:rsidRPr="000F551C">
              <w:rPr>
                <w:rFonts w:cs="Times New Roman"/>
                <w:szCs w:val="24"/>
              </w:rPr>
              <w:t>decentralizēt funkciju deleģēšanu un mazināt ES fondu administrēšanā iesaistīto institūciju skaitu</w:t>
            </w:r>
            <w:r w:rsidR="008075DD" w:rsidRPr="000F551C">
              <w:rPr>
                <w:rFonts w:cs="Times New Roman"/>
                <w:color w:val="000000"/>
                <w:szCs w:val="24"/>
              </w:rPr>
              <w:t xml:space="preserve">. </w:t>
            </w:r>
          </w:p>
          <w:p w:rsidR="008075DD" w:rsidRPr="000F551C" w:rsidRDefault="007D2358" w:rsidP="000F551C">
            <w:pPr>
              <w:pStyle w:val="ListParagraph"/>
              <w:numPr>
                <w:ilvl w:val="0"/>
                <w:numId w:val="16"/>
              </w:numPr>
              <w:jc w:val="both"/>
              <w:rPr>
                <w:rFonts w:cs="Times New Roman"/>
                <w:szCs w:val="24"/>
              </w:rPr>
            </w:pPr>
            <w:r w:rsidRPr="000F551C">
              <w:rPr>
                <w:rFonts w:cs="Times New Roman"/>
                <w:szCs w:val="24"/>
              </w:rPr>
              <w:t>Netiek īstenots vie</w:t>
            </w:r>
            <w:r w:rsidR="00F20FE1" w:rsidRPr="000F551C">
              <w:rPr>
                <w:rFonts w:cs="Times New Roman"/>
                <w:szCs w:val="24"/>
              </w:rPr>
              <w:t>nas pieturas aģentūras princips</w:t>
            </w:r>
          </w:p>
          <w:p w:rsidR="007D2358" w:rsidRPr="000F551C" w:rsidRDefault="007D2358" w:rsidP="000F551C">
            <w:pPr>
              <w:pStyle w:val="ListParagraph"/>
              <w:numPr>
                <w:ilvl w:val="0"/>
                <w:numId w:val="16"/>
              </w:numPr>
              <w:jc w:val="both"/>
              <w:rPr>
                <w:rFonts w:cs="Times New Roman"/>
                <w:szCs w:val="24"/>
              </w:rPr>
            </w:pPr>
            <w:r w:rsidRPr="000F551C">
              <w:rPr>
                <w:rFonts w:cs="Times New Roman"/>
                <w:szCs w:val="24"/>
              </w:rPr>
              <w:t>Netiek mazināts administratīvais slogs ES KP fondu administrētājiem</w:t>
            </w:r>
          </w:p>
        </w:tc>
      </w:tr>
      <w:tr w:rsidR="008075DD" w:rsidRPr="000F551C" w:rsidTr="000F551C">
        <w:tc>
          <w:tcPr>
            <w:tcW w:w="3652" w:type="dxa"/>
          </w:tcPr>
          <w:p w:rsidR="008075DD" w:rsidRPr="000F551C" w:rsidRDefault="00B60B80" w:rsidP="000F551C">
            <w:pPr>
              <w:pStyle w:val="ListParagraph"/>
              <w:numPr>
                <w:ilvl w:val="0"/>
                <w:numId w:val="4"/>
              </w:numPr>
              <w:ind w:left="0" w:firstLine="0"/>
              <w:jc w:val="both"/>
              <w:rPr>
                <w:rFonts w:cs="Times New Roman"/>
                <w:b/>
                <w:szCs w:val="24"/>
              </w:rPr>
            </w:pPr>
            <w:r w:rsidRPr="000F551C">
              <w:rPr>
                <w:rFonts w:cs="Times New Roman"/>
                <w:b/>
                <w:szCs w:val="24"/>
              </w:rPr>
              <w:t>A</w:t>
            </w:r>
            <w:r w:rsidR="007D2358" w:rsidRPr="000F551C">
              <w:rPr>
                <w:rFonts w:cs="Times New Roman"/>
                <w:b/>
                <w:szCs w:val="24"/>
              </w:rPr>
              <w:t>ģentūra</w:t>
            </w:r>
            <w:r w:rsidRPr="000F551C">
              <w:rPr>
                <w:rFonts w:cs="Times New Roman"/>
                <w:b/>
                <w:szCs w:val="24"/>
              </w:rPr>
              <w:t xml:space="preserve"> atbilstoši finansējuma saņēmēja </w:t>
            </w:r>
            <w:r w:rsidR="007D2358" w:rsidRPr="000F551C">
              <w:rPr>
                <w:rFonts w:cs="Times New Roman"/>
                <w:b/>
                <w:szCs w:val="24"/>
              </w:rPr>
              <w:t xml:space="preserve"> </w:t>
            </w:r>
            <w:r w:rsidRPr="000F551C">
              <w:rPr>
                <w:rFonts w:cs="Times New Roman"/>
                <w:b/>
                <w:szCs w:val="24"/>
              </w:rPr>
              <w:t>juridiskajam statusam</w:t>
            </w:r>
          </w:p>
        </w:tc>
        <w:tc>
          <w:tcPr>
            <w:tcW w:w="4961" w:type="dxa"/>
          </w:tcPr>
          <w:p w:rsidR="007D2358" w:rsidRPr="000F551C" w:rsidRDefault="000F551C" w:rsidP="000F551C">
            <w:pPr>
              <w:pStyle w:val="ListParagraph"/>
              <w:numPr>
                <w:ilvl w:val="0"/>
                <w:numId w:val="17"/>
              </w:num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</w:t>
            </w:r>
            <w:r w:rsidR="007D2358" w:rsidRPr="000F551C">
              <w:rPr>
                <w:rFonts w:cs="Times New Roman"/>
                <w:szCs w:val="24"/>
              </w:rPr>
              <w:t>ienas pieturas aģentūras principa no</w:t>
            </w:r>
            <w:r w:rsidR="00F20FE1" w:rsidRPr="000F551C">
              <w:rPr>
                <w:rFonts w:cs="Times New Roman"/>
                <w:szCs w:val="24"/>
              </w:rPr>
              <w:t>drošināšana</w:t>
            </w:r>
            <w:r w:rsidR="004F3D27" w:rsidRPr="000F551C">
              <w:rPr>
                <w:rFonts w:cs="Times New Roman"/>
                <w:szCs w:val="24"/>
              </w:rPr>
              <w:t xml:space="preserve"> finansējuma saņēmējiem</w:t>
            </w:r>
            <w:r w:rsidR="00E65228" w:rsidRPr="000F551C">
              <w:rPr>
                <w:rFonts w:cs="Times New Roman"/>
                <w:szCs w:val="24"/>
              </w:rPr>
              <w:t xml:space="preserve"> (katrs finansējuma saņēmējs strādā ar vienu aģentūru)</w:t>
            </w:r>
          </w:p>
          <w:p w:rsidR="007D2358" w:rsidRPr="000F551C" w:rsidRDefault="00F20FE1" w:rsidP="000F551C">
            <w:pPr>
              <w:pStyle w:val="ListParagraph"/>
              <w:numPr>
                <w:ilvl w:val="0"/>
                <w:numId w:val="17"/>
              </w:numPr>
              <w:jc w:val="both"/>
              <w:rPr>
                <w:rFonts w:cs="Times New Roman"/>
                <w:szCs w:val="24"/>
              </w:rPr>
            </w:pPr>
            <w:r w:rsidRPr="000F551C">
              <w:rPr>
                <w:rFonts w:cs="Times New Roman"/>
                <w:szCs w:val="24"/>
              </w:rPr>
              <w:t>S</w:t>
            </w:r>
            <w:r w:rsidR="007D2358" w:rsidRPr="000F551C">
              <w:rPr>
                <w:rFonts w:cs="Times New Roman"/>
                <w:szCs w:val="24"/>
              </w:rPr>
              <w:t>amazināts administratīva</w:t>
            </w:r>
            <w:r w:rsidRPr="000F551C">
              <w:rPr>
                <w:rFonts w:cs="Times New Roman"/>
                <w:szCs w:val="24"/>
              </w:rPr>
              <w:t>is slogs finansējuma saņēmējiem</w:t>
            </w:r>
            <w:r w:rsidR="00E65228" w:rsidRPr="000F551C">
              <w:rPr>
                <w:rFonts w:cs="Times New Roman"/>
                <w:szCs w:val="24"/>
              </w:rPr>
              <w:t xml:space="preserve"> (vienotas prasības projektu īstenošanā)</w:t>
            </w:r>
          </w:p>
          <w:p w:rsidR="007D2358" w:rsidRPr="000F551C" w:rsidRDefault="00E65228" w:rsidP="000F551C">
            <w:pPr>
              <w:pStyle w:val="ListParagraph"/>
              <w:numPr>
                <w:ilvl w:val="0"/>
                <w:numId w:val="17"/>
              </w:numPr>
              <w:jc w:val="both"/>
              <w:rPr>
                <w:rFonts w:cs="Times New Roman"/>
                <w:szCs w:val="24"/>
              </w:rPr>
            </w:pPr>
            <w:r w:rsidRPr="000F551C">
              <w:rPr>
                <w:rFonts w:cs="Times New Roman"/>
                <w:szCs w:val="24"/>
              </w:rPr>
              <w:t>Daļēja p</w:t>
            </w:r>
            <w:r w:rsidR="004F3D27" w:rsidRPr="000F551C">
              <w:rPr>
                <w:rFonts w:cs="Times New Roman"/>
                <w:szCs w:val="24"/>
              </w:rPr>
              <w:t xml:space="preserve">ēctecības nodrošināšana, ņemot vērā 2007.- 2013.gada plānošanas perioda izveidojušos pieredzi </w:t>
            </w:r>
          </w:p>
          <w:p w:rsidR="008075DD" w:rsidRPr="000F551C" w:rsidRDefault="008075DD" w:rsidP="000F551C">
            <w:pPr>
              <w:pStyle w:val="ListParagraph"/>
              <w:ind w:left="0"/>
              <w:jc w:val="both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812" w:type="dxa"/>
          </w:tcPr>
          <w:p w:rsidR="007D58C1" w:rsidRPr="000F551C" w:rsidRDefault="008075DD" w:rsidP="000F551C">
            <w:pPr>
              <w:pStyle w:val="ListParagraph"/>
              <w:numPr>
                <w:ilvl w:val="0"/>
                <w:numId w:val="18"/>
              </w:numPr>
              <w:jc w:val="both"/>
              <w:rPr>
                <w:rFonts w:cs="Times New Roman"/>
                <w:szCs w:val="24"/>
              </w:rPr>
            </w:pPr>
            <w:r w:rsidRPr="000F551C">
              <w:rPr>
                <w:rFonts w:cs="Times New Roman"/>
                <w:szCs w:val="24"/>
              </w:rPr>
              <w:t xml:space="preserve"> </w:t>
            </w:r>
            <w:r w:rsidR="007D58C1" w:rsidRPr="000F551C">
              <w:rPr>
                <w:rFonts w:cs="Times New Roman"/>
                <w:szCs w:val="24"/>
              </w:rPr>
              <w:t>Netiek īstenots vienas pieturas aģentūras princips</w:t>
            </w:r>
            <w:r w:rsidR="004F3D27" w:rsidRPr="000F551C">
              <w:rPr>
                <w:rFonts w:cs="Times New Roman"/>
                <w:szCs w:val="24"/>
              </w:rPr>
              <w:t xml:space="preserve">, jo ministrijām/iestādēm jāstrādā ar vairākām aģentūrām </w:t>
            </w:r>
            <w:r w:rsidR="007D58C1" w:rsidRPr="000F551C">
              <w:rPr>
                <w:rFonts w:cs="Times New Roman"/>
                <w:szCs w:val="24"/>
              </w:rPr>
              <w:t xml:space="preserve"> </w:t>
            </w:r>
          </w:p>
          <w:p w:rsidR="007D58C1" w:rsidRPr="000F551C" w:rsidRDefault="007D58C1" w:rsidP="000F551C">
            <w:pPr>
              <w:pStyle w:val="ListParagraph"/>
              <w:numPr>
                <w:ilvl w:val="0"/>
                <w:numId w:val="18"/>
              </w:numPr>
              <w:jc w:val="both"/>
              <w:rPr>
                <w:rFonts w:cs="Times New Roman"/>
                <w:szCs w:val="24"/>
              </w:rPr>
            </w:pPr>
            <w:r w:rsidRPr="000F551C">
              <w:rPr>
                <w:rFonts w:cs="Times New Roman"/>
                <w:szCs w:val="24"/>
              </w:rPr>
              <w:t>Neti</w:t>
            </w:r>
            <w:r w:rsidR="00871843" w:rsidRPr="000F551C">
              <w:rPr>
                <w:rFonts w:cs="Times New Roman"/>
                <w:szCs w:val="24"/>
              </w:rPr>
              <w:t>e</w:t>
            </w:r>
            <w:r w:rsidRPr="000F551C">
              <w:rPr>
                <w:rFonts w:cs="Times New Roman"/>
                <w:szCs w:val="24"/>
              </w:rPr>
              <w:t>k nodrošināta vienota pie</w:t>
            </w:r>
            <w:r w:rsidR="00871843" w:rsidRPr="000F551C">
              <w:rPr>
                <w:rFonts w:cs="Times New Roman"/>
                <w:szCs w:val="24"/>
              </w:rPr>
              <w:t>eja visu projektu administrēšanā</w:t>
            </w:r>
            <w:r w:rsidRPr="000F551C">
              <w:rPr>
                <w:rFonts w:cs="Times New Roman"/>
                <w:szCs w:val="24"/>
              </w:rPr>
              <w:t>, tai skaitā izstrādājot ko</w:t>
            </w:r>
            <w:r w:rsidR="00F20FE1" w:rsidRPr="000F551C">
              <w:rPr>
                <w:rFonts w:cs="Times New Roman"/>
                <w:szCs w:val="24"/>
              </w:rPr>
              <w:t>ntroles un uzraudzības prasības</w:t>
            </w:r>
          </w:p>
          <w:p w:rsidR="008075DD" w:rsidRPr="000F551C" w:rsidRDefault="008075DD" w:rsidP="000F551C">
            <w:pPr>
              <w:pStyle w:val="ListParagraph"/>
              <w:ind w:left="49"/>
              <w:jc w:val="both"/>
              <w:rPr>
                <w:rFonts w:cs="Times New Roman"/>
                <w:szCs w:val="24"/>
              </w:rPr>
            </w:pPr>
          </w:p>
        </w:tc>
      </w:tr>
      <w:tr w:rsidR="008075DD" w:rsidRPr="000F551C" w:rsidTr="000F551C">
        <w:tc>
          <w:tcPr>
            <w:tcW w:w="3652" w:type="dxa"/>
          </w:tcPr>
          <w:p w:rsidR="008075DD" w:rsidRPr="000F551C" w:rsidRDefault="00871843" w:rsidP="000F551C">
            <w:pPr>
              <w:pStyle w:val="ListParagraph"/>
              <w:numPr>
                <w:ilvl w:val="0"/>
                <w:numId w:val="4"/>
              </w:numPr>
              <w:ind w:left="0" w:firstLine="0"/>
              <w:jc w:val="both"/>
              <w:rPr>
                <w:rFonts w:cs="Times New Roman"/>
                <w:b/>
                <w:szCs w:val="24"/>
              </w:rPr>
            </w:pPr>
            <w:r w:rsidRPr="000F551C">
              <w:rPr>
                <w:rFonts w:cs="Times New Roman"/>
                <w:b/>
                <w:szCs w:val="24"/>
              </w:rPr>
              <w:t>Vienas pieturas aģentūra</w:t>
            </w:r>
          </w:p>
          <w:p w:rsidR="008075DD" w:rsidRPr="000F551C" w:rsidRDefault="008075DD" w:rsidP="000F551C">
            <w:pPr>
              <w:pStyle w:val="ListParagraph"/>
              <w:ind w:left="108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4961" w:type="dxa"/>
          </w:tcPr>
          <w:p w:rsidR="00871843" w:rsidRPr="000F551C" w:rsidRDefault="002D364E" w:rsidP="000F551C">
            <w:pPr>
              <w:pStyle w:val="ListParagraph"/>
              <w:numPr>
                <w:ilvl w:val="0"/>
                <w:numId w:val="19"/>
              </w:numPr>
              <w:jc w:val="both"/>
              <w:rPr>
                <w:rFonts w:cs="Times New Roman"/>
                <w:bCs/>
                <w:color w:val="000000"/>
                <w:szCs w:val="24"/>
              </w:rPr>
            </w:pPr>
            <w:r w:rsidRPr="000F551C">
              <w:rPr>
                <w:rFonts w:cs="Times New Roman"/>
                <w:color w:val="000000"/>
                <w:szCs w:val="24"/>
              </w:rPr>
              <w:t>F</w:t>
            </w:r>
            <w:r w:rsidRPr="000F551C">
              <w:rPr>
                <w:rFonts w:cs="Times New Roman"/>
                <w:bCs/>
                <w:color w:val="000000"/>
                <w:szCs w:val="24"/>
              </w:rPr>
              <w:t xml:space="preserve">inansējuma saņēmējiem mazināts </w:t>
            </w:r>
            <w:r w:rsidRPr="000F551C">
              <w:rPr>
                <w:rFonts w:cs="Times New Roman"/>
                <w:color w:val="000000"/>
                <w:szCs w:val="24"/>
              </w:rPr>
              <w:t xml:space="preserve">administratīvais slogs, kopumā </w:t>
            </w:r>
            <w:r w:rsidRPr="000F551C">
              <w:rPr>
                <w:rFonts w:cs="Times New Roman"/>
                <w:bCs/>
                <w:color w:val="000000"/>
                <w:szCs w:val="24"/>
              </w:rPr>
              <w:t xml:space="preserve">nodrošinot vienotu pieeju projektu </w:t>
            </w:r>
            <w:r w:rsidRPr="000F551C">
              <w:rPr>
                <w:rFonts w:cs="Times New Roman"/>
                <w:color w:val="000000"/>
                <w:szCs w:val="24"/>
              </w:rPr>
              <w:t xml:space="preserve">iesniedzējiem, tomēr ņemot vērā arī katra finansējuma saņēmēja juridisko statusu, īstenojamā projekta lielumu un katra </w:t>
            </w:r>
            <w:r w:rsidRPr="000F551C">
              <w:rPr>
                <w:rFonts w:cs="Times New Roman"/>
                <w:color w:val="000000"/>
                <w:szCs w:val="24"/>
              </w:rPr>
              <w:lastRenderedPageBreak/>
              <w:t>fonda specifiskās prasības</w:t>
            </w:r>
            <w:bookmarkStart w:id="0" w:name="_GoBack111"/>
            <w:bookmarkEnd w:id="0"/>
          </w:p>
          <w:p w:rsidR="00871843" w:rsidRPr="000F551C" w:rsidRDefault="00F20FE1" w:rsidP="000F551C">
            <w:pPr>
              <w:pStyle w:val="ListParagraph"/>
              <w:numPr>
                <w:ilvl w:val="0"/>
                <w:numId w:val="19"/>
              </w:numPr>
              <w:jc w:val="both"/>
              <w:rPr>
                <w:rFonts w:cs="Times New Roman"/>
                <w:bCs/>
                <w:color w:val="000000"/>
                <w:szCs w:val="24"/>
              </w:rPr>
            </w:pPr>
            <w:r w:rsidRPr="000F551C">
              <w:rPr>
                <w:rFonts w:cs="Times New Roman"/>
                <w:color w:val="000000"/>
                <w:szCs w:val="24"/>
              </w:rPr>
              <w:t>Z</w:t>
            </w:r>
            <w:r w:rsidR="002D364E" w:rsidRPr="000F551C">
              <w:rPr>
                <w:rFonts w:cs="Times New Roman"/>
                <w:color w:val="000000"/>
                <w:szCs w:val="24"/>
              </w:rPr>
              <w:t>emāki sistēmas uzturēšanas izdevumi</w:t>
            </w:r>
            <w:r w:rsidR="00FF5FB0" w:rsidRPr="000F551C">
              <w:rPr>
                <w:rFonts w:cs="Times New Roman"/>
                <w:color w:val="000000"/>
                <w:szCs w:val="24"/>
              </w:rPr>
              <w:t xml:space="preserve"> (piem., SI administrēšanas izdevumi, izdevumi sistēmas pielāgošanai nepieciešamajām izmaiņām)</w:t>
            </w:r>
            <w:r w:rsidR="002D364E" w:rsidRPr="000F551C">
              <w:rPr>
                <w:rFonts w:cs="Times New Roman"/>
                <w:bCs/>
                <w:color w:val="000000"/>
                <w:szCs w:val="24"/>
              </w:rPr>
              <w:t xml:space="preserve">, salīdzinot ar </w:t>
            </w:r>
            <w:r w:rsidR="00871843" w:rsidRPr="000F551C">
              <w:rPr>
                <w:rFonts w:cs="Times New Roman"/>
                <w:bCs/>
                <w:color w:val="000000"/>
                <w:szCs w:val="24"/>
              </w:rPr>
              <w:t>2007 – 2013.</w:t>
            </w:r>
            <w:r w:rsidRPr="000F551C">
              <w:rPr>
                <w:rFonts w:cs="Times New Roman"/>
                <w:bCs/>
                <w:color w:val="000000"/>
                <w:szCs w:val="24"/>
              </w:rPr>
              <w:t xml:space="preserve"> periodu</w:t>
            </w:r>
          </w:p>
          <w:p w:rsidR="002D364E" w:rsidRPr="000F551C" w:rsidRDefault="00F20FE1" w:rsidP="000F551C">
            <w:pPr>
              <w:pStyle w:val="ListParagraph"/>
              <w:numPr>
                <w:ilvl w:val="0"/>
                <w:numId w:val="19"/>
              </w:numPr>
              <w:jc w:val="both"/>
              <w:rPr>
                <w:rFonts w:cs="Times New Roman"/>
                <w:bCs/>
                <w:color w:val="000000"/>
                <w:szCs w:val="24"/>
              </w:rPr>
            </w:pPr>
            <w:r w:rsidRPr="000F551C">
              <w:rPr>
                <w:rFonts w:cs="Times New Roman"/>
                <w:bCs/>
                <w:color w:val="000000"/>
                <w:szCs w:val="24"/>
              </w:rPr>
              <w:t>N</w:t>
            </w:r>
            <w:r w:rsidR="002D364E" w:rsidRPr="000F551C">
              <w:rPr>
                <w:rFonts w:cs="Times New Roman"/>
                <w:bCs/>
                <w:color w:val="000000"/>
                <w:szCs w:val="24"/>
              </w:rPr>
              <w:t xml:space="preserve">odrošināta vienota </w:t>
            </w:r>
            <w:r w:rsidRPr="000F551C">
              <w:rPr>
                <w:rFonts w:cs="Times New Roman"/>
                <w:bCs/>
                <w:color w:val="000000"/>
                <w:szCs w:val="24"/>
              </w:rPr>
              <w:t>pieeja kontrolēm un uzraudzībai</w:t>
            </w:r>
            <w:r w:rsidR="003F4505" w:rsidRPr="000F551C">
              <w:rPr>
                <w:rFonts w:cs="Times New Roman"/>
                <w:bCs/>
                <w:color w:val="000000"/>
                <w:szCs w:val="24"/>
              </w:rPr>
              <w:t xml:space="preserve">, </w:t>
            </w:r>
            <w:r w:rsidR="00FF5FB0" w:rsidRPr="000F551C">
              <w:rPr>
                <w:rFonts w:cs="Times New Roman"/>
                <w:szCs w:val="24"/>
              </w:rPr>
              <w:t>savlaicīgāka – projektu  ieviešanas laikā konstatējamo -  dubultā finansējuma riska novēršana,</w:t>
            </w:r>
            <w:r w:rsidR="00FF5FB0" w:rsidRPr="000F551C">
              <w:rPr>
                <w:rFonts w:cs="Times New Roman"/>
                <w:bCs/>
                <w:color w:val="000000"/>
                <w:szCs w:val="24"/>
              </w:rPr>
              <w:t xml:space="preserve"> </w:t>
            </w:r>
            <w:r w:rsidR="003F4505" w:rsidRPr="000F551C">
              <w:rPr>
                <w:rFonts w:cs="Times New Roman"/>
                <w:bCs/>
                <w:color w:val="000000"/>
                <w:szCs w:val="24"/>
              </w:rPr>
              <w:t>neitrāla un objektīva pieeja visu investīciju projektu ieviešanai</w:t>
            </w:r>
          </w:p>
          <w:p w:rsidR="008075DD" w:rsidRPr="000F551C" w:rsidRDefault="00F20FE1" w:rsidP="000F551C">
            <w:pPr>
              <w:pStyle w:val="ListParagraph"/>
              <w:numPr>
                <w:ilvl w:val="0"/>
                <w:numId w:val="19"/>
              </w:numPr>
              <w:jc w:val="both"/>
              <w:rPr>
                <w:rFonts w:cs="Times New Roman"/>
                <w:color w:val="000000"/>
                <w:szCs w:val="24"/>
              </w:rPr>
            </w:pPr>
            <w:r w:rsidRPr="000F551C">
              <w:rPr>
                <w:rFonts w:cs="Times New Roman"/>
                <w:bCs/>
                <w:color w:val="000000"/>
                <w:szCs w:val="24"/>
              </w:rPr>
              <w:t>P</w:t>
            </w:r>
            <w:r w:rsidR="00871843" w:rsidRPr="000F551C">
              <w:rPr>
                <w:rFonts w:cs="Times New Roman"/>
                <w:bCs/>
                <w:color w:val="000000"/>
                <w:szCs w:val="24"/>
              </w:rPr>
              <w:t>roblēmas tiek risinātas un procesi tiek uzlaboti sistēmiski</w:t>
            </w:r>
            <w:r w:rsidR="004A085F" w:rsidRPr="000F551C">
              <w:rPr>
                <w:rFonts w:cs="Times New Roman"/>
                <w:bCs/>
                <w:color w:val="000000"/>
                <w:szCs w:val="24"/>
              </w:rPr>
              <w:t>.</w:t>
            </w:r>
          </w:p>
        </w:tc>
        <w:tc>
          <w:tcPr>
            <w:tcW w:w="5812" w:type="dxa"/>
          </w:tcPr>
          <w:p w:rsidR="004A085F" w:rsidRPr="000F551C" w:rsidRDefault="004A085F" w:rsidP="000F551C">
            <w:pPr>
              <w:pStyle w:val="ListParagraph"/>
              <w:numPr>
                <w:ilvl w:val="0"/>
                <w:numId w:val="20"/>
              </w:numPr>
              <w:jc w:val="both"/>
              <w:rPr>
                <w:rFonts w:cs="Times New Roman"/>
                <w:szCs w:val="24"/>
              </w:rPr>
            </w:pPr>
            <w:r w:rsidRPr="000F551C">
              <w:rPr>
                <w:rFonts w:cs="Times New Roman"/>
                <w:bCs/>
                <w:color w:val="000000"/>
                <w:szCs w:val="24"/>
              </w:rPr>
              <w:lastRenderedPageBreak/>
              <w:t>N</w:t>
            </w:r>
            <w:r w:rsidR="008075DD" w:rsidRPr="000F551C">
              <w:rPr>
                <w:rFonts w:cs="Times New Roman"/>
                <w:bCs/>
                <w:color w:val="000000"/>
                <w:szCs w:val="24"/>
              </w:rPr>
              <w:t xml:space="preserve">epieciešamās </w:t>
            </w:r>
            <w:r w:rsidR="004F3D27" w:rsidRPr="000F551C">
              <w:rPr>
                <w:rFonts w:cs="Times New Roman"/>
                <w:bCs/>
                <w:color w:val="000000"/>
                <w:szCs w:val="24"/>
              </w:rPr>
              <w:t xml:space="preserve">specifiskās </w:t>
            </w:r>
            <w:r w:rsidR="008075DD" w:rsidRPr="000F551C">
              <w:rPr>
                <w:rFonts w:cs="Times New Roman"/>
                <w:bCs/>
                <w:color w:val="000000"/>
                <w:szCs w:val="24"/>
              </w:rPr>
              <w:t xml:space="preserve">kapacitātes nodrošināšana darbā ar visiem ES KP fondu </w:t>
            </w:r>
            <w:r w:rsidR="00F20FE1" w:rsidRPr="000F551C">
              <w:rPr>
                <w:rFonts w:cs="Times New Roman"/>
                <w:bCs/>
                <w:color w:val="000000"/>
                <w:szCs w:val="24"/>
              </w:rPr>
              <w:t>finansējuma saņēmējiem</w:t>
            </w:r>
            <w:r w:rsidR="004F3D27" w:rsidRPr="000F551C">
              <w:rPr>
                <w:rFonts w:cs="Times New Roman"/>
                <w:bCs/>
                <w:color w:val="000000"/>
                <w:szCs w:val="24"/>
              </w:rPr>
              <w:t xml:space="preserve"> un projektu veidiem</w:t>
            </w:r>
          </w:p>
          <w:p w:rsidR="00BC3686" w:rsidRPr="0075342E" w:rsidRDefault="00F20FE1" w:rsidP="000F551C">
            <w:pPr>
              <w:pStyle w:val="ListParagraph"/>
              <w:numPr>
                <w:ilvl w:val="0"/>
                <w:numId w:val="20"/>
              </w:numPr>
              <w:jc w:val="both"/>
              <w:rPr>
                <w:rFonts w:cs="Times New Roman"/>
                <w:szCs w:val="24"/>
              </w:rPr>
            </w:pPr>
            <w:r w:rsidRPr="000F551C">
              <w:rPr>
                <w:rFonts w:cs="Times New Roman"/>
                <w:bCs/>
                <w:color w:val="000000"/>
                <w:szCs w:val="24"/>
              </w:rPr>
              <w:t>C</w:t>
            </w:r>
            <w:r w:rsidR="008075DD" w:rsidRPr="000F551C">
              <w:rPr>
                <w:rFonts w:cs="Times New Roman"/>
                <w:bCs/>
                <w:color w:val="000000"/>
                <w:szCs w:val="24"/>
              </w:rPr>
              <w:t xml:space="preserve">ilvēkresursu </w:t>
            </w:r>
            <w:r w:rsidR="0063062C" w:rsidRPr="000F551C">
              <w:rPr>
                <w:rFonts w:cs="Times New Roman"/>
                <w:bCs/>
                <w:color w:val="000000"/>
                <w:szCs w:val="24"/>
              </w:rPr>
              <w:t xml:space="preserve">skaita </w:t>
            </w:r>
            <w:r w:rsidR="008075DD" w:rsidRPr="000F551C">
              <w:rPr>
                <w:rFonts w:cs="Times New Roman"/>
                <w:bCs/>
                <w:color w:val="000000"/>
                <w:szCs w:val="24"/>
              </w:rPr>
              <w:t>s</w:t>
            </w:r>
            <w:r w:rsidR="004F3D27" w:rsidRPr="000F551C">
              <w:rPr>
                <w:rFonts w:cs="Times New Roman"/>
                <w:bCs/>
                <w:color w:val="000000"/>
                <w:szCs w:val="24"/>
              </w:rPr>
              <w:t>aglabāšana</w:t>
            </w:r>
            <w:r w:rsidR="008075DD" w:rsidRPr="000F551C">
              <w:rPr>
                <w:rFonts w:cs="Times New Roman"/>
                <w:bCs/>
                <w:color w:val="000000"/>
                <w:szCs w:val="24"/>
              </w:rPr>
              <w:t xml:space="preserve">  2007. – 2013.gada plānošanas perioda īstenošanas pabeigšanai</w:t>
            </w:r>
            <w:r w:rsidR="004F3D27" w:rsidRPr="000F551C">
              <w:rPr>
                <w:rFonts w:cs="Times New Roman"/>
                <w:bCs/>
                <w:color w:val="000000"/>
                <w:szCs w:val="24"/>
              </w:rPr>
              <w:t xml:space="preserve"> un institucionālās atmiņas </w:t>
            </w:r>
            <w:r w:rsidR="004F3D27" w:rsidRPr="000F551C">
              <w:rPr>
                <w:rFonts w:cs="Times New Roman"/>
                <w:bCs/>
                <w:color w:val="000000"/>
                <w:szCs w:val="24"/>
              </w:rPr>
              <w:lastRenderedPageBreak/>
              <w:t>nodrošināšana pēcuzraudzības posmā</w:t>
            </w:r>
            <w:r w:rsidR="003B3C52" w:rsidRPr="000F551C">
              <w:rPr>
                <w:rFonts w:cs="Times New Roman"/>
                <w:bCs/>
                <w:color w:val="000000"/>
                <w:szCs w:val="24"/>
              </w:rPr>
              <w:t xml:space="preserve"> tām sadarbības iestādēm, kas netiek iesaistītas 2014. – 2020.gada plānošanas perioda administrēšanā.</w:t>
            </w:r>
          </w:p>
          <w:p w:rsidR="008075DD" w:rsidRPr="000F551C" w:rsidRDefault="00BC3686" w:rsidP="00BC3686">
            <w:pPr>
              <w:pStyle w:val="ListParagraph"/>
              <w:numPr>
                <w:ilvl w:val="0"/>
                <w:numId w:val="20"/>
              </w:numPr>
              <w:jc w:val="both"/>
              <w:rPr>
                <w:rFonts w:cs="Times New Roman"/>
                <w:szCs w:val="24"/>
              </w:rPr>
            </w:pPr>
            <w:r w:rsidRPr="0002092B">
              <w:t>jauns ieviešanas modelis, līdz</w:t>
            </w:r>
            <w:r>
              <w:t xml:space="preserve"> ar to </w:t>
            </w:r>
            <w:r w:rsidRPr="0002092B">
              <w:t>būs  nepieciešams  laiks  un  papildu r</w:t>
            </w:r>
            <w:r>
              <w:t xml:space="preserve">esursi, lai iestādes </w:t>
            </w:r>
            <w:r w:rsidRPr="0002092B">
              <w:t>nodrošinātu  nepieciešamo kapacitāti pi</w:t>
            </w:r>
            <w:r>
              <w:t xml:space="preserve">enākumu veikšanai, kā rezultātā </w:t>
            </w:r>
            <w:r w:rsidRPr="0002092B">
              <w:t xml:space="preserve">tiks  apdraudēta  ES  fondu  apguve, </w:t>
            </w:r>
            <w:r>
              <w:t xml:space="preserve">pārejas periodā potenciāli </w:t>
            </w:r>
            <w:r w:rsidRPr="0002092B">
              <w:t>palielināsies neatbilstoši veikto izdevumu apjoms</w:t>
            </w:r>
            <w:r w:rsidR="003B3C52" w:rsidRPr="000F551C">
              <w:rPr>
                <w:rFonts w:cs="Times New Roman"/>
                <w:bCs/>
                <w:color w:val="000000"/>
                <w:szCs w:val="24"/>
              </w:rPr>
              <w:t xml:space="preserve"> </w:t>
            </w:r>
          </w:p>
        </w:tc>
      </w:tr>
    </w:tbl>
    <w:p w:rsidR="00C06AB1" w:rsidRDefault="00C06AB1" w:rsidP="00C06AB1">
      <w:pPr>
        <w:jc w:val="right"/>
      </w:pPr>
    </w:p>
    <w:p w:rsidR="00070D9A" w:rsidRDefault="00070D9A" w:rsidP="00151588">
      <w:pPr>
        <w:tabs>
          <w:tab w:val="right" w:pos="9072"/>
        </w:tabs>
        <w:jc w:val="both"/>
        <w:rPr>
          <w:rFonts w:cs="Times New Roman"/>
          <w:szCs w:val="24"/>
        </w:rPr>
      </w:pPr>
    </w:p>
    <w:p w:rsidR="00070D9A" w:rsidRDefault="00070D9A" w:rsidP="00151588">
      <w:pPr>
        <w:tabs>
          <w:tab w:val="right" w:pos="9072"/>
        </w:tabs>
        <w:jc w:val="both"/>
        <w:rPr>
          <w:rFonts w:cs="Times New Roman"/>
          <w:szCs w:val="24"/>
        </w:rPr>
      </w:pPr>
    </w:p>
    <w:p w:rsidR="00C13D40" w:rsidRDefault="00C13D40" w:rsidP="00C13D40">
      <w:pPr>
        <w:tabs>
          <w:tab w:val="right" w:pos="9072"/>
        </w:tabs>
        <w:ind w:firstLine="720"/>
        <w:jc w:val="both"/>
        <w:rPr>
          <w:szCs w:val="24"/>
        </w:rPr>
      </w:pPr>
      <w:r>
        <w:rPr>
          <w:szCs w:val="24"/>
        </w:rPr>
        <w:t xml:space="preserve">Finanšu ministra vietā – </w:t>
      </w:r>
    </w:p>
    <w:p w:rsidR="00C13D40" w:rsidRDefault="00C13D40" w:rsidP="00C13D40">
      <w:pPr>
        <w:tabs>
          <w:tab w:val="right" w:pos="9072"/>
        </w:tabs>
        <w:ind w:firstLine="720"/>
        <w:jc w:val="both"/>
        <w:rPr>
          <w:szCs w:val="24"/>
        </w:rPr>
      </w:pPr>
      <w:r>
        <w:rPr>
          <w:szCs w:val="24"/>
        </w:rPr>
        <w:t>zemkopības ministre</w:t>
      </w:r>
      <w:r>
        <w:rPr>
          <w:szCs w:val="24"/>
          <w:lang w:val="de-DE"/>
        </w:rPr>
        <w:tab/>
      </w:r>
      <w:r>
        <w:rPr>
          <w:szCs w:val="24"/>
          <w:lang w:val="de-DE"/>
        </w:rPr>
        <w:tab/>
      </w:r>
      <w:r>
        <w:rPr>
          <w:szCs w:val="24"/>
          <w:lang w:val="de-DE"/>
        </w:rPr>
        <w:tab/>
      </w:r>
      <w:r>
        <w:rPr>
          <w:szCs w:val="24"/>
          <w:lang w:val="de-DE"/>
        </w:rPr>
        <w:tab/>
      </w:r>
      <w:r>
        <w:rPr>
          <w:szCs w:val="24"/>
          <w:lang w:val="de-DE"/>
        </w:rPr>
        <w:tab/>
      </w:r>
      <w:r>
        <w:rPr>
          <w:szCs w:val="24"/>
        </w:rPr>
        <w:t>L.Straujuma</w:t>
      </w:r>
    </w:p>
    <w:p w:rsidR="00151588" w:rsidRDefault="00151588" w:rsidP="00151588">
      <w:pPr>
        <w:rPr>
          <w:rFonts w:cs="Times New Roman"/>
          <w:sz w:val="16"/>
          <w:szCs w:val="16"/>
        </w:rPr>
      </w:pPr>
    </w:p>
    <w:p w:rsidR="00151588" w:rsidRDefault="00151588" w:rsidP="00151588">
      <w:pPr>
        <w:rPr>
          <w:rFonts w:cs="Times New Roman"/>
          <w:sz w:val="16"/>
          <w:szCs w:val="16"/>
        </w:rPr>
      </w:pPr>
    </w:p>
    <w:p w:rsidR="00151588" w:rsidRDefault="00151588" w:rsidP="00151588">
      <w:pPr>
        <w:rPr>
          <w:rFonts w:cs="Times New Roman"/>
          <w:sz w:val="16"/>
          <w:szCs w:val="16"/>
        </w:rPr>
      </w:pPr>
    </w:p>
    <w:p w:rsidR="00151588" w:rsidRDefault="00151588" w:rsidP="00151588">
      <w:pPr>
        <w:rPr>
          <w:rFonts w:cs="Times New Roman"/>
          <w:sz w:val="16"/>
          <w:szCs w:val="16"/>
        </w:rPr>
      </w:pPr>
    </w:p>
    <w:p w:rsidR="00151588" w:rsidRDefault="00151588" w:rsidP="00151588">
      <w:pPr>
        <w:rPr>
          <w:rFonts w:cs="Times New Roman"/>
          <w:sz w:val="16"/>
          <w:szCs w:val="16"/>
        </w:rPr>
      </w:pPr>
    </w:p>
    <w:p w:rsidR="00151588" w:rsidRDefault="00151588" w:rsidP="00151588">
      <w:pPr>
        <w:rPr>
          <w:rFonts w:cs="Times New Roman"/>
          <w:sz w:val="16"/>
          <w:szCs w:val="16"/>
        </w:rPr>
      </w:pPr>
    </w:p>
    <w:p w:rsidR="0075342E" w:rsidRDefault="0075342E" w:rsidP="00151588">
      <w:pPr>
        <w:rPr>
          <w:rFonts w:cs="Times New Roman"/>
          <w:sz w:val="16"/>
          <w:szCs w:val="16"/>
        </w:rPr>
      </w:pPr>
    </w:p>
    <w:p w:rsidR="0075342E" w:rsidRDefault="0075342E" w:rsidP="00151588">
      <w:pPr>
        <w:rPr>
          <w:rFonts w:cs="Times New Roman"/>
          <w:sz w:val="16"/>
          <w:szCs w:val="16"/>
        </w:rPr>
      </w:pPr>
    </w:p>
    <w:p w:rsidR="00151588" w:rsidRDefault="00151588" w:rsidP="00151588">
      <w:pPr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fldChar w:fldCharType="begin"/>
      </w:r>
      <w:r>
        <w:rPr>
          <w:rFonts w:cs="Times New Roman"/>
          <w:sz w:val="16"/>
          <w:szCs w:val="16"/>
        </w:rPr>
        <w:instrText xml:space="preserve"> DATE  \@ "dd.MM.yyyy H:mm"  \* MERGEFORMAT </w:instrText>
      </w:r>
      <w:r>
        <w:rPr>
          <w:rFonts w:cs="Times New Roman"/>
          <w:sz w:val="16"/>
          <w:szCs w:val="16"/>
        </w:rPr>
        <w:fldChar w:fldCharType="separate"/>
      </w:r>
      <w:r w:rsidR="000918A8">
        <w:rPr>
          <w:rFonts w:cs="Times New Roman"/>
          <w:noProof/>
          <w:sz w:val="16"/>
          <w:szCs w:val="16"/>
        </w:rPr>
        <w:t>02.05.2013 12:15</w:t>
      </w:r>
      <w:r>
        <w:rPr>
          <w:rFonts w:cs="Times New Roman"/>
          <w:sz w:val="16"/>
          <w:szCs w:val="16"/>
        </w:rPr>
        <w:fldChar w:fldCharType="end"/>
      </w:r>
    </w:p>
    <w:p w:rsidR="00151588" w:rsidRDefault="00202C62" w:rsidP="00151588">
      <w:pPr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8</w:t>
      </w:r>
      <w:r w:rsidR="00C13D40">
        <w:rPr>
          <w:rFonts w:cs="Times New Roman"/>
          <w:sz w:val="16"/>
          <w:szCs w:val="16"/>
        </w:rPr>
        <w:t>10</w:t>
      </w:r>
    </w:p>
    <w:p w:rsidR="00151588" w:rsidRPr="00171658" w:rsidRDefault="00151588" w:rsidP="00151588">
      <w:pPr>
        <w:rPr>
          <w:i/>
          <w:sz w:val="16"/>
          <w:szCs w:val="16"/>
        </w:rPr>
      </w:pPr>
      <w:r w:rsidRPr="00171658">
        <w:rPr>
          <w:i/>
          <w:sz w:val="16"/>
          <w:szCs w:val="16"/>
        </w:rPr>
        <w:t>K.Ancāne</w:t>
      </w:r>
    </w:p>
    <w:p w:rsidR="00151588" w:rsidRPr="00171658" w:rsidRDefault="00151588" w:rsidP="00151588">
      <w:pPr>
        <w:rPr>
          <w:i/>
          <w:sz w:val="16"/>
          <w:szCs w:val="16"/>
        </w:rPr>
      </w:pPr>
      <w:r w:rsidRPr="005E495C">
        <w:rPr>
          <w:bCs/>
          <w:i/>
          <w:sz w:val="16"/>
          <w:szCs w:val="16"/>
        </w:rPr>
        <w:t xml:space="preserve">Tālr.: </w:t>
      </w:r>
      <w:r w:rsidRPr="00171658">
        <w:rPr>
          <w:i/>
          <w:color w:val="333333"/>
          <w:sz w:val="16"/>
          <w:szCs w:val="16"/>
        </w:rPr>
        <w:t>67095635</w:t>
      </w:r>
    </w:p>
    <w:p w:rsidR="00151588" w:rsidRDefault="00151588" w:rsidP="00151588">
      <w:pPr>
        <w:rPr>
          <w:i/>
          <w:sz w:val="16"/>
          <w:szCs w:val="16"/>
        </w:rPr>
      </w:pPr>
      <w:r>
        <w:rPr>
          <w:i/>
          <w:sz w:val="16"/>
          <w:szCs w:val="16"/>
        </w:rPr>
        <w:t>Kristine. Ancane@fm.gov.lv</w:t>
      </w:r>
    </w:p>
    <w:p w:rsidR="00151588" w:rsidRDefault="00151588" w:rsidP="00151588">
      <w:pPr>
        <w:rPr>
          <w:sz w:val="16"/>
          <w:szCs w:val="16"/>
        </w:rPr>
      </w:pPr>
    </w:p>
    <w:p w:rsidR="00151588" w:rsidRPr="0075342E" w:rsidRDefault="00151588" w:rsidP="00151588">
      <w:pPr>
        <w:rPr>
          <w:i/>
          <w:sz w:val="16"/>
          <w:szCs w:val="16"/>
        </w:rPr>
      </w:pPr>
      <w:r w:rsidRPr="0075342E">
        <w:rPr>
          <w:i/>
          <w:sz w:val="16"/>
          <w:szCs w:val="16"/>
        </w:rPr>
        <w:t>R.Zīverte</w:t>
      </w:r>
    </w:p>
    <w:p w:rsidR="00151588" w:rsidRPr="0075342E" w:rsidRDefault="00151588" w:rsidP="00151588">
      <w:pPr>
        <w:pStyle w:val="BodyText"/>
        <w:jc w:val="both"/>
        <w:rPr>
          <w:b w:val="0"/>
          <w:i/>
          <w:sz w:val="16"/>
          <w:szCs w:val="16"/>
          <w:lang w:val="lv-LV"/>
        </w:rPr>
      </w:pPr>
      <w:r w:rsidRPr="0075342E">
        <w:rPr>
          <w:b w:val="0"/>
          <w:bCs/>
          <w:i/>
          <w:sz w:val="16"/>
          <w:szCs w:val="16"/>
          <w:lang w:val="lv-LV"/>
        </w:rPr>
        <w:t>Tālr.: 6</w:t>
      </w:r>
      <w:r w:rsidRPr="0075342E">
        <w:rPr>
          <w:b w:val="0"/>
          <w:i/>
          <w:sz w:val="16"/>
          <w:szCs w:val="16"/>
          <w:lang w:val="lv-LV"/>
        </w:rPr>
        <w:t xml:space="preserve">7083858; </w:t>
      </w:r>
    </w:p>
    <w:p w:rsidR="004A6054" w:rsidRPr="00151588" w:rsidRDefault="00151588" w:rsidP="000918A8">
      <w:pPr>
        <w:pStyle w:val="BodyText"/>
        <w:jc w:val="both"/>
      </w:pPr>
      <w:r w:rsidRPr="0075342E">
        <w:rPr>
          <w:b w:val="0"/>
          <w:i/>
          <w:sz w:val="16"/>
          <w:szCs w:val="16"/>
          <w:lang w:val="lv-LV"/>
        </w:rPr>
        <w:t>Renate.Ziverte@fm.gov.lv</w:t>
      </w:r>
      <w:bookmarkStart w:id="1" w:name="_GoBack"/>
      <w:bookmarkEnd w:id="1"/>
    </w:p>
    <w:sectPr w:rsidR="004A6054" w:rsidRPr="00151588" w:rsidSect="00DB7905">
      <w:headerReference w:type="default" r:id="rId8"/>
      <w:footerReference w:type="default" r:id="rId9"/>
      <w:footerReference w:type="first" r:id="rId10"/>
      <w:pgSz w:w="16838" w:h="11906" w:orient="landscape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D14" w:rsidRDefault="00985D14" w:rsidP="00871843">
      <w:r>
        <w:separator/>
      </w:r>
    </w:p>
  </w:endnote>
  <w:endnote w:type="continuationSeparator" w:id="0">
    <w:p w:rsidR="00985D14" w:rsidRDefault="00985D14" w:rsidP="00871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B93" w:rsidRDefault="00570B93" w:rsidP="00C50252">
    <w:pPr>
      <w:pStyle w:val="Footer"/>
    </w:pPr>
    <w:r w:rsidRPr="0067439E">
      <w:rPr>
        <w:sz w:val="20"/>
        <w:szCs w:val="20"/>
      </w:rPr>
      <w:t>FMKoncp</w:t>
    </w:r>
    <w:r>
      <w:rPr>
        <w:sz w:val="20"/>
        <w:szCs w:val="20"/>
      </w:rPr>
      <w:t>3</w:t>
    </w:r>
    <w:r w:rsidRPr="0067439E">
      <w:rPr>
        <w:sz w:val="20"/>
        <w:szCs w:val="20"/>
      </w:rPr>
      <w:t>_</w:t>
    </w:r>
    <w:r w:rsidR="00DB7905">
      <w:rPr>
        <w:sz w:val="20"/>
        <w:szCs w:val="20"/>
      </w:rPr>
      <w:t>2</w:t>
    </w:r>
    <w:r>
      <w:rPr>
        <w:sz w:val="20"/>
        <w:szCs w:val="20"/>
      </w:rPr>
      <w:t>504</w:t>
    </w:r>
    <w:r w:rsidRPr="0067439E">
      <w:rPr>
        <w:sz w:val="20"/>
        <w:szCs w:val="20"/>
      </w:rPr>
      <w:t xml:space="preserve">13; </w:t>
    </w:r>
    <w:r>
      <w:rPr>
        <w:sz w:val="20"/>
        <w:szCs w:val="20"/>
      </w:rPr>
      <w:t>3</w:t>
    </w:r>
    <w:r w:rsidRPr="0067439E">
      <w:rPr>
        <w:sz w:val="20"/>
        <w:szCs w:val="20"/>
      </w:rPr>
      <w:t xml:space="preserve">.pielikums </w:t>
    </w:r>
    <w:r w:rsidR="00DB7905">
      <w:rPr>
        <w:sz w:val="20"/>
        <w:szCs w:val="20"/>
      </w:rPr>
      <w:t>Koncepcijai</w:t>
    </w:r>
    <w:r w:rsidR="00DB7905" w:rsidRPr="00256064">
      <w:rPr>
        <w:sz w:val="20"/>
        <w:szCs w:val="20"/>
      </w:rPr>
      <w:t xml:space="preserve"> par Eiropas Reģionālās attīstības fonda, Eiropas Sociālā fonda, Kohēzijas fonda, Eiropas Lauksaimniecības fonda lauku attīstībai un Eiropas Jūrlietu un zivsaimniecības fonda ievi</w:t>
    </w:r>
    <w:r w:rsidR="00DB7905">
      <w:rPr>
        <w:sz w:val="20"/>
        <w:szCs w:val="20"/>
      </w:rPr>
      <w:t>ešanu 2014.-2020. gadā Latvijā</w:t>
    </w:r>
  </w:p>
  <w:p w:rsidR="00570B93" w:rsidRDefault="00570B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B93" w:rsidRDefault="00570B93">
    <w:pPr>
      <w:pStyle w:val="Footer"/>
    </w:pPr>
    <w:r w:rsidRPr="0067439E">
      <w:rPr>
        <w:sz w:val="20"/>
        <w:szCs w:val="20"/>
      </w:rPr>
      <w:t>FMKoncp</w:t>
    </w:r>
    <w:r>
      <w:rPr>
        <w:sz w:val="20"/>
        <w:szCs w:val="20"/>
      </w:rPr>
      <w:t>3</w:t>
    </w:r>
    <w:r w:rsidRPr="0067439E">
      <w:rPr>
        <w:sz w:val="20"/>
        <w:szCs w:val="20"/>
      </w:rPr>
      <w:t>_</w:t>
    </w:r>
    <w:r w:rsidR="00070D9A">
      <w:rPr>
        <w:sz w:val="20"/>
        <w:szCs w:val="20"/>
      </w:rPr>
      <w:t>2</w:t>
    </w:r>
    <w:r w:rsidR="00DB7905">
      <w:rPr>
        <w:sz w:val="20"/>
        <w:szCs w:val="20"/>
      </w:rPr>
      <w:t>5</w:t>
    </w:r>
    <w:r>
      <w:rPr>
        <w:sz w:val="20"/>
        <w:szCs w:val="20"/>
      </w:rPr>
      <w:t>04</w:t>
    </w:r>
    <w:r w:rsidRPr="0067439E">
      <w:rPr>
        <w:sz w:val="20"/>
        <w:szCs w:val="20"/>
      </w:rPr>
      <w:t xml:space="preserve">13; </w:t>
    </w:r>
    <w:r>
      <w:rPr>
        <w:sz w:val="20"/>
        <w:szCs w:val="20"/>
      </w:rPr>
      <w:t>3</w:t>
    </w:r>
    <w:r w:rsidRPr="0067439E">
      <w:rPr>
        <w:sz w:val="20"/>
        <w:szCs w:val="20"/>
      </w:rPr>
      <w:t xml:space="preserve">.pielikums </w:t>
    </w:r>
    <w:r w:rsidR="00DB7905" w:rsidRPr="00256064">
      <w:rPr>
        <w:sz w:val="20"/>
        <w:szCs w:val="20"/>
      </w:rPr>
      <w:t>Koncepcij</w:t>
    </w:r>
    <w:r w:rsidR="00DB7905">
      <w:rPr>
        <w:sz w:val="20"/>
        <w:szCs w:val="20"/>
      </w:rPr>
      <w:t>ai</w:t>
    </w:r>
    <w:r w:rsidR="00DB7905" w:rsidRPr="00256064">
      <w:rPr>
        <w:sz w:val="20"/>
        <w:szCs w:val="20"/>
      </w:rPr>
      <w:t xml:space="preserve"> par Eiropas Reģionālās attīstības fonda, Eiropas Sociālā fonda, Kohēzijas fonda, Eiropas Lauksaimniecības fonda lauku attīstībai un Eiropas Jūrlietu un zivsaimniecības fonda ievi</w:t>
    </w:r>
    <w:r w:rsidR="00DB7905">
      <w:rPr>
        <w:sz w:val="20"/>
        <w:szCs w:val="20"/>
      </w:rPr>
      <w:t>ešanu 2014.-2020. gadā Latvijā</w:t>
    </w:r>
  </w:p>
  <w:p w:rsidR="00570B93" w:rsidRDefault="00570B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D14" w:rsidRDefault="00985D14" w:rsidP="00871843">
      <w:r>
        <w:separator/>
      </w:r>
    </w:p>
  </w:footnote>
  <w:footnote w:type="continuationSeparator" w:id="0">
    <w:p w:rsidR="00985D14" w:rsidRDefault="00985D14" w:rsidP="008718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0528844"/>
      <w:docPartObj>
        <w:docPartGallery w:val="Page Numbers (Top of Page)"/>
        <w:docPartUnique/>
      </w:docPartObj>
    </w:sdtPr>
    <w:sdtEndPr>
      <w:rPr>
        <w:noProof/>
      </w:rPr>
    </w:sdtEndPr>
    <w:sdtContent>
      <w:p w:rsidR="00570B93" w:rsidRDefault="00570B9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18A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70B93" w:rsidRDefault="00570B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32534"/>
    <w:multiLevelType w:val="hybridMultilevel"/>
    <w:tmpl w:val="D1BCB104"/>
    <w:lvl w:ilvl="0" w:tplc="904AF40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B41F8A"/>
    <w:multiLevelType w:val="hybridMultilevel"/>
    <w:tmpl w:val="72D826D4"/>
    <w:lvl w:ilvl="0" w:tplc="E08635B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2F438B"/>
    <w:multiLevelType w:val="hybridMultilevel"/>
    <w:tmpl w:val="C284D616"/>
    <w:lvl w:ilvl="0" w:tplc="E08635B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E428B8"/>
    <w:multiLevelType w:val="hybridMultilevel"/>
    <w:tmpl w:val="2376AB9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66FCB"/>
    <w:multiLevelType w:val="hybridMultilevel"/>
    <w:tmpl w:val="2836FD38"/>
    <w:lvl w:ilvl="0" w:tplc="E08635B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6D4E6B"/>
    <w:multiLevelType w:val="hybridMultilevel"/>
    <w:tmpl w:val="827A1E54"/>
    <w:lvl w:ilvl="0" w:tplc="6BD2B1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E15914"/>
    <w:multiLevelType w:val="hybridMultilevel"/>
    <w:tmpl w:val="60B6BD0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0D5F63"/>
    <w:multiLevelType w:val="hybridMultilevel"/>
    <w:tmpl w:val="608E8B9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A04F3F"/>
    <w:multiLevelType w:val="hybridMultilevel"/>
    <w:tmpl w:val="CBEE0F84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6A5CE6"/>
    <w:multiLevelType w:val="hybridMultilevel"/>
    <w:tmpl w:val="46E4E496"/>
    <w:lvl w:ilvl="0" w:tplc="E08635B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072C3"/>
    <w:multiLevelType w:val="hybridMultilevel"/>
    <w:tmpl w:val="DBCEFD14"/>
    <w:lvl w:ilvl="0" w:tplc="E08635B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840FF7"/>
    <w:multiLevelType w:val="hybridMultilevel"/>
    <w:tmpl w:val="E4A8B544"/>
    <w:lvl w:ilvl="0" w:tplc="DE0E798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16038B"/>
    <w:multiLevelType w:val="hybridMultilevel"/>
    <w:tmpl w:val="404AAFE8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972848"/>
    <w:multiLevelType w:val="hybridMultilevel"/>
    <w:tmpl w:val="FFEEEBA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035523"/>
    <w:multiLevelType w:val="hybridMultilevel"/>
    <w:tmpl w:val="A00EE6A0"/>
    <w:lvl w:ilvl="0" w:tplc="39F262D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/>
        <w:sz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386A41"/>
    <w:multiLevelType w:val="hybridMultilevel"/>
    <w:tmpl w:val="19F88B5A"/>
    <w:lvl w:ilvl="0" w:tplc="E08635B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9111F8"/>
    <w:multiLevelType w:val="hybridMultilevel"/>
    <w:tmpl w:val="2C1CB370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103BE4"/>
    <w:multiLevelType w:val="hybridMultilevel"/>
    <w:tmpl w:val="DA3E0948"/>
    <w:lvl w:ilvl="0" w:tplc="E08635B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D05F30"/>
    <w:multiLevelType w:val="hybridMultilevel"/>
    <w:tmpl w:val="F014ECE0"/>
    <w:lvl w:ilvl="0" w:tplc="E08635B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BA69A3"/>
    <w:multiLevelType w:val="hybridMultilevel"/>
    <w:tmpl w:val="EE220FB0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54EFC34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11"/>
  </w:num>
  <w:num w:numId="7">
    <w:abstractNumId w:val="19"/>
  </w:num>
  <w:num w:numId="8">
    <w:abstractNumId w:val="4"/>
  </w:num>
  <w:num w:numId="9">
    <w:abstractNumId w:val="9"/>
  </w:num>
  <w:num w:numId="10">
    <w:abstractNumId w:val="15"/>
  </w:num>
  <w:num w:numId="11">
    <w:abstractNumId w:val="7"/>
  </w:num>
  <w:num w:numId="12">
    <w:abstractNumId w:val="1"/>
  </w:num>
  <w:num w:numId="13">
    <w:abstractNumId w:val="16"/>
  </w:num>
  <w:num w:numId="14">
    <w:abstractNumId w:val="18"/>
  </w:num>
  <w:num w:numId="15">
    <w:abstractNumId w:val="8"/>
  </w:num>
  <w:num w:numId="16">
    <w:abstractNumId w:val="17"/>
  </w:num>
  <w:num w:numId="17">
    <w:abstractNumId w:val="12"/>
  </w:num>
  <w:num w:numId="18">
    <w:abstractNumId w:val="2"/>
  </w:num>
  <w:num w:numId="19">
    <w:abstractNumId w:val="13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AB1"/>
    <w:rsid w:val="00070D9A"/>
    <w:rsid w:val="000918A8"/>
    <w:rsid w:val="000F551C"/>
    <w:rsid w:val="00151588"/>
    <w:rsid w:val="00166E6C"/>
    <w:rsid w:val="00174251"/>
    <w:rsid w:val="001E25F4"/>
    <w:rsid w:val="00202C62"/>
    <w:rsid w:val="002A75AB"/>
    <w:rsid w:val="002D364E"/>
    <w:rsid w:val="003572E9"/>
    <w:rsid w:val="003641C3"/>
    <w:rsid w:val="00387301"/>
    <w:rsid w:val="003B3BDC"/>
    <w:rsid w:val="003B3C52"/>
    <w:rsid w:val="003F4505"/>
    <w:rsid w:val="0049375F"/>
    <w:rsid w:val="004A085F"/>
    <w:rsid w:val="004A6054"/>
    <w:rsid w:val="004E7F4B"/>
    <w:rsid w:val="004F3D27"/>
    <w:rsid w:val="00533728"/>
    <w:rsid w:val="00570B93"/>
    <w:rsid w:val="005F0178"/>
    <w:rsid w:val="00616944"/>
    <w:rsid w:val="0063062C"/>
    <w:rsid w:val="0075342E"/>
    <w:rsid w:val="00757900"/>
    <w:rsid w:val="007D2358"/>
    <w:rsid w:val="007D58C1"/>
    <w:rsid w:val="007F0238"/>
    <w:rsid w:val="008075DD"/>
    <w:rsid w:val="00840A3D"/>
    <w:rsid w:val="00871843"/>
    <w:rsid w:val="00985D14"/>
    <w:rsid w:val="00A56300"/>
    <w:rsid w:val="00A86F84"/>
    <w:rsid w:val="00AD3089"/>
    <w:rsid w:val="00B60B80"/>
    <w:rsid w:val="00BC3686"/>
    <w:rsid w:val="00BE4243"/>
    <w:rsid w:val="00BE742D"/>
    <w:rsid w:val="00BF1961"/>
    <w:rsid w:val="00C06AB1"/>
    <w:rsid w:val="00C13D40"/>
    <w:rsid w:val="00C1799A"/>
    <w:rsid w:val="00C50252"/>
    <w:rsid w:val="00D77424"/>
    <w:rsid w:val="00DA6C02"/>
    <w:rsid w:val="00DB7905"/>
    <w:rsid w:val="00DC106D"/>
    <w:rsid w:val="00E33DC6"/>
    <w:rsid w:val="00E65228"/>
    <w:rsid w:val="00E83809"/>
    <w:rsid w:val="00F20FE1"/>
    <w:rsid w:val="00FF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088222-8D49-489A-89FB-4C50A586F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6A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6A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C06AB1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06AB1"/>
  </w:style>
  <w:style w:type="paragraph" w:styleId="Header">
    <w:name w:val="header"/>
    <w:basedOn w:val="Normal"/>
    <w:link w:val="HeaderChar"/>
    <w:uiPriority w:val="99"/>
    <w:unhideWhenUsed/>
    <w:rsid w:val="0087184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1843"/>
  </w:style>
  <w:style w:type="paragraph" w:styleId="Footer">
    <w:name w:val="footer"/>
    <w:basedOn w:val="Normal"/>
    <w:link w:val="FooterChar"/>
    <w:uiPriority w:val="99"/>
    <w:unhideWhenUsed/>
    <w:rsid w:val="0087184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843"/>
  </w:style>
  <w:style w:type="paragraph" w:styleId="BalloonText">
    <w:name w:val="Balloon Text"/>
    <w:basedOn w:val="Normal"/>
    <w:link w:val="BalloonTextChar"/>
    <w:uiPriority w:val="99"/>
    <w:semiHidden/>
    <w:unhideWhenUsed/>
    <w:rsid w:val="006306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62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151588"/>
    <w:pPr>
      <w:jc w:val="center"/>
    </w:pPr>
    <w:rPr>
      <w:rFonts w:eastAsia="Times New Roman" w:cs="Times New Roman"/>
      <w:b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semiHidden/>
    <w:rsid w:val="00151588"/>
    <w:rPr>
      <w:rFonts w:eastAsia="Times New Roman" w:cs="Times New Roman"/>
      <w:b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1204A-EAC2-4335-873A-35322C707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4446</Words>
  <Characters>2535</Characters>
  <Application>Microsoft Office Word</Application>
  <DocSecurity>0</DocSecurity>
  <Lines>21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3.pielikums</vt:lpstr>
    </vt:vector>
  </TitlesOfParts>
  <Company>Finanšu ministrija</Company>
  <LinksUpToDate>false</LinksUpToDate>
  <CharactersWithSpaces>6968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3.pielikums</dc:title>
  <dc:subject>Koncepcija</dc:subject>
  <dc:creator>Kristīne Ancāne</dc:creator>
  <cp:keywords/>
  <dc:description>Kristīne Ancāne,Tālrunis: 67-095-635;
Kristine.Ancane@fm.gov.lv
</dc:description>
  <cp:lastModifiedBy>Sprūģe Veronika</cp:lastModifiedBy>
  <cp:revision>41</cp:revision>
  <cp:lastPrinted>2013-04-25T15:15:00Z</cp:lastPrinted>
  <dcterms:created xsi:type="dcterms:W3CDTF">2013-04-11T14:11:00Z</dcterms:created>
  <dcterms:modified xsi:type="dcterms:W3CDTF">2013-05-02T09:16:00Z</dcterms:modified>
</cp:coreProperties>
</file>