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AAC4" w14:textId="4F606F9C" w:rsidR="008D5C1A" w:rsidRPr="007E6786" w:rsidRDefault="007E6786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  <w:proofErr w:type="gramStart"/>
      <w:r>
        <w:rPr>
          <w:rFonts w:eastAsia="Times New Roman" w:cs="Times New Roman"/>
          <w:sz w:val="28"/>
          <w:szCs w:val="28"/>
          <w:lang w:eastAsia="ar-SA"/>
        </w:rPr>
        <w:t>(</w:t>
      </w:r>
      <w:proofErr w:type="gramEnd"/>
      <w:r w:rsidR="008D5C1A" w:rsidRPr="007E6786">
        <w:rPr>
          <w:rFonts w:eastAsia="Times New Roman" w:cs="Times New Roman"/>
          <w:sz w:val="28"/>
          <w:szCs w:val="28"/>
          <w:lang w:eastAsia="ar-SA"/>
        </w:rPr>
        <w:t xml:space="preserve">Ministru kabineta </w:t>
      </w:r>
    </w:p>
    <w:p w14:paraId="7F1CAAC5" w14:textId="67D25B9F" w:rsidR="008D5C1A" w:rsidRPr="007E6786" w:rsidRDefault="008D5C1A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  <w:r w:rsidRPr="007E6786">
        <w:rPr>
          <w:rFonts w:eastAsia="Times New Roman" w:cs="Times New Roman"/>
          <w:sz w:val="28"/>
          <w:szCs w:val="28"/>
          <w:lang w:eastAsia="ar-SA"/>
        </w:rPr>
        <w:t xml:space="preserve">2013.gada </w:t>
      </w:r>
      <w:r w:rsidR="005954AF">
        <w:rPr>
          <w:rFonts w:eastAsia="Times New Roman" w:cs="Times New Roman"/>
          <w:sz w:val="28"/>
          <w:szCs w:val="28"/>
          <w:lang w:eastAsia="ar-SA"/>
        </w:rPr>
        <w:t>4.jūnija</w:t>
      </w:r>
    </w:p>
    <w:p w14:paraId="7F1CAAC6" w14:textId="56B4895E" w:rsidR="008D5C1A" w:rsidRDefault="008D5C1A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7E6786">
          <w:rPr>
            <w:rFonts w:eastAsia="Times New Roman" w:cs="Times New Roman"/>
            <w:sz w:val="28"/>
            <w:szCs w:val="28"/>
            <w:lang w:eastAsia="ar-SA"/>
          </w:rPr>
          <w:t>rīkojums</w:t>
        </w:r>
      </w:smartTag>
      <w:r w:rsidRPr="007E6786">
        <w:rPr>
          <w:rFonts w:eastAsia="Times New Roman" w:cs="Times New Roman"/>
          <w:sz w:val="28"/>
          <w:szCs w:val="28"/>
          <w:lang w:eastAsia="ar-SA"/>
        </w:rPr>
        <w:t xml:space="preserve"> Nr. </w:t>
      </w:r>
      <w:r w:rsidR="005954AF">
        <w:rPr>
          <w:rFonts w:eastAsia="Times New Roman" w:cs="Times New Roman"/>
          <w:sz w:val="28"/>
          <w:szCs w:val="28"/>
          <w:lang w:eastAsia="ar-SA"/>
        </w:rPr>
        <w:t>230</w:t>
      </w:r>
      <w:bookmarkStart w:id="0" w:name="_GoBack"/>
      <w:bookmarkEnd w:id="0"/>
      <w:r w:rsidR="007E6786">
        <w:rPr>
          <w:rFonts w:eastAsia="Times New Roman" w:cs="Times New Roman"/>
          <w:sz w:val="28"/>
          <w:szCs w:val="28"/>
          <w:lang w:eastAsia="ar-SA"/>
        </w:rPr>
        <w:t> )</w:t>
      </w:r>
    </w:p>
    <w:p w14:paraId="48A13A17" w14:textId="77777777" w:rsidR="007E6786" w:rsidRDefault="007E6786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680870E3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26DFA4C9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6CC17135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5420F550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0F6FF008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545820F2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53F4CD0A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716ACC66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2930681B" w14:textId="77777777" w:rsidR="006B7B7F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28A426F4" w14:textId="77777777" w:rsidR="006B7B7F" w:rsidRPr="007E6786" w:rsidRDefault="006B7B7F" w:rsidP="007E6786">
      <w:pPr>
        <w:suppressAutoHyphens/>
        <w:ind w:right="57" w:firstLine="720"/>
        <w:jc w:val="right"/>
        <w:rPr>
          <w:rFonts w:eastAsia="Times New Roman" w:cs="Times New Roman"/>
          <w:sz w:val="28"/>
          <w:szCs w:val="28"/>
          <w:lang w:eastAsia="ar-SA"/>
        </w:rPr>
      </w:pPr>
    </w:p>
    <w:p w14:paraId="678044D7" w14:textId="77777777" w:rsidR="00F236D6" w:rsidRDefault="00B551B5" w:rsidP="007E6786">
      <w:pPr>
        <w:jc w:val="center"/>
        <w:rPr>
          <w:rFonts w:cs="Times New Roman"/>
          <w:b/>
          <w:sz w:val="28"/>
          <w:szCs w:val="28"/>
        </w:rPr>
      </w:pPr>
      <w:r w:rsidRPr="007E6786">
        <w:rPr>
          <w:rFonts w:cs="Times New Roman"/>
          <w:b/>
          <w:sz w:val="28"/>
          <w:szCs w:val="28"/>
        </w:rPr>
        <w:t>Koncepcija</w:t>
      </w:r>
      <w:r w:rsidR="008D5C1A" w:rsidRPr="007E6786">
        <w:rPr>
          <w:rFonts w:cs="Times New Roman"/>
          <w:b/>
          <w:sz w:val="28"/>
          <w:szCs w:val="28"/>
        </w:rPr>
        <w:t>s</w:t>
      </w:r>
      <w:r w:rsidRPr="007E6786">
        <w:rPr>
          <w:rFonts w:cs="Times New Roman"/>
          <w:b/>
          <w:sz w:val="28"/>
          <w:szCs w:val="28"/>
        </w:rPr>
        <w:t xml:space="preserve"> par Eiropas Reģionālās attīstības fonda, Eiropas Sociālā fonda,</w:t>
      </w:r>
      <w:r w:rsidRPr="007E6786">
        <w:rPr>
          <w:rFonts w:cs="Times New Roman"/>
          <w:b/>
          <w:sz w:val="28"/>
          <w:szCs w:val="28"/>
        </w:rPr>
        <w:br/>
        <w:t>Kohēzijas fonda, Eiropas Lauksaimniecības fonda lauku attīstībai</w:t>
      </w:r>
      <w:r w:rsidRPr="007E6786">
        <w:rPr>
          <w:rFonts w:cs="Times New Roman"/>
          <w:b/>
          <w:sz w:val="28"/>
          <w:szCs w:val="28"/>
        </w:rPr>
        <w:br/>
        <w:t xml:space="preserve">un Eiropas Jūrlietu un zivsaimniecības fonda </w:t>
      </w:r>
    </w:p>
    <w:p w14:paraId="6747B244" w14:textId="77777777" w:rsidR="00F236D6" w:rsidRDefault="00B551B5" w:rsidP="007E6786">
      <w:pPr>
        <w:jc w:val="center"/>
        <w:rPr>
          <w:rFonts w:cs="Times New Roman"/>
          <w:b/>
          <w:sz w:val="28"/>
          <w:szCs w:val="28"/>
        </w:rPr>
      </w:pPr>
      <w:r w:rsidRPr="007E6786">
        <w:rPr>
          <w:rFonts w:cs="Times New Roman"/>
          <w:b/>
          <w:sz w:val="28"/>
          <w:szCs w:val="28"/>
        </w:rPr>
        <w:t>ieviešanu</w:t>
      </w:r>
      <w:r w:rsidR="00F236D6">
        <w:rPr>
          <w:rFonts w:cs="Times New Roman"/>
          <w:b/>
          <w:sz w:val="28"/>
          <w:szCs w:val="28"/>
        </w:rPr>
        <w:t xml:space="preserve"> </w:t>
      </w:r>
      <w:r w:rsidRPr="007E6786">
        <w:rPr>
          <w:rFonts w:cs="Times New Roman"/>
          <w:b/>
          <w:sz w:val="28"/>
          <w:szCs w:val="28"/>
        </w:rPr>
        <w:t>2014.</w:t>
      </w:r>
      <w:r w:rsidR="007E6786">
        <w:rPr>
          <w:rFonts w:cs="Times New Roman"/>
          <w:b/>
          <w:sz w:val="28"/>
          <w:szCs w:val="28"/>
        </w:rPr>
        <w:t>–</w:t>
      </w:r>
      <w:r w:rsidRPr="007E6786">
        <w:rPr>
          <w:rFonts w:cs="Times New Roman"/>
          <w:b/>
          <w:sz w:val="28"/>
          <w:szCs w:val="28"/>
        </w:rPr>
        <w:t>2020.gadā Latvijā</w:t>
      </w:r>
      <w:r w:rsidR="008D5C1A" w:rsidRPr="007E6786">
        <w:rPr>
          <w:rFonts w:cs="Times New Roman"/>
          <w:b/>
          <w:sz w:val="28"/>
          <w:szCs w:val="28"/>
        </w:rPr>
        <w:t xml:space="preserve"> </w:t>
      </w:r>
    </w:p>
    <w:p w14:paraId="7F1CAAC7" w14:textId="448EC1A8" w:rsidR="00B551B5" w:rsidRDefault="008D5C1A" w:rsidP="007E6786">
      <w:pPr>
        <w:jc w:val="center"/>
        <w:rPr>
          <w:rFonts w:cs="Times New Roman"/>
          <w:b/>
          <w:sz w:val="28"/>
          <w:szCs w:val="28"/>
        </w:rPr>
      </w:pPr>
      <w:r w:rsidRPr="007E6786">
        <w:rPr>
          <w:rFonts w:cs="Times New Roman"/>
          <w:b/>
          <w:sz w:val="28"/>
          <w:szCs w:val="28"/>
        </w:rPr>
        <w:t>kopsavilkums</w:t>
      </w:r>
    </w:p>
    <w:p w14:paraId="6C3E580C" w14:textId="77777777" w:rsidR="007E6786" w:rsidRPr="007E6786" w:rsidRDefault="007E6786" w:rsidP="007E6786">
      <w:pPr>
        <w:jc w:val="center"/>
        <w:rPr>
          <w:rFonts w:cs="Times New Roman"/>
          <w:b/>
          <w:sz w:val="28"/>
          <w:szCs w:val="28"/>
        </w:rPr>
      </w:pPr>
    </w:p>
    <w:p w14:paraId="31BAD84B" w14:textId="77777777" w:rsidR="006B7B7F" w:rsidRDefault="006B7B7F">
      <w:pPr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br w:type="page"/>
      </w:r>
    </w:p>
    <w:p w14:paraId="7F1CAAC8" w14:textId="46F7F690" w:rsidR="00976BB1" w:rsidRPr="00E969D0" w:rsidRDefault="00282487" w:rsidP="007E6786">
      <w:pPr>
        <w:pStyle w:val="ListParagraph"/>
        <w:tabs>
          <w:tab w:val="left" w:pos="426"/>
        </w:tabs>
        <w:ind w:left="0" w:firstLine="709"/>
        <w:jc w:val="both"/>
        <w:rPr>
          <w:rFonts w:cs="Times New Roman"/>
          <w:spacing w:val="-2"/>
          <w:sz w:val="28"/>
          <w:szCs w:val="28"/>
        </w:rPr>
      </w:pPr>
      <w:r w:rsidRPr="00E969D0">
        <w:rPr>
          <w:rFonts w:cs="Times New Roman"/>
          <w:spacing w:val="-2"/>
          <w:sz w:val="28"/>
          <w:szCs w:val="28"/>
        </w:rPr>
        <w:lastRenderedPageBreak/>
        <w:t>Eiropas Savienības (turpmāk – ES) fondu – Eiropas Reģionālās attīstības fonda (turpmāk – ERAF), Eiropas Sociālā fonda (turpmāk – ESF), Eiropas Lauksaimniecības fonda lauku attīstībai (turpmāk – ELFLA), Eiropas Jūrlietu un zivsaimniecības fonda (turpmāk – EJZV) un Kohēzijas fonda (turpmāk – KF) –</w:t>
      </w:r>
      <w:r w:rsidR="002C6055" w:rsidRPr="00E969D0">
        <w:rPr>
          <w:rFonts w:cs="Times New Roman"/>
          <w:spacing w:val="-2"/>
          <w:sz w:val="28"/>
          <w:szCs w:val="28"/>
        </w:rPr>
        <w:t xml:space="preserve">finansējums Latvijā </w:t>
      </w:r>
      <w:r w:rsidR="002F2A92" w:rsidRPr="00E969D0">
        <w:rPr>
          <w:rFonts w:cs="Times New Roman"/>
          <w:spacing w:val="-2"/>
          <w:sz w:val="28"/>
          <w:szCs w:val="28"/>
        </w:rPr>
        <w:t>dažādu projektu īstenošanai</w:t>
      </w:r>
      <w:r w:rsidR="002F2A92" w:rsidRPr="00E969D0" w:rsidDel="004D4032">
        <w:rPr>
          <w:rFonts w:cs="Times New Roman"/>
          <w:spacing w:val="-2"/>
          <w:sz w:val="28"/>
          <w:szCs w:val="28"/>
        </w:rPr>
        <w:t xml:space="preserve"> </w:t>
      </w:r>
      <w:r w:rsidR="00E969D0" w:rsidRPr="00E969D0">
        <w:rPr>
          <w:rFonts w:cs="Times New Roman"/>
          <w:spacing w:val="-2"/>
          <w:sz w:val="28"/>
          <w:szCs w:val="28"/>
        </w:rPr>
        <w:t xml:space="preserve">tika izmantots </w:t>
      </w:r>
      <w:r w:rsidR="002F2A92" w:rsidRPr="00E969D0">
        <w:rPr>
          <w:rFonts w:cs="Times New Roman"/>
          <w:spacing w:val="-2"/>
          <w:sz w:val="28"/>
          <w:szCs w:val="28"/>
        </w:rPr>
        <w:t>2004.–2006.gada plānošanas periodā, kā arī 2007.–2013.gada plānošanas periodā. 2007.–2013.gada plānošanas periodā ES fondu investīciju projekti Latvijā veido līdz 70</w:t>
      </w:r>
      <w:r w:rsidR="007E6786" w:rsidRPr="00E969D0">
        <w:rPr>
          <w:rFonts w:cs="Times New Roman"/>
          <w:spacing w:val="-2"/>
          <w:sz w:val="28"/>
          <w:szCs w:val="28"/>
        </w:rPr>
        <w:t> </w:t>
      </w:r>
      <w:r w:rsidR="002F2A92" w:rsidRPr="00E969D0">
        <w:rPr>
          <w:rFonts w:cs="Times New Roman"/>
          <w:spacing w:val="-2"/>
          <w:sz w:val="28"/>
          <w:szCs w:val="28"/>
        </w:rPr>
        <w:t xml:space="preserve">% no kopējām publiskajām investīcijām. </w:t>
      </w:r>
      <w:r w:rsidR="00C86D86" w:rsidRPr="00E969D0">
        <w:rPr>
          <w:rFonts w:cs="Times New Roman"/>
          <w:spacing w:val="-2"/>
          <w:sz w:val="28"/>
          <w:szCs w:val="28"/>
        </w:rPr>
        <w:t xml:space="preserve">Visu ES finanšu instrumentu pieejamība un ES atbalsta ieviešana sniedz būtisku devumu IKP pieaugumam Latvijā. Veicot izvērtējumus, pierādīts, ka </w:t>
      </w:r>
      <w:r w:rsidR="002F2A92" w:rsidRPr="00E969D0">
        <w:rPr>
          <w:rFonts w:cs="Times New Roman"/>
          <w:spacing w:val="-2"/>
          <w:sz w:val="28"/>
          <w:szCs w:val="28"/>
        </w:rPr>
        <w:t>ES fondu</w:t>
      </w:r>
      <w:r w:rsidR="002F2A92" w:rsidRPr="00E969D0">
        <w:rPr>
          <w:rStyle w:val="FootnoteReference"/>
          <w:rFonts w:cs="Times New Roman"/>
          <w:spacing w:val="-2"/>
          <w:sz w:val="28"/>
          <w:szCs w:val="28"/>
        </w:rPr>
        <w:footnoteReference w:id="1"/>
      </w:r>
      <w:r w:rsidR="002F2A92" w:rsidRPr="00E969D0">
        <w:rPr>
          <w:rFonts w:cs="Times New Roman"/>
          <w:spacing w:val="-2"/>
          <w:sz w:val="28"/>
          <w:szCs w:val="28"/>
        </w:rPr>
        <w:t xml:space="preserve"> pozitīvā ietekme uz IKP pieauguma tempu la</w:t>
      </w:r>
      <w:r w:rsidR="00E969D0" w:rsidRPr="00E969D0">
        <w:rPr>
          <w:rFonts w:cs="Times New Roman"/>
          <w:spacing w:val="-2"/>
          <w:sz w:val="28"/>
          <w:szCs w:val="28"/>
        </w:rPr>
        <w:t>ikposmā no 2004. līdz 2012.gadam svārstās ap 4,1 </w:t>
      </w:r>
      <w:r w:rsidR="002F2A92" w:rsidRPr="00E969D0">
        <w:rPr>
          <w:rFonts w:cs="Times New Roman"/>
          <w:spacing w:val="-2"/>
          <w:sz w:val="28"/>
          <w:szCs w:val="28"/>
        </w:rPr>
        <w:t>procentpunktu gadā</w:t>
      </w:r>
      <w:r w:rsidR="00741642" w:rsidRPr="00E969D0">
        <w:rPr>
          <w:rStyle w:val="FootnoteReference"/>
          <w:rFonts w:cs="Times New Roman"/>
          <w:spacing w:val="-2"/>
          <w:sz w:val="28"/>
          <w:szCs w:val="28"/>
        </w:rPr>
        <w:footnoteReference w:id="2"/>
      </w:r>
      <w:r w:rsidR="002F2A92" w:rsidRPr="00E969D0">
        <w:rPr>
          <w:rFonts w:cs="Times New Roman"/>
          <w:spacing w:val="-2"/>
          <w:sz w:val="28"/>
          <w:szCs w:val="28"/>
        </w:rPr>
        <w:t xml:space="preserve">. Saskaņā ar </w:t>
      </w:r>
      <w:r w:rsidR="002F2A92" w:rsidRPr="00E969D0">
        <w:rPr>
          <w:rFonts w:cs="Times New Roman"/>
          <w:i/>
          <w:spacing w:val="-2"/>
          <w:sz w:val="28"/>
          <w:szCs w:val="28"/>
        </w:rPr>
        <w:t>Eurostat</w:t>
      </w:r>
      <w:r w:rsidR="002F2A92" w:rsidRPr="00E969D0">
        <w:rPr>
          <w:rFonts w:cs="Times New Roman"/>
          <w:spacing w:val="-2"/>
          <w:sz w:val="28"/>
          <w:szCs w:val="28"/>
        </w:rPr>
        <w:t xml:space="preserve"> datiem laik</w:t>
      </w:r>
      <w:r w:rsidR="00E969D0" w:rsidRPr="00E969D0">
        <w:rPr>
          <w:rFonts w:cs="Times New Roman"/>
          <w:spacing w:val="-2"/>
          <w:sz w:val="28"/>
          <w:szCs w:val="28"/>
        </w:rPr>
        <w:t>posm</w:t>
      </w:r>
      <w:r w:rsidR="00D323ED" w:rsidRPr="00E969D0">
        <w:rPr>
          <w:rFonts w:cs="Times New Roman"/>
          <w:spacing w:val="-2"/>
          <w:sz w:val="28"/>
          <w:szCs w:val="28"/>
        </w:rPr>
        <w:t>ā no 2004.</w:t>
      </w:r>
      <w:r w:rsidR="002F2A92" w:rsidRPr="00E969D0">
        <w:rPr>
          <w:rFonts w:cs="Times New Roman"/>
          <w:spacing w:val="-2"/>
          <w:sz w:val="28"/>
          <w:szCs w:val="28"/>
        </w:rPr>
        <w:t xml:space="preserve"> līdz 2011.gadam IKP uz iedzīvotāju pēc pirktspējas paritātes Latvijā pieauga no 46</w:t>
      </w:r>
      <w:r w:rsidR="00D323ED" w:rsidRPr="00E969D0">
        <w:rPr>
          <w:rFonts w:cs="Times New Roman"/>
          <w:spacing w:val="-2"/>
          <w:sz w:val="28"/>
          <w:szCs w:val="28"/>
        </w:rPr>
        <w:t> </w:t>
      </w:r>
      <w:r w:rsidR="002F2A92" w:rsidRPr="00E969D0">
        <w:rPr>
          <w:rFonts w:cs="Times New Roman"/>
          <w:spacing w:val="-2"/>
          <w:sz w:val="28"/>
          <w:szCs w:val="28"/>
        </w:rPr>
        <w:t>līdz 58</w:t>
      </w:r>
      <w:r w:rsidR="00D323ED" w:rsidRPr="00E969D0">
        <w:rPr>
          <w:rFonts w:cs="Times New Roman"/>
          <w:spacing w:val="-2"/>
          <w:sz w:val="28"/>
          <w:szCs w:val="28"/>
        </w:rPr>
        <w:t> </w:t>
      </w:r>
      <w:r w:rsidR="002F2A92" w:rsidRPr="00E969D0">
        <w:rPr>
          <w:rFonts w:cs="Times New Roman"/>
          <w:spacing w:val="-2"/>
          <w:sz w:val="28"/>
          <w:szCs w:val="28"/>
        </w:rPr>
        <w:t>% no ES vidējā rādītāja</w:t>
      </w:r>
      <w:r w:rsidR="002F2A92" w:rsidRPr="00E969D0">
        <w:rPr>
          <w:rStyle w:val="FootnoteReference"/>
          <w:rFonts w:cs="Times New Roman"/>
          <w:spacing w:val="-2"/>
          <w:sz w:val="28"/>
          <w:szCs w:val="28"/>
        </w:rPr>
        <w:footnoteReference w:id="3"/>
      </w:r>
      <w:r w:rsidR="002F2A92" w:rsidRPr="00E969D0">
        <w:rPr>
          <w:rFonts w:cs="Times New Roman"/>
          <w:spacing w:val="-2"/>
          <w:sz w:val="28"/>
          <w:szCs w:val="28"/>
        </w:rPr>
        <w:t>. Saskaņā ar ES noteikto dalījumu NUTS II reģioni</w:t>
      </w:r>
      <w:r w:rsidR="002F2A92" w:rsidRPr="00E969D0">
        <w:rPr>
          <w:rStyle w:val="FootnoteReference"/>
          <w:rFonts w:cs="Times New Roman"/>
          <w:spacing w:val="-2"/>
          <w:sz w:val="28"/>
          <w:szCs w:val="28"/>
        </w:rPr>
        <w:footnoteReference w:id="4"/>
      </w:r>
      <w:r w:rsidR="002F2A92" w:rsidRPr="00E969D0">
        <w:rPr>
          <w:rFonts w:cs="Times New Roman"/>
          <w:spacing w:val="-2"/>
          <w:sz w:val="28"/>
          <w:szCs w:val="28"/>
        </w:rPr>
        <w:t xml:space="preserve"> ar IKP uz iedzīvotāju zem 75</w:t>
      </w:r>
      <w:r w:rsidR="00E969D0" w:rsidRPr="00E969D0">
        <w:rPr>
          <w:rFonts w:cs="Times New Roman"/>
          <w:spacing w:val="-2"/>
          <w:sz w:val="28"/>
          <w:szCs w:val="28"/>
        </w:rPr>
        <w:t> </w:t>
      </w:r>
      <w:r w:rsidR="002F2A92" w:rsidRPr="00E969D0">
        <w:rPr>
          <w:rFonts w:cs="Times New Roman"/>
          <w:spacing w:val="-2"/>
          <w:sz w:val="28"/>
          <w:szCs w:val="28"/>
        </w:rPr>
        <w:t>% no ES vidējā tiek uzskatīti par mazāk attīstītiem reģioniem, līdz a</w:t>
      </w:r>
      <w:r w:rsidR="00E969D0" w:rsidRPr="00E969D0">
        <w:rPr>
          <w:rFonts w:cs="Times New Roman"/>
          <w:spacing w:val="-2"/>
          <w:sz w:val="28"/>
          <w:szCs w:val="28"/>
        </w:rPr>
        <w:t>r to Latvijai arī 2014.–2020.</w:t>
      </w:r>
      <w:r w:rsidR="002F2A92" w:rsidRPr="00E969D0">
        <w:rPr>
          <w:rFonts w:cs="Times New Roman"/>
          <w:spacing w:val="-2"/>
          <w:sz w:val="28"/>
          <w:szCs w:val="28"/>
        </w:rPr>
        <w:t>gada plānošanas perioda ietvaros jau no 2014.gada ES fondi ir būtisks investīciju un attīstības avots.</w:t>
      </w:r>
    </w:p>
    <w:p w14:paraId="7F1CAAC9" w14:textId="5816C8C4" w:rsidR="002C6055" w:rsidRPr="007E6786" w:rsidRDefault="00D323ED" w:rsidP="007E6786">
      <w:pPr>
        <w:pStyle w:val="ListParagraph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2007.–</w:t>
      </w:r>
      <w:r w:rsidR="002F2A92" w:rsidRPr="007E6786">
        <w:rPr>
          <w:rFonts w:cs="Times New Roman"/>
          <w:sz w:val="28"/>
          <w:szCs w:val="28"/>
        </w:rPr>
        <w:t>2013.gada plānošanas periodā ES fondiem ir izveidota vadības un kontroles sistēma, kas darbojas atbilstoši Eiropas Komisijas</w:t>
      </w:r>
      <w:r w:rsidR="00FE2B63" w:rsidRPr="007E6786">
        <w:rPr>
          <w:rFonts w:cs="Times New Roman"/>
          <w:sz w:val="28"/>
          <w:szCs w:val="28"/>
        </w:rPr>
        <w:t xml:space="preserve"> (</w:t>
      </w:r>
      <w:r w:rsidR="00E969D0">
        <w:rPr>
          <w:rFonts w:cs="Times New Roman"/>
          <w:sz w:val="28"/>
          <w:szCs w:val="28"/>
        </w:rPr>
        <w:t xml:space="preserve">turpmāk – </w:t>
      </w:r>
      <w:r w:rsidR="00FE2B63" w:rsidRPr="007E6786">
        <w:rPr>
          <w:rFonts w:cs="Times New Roman"/>
          <w:sz w:val="28"/>
          <w:szCs w:val="28"/>
        </w:rPr>
        <w:t>EK)</w:t>
      </w:r>
      <w:r w:rsidR="002F2A92" w:rsidRPr="007E6786">
        <w:rPr>
          <w:rFonts w:cs="Times New Roman"/>
          <w:sz w:val="28"/>
          <w:szCs w:val="28"/>
        </w:rPr>
        <w:t xml:space="preserve"> prasībām. Turklāt 2012.gadā tika veikta virkne būtisku pasākumu sistēmas pilnveidošanai</w:t>
      </w:r>
      <w:r w:rsidR="009E2311" w:rsidRPr="007E6786">
        <w:rPr>
          <w:rFonts w:cs="Times New Roman"/>
          <w:sz w:val="28"/>
          <w:szCs w:val="28"/>
        </w:rPr>
        <w:t>.</w:t>
      </w:r>
      <w:r w:rsidR="002C6055" w:rsidRPr="007E6786">
        <w:rPr>
          <w:rFonts w:cs="Times New Roman"/>
          <w:sz w:val="28"/>
          <w:szCs w:val="28"/>
        </w:rPr>
        <w:t xml:space="preserve"> </w:t>
      </w:r>
    </w:p>
    <w:p w14:paraId="7F1CAACA" w14:textId="684C00C9" w:rsidR="009E2311" w:rsidRPr="00E969D0" w:rsidRDefault="009E2311" w:rsidP="007E6786">
      <w:pPr>
        <w:pStyle w:val="ListParagraph"/>
        <w:ind w:left="0" w:firstLine="709"/>
        <w:jc w:val="both"/>
        <w:rPr>
          <w:rFonts w:cs="Times New Roman"/>
          <w:spacing w:val="-2"/>
          <w:sz w:val="28"/>
          <w:szCs w:val="28"/>
        </w:rPr>
      </w:pPr>
      <w:r w:rsidRPr="00E969D0">
        <w:rPr>
          <w:rFonts w:cs="Times New Roman"/>
          <w:spacing w:val="-2"/>
          <w:sz w:val="28"/>
          <w:szCs w:val="28"/>
        </w:rPr>
        <w:t>2011.gada 6.oktobrī EK publicēja priek</w:t>
      </w:r>
      <w:r w:rsidR="00D323ED" w:rsidRPr="00E969D0">
        <w:rPr>
          <w:rFonts w:cs="Times New Roman"/>
          <w:spacing w:val="-2"/>
          <w:sz w:val="28"/>
          <w:szCs w:val="28"/>
        </w:rPr>
        <w:t>šlikumus ES fondu regulām 2014.–</w:t>
      </w:r>
      <w:r w:rsidRPr="00E969D0">
        <w:rPr>
          <w:rFonts w:cs="Times New Roman"/>
          <w:spacing w:val="-2"/>
          <w:sz w:val="28"/>
          <w:szCs w:val="28"/>
        </w:rPr>
        <w:t xml:space="preserve">2020.gada plānošanas periodam. EK paredz, ka ES fondi atbalstīs darbības, kas veicina gudras, ilgtspējīgas un iekļaujošas izaugsmes stratēģijas īstenošanu, nodrošinot to sasaisti ar </w:t>
      </w:r>
      <w:r w:rsidR="00E969D0" w:rsidRPr="00E969D0">
        <w:rPr>
          <w:rFonts w:cs="Times New Roman"/>
          <w:spacing w:val="-2"/>
          <w:sz w:val="28"/>
          <w:szCs w:val="28"/>
        </w:rPr>
        <w:t xml:space="preserve">stratēģiju </w:t>
      </w:r>
      <w:r w:rsidR="00E969D0">
        <w:rPr>
          <w:rFonts w:cs="Times New Roman"/>
          <w:spacing w:val="-2"/>
          <w:sz w:val="28"/>
          <w:szCs w:val="28"/>
        </w:rPr>
        <w:t>"</w:t>
      </w:r>
      <w:r w:rsidR="00E418A9" w:rsidRPr="00E969D0">
        <w:rPr>
          <w:rFonts w:cs="Times New Roman"/>
          <w:spacing w:val="-2"/>
          <w:sz w:val="28"/>
          <w:szCs w:val="28"/>
        </w:rPr>
        <w:t xml:space="preserve">Eiropa </w:t>
      </w:r>
      <w:r w:rsidRPr="00E969D0">
        <w:rPr>
          <w:rFonts w:cs="Times New Roman"/>
          <w:spacing w:val="-2"/>
          <w:sz w:val="28"/>
          <w:szCs w:val="28"/>
        </w:rPr>
        <w:t>2020</w:t>
      </w:r>
      <w:r w:rsidR="00E969D0">
        <w:rPr>
          <w:rFonts w:cs="Times New Roman"/>
          <w:spacing w:val="-2"/>
          <w:sz w:val="28"/>
          <w:szCs w:val="28"/>
        </w:rPr>
        <w:t>"</w:t>
      </w:r>
      <w:r w:rsidRPr="00E969D0">
        <w:rPr>
          <w:rFonts w:cs="Times New Roman"/>
          <w:spacing w:val="-2"/>
          <w:sz w:val="28"/>
          <w:szCs w:val="28"/>
        </w:rPr>
        <w:t>. Regulu priekšlikumos tiek noteikt</w:t>
      </w:r>
      <w:r w:rsidR="002F2A92" w:rsidRPr="00E969D0">
        <w:rPr>
          <w:rFonts w:cs="Times New Roman"/>
          <w:spacing w:val="-2"/>
          <w:sz w:val="28"/>
          <w:szCs w:val="28"/>
        </w:rPr>
        <w:t>s</w:t>
      </w:r>
      <w:r w:rsidRPr="00E969D0">
        <w:rPr>
          <w:rFonts w:cs="Times New Roman"/>
          <w:spacing w:val="-2"/>
          <w:sz w:val="28"/>
          <w:szCs w:val="28"/>
        </w:rPr>
        <w:t xml:space="preserve"> ES fondu izmantošanas tiesiskais regulējums</w:t>
      </w:r>
      <w:r w:rsidR="00E969D0" w:rsidRPr="00E969D0">
        <w:rPr>
          <w:rFonts w:cs="Times New Roman"/>
          <w:spacing w:val="-2"/>
          <w:sz w:val="28"/>
          <w:szCs w:val="28"/>
        </w:rPr>
        <w:t xml:space="preserve"> un</w:t>
      </w:r>
      <w:r w:rsidRPr="00E969D0">
        <w:rPr>
          <w:rFonts w:cs="Times New Roman"/>
          <w:spacing w:val="-2"/>
          <w:sz w:val="28"/>
          <w:szCs w:val="28"/>
        </w:rPr>
        <w:t xml:space="preserve"> prasības plānošanas dokumentiem un izvirzīti nosacījumi institucionālajai sistēmai.</w:t>
      </w:r>
    </w:p>
    <w:p w14:paraId="7F1CAACB" w14:textId="5B93175A" w:rsidR="002F2A92" w:rsidRPr="002E0D44" w:rsidRDefault="002F2A92" w:rsidP="007E6786">
      <w:pPr>
        <w:pStyle w:val="ListParagraph"/>
        <w:ind w:left="0" w:firstLine="709"/>
        <w:jc w:val="both"/>
        <w:rPr>
          <w:rFonts w:cs="Times New Roman"/>
          <w:spacing w:val="-2"/>
          <w:sz w:val="28"/>
          <w:szCs w:val="28"/>
        </w:rPr>
      </w:pPr>
      <w:r w:rsidRPr="002E0D44">
        <w:rPr>
          <w:rFonts w:cs="Times New Roman"/>
          <w:spacing w:val="-2"/>
          <w:sz w:val="28"/>
          <w:szCs w:val="28"/>
        </w:rPr>
        <w:t xml:space="preserve">EK </w:t>
      </w:r>
      <w:r w:rsidR="00FF4C05" w:rsidRPr="002E0D44">
        <w:rPr>
          <w:rFonts w:cs="Times New Roman"/>
          <w:spacing w:val="-2"/>
          <w:sz w:val="28"/>
          <w:szCs w:val="28"/>
        </w:rPr>
        <w:t xml:space="preserve">regulas </w:t>
      </w:r>
      <w:r w:rsidRPr="002E0D44">
        <w:rPr>
          <w:rFonts w:cs="Times New Roman"/>
          <w:spacing w:val="-2"/>
          <w:sz w:val="28"/>
          <w:szCs w:val="28"/>
        </w:rPr>
        <w:t>priekšlikums ietver Vienoto stratēģisko ietvaru</w:t>
      </w:r>
      <w:r w:rsidRPr="002E0D44">
        <w:rPr>
          <w:rStyle w:val="FootnoteReference"/>
          <w:rFonts w:cs="Times New Roman"/>
          <w:spacing w:val="-2"/>
          <w:sz w:val="28"/>
          <w:szCs w:val="28"/>
        </w:rPr>
        <w:footnoteReference w:id="5"/>
      </w:r>
      <w:r w:rsidRPr="002E0D44">
        <w:rPr>
          <w:rFonts w:cs="Times New Roman"/>
          <w:spacing w:val="-2"/>
          <w:sz w:val="28"/>
          <w:szCs w:val="28"/>
        </w:rPr>
        <w:t xml:space="preserve">, kas izmantojams piecu ES fondu </w:t>
      </w:r>
      <w:r w:rsidR="00175B9A" w:rsidRPr="002E0D44">
        <w:rPr>
          <w:rFonts w:cs="Times New Roman"/>
          <w:spacing w:val="-2"/>
          <w:sz w:val="28"/>
          <w:szCs w:val="28"/>
        </w:rPr>
        <w:t>(</w:t>
      </w:r>
      <w:r w:rsidRPr="002E0D44">
        <w:rPr>
          <w:rFonts w:cs="Times New Roman"/>
          <w:spacing w:val="-2"/>
          <w:sz w:val="28"/>
          <w:szCs w:val="28"/>
        </w:rPr>
        <w:t>ERAF, ESF, KF, ELFLA, EJZF</w:t>
      </w:r>
      <w:r w:rsidR="00175B9A" w:rsidRPr="002E0D44">
        <w:rPr>
          <w:rFonts w:cs="Times New Roman"/>
          <w:spacing w:val="-2"/>
          <w:sz w:val="28"/>
          <w:szCs w:val="28"/>
        </w:rPr>
        <w:t>)</w:t>
      </w:r>
      <w:r w:rsidRPr="002E0D44">
        <w:rPr>
          <w:rFonts w:cs="Times New Roman"/>
          <w:spacing w:val="-2"/>
          <w:sz w:val="28"/>
          <w:szCs w:val="28"/>
        </w:rPr>
        <w:t xml:space="preserve"> un Eiropas ter</w:t>
      </w:r>
      <w:r w:rsidR="00175B9A" w:rsidRPr="002E0D44">
        <w:rPr>
          <w:rFonts w:cs="Times New Roman"/>
          <w:spacing w:val="-2"/>
          <w:sz w:val="28"/>
          <w:szCs w:val="28"/>
        </w:rPr>
        <w:t xml:space="preserve">itoriālās sadarbības </w:t>
      </w:r>
      <w:r w:rsidR="006B7B7F">
        <w:rPr>
          <w:rFonts w:cs="Times New Roman"/>
          <w:spacing w:val="-2"/>
          <w:sz w:val="28"/>
          <w:szCs w:val="28"/>
        </w:rPr>
        <w:t xml:space="preserve">(turpmāk – ETS) </w:t>
      </w:r>
      <w:r w:rsidR="00175B9A" w:rsidRPr="002E0D44">
        <w:rPr>
          <w:rFonts w:cs="Times New Roman"/>
          <w:spacing w:val="-2"/>
          <w:sz w:val="28"/>
          <w:szCs w:val="28"/>
        </w:rPr>
        <w:t>programmu</w:t>
      </w:r>
      <w:r w:rsidRPr="002E0D44">
        <w:rPr>
          <w:rFonts w:cs="Times New Roman"/>
          <w:spacing w:val="-2"/>
          <w:sz w:val="28"/>
          <w:szCs w:val="28"/>
        </w:rPr>
        <w:t xml:space="preserve"> plānošanas dokumentu sagatavošanai</w:t>
      </w:r>
      <w:r w:rsidR="00833076" w:rsidRPr="002E0D44">
        <w:rPr>
          <w:rFonts w:cs="Times New Roman"/>
          <w:spacing w:val="-2"/>
          <w:sz w:val="28"/>
          <w:szCs w:val="28"/>
        </w:rPr>
        <w:t>.</w:t>
      </w:r>
      <w:r w:rsidRPr="002E0D44">
        <w:rPr>
          <w:rFonts w:cs="Times New Roman"/>
          <w:spacing w:val="-2"/>
          <w:sz w:val="28"/>
          <w:szCs w:val="28"/>
        </w:rPr>
        <w:t xml:space="preserve"> </w:t>
      </w:r>
      <w:r w:rsidR="00833076" w:rsidRPr="002E0D44">
        <w:rPr>
          <w:rFonts w:cs="Times New Roman"/>
          <w:spacing w:val="-2"/>
          <w:sz w:val="28"/>
          <w:szCs w:val="28"/>
        </w:rPr>
        <w:t>L</w:t>
      </w:r>
      <w:r w:rsidRPr="002E0D44">
        <w:rPr>
          <w:rFonts w:cs="Times New Roman"/>
          <w:spacing w:val="-2"/>
          <w:sz w:val="28"/>
          <w:szCs w:val="28"/>
        </w:rPr>
        <w:t xml:space="preserve">īdz ar to </w:t>
      </w:r>
      <w:r w:rsidR="00175B9A" w:rsidRPr="002E0D44">
        <w:rPr>
          <w:spacing w:val="-2"/>
          <w:sz w:val="28"/>
          <w:szCs w:val="28"/>
        </w:rPr>
        <w:t xml:space="preserve">Koncepcija par Eiropas Reģionālās attīstības fonda, Eiropas Sociālā fonda, Kohēzijas fonda, Eiropas Lauksaimniecības fonda lauku attīstībai un Eiropas Jūrlietu un zivsaimniecības fonda ieviešanu 2014.–2020.gadā Latvijā (turpmāk – koncepcija) </w:t>
      </w:r>
      <w:r w:rsidRPr="002E0D44">
        <w:rPr>
          <w:rFonts w:cs="Times New Roman"/>
          <w:spacing w:val="-2"/>
          <w:sz w:val="28"/>
          <w:szCs w:val="28"/>
        </w:rPr>
        <w:t>ietver visu minēto fondu ieviešanas sistēmu, cik</w:t>
      </w:r>
      <w:r w:rsidR="00E418A9" w:rsidRPr="002E0D44">
        <w:rPr>
          <w:rFonts w:cs="Times New Roman"/>
          <w:spacing w:val="-2"/>
          <w:sz w:val="28"/>
          <w:szCs w:val="28"/>
        </w:rPr>
        <w:t>tāl tas attiecas uz partnerības</w:t>
      </w:r>
      <w:r w:rsidRPr="002E0D44">
        <w:rPr>
          <w:rFonts w:cs="Times New Roman"/>
          <w:spacing w:val="-2"/>
          <w:sz w:val="28"/>
          <w:szCs w:val="28"/>
        </w:rPr>
        <w:t xml:space="preserve"> līguma sagatavošanu, par kura sagatav</w:t>
      </w:r>
      <w:r w:rsidR="00833076" w:rsidRPr="002E0D44">
        <w:rPr>
          <w:rFonts w:cs="Times New Roman"/>
          <w:spacing w:val="-2"/>
          <w:sz w:val="28"/>
          <w:szCs w:val="28"/>
        </w:rPr>
        <w:t>ošanu atbild Finanšu ministrija</w:t>
      </w:r>
      <w:r w:rsidRPr="002E0D44">
        <w:rPr>
          <w:rFonts w:cs="Times New Roman"/>
          <w:spacing w:val="-2"/>
          <w:sz w:val="28"/>
          <w:szCs w:val="28"/>
        </w:rPr>
        <w:t xml:space="preserve"> un kura sagatavošanas procesā tiks izveidoti koordināciju un </w:t>
      </w:r>
      <w:r w:rsidRPr="002E0D44">
        <w:rPr>
          <w:rFonts w:cs="Times New Roman"/>
          <w:spacing w:val="-2"/>
          <w:sz w:val="28"/>
          <w:szCs w:val="28"/>
        </w:rPr>
        <w:lastRenderedPageBreak/>
        <w:t xml:space="preserve">sinerģijas mehānismi starp minētajiem finanšu instrumentiem. </w:t>
      </w:r>
      <w:r w:rsidR="00F236D6">
        <w:rPr>
          <w:rFonts w:cs="Times New Roman"/>
          <w:spacing w:val="-2"/>
          <w:sz w:val="28"/>
          <w:szCs w:val="28"/>
        </w:rPr>
        <w:t>K</w:t>
      </w:r>
      <w:r w:rsidR="00450260" w:rsidRPr="002E0D44">
        <w:rPr>
          <w:rFonts w:cs="Times New Roman"/>
          <w:spacing w:val="-2"/>
          <w:sz w:val="28"/>
          <w:szCs w:val="28"/>
        </w:rPr>
        <w:t xml:space="preserve">oncepcijā ietverta </w:t>
      </w:r>
      <w:r w:rsidR="00F236D6">
        <w:rPr>
          <w:rFonts w:cs="Times New Roman"/>
          <w:spacing w:val="-2"/>
          <w:sz w:val="28"/>
          <w:szCs w:val="28"/>
        </w:rPr>
        <w:t xml:space="preserve">arī </w:t>
      </w:r>
      <w:r w:rsidR="00450260" w:rsidRPr="002E0D44">
        <w:rPr>
          <w:rFonts w:cs="Times New Roman"/>
          <w:spacing w:val="-2"/>
          <w:sz w:val="28"/>
          <w:szCs w:val="28"/>
        </w:rPr>
        <w:t xml:space="preserve">informācija par </w:t>
      </w:r>
      <w:r w:rsidR="006B7B7F">
        <w:rPr>
          <w:rFonts w:cs="Times New Roman"/>
          <w:spacing w:val="-2"/>
          <w:sz w:val="28"/>
          <w:szCs w:val="28"/>
        </w:rPr>
        <w:t>ETS</w:t>
      </w:r>
      <w:r w:rsidR="006B7B7F" w:rsidRPr="002E0D44">
        <w:rPr>
          <w:rFonts w:cs="Times New Roman"/>
          <w:spacing w:val="-2"/>
          <w:sz w:val="28"/>
          <w:szCs w:val="28"/>
        </w:rPr>
        <w:t xml:space="preserve"> </w:t>
      </w:r>
      <w:r w:rsidR="00E969D0" w:rsidRPr="002E0D44">
        <w:rPr>
          <w:rFonts w:cs="Times New Roman"/>
          <w:spacing w:val="-2"/>
          <w:sz w:val="28"/>
          <w:szCs w:val="28"/>
        </w:rPr>
        <w:t>programmu administrēšanu 2014.</w:t>
      </w:r>
      <w:r w:rsidR="00D323ED" w:rsidRPr="002E0D44">
        <w:rPr>
          <w:rFonts w:cs="Times New Roman"/>
          <w:spacing w:val="-2"/>
          <w:sz w:val="28"/>
          <w:szCs w:val="28"/>
        </w:rPr>
        <w:t>–</w:t>
      </w:r>
      <w:r w:rsidR="00450260" w:rsidRPr="002E0D44">
        <w:rPr>
          <w:rFonts w:cs="Times New Roman"/>
          <w:spacing w:val="-2"/>
          <w:sz w:val="28"/>
          <w:szCs w:val="28"/>
        </w:rPr>
        <w:t xml:space="preserve">2020.gada plānošanas periodā. </w:t>
      </w:r>
    </w:p>
    <w:p w14:paraId="7F1CAACC" w14:textId="649CD206" w:rsidR="007B6FBC" w:rsidRPr="002E0D44" w:rsidRDefault="00E418A9" w:rsidP="007E6786">
      <w:pPr>
        <w:pStyle w:val="ListParagraph"/>
        <w:ind w:left="0" w:firstLine="709"/>
        <w:jc w:val="both"/>
        <w:rPr>
          <w:spacing w:val="-2"/>
          <w:sz w:val="28"/>
          <w:szCs w:val="28"/>
        </w:rPr>
      </w:pPr>
      <w:r w:rsidRPr="002E0D44">
        <w:rPr>
          <w:rFonts w:cs="Times New Roman"/>
          <w:spacing w:val="-2"/>
          <w:sz w:val="28"/>
          <w:szCs w:val="28"/>
        </w:rPr>
        <w:tab/>
      </w:r>
      <w:r w:rsidR="009E2311" w:rsidRPr="002E0D44">
        <w:rPr>
          <w:rFonts w:cs="Times New Roman"/>
          <w:spacing w:val="-2"/>
          <w:sz w:val="28"/>
          <w:szCs w:val="28"/>
        </w:rPr>
        <w:t xml:space="preserve">ES </w:t>
      </w:r>
      <w:r w:rsidR="002F2A92" w:rsidRPr="002E0D44">
        <w:rPr>
          <w:rFonts w:cs="Times New Roman"/>
          <w:spacing w:val="-2"/>
          <w:sz w:val="28"/>
          <w:szCs w:val="28"/>
        </w:rPr>
        <w:t xml:space="preserve">regulu priekšlikumos </w:t>
      </w:r>
      <w:r w:rsidR="00FF4C05" w:rsidRPr="002E0D44">
        <w:rPr>
          <w:rFonts w:cs="Times New Roman"/>
          <w:spacing w:val="-2"/>
          <w:sz w:val="28"/>
          <w:szCs w:val="28"/>
        </w:rPr>
        <w:t>tiek noteikti jauni</w:t>
      </w:r>
      <w:r w:rsidR="00D323ED" w:rsidRPr="002E0D44">
        <w:rPr>
          <w:rFonts w:cs="Times New Roman"/>
          <w:spacing w:val="-2"/>
          <w:sz w:val="28"/>
          <w:szCs w:val="28"/>
        </w:rPr>
        <w:t xml:space="preserve"> </w:t>
      </w:r>
      <w:r w:rsidR="009E2311" w:rsidRPr="002E0D44">
        <w:rPr>
          <w:rFonts w:cs="Times New Roman"/>
          <w:spacing w:val="-2"/>
          <w:sz w:val="28"/>
          <w:szCs w:val="28"/>
        </w:rPr>
        <w:t>2014.</w:t>
      </w:r>
      <w:r w:rsidR="00D323ED" w:rsidRPr="002E0D44">
        <w:rPr>
          <w:rFonts w:cs="Times New Roman"/>
          <w:spacing w:val="-2"/>
          <w:sz w:val="28"/>
          <w:szCs w:val="28"/>
        </w:rPr>
        <w:t>–</w:t>
      </w:r>
      <w:r w:rsidR="00E969D0" w:rsidRPr="002E0D44">
        <w:rPr>
          <w:rFonts w:cs="Times New Roman"/>
          <w:spacing w:val="-2"/>
          <w:sz w:val="28"/>
          <w:szCs w:val="28"/>
        </w:rPr>
        <w:t>2020.</w:t>
      </w:r>
      <w:r w:rsidR="009E2311" w:rsidRPr="002E0D44">
        <w:rPr>
          <w:rFonts w:cs="Times New Roman"/>
          <w:spacing w:val="-2"/>
          <w:sz w:val="28"/>
          <w:szCs w:val="28"/>
        </w:rPr>
        <w:t xml:space="preserve">gada plānošanas perioda akcenti. </w:t>
      </w:r>
      <w:r w:rsidR="0018014B" w:rsidRPr="002E0D44">
        <w:rPr>
          <w:rFonts w:cs="Times New Roman"/>
          <w:spacing w:val="-2"/>
          <w:sz w:val="28"/>
          <w:szCs w:val="28"/>
        </w:rPr>
        <w:t>Atšķirī</w:t>
      </w:r>
      <w:r w:rsidR="00FE2B63" w:rsidRPr="002E0D44">
        <w:rPr>
          <w:rFonts w:cs="Times New Roman"/>
          <w:spacing w:val="-2"/>
          <w:sz w:val="28"/>
          <w:szCs w:val="28"/>
        </w:rPr>
        <w:t>bā</w:t>
      </w:r>
      <w:r w:rsidR="00E969D0" w:rsidRPr="002E0D44">
        <w:rPr>
          <w:rFonts w:cs="Times New Roman"/>
          <w:spacing w:val="-2"/>
          <w:sz w:val="28"/>
          <w:szCs w:val="28"/>
        </w:rPr>
        <w:t xml:space="preserve"> no 2007.–</w:t>
      </w:r>
      <w:r w:rsidR="00833076" w:rsidRPr="002E0D44">
        <w:rPr>
          <w:rFonts w:cs="Times New Roman"/>
          <w:spacing w:val="-2"/>
          <w:sz w:val="28"/>
          <w:szCs w:val="28"/>
        </w:rPr>
        <w:t>2013.gada plānošanas perioda</w:t>
      </w:r>
      <w:r w:rsidR="0018014B" w:rsidRPr="002E0D44">
        <w:rPr>
          <w:rFonts w:cs="Times New Roman"/>
          <w:spacing w:val="-2"/>
          <w:sz w:val="28"/>
          <w:szCs w:val="28"/>
        </w:rPr>
        <w:t xml:space="preserve"> jaunajā plānošanas periodā </w:t>
      </w:r>
      <w:r w:rsidR="00FF4C05" w:rsidRPr="002E0D44">
        <w:rPr>
          <w:rFonts w:cs="Times New Roman"/>
          <w:spacing w:val="-2"/>
          <w:sz w:val="28"/>
          <w:szCs w:val="28"/>
        </w:rPr>
        <w:t xml:space="preserve">lielāka uzmanība </w:t>
      </w:r>
      <w:r w:rsidR="0018014B" w:rsidRPr="002E0D44">
        <w:rPr>
          <w:rFonts w:cs="Times New Roman"/>
          <w:spacing w:val="-2"/>
          <w:sz w:val="28"/>
          <w:szCs w:val="28"/>
        </w:rPr>
        <w:t xml:space="preserve">tiek </w:t>
      </w:r>
      <w:r w:rsidR="00833076" w:rsidRPr="002E0D44">
        <w:rPr>
          <w:rFonts w:cs="Times New Roman"/>
          <w:spacing w:val="-2"/>
          <w:sz w:val="28"/>
          <w:szCs w:val="28"/>
        </w:rPr>
        <w:t>pie</w:t>
      </w:r>
      <w:r w:rsidR="0018014B" w:rsidRPr="002E0D44">
        <w:rPr>
          <w:rFonts w:cs="Times New Roman"/>
          <w:spacing w:val="-2"/>
          <w:sz w:val="28"/>
          <w:szCs w:val="28"/>
        </w:rPr>
        <w:t xml:space="preserve">vērsta sākotnējiem izvērtējumiem (t.s. </w:t>
      </w:r>
      <w:proofErr w:type="spellStart"/>
      <w:r w:rsidR="0018014B" w:rsidRPr="002E0D44">
        <w:rPr>
          <w:rFonts w:cs="Times New Roman"/>
          <w:i/>
          <w:spacing w:val="-2"/>
          <w:sz w:val="28"/>
          <w:szCs w:val="28"/>
        </w:rPr>
        <w:t>ex-ante</w:t>
      </w:r>
      <w:proofErr w:type="spellEnd"/>
      <w:r w:rsidR="0018014B" w:rsidRPr="002E0D44">
        <w:rPr>
          <w:rFonts w:cs="Times New Roman"/>
          <w:spacing w:val="-2"/>
          <w:sz w:val="28"/>
          <w:szCs w:val="28"/>
        </w:rPr>
        <w:t xml:space="preserve"> nosacījumu </w:t>
      </w:r>
      <w:r w:rsidR="00FF4C05" w:rsidRPr="002E0D44">
        <w:rPr>
          <w:rFonts w:cs="Times New Roman"/>
          <w:spacing w:val="-2"/>
          <w:sz w:val="28"/>
          <w:szCs w:val="28"/>
        </w:rPr>
        <w:t>izpilde</w:t>
      </w:r>
      <w:r w:rsidR="00833076" w:rsidRPr="002E0D44">
        <w:rPr>
          <w:rFonts w:cs="Times New Roman"/>
          <w:spacing w:val="-2"/>
          <w:sz w:val="28"/>
          <w:szCs w:val="28"/>
        </w:rPr>
        <w:t>i</w:t>
      </w:r>
      <w:r w:rsidR="0018014B" w:rsidRPr="002E0D44">
        <w:rPr>
          <w:rFonts w:cs="Times New Roman"/>
          <w:spacing w:val="-2"/>
          <w:sz w:val="28"/>
          <w:szCs w:val="28"/>
        </w:rPr>
        <w:t>)</w:t>
      </w:r>
      <w:r w:rsidR="008D5C1A" w:rsidRPr="002E0D44">
        <w:rPr>
          <w:rFonts w:cs="Times New Roman"/>
          <w:spacing w:val="-2"/>
          <w:sz w:val="28"/>
          <w:szCs w:val="28"/>
        </w:rPr>
        <w:t>,</w:t>
      </w:r>
      <w:r w:rsidR="0018014B" w:rsidRPr="002E0D44">
        <w:rPr>
          <w:rFonts w:cs="Times New Roman"/>
          <w:spacing w:val="-2"/>
          <w:sz w:val="28"/>
          <w:szCs w:val="28"/>
        </w:rPr>
        <w:t xml:space="preserve"> </w:t>
      </w:r>
      <w:r w:rsidR="00FF4C05" w:rsidRPr="002E0D44">
        <w:rPr>
          <w:rFonts w:cs="Times New Roman"/>
          <w:spacing w:val="-2"/>
          <w:sz w:val="28"/>
          <w:szCs w:val="28"/>
        </w:rPr>
        <w:t xml:space="preserve">kam </w:t>
      </w:r>
      <w:r w:rsidR="0018014B" w:rsidRPr="002E0D44">
        <w:rPr>
          <w:rFonts w:cs="Times New Roman"/>
          <w:spacing w:val="-2"/>
          <w:sz w:val="28"/>
          <w:szCs w:val="28"/>
        </w:rPr>
        <w:t xml:space="preserve">jāparāda plānoto investīciju loma kopējā nozares attīstības un reformu stratēģijā, jānorāda prioritātes un redzējums </w:t>
      </w:r>
      <w:r w:rsidR="00D323ED" w:rsidRPr="002E0D44">
        <w:rPr>
          <w:rFonts w:cs="Times New Roman"/>
          <w:spacing w:val="-2"/>
          <w:sz w:val="28"/>
          <w:szCs w:val="28"/>
        </w:rPr>
        <w:t>–</w:t>
      </w:r>
      <w:r w:rsidR="0018014B" w:rsidRPr="002E0D44">
        <w:rPr>
          <w:rFonts w:cs="Times New Roman"/>
          <w:spacing w:val="-2"/>
          <w:sz w:val="28"/>
          <w:szCs w:val="28"/>
        </w:rPr>
        <w:t xml:space="preserve"> kā pēc iespējas efektīvāk un </w:t>
      </w:r>
      <w:r w:rsidR="003E406D" w:rsidRPr="002E0D44">
        <w:rPr>
          <w:rFonts w:cs="Times New Roman"/>
          <w:spacing w:val="-2"/>
          <w:sz w:val="28"/>
          <w:szCs w:val="28"/>
        </w:rPr>
        <w:t xml:space="preserve">mērķtiecīgāk </w:t>
      </w:r>
      <w:r w:rsidR="00FF4C05" w:rsidRPr="002E0D44">
        <w:rPr>
          <w:rFonts w:cs="Times New Roman"/>
          <w:spacing w:val="-2"/>
          <w:sz w:val="28"/>
          <w:szCs w:val="28"/>
        </w:rPr>
        <w:t xml:space="preserve">tiks </w:t>
      </w:r>
      <w:r w:rsidR="0018014B" w:rsidRPr="002E0D44">
        <w:rPr>
          <w:rFonts w:cs="Times New Roman"/>
          <w:spacing w:val="-2"/>
          <w:sz w:val="28"/>
          <w:szCs w:val="28"/>
        </w:rPr>
        <w:t>izmantot</w:t>
      </w:r>
      <w:r w:rsidR="00FF4C05" w:rsidRPr="002E0D44">
        <w:rPr>
          <w:rFonts w:cs="Times New Roman"/>
          <w:spacing w:val="-2"/>
          <w:sz w:val="28"/>
          <w:szCs w:val="28"/>
        </w:rPr>
        <w:t>i</w:t>
      </w:r>
      <w:r w:rsidR="0018014B" w:rsidRPr="002E0D44">
        <w:rPr>
          <w:rFonts w:cs="Times New Roman"/>
          <w:spacing w:val="-2"/>
          <w:sz w:val="28"/>
          <w:szCs w:val="28"/>
        </w:rPr>
        <w:t xml:space="preserve"> ierobežot</w:t>
      </w:r>
      <w:r w:rsidR="00FF4C05" w:rsidRPr="002E0D44">
        <w:rPr>
          <w:rFonts w:cs="Times New Roman"/>
          <w:spacing w:val="-2"/>
          <w:sz w:val="28"/>
          <w:szCs w:val="28"/>
        </w:rPr>
        <w:t>ie</w:t>
      </w:r>
      <w:r w:rsidR="0018014B" w:rsidRPr="002E0D44">
        <w:rPr>
          <w:rFonts w:cs="Times New Roman"/>
          <w:spacing w:val="-2"/>
          <w:sz w:val="28"/>
          <w:szCs w:val="28"/>
        </w:rPr>
        <w:t xml:space="preserve"> publisko investīciju resurs</w:t>
      </w:r>
      <w:r w:rsidR="00FF4C05" w:rsidRPr="002E0D44">
        <w:rPr>
          <w:rFonts w:cs="Times New Roman"/>
          <w:spacing w:val="-2"/>
          <w:sz w:val="28"/>
          <w:szCs w:val="28"/>
        </w:rPr>
        <w:t>i</w:t>
      </w:r>
      <w:r w:rsidR="0018014B" w:rsidRPr="002E0D44">
        <w:rPr>
          <w:rFonts w:cs="Times New Roman"/>
          <w:spacing w:val="-2"/>
          <w:sz w:val="28"/>
          <w:szCs w:val="28"/>
        </w:rPr>
        <w:t xml:space="preserve">, lai sasniegtu maksimālu un skaidri demonstrējamu rezultātu. </w:t>
      </w:r>
      <w:r w:rsidR="00833076" w:rsidRPr="002E0D44">
        <w:rPr>
          <w:rFonts w:cs="Times New Roman"/>
          <w:spacing w:val="-2"/>
          <w:sz w:val="28"/>
          <w:szCs w:val="28"/>
        </w:rPr>
        <w:t>N</w:t>
      </w:r>
      <w:r w:rsidR="0018014B" w:rsidRPr="002E0D44">
        <w:rPr>
          <w:rFonts w:cs="Times New Roman"/>
          <w:spacing w:val="-2"/>
          <w:sz w:val="28"/>
          <w:szCs w:val="28"/>
        </w:rPr>
        <w:t xml:space="preserve">ākamajā plānošanas periodā lielāka uzmanība tiks pievērsta </w:t>
      </w:r>
      <w:r w:rsidR="00833076" w:rsidRPr="002E0D44">
        <w:rPr>
          <w:rFonts w:cs="Times New Roman"/>
          <w:spacing w:val="-2"/>
          <w:sz w:val="28"/>
          <w:szCs w:val="28"/>
        </w:rPr>
        <w:t xml:space="preserve">arī </w:t>
      </w:r>
      <w:r w:rsidR="0018014B" w:rsidRPr="002E0D44">
        <w:rPr>
          <w:rFonts w:cs="Times New Roman"/>
          <w:spacing w:val="-2"/>
          <w:sz w:val="28"/>
          <w:szCs w:val="28"/>
        </w:rPr>
        <w:t>mērķu noteikšanas un rezultātu novērtēšanas sistēmu kvalitātei, nodrošinot, ka</w:t>
      </w:r>
      <w:r w:rsidR="008D5C1A" w:rsidRPr="002E0D44">
        <w:rPr>
          <w:rFonts w:cs="Times New Roman"/>
          <w:spacing w:val="-2"/>
          <w:sz w:val="28"/>
          <w:szCs w:val="28"/>
        </w:rPr>
        <w:t>,</w:t>
      </w:r>
      <w:r w:rsidR="0018014B" w:rsidRPr="002E0D44">
        <w:rPr>
          <w:rFonts w:cs="Times New Roman"/>
          <w:spacing w:val="-2"/>
          <w:sz w:val="28"/>
          <w:szCs w:val="28"/>
        </w:rPr>
        <w:t xml:space="preserve"> plānojot investīcijas</w:t>
      </w:r>
      <w:r w:rsidR="008D5C1A" w:rsidRPr="002E0D44">
        <w:rPr>
          <w:rFonts w:cs="Times New Roman"/>
          <w:spacing w:val="-2"/>
          <w:sz w:val="28"/>
          <w:szCs w:val="28"/>
        </w:rPr>
        <w:t>,</w:t>
      </w:r>
      <w:r w:rsidR="0018014B" w:rsidRPr="002E0D44">
        <w:rPr>
          <w:rFonts w:cs="Times New Roman"/>
          <w:spacing w:val="-2"/>
          <w:sz w:val="28"/>
          <w:szCs w:val="28"/>
        </w:rPr>
        <w:t xml:space="preserve"> tiek noteikti skaidri un sasniedzami mērķi un ka sasniegtie rezultāti ir izmērāmi, salīdzināmi un uzskatāmi. Īpaš</w:t>
      </w:r>
      <w:r w:rsidR="00833076" w:rsidRPr="002E0D44">
        <w:rPr>
          <w:rFonts w:cs="Times New Roman"/>
          <w:spacing w:val="-2"/>
          <w:sz w:val="28"/>
          <w:szCs w:val="28"/>
        </w:rPr>
        <w:t>i tiek</w:t>
      </w:r>
      <w:r w:rsidR="0018014B" w:rsidRPr="002E0D44">
        <w:rPr>
          <w:rFonts w:cs="Times New Roman"/>
          <w:spacing w:val="-2"/>
          <w:sz w:val="28"/>
          <w:szCs w:val="28"/>
        </w:rPr>
        <w:t xml:space="preserve"> uzsv</w:t>
      </w:r>
      <w:r w:rsidR="00833076" w:rsidRPr="002E0D44">
        <w:rPr>
          <w:rFonts w:cs="Times New Roman"/>
          <w:spacing w:val="-2"/>
          <w:sz w:val="28"/>
          <w:szCs w:val="28"/>
        </w:rPr>
        <w:t>ērta</w:t>
      </w:r>
      <w:r w:rsidR="0018014B" w:rsidRPr="002E0D44">
        <w:rPr>
          <w:rFonts w:cs="Times New Roman"/>
          <w:spacing w:val="-2"/>
          <w:sz w:val="28"/>
          <w:szCs w:val="28"/>
        </w:rPr>
        <w:t xml:space="preserve"> visu ES fondu un citu finanšu instrumentu savstarpēj</w:t>
      </w:r>
      <w:r w:rsidR="00833076" w:rsidRPr="002E0D44">
        <w:rPr>
          <w:rFonts w:cs="Times New Roman"/>
          <w:spacing w:val="-2"/>
          <w:sz w:val="28"/>
          <w:szCs w:val="28"/>
        </w:rPr>
        <w:t>ā</w:t>
      </w:r>
      <w:r w:rsidR="0018014B" w:rsidRPr="002E0D44">
        <w:rPr>
          <w:rFonts w:cs="Times New Roman"/>
          <w:spacing w:val="-2"/>
          <w:sz w:val="28"/>
          <w:szCs w:val="28"/>
        </w:rPr>
        <w:t xml:space="preserve"> koordinācij</w:t>
      </w:r>
      <w:r w:rsidR="00833076" w:rsidRPr="002E0D44">
        <w:rPr>
          <w:rFonts w:cs="Times New Roman"/>
          <w:spacing w:val="-2"/>
          <w:sz w:val="28"/>
          <w:szCs w:val="28"/>
        </w:rPr>
        <w:t>a</w:t>
      </w:r>
      <w:r w:rsidRPr="002E0D44">
        <w:rPr>
          <w:rFonts w:cs="Times New Roman"/>
          <w:spacing w:val="-2"/>
          <w:sz w:val="28"/>
          <w:szCs w:val="28"/>
        </w:rPr>
        <w:t>, saskaņotīb</w:t>
      </w:r>
      <w:r w:rsidR="00833076" w:rsidRPr="002E0D44">
        <w:rPr>
          <w:rFonts w:cs="Times New Roman"/>
          <w:spacing w:val="-2"/>
          <w:sz w:val="28"/>
          <w:szCs w:val="28"/>
        </w:rPr>
        <w:t>a</w:t>
      </w:r>
      <w:r w:rsidRPr="002E0D44">
        <w:rPr>
          <w:rFonts w:cs="Times New Roman"/>
          <w:spacing w:val="-2"/>
          <w:sz w:val="28"/>
          <w:szCs w:val="28"/>
        </w:rPr>
        <w:t xml:space="preserve"> un papildinātīb</w:t>
      </w:r>
      <w:r w:rsidR="00833076" w:rsidRPr="002E0D44">
        <w:rPr>
          <w:rFonts w:cs="Times New Roman"/>
          <w:spacing w:val="-2"/>
          <w:sz w:val="28"/>
          <w:szCs w:val="28"/>
        </w:rPr>
        <w:t>a</w:t>
      </w:r>
      <w:r w:rsidRPr="002E0D44">
        <w:rPr>
          <w:rFonts w:cs="Times New Roman"/>
          <w:spacing w:val="-2"/>
          <w:sz w:val="28"/>
          <w:szCs w:val="28"/>
        </w:rPr>
        <w:t xml:space="preserve"> </w:t>
      </w:r>
      <w:r w:rsidR="0018014B" w:rsidRPr="002E0D44">
        <w:rPr>
          <w:rFonts w:cs="Times New Roman"/>
          <w:spacing w:val="-2"/>
          <w:sz w:val="28"/>
          <w:szCs w:val="28"/>
        </w:rPr>
        <w:t xml:space="preserve">tematisko mērķu sasniegšanai. Pastiprināta uzmanība tiek pievērsta noteiktā mērķa sasniegšanas novērtēšanai, proti, būtiskas starpposma </w:t>
      </w:r>
      <w:r w:rsidRPr="002E0D44">
        <w:rPr>
          <w:rFonts w:cs="Times New Roman"/>
          <w:spacing w:val="-2"/>
          <w:sz w:val="28"/>
          <w:szCs w:val="28"/>
        </w:rPr>
        <w:t>mērķu</w:t>
      </w:r>
      <w:r w:rsidR="0018014B" w:rsidRPr="002E0D44">
        <w:rPr>
          <w:rFonts w:cs="Times New Roman"/>
          <w:spacing w:val="-2"/>
          <w:sz w:val="28"/>
          <w:szCs w:val="28"/>
        </w:rPr>
        <w:t xml:space="preserve"> neizpildes gadījumā 2018. un 2022.gadā var tikt apturēti maksājumi un piemērota finanšu korekcija.</w:t>
      </w:r>
      <w:r w:rsidR="0018014B" w:rsidRPr="002E0D44">
        <w:rPr>
          <w:rStyle w:val="FootnoteReference"/>
          <w:rFonts w:cs="Times New Roman"/>
          <w:spacing w:val="-2"/>
          <w:sz w:val="28"/>
          <w:szCs w:val="28"/>
        </w:rPr>
        <w:footnoteReference w:id="6"/>
      </w:r>
      <w:r w:rsidRPr="002E0D44">
        <w:rPr>
          <w:rFonts w:cs="Times New Roman"/>
          <w:spacing w:val="-2"/>
          <w:sz w:val="28"/>
          <w:szCs w:val="28"/>
        </w:rPr>
        <w:t xml:space="preserve"> </w:t>
      </w:r>
      <w:r w:rsidR="0018014B" w:rsidRPr="002E0D44">
        <w:rPr>
          <w:rFonts w:cs="Times New Roman"/>
          <w:spacing w:val="-2"/>
          <w:sz w:val="28"/>
          <w:szCs w:val="28"/>
        </w:rPr>
        <w:t xml:space="preserve">Papildus tiek plānota snieguma rezerve </w:t>
      </w:r>
      <w:r w:rsidR="00EE7E1C" w:rsidRPr="002E0D44">
        <w:rPr>
          <w:rFonts w:cs="Times New Roman"/>
          <w:spacing w:val="-2"/>
          <w:sz w:val="28"/>
          <w:szCs w:val="28"/>
        </w:rPr>
        <w:t xml:space="preserve">7 </w:t>
      </w:r>
      <w:r w:rsidR="0018014B" w:rsidRPr="002E0D44">
        <w:rPr>
          <w:rFonts w:cs="Times New Roman"/>
          <w:spacing w:val="-2"/>
          <w:sz w:val="28"/>
          <w:szCs w:val="28"/>
        </w:rPr>
        <w:t xml:space="preserve">% apmērā </w:t>
      </w:r>
      <w:r w:rsidR="00D323ED" w:rsidRPr="002E0D44">
        <w:rPr>
          <w:rFonts w:cs="Times New Roman"/>
          <w:spacing w:val="-2"/>
          <w:sz w:val="28"/>
          <w:szCs w:val="28"/>
        </w:rPr>
        <w:t>–</w:t>
      </w:r>
      <w:r w:rsidR="0018014B" w:rsidRPr="002E0D44">
        <w:rPr>
          <w:rFonts w:cs="Times New Roman"/>
          <w:spacing w:val="-2"/>
          <w:sz w:val="28"/>
          <w:szCs w:val="28"/>
        </w:rPr>
        <w:t xml:space="preserve"> dalībvalstij būs jāizveido starpposma</w:t>
      </w:r>
      <w:r w:rsidR="00833076" w:rsidRPr="002E0D44">
        <w:rPr>
          <w:rFonts w:cs="Times New Roman"/>
          <w:spacing w:val="-2"/>
          <w:sz w:val="28"/>
          <w:szCs w:val="28"/>
        </w:rPr>
        <w:t xml:space="preserve"> rezultātu novērtēšanas ietvars</w:t>
      </w:r>
      <w:r w:rsidR="0018014B" w:rsidRPr="002E0D44">
        <w:rPr>
          <w:rFonts w:cs="Times New Roman"/>
          <w:spacing w:val="-2"/>
          <w:sz w:val="28"/>
          <w:szCs w:val="28"/>
        </w:rPr>
        <w:t xml:space="preserve"> ar nosacījumu, ka vismaz </w:t>
      </w:r>
      <w:r w:rsidR="00833076" w:rsidRPr="002E0D44">
        <w:rPr>
          <w:rFonts w:cs="Times New Roman"/>
          <w:spacing w:val="-2"/>
          <w:sz w:val="28"/>
          <w:szCs w:val="28"/>
        </w:rPr>
        <w:t>7 </w:t>
      </w:r>
      <w:r w:rsidR="0018014B" w:rsidRPr="002E0D44">
        <w:rPr>
          <w:rFonts w:cs="Times New Roman"/>
          <w:spacing w:val="-2"/>
          <w:sz w:val="28"/>
          <w:szCs w:val="28"/>
        </w:rPr>
        <w:t>% no kopējā pieejamā finansējuma perioda sākumposmā netiek ieplānoti konkrētiem pasākumiem, bet kļūst pieejami perioda beigās</w:t>
      </w:r>
      <w:r w:rsidR="00833076" w:rsidRPr="002E0D44">
        <w:rPr>
          <w:rFonts w:cs="Times New Roman"/>
          <w:spacing w:val="-2"/>
          <w:sz w:val="28"/>
          <w:szCs w:val="28"/>
        </w:rPr>
        <w:t xml:space="preserve"> saskaņā ar</w:t>
      </w:r>
      <w:r w:rsidR="0018014B" w:rsidRPr="002E0D44">
        <w:rPr>
          <w:rFonts w:cs="Times New Roman"/>
          <w:spacing w:val="-2"/>
          <w:sz w:val="28"/>
          <w:szCs w:val="28"/>
        </w:rPr>
        <w:t xml:space="preserve"> EK lēmum</w:t>
      </w:r>
      <w:r w:rsidR="00E969D0" w:rsidRPr="002E0D44">
        <w:rPr>
          <w:rFonts w:cs="Times New Roman"/>
          <w:spacing w:val="-2"/>
          <w:sz w:val="28"/>
          <w:szCs w:val="28"/>
        </w:rPr>
        <w:t>u</w:t>
      </w:r>
      <w:r w:rsidR="002E0D44" w:rsidRPr="002E0D44">
        <w:rPr>
          <w:rFonts w:cs="Times New Roman"/>
          <w:spacing w:val="-2"/>
          <w:sz w:val="28"/>
          <w:szCs w:val="28"/>
        </w:rPr>
        <w:t>, kas pieņemts,</w:t>
      </w:r>
      <w:r w:rsidR="00833076" w:rsidRPr="002E0D44">
        <w:rPr>
          <w:rFonts w:cs="Times New Roman"/>
          <w:spacing w:val="-2"/>
          <w:sz w:val="28"/>
          <w:szCs w:val="28"/>
        </w:rPr>
        <w:t xml:space="preserve"> </w:t>
      </w:r>
      <w:r w:rsidR="00E969D0" w:rsidRPr="002E0D44">
        <w:rPr>
          <w:rFonts w:cs="Times New Roman"/>
          <w:spacing w:val="-2"/>
          <w:sz w:val="28"/>
          <w:szCs w:val="28"/>
        </w:rPr>
        <w:t>izvērtējot progres</w:t>
      </w:r>
      <w:r w:rsidR="00833076" w:rsidRPr="002E0D44">
        <w:rPr>
          <w:rFonts w:cs="Times New Roman"/>
          <w:spacing w:val="-2"/>
          <w:sz w:val="28"/>
          <w:szCs w:val="28"/>
        </w:rPr>
        <w:t>u</w:t>
      </w:r>
      <w:r w:rsidR="00E969D0" w:rsidRPr="002E0D44">
        <w:rPr>
          <w:rFonts w:cs="Times New Roman"/>
          <w:spacing w:val="-2"/>
          <w:sz w:val="28"/>
          <w:szCs w:val="28"/>
        </w:rPr>
        <w:t xml:space="preserve"> 2019.</w:t>
      </w:r>
      <w:r w:rsidR="0018014B" w:rsidRPr="002E0D44">
        <w:rPr>
          <w:rFonts w:cs="Times New Roman"/>
          <w:spacing w:val="-2"/>
          <w:sz w:val="28"/>
          <w:szCs w:val="28"/>
        </w:rPr>
        <w:t>gadā attiecībā uz sākotnēji noteikto starp</w:t>
      </w:r>
      <w:r w:rsidRPr="002E0D44">
        <w:rPr>
          <w:rFonts w:cs="Times New Roman"/>
          <w:spacing w:val="-2"/>
          <w:sz w:val="28"/>
          <w:szCs w:val="28"/>
        </w:rPr>
        <w:t xml:space="preserve">posma </w:t>
      </w:r>
      <w:r w:rsidR="0018014B" w:rsidRPr="002E0D44">
        <w:rPr>
          <w:rFonts w:cs="Times New Roman"/>
          <w:spacing w:val="-2"/>
          <w:sz w:val="28"/>
          <w:szCs w:val="28"/>
        </w:rPr>
        <w:t xml:space="preserve">mērķu sasniegšanu. </w:t>
      </w:r>
      <w:r w:rsidR="002E0D44">
        <w:rPr>
          <w:rFonts w:cs="Times New Roman"/>
          <w:spacing w:val="-2"/>
          <w:sz w:val="28"/>
          <w:szCs w:val="28"/>
        </w:rPr>
        <w:t>Sa</w:t>
      </w:r>
      <w:r w:rsidR="002E0D44" w:rsidRPr="002E0D44">
        <w:rPr>
          <w:rFonts w:cs="Times New Roman"/>
          <w:spacing w:val="-2"/>
          <w:sz w:val="28"/>
          <w:szCs w:val="28"/>
        </w:rPr>
        <w:t>gatavojot priekšlikumus ieviešanas sistēmas pilnveidei</w:t>
      </w:r>
      <w:r w:rsidR="002E0D44">
        <w:rPr>
          <w:rFonts w:cs="Times New Roman"/>
          <w:spacing w:val="-2"/>
          <w:sz w:val="28"/>
          <w:szCs w:val="28"/>
        </w:rPr>
        <w:t>,</w:t>
      </w:r>
      <w:r w:rsidR="002E0D44" w:rsidRPr="002E0D44">
        <w:rPr>
          <w:rFonts w:cs="Times New Roman"/>
          <w:spacing w:val="-2"/>
          <w:sz w:val="28"/>
          <w:szCs w:val="28"/>
        </w:rPr>
        <w:t xml:space="preserve"> </w:t>
      </w:r>
      <w:r w:rsidR="0018014B" w:rsidRPr="002E0D44">
        <w:rPr>
          <w:rFonts w:cs="Times New Roman"/>
          <w:spacing w:val="-2"/>
          <w:sz w:val="28"/>
          <w:szCs w:val="28"/>
        </w:rPr>
        <w:t>FM ņēmus</w:t>
      </w:r>
      <w:r w:rsidR="002E0D44">
        <w:rPr>
          <w:rFonts w:cs="Times New Roman"/>
          <w:spacing w:val="-2"/>
          <w:sz w:val="28"/>
          <w:szCs w:val="28"/>
        </w:rPr>
        <w:t>i vērā visus minētos apsvērumus</w:t>
      </w:r>
      <w:r w:rsidR="0018014B" w:rsidRPr="002E0D44">
        <w:rPr>
          <w:rFonts w:cs="Times New Roman"/>
          <w:spacing w:val="-2"/>
          <w:sz w:val="28"/>
          <w:szCs w:val="28"/>
        </w:rPr>
        <w:t>.</w:t>
      </w:r>
      <w:r w:rsidR="003D3D83" w:rsidRPr="002E0D44">
        <w:rPr>
          <w:rFonts w:cs="Times New Roman"/>
          <w:spacing w:val="-2"/>
          <w:sz w:val="28"/>
          <w:szCs w:val="28"/>
        </w:rPr>
        <w:t xml:space="preserve"> </w:t>
      </w:r>
      <w:r w:rsidR="00D736BC" w:rsidRPr="002E0D44">
        <w:rPr>
          <w:rFonts w:cs="Times New Roman"/>
          <w:spacing w:val="-2"/>
          <w:sz w:val="28"/>
          <w:szCs w:val="28"/>
        </w:rPr>
        <w:t xml:space="preserve">Koncepcija ietver </w:t>
      </w:r>
      <w:r w:rsidR="00FD4600" w:rsidRPr="002E0D44">
        <w:rPr>
          <w:spacing w:val="-2"/>
          <w:sz w:val="28"/>
          <w:szCs w:val="28"/>
        </w:rPr>
        <w:t>pamat</w:t>
      </w:r>
      <w:r w:rsidR="002E0D44">
        <w:rPr>
          <w:spacing w:val="-2"/>
          <w:sz w:val="28"/>
          <w:szCs w:val="28"/>
        </w:rPr>
        <w:softHyphen/>
      </w:r>
      <w:r w:rsidR="00FD4600" w:rsidRPr="002E0D44">
        <w:rPr>
          <w:spacing w:val="-2"/>
          <w:sz w:val="28"/>
          <w:szCs w:val="28"/>
        </w:rPr>
        <w:t>principus</w:t>
      </w:r>
      <w:r w:rsidR="00D323ED" w:rsidRPr="002E0D44">
        <w:rPr>
          <w:spacing w:val="-2"/>
          <w:sz w:val="28"/>
          <w:szCs w:val="28"/>
        </w:rPr>
        <w:t xml:space="preserve"> </w:t>
      </w:r>
      <w:r w:rsidR="00FD4600" w:rsidRPr="002E0D44">
        <w:rPr>
          <w:spacing w:val="-2"/>
          <w:sz w:val="28"/>
          <w:szCs w:val="28"/>
        </w:rPr>
        <w:t>administratīvā sloga mazināšanai,</w:t>
      </w:r>
      <w:r w:rsidR="00D323ED" w:rsidRPr="002E0D44">
        <w:rPr>
          <w:spacing w:val="-2"/>
          <w:sz w:val="28"/>
          <w:szCs w:val="28"/>
        </w:rPr>
        <w:t xml:space="preserve"> </w:t>
      </w:r>
      <w:r w:rsidR="000433C8" w:rsidRPr="002E0D44">
        <w:rPr>
          <w:spacing w:val="-2"/>
          <w:sz w:val="28"/>
          <w:szCs w:val="28"/>
        </w:rPr>
        <w:t>ES fondu ieviešanas</w:t>
      </w:r>
      <w:r w:rsidR="00FD4600" w:rsidRPr="002E0D44">
        <w:rPr>
          <w:spacing w:val="-2"/>
          <w:sz w:val="28"/>
          <w:szCs w:val="28"/>
        </w:rPr>
        <w:t xml:space="preserve"> institucionāl</w:t>
      </w:r>
      <w:r w:rsidR="00C7453E" w:rsidRPr="002E0D44">
        <w:rPr>
          <w:spacing w:val="-2"/>
          <w:sz w:val="28"/>
          <w:szCs w:val="28"/>
        </w:rPr>
        <w:t>o</w:t>
      </w:r>
      <w:r w:rsidR="00FD4600" w:rsidRPr="002E0D44">
        <w:rPr>
          <w:spacing w:val="-2"/>
          <w:sz w:val="28"/>
          <w:szCs w:val="28"/>
        </w:rPr>
        <w:t xml:space="preserve"> ietvaru,</w:t>
      </w:r>
      <w:r w:rsidR="00D323ED" w:rsidRPr="002E0D44">
        <w:rPr>
          <w:spacing w:val="-2"/>
          <w:sz w:val="28"/>
          <w:szCs w:val="28"/>
        </w:rPr>
        <w:t xml:space="preserve"> </w:t>
      </w:r>
      <w:r w:rsidR="00FD4600" w:rsidRPr="002E0D44">
        <w:rPr>
          <w:spacing w:val="-2"/>
          <w:sz w:val="28"/>
          <w:szCs w:val="28"/>
        </w:rPr>
        <w:t>laika</w:t>
      </w:r>
      <w:r w:rsidR="00FD4600" w:rsidRPr="002E0D44">
        <w:rPr>
          <w:b/>
          <w:spacing w:val="-2"/>
          <w:sz w:val="28"/>
          <w:szCs w:val="28"/>
        </w:rPr>
        <w:t xml:space="preserve"> </w:t>
      </w:r>
      <w:r w:rsidR="00FD4600" w:rsidRPr="002E0D44">
        <w:rPr>
          <w:spacing w:val="-2"/>
          <w:sz w:val="28"/>
          <w:szCs w:val="28"/>
        </w:rPr>
        <w:t>grafiku nepieciešamo darbību īstenošanai</w:t>
      </w:r>
      <w:r w:rsidR="002E0D44">
        <w:rPr>
          <w:spacing w:val="-2"/>
          <w:sz w:val="28"/>
          <w:szCs w:val="28"/>
        </w:rPr>
        <w:t>,</w:t>
      </w:r>
      <w:r w:rsidR="00FD4600" w:rsidRPr="002E0D44">
        <w:rPr>
          <w:spacing w:val="-2"/>
          <w:sz w:val="28"/>
          <w:szCs w:val="28"/>
        </w:rPr>
        <w:t xml:space="preserve"> sagatavojoties jaunajam 2014.</w:t>
      </w:r>
      <w:r w:rsidR="00D323ED" w:rsidRPr="002E0D44">
        <w:rPr>
          <w:spacing w:val="-2"/>
          <w:sz w:val="28"/>
          <w:szCs w:val="28"/>
        </w:rPr>
        <w:t>–</w:t>
      </w:r>
      <w:r w:rsidR="00E969D0" w:rsidRPr="002E0D44">
        <w:rPr>
          <w:spacing w:val="-2"/>
          <w:sz w:val="28"/>
          <w:szCs w:val="28"/>
        </w:rPr>
        <w:t>2020.</w:t>
      </w:r>
      <w:r w:rsidR="00FD4600" w:rsidRPr="002E0D44">
        <w:rPr>
          <w:spacing w:val="-2"/>
          <w:sz w:val="28"/>
          <w:szCs w:val="28"/>
        </w:rPr>
        <w:t>gada plānošanas periodam</w:t>
      </w:r>
      <w:r w:rsidR="002E0D44">
        <w:rPr>
          <w:spacing w:val="-2"/>
          <w:sz w:val="28"/>
          <w:szCs w:val="28"/>
        </w:rPr>
        <w:t>,</w:t>
      </w:r>
      <w:r w:rsidR="00FD4600" w:rsidRPr="002E0D44">
        <w:rPr>
          <w:spacing w:val="-2"/>
          <w:sz w:val="28"/>
          <w:szCs w:val="28"/>
        </w:rPr>
        <w:t xml:space="preserve"> un</w:t>
      </w:r>
      <w:r w:rsidR="002E0D44" w:rsidRPr="002E0D44">
        <w:rPr>
          <w:spacing w:val="-2"/>
          <w:sz w:val="28"/>
          <w:szCs w:val="28"/>
        </w:rPr>
        <w:t xml:space="preserve"> jaunā plānošanas perioda ietekmes uz budžetu aprēķin</w:t>
      </w:r>
      <w:r w:rsidR="002E0D44">
        <w:rPr>
          <w:spacing w:val="-2"/>
          <w:sz w:val="28"/>
          <w:szCs w:val="28"/>
        </w:rPr>
        <w:t>u,</w:t>
      </w:r>
      <w:r w:rsidR="00D323ED" w:rsidRPr="002E0D44">
        <w:rPr>
          <w:spacing w:val="-2"/>
          <w:sz w:val="28"/>
          <w:szCs w:val="28"/>
        </w:rPr>
        <w:t xml:space="preserve"> </w:t>
      </w:r>
      <w:r w:rsidR="00FD4600" w:rsidRPr="002E0D44">
        <w:rPr>
          <w:spacing w:val="-2"/>
          <w:sz w:val="28"/>
          <w:szCs w:val="28"/>
        </w:rPr>
        <w:t>ņemot vērā š</w:t>
      </w:r>
      <w:r w:rsidR="002E0D44">
        <w:rPr>
          <w:spacing w:val="-2"/>
          <w:sz w:val="28"/>
          <w:szCs w:val="28"/>
        </w:rPr>
        <w:t>ā</w:t>
      </w:r>
      <w:r w:rsidR="00FD4600" w:rsidRPr="002E0D44">
        <w:rPr>
          <w:spacing w:val="-2"/>
          <w:sz w:val="28"/>
          <w:szCs w:val="28"/>
        </w:rPr>
        <w:t xml:space="preserve"> perioda ES fondu ieviešanas izmaks</w:t>
      </w:r>
      <w:r w:rsidR="002E0D44">
        <w:rPr>
          <w:spacing w:val="-2"/>
          <w:sz w:val="28"/>
          <w:szCs w:val="28"/>
        </w:rPr>
        <w:t>as</w:t>
      </w:r>
      <w:r w:rsidR="00FD4600" w:rsidRPr="002E0D44">
        <w:rPr>
          <w:spacing w:val="-2"/>
          <w:sz w:val="28"/>
          <w:szCs w:val="28"/>
        </w:rPr>
        <w:t>.</w:t>
      </w:r>
      <w:r w:rsidR="003D3D83" w:rsidRPr="002E0D44">
        <w:rPr>
          <w:spacing w:val="-2"/>
          <w:sz w:val="28"/>
          <w:szCs w:val="28"/>
        </w:rPr>
        <w:t xml:space="preserve"> </w:t>
      </w:r>
    </w:p>
    <w:p w14:paraId="7F1CAACD" w14:textId="6F32201F" w:rsidR="00BC16FB" w:rsidRPr="007E6786" w:rsidRDefault="004A1105" w:rsidP="007E6786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2E0D44">
        <w:rPr>
          <w:rFonts w:cs="Times New Roman"/>
          <w:color w:val="000000"/>
          <w:sz w:val="28"/>
          <w:szCs w:val="28"/>
        </w:rPr>
        <w:t>K</w:t>
      </w:r>
      <w:r w:rsidR="002C6055" w:rsidRPr="002E0D44">
        <w:rPr>
          <w:rFonts w:cs="Times New Roman"/>
          <w:sz w:val="28"/>
          <w:szCs w:val="28"/>
        </w:rPr>
        <w:t>oncepcijas mērķis</w:t>
      </w:r>
      <w:r w:rsidR="002C6055" w:rsidRPr="007E6786">
        <w:rPr>
          <w:rFonts w:cs="Times New Roman"/>
          <w:b/>
          <w:sz w:val="28"/>
          <w:szCs w:val="28"/>
        </w:rPr>
        <w:t xml:space="preserve"> </w:t>
      </w:r>
      <w:r w:rsidR="002C6055" w:rsidRPr="007E6786">
        <w:rPr>
          <w:rFonts w:cs="Times New Roman"/>
          <w:sz w:val="28"/>
          <w:szCs w:val="28"/>
        </w:rPr>
        <w:t xml:space="preserve">ir panākt vienošanos par ES fondu </w:t>
      </w:r>
      <w:r w:rsidR="00C76A6E" w:rsidRPr="007E6786">
        <w:rPr>
          <w:rFonts w:cs="Times New Roman"/>
          <w:sz w:val="28"/>
          <w:szCs w:val="28"/>
        </w:rPr>
        <w:t xml:space="preserve">ieviešanu </w:t>
      </w:r>
      <w:r w:rsidR="00E969D0">
        <w:rPr>
          <w:rFonts w:cs="Times New Roman"/>
          <w:sz w:val="28"/>
          <w:szCs w:val="28"/>
        </w:rPr>
        <w:t>2014.–</w:t>
      </w:r>
      <w:r w:rsidR="002C6055" w:rsidRPr="007E6786">
        <w:rPr>
          <w:rFonts w:cs="Times New Roman"/>
          <w:sz w:val="28"/>
          <w:szCs w:val="28"/>
        </w:rPr>
        <w:t xml:space="preserve">2020.gada plānošanas </w:t>
      </w:r>
      <w:r w:rsidR="00C76A6E" w:rsidRPr="007E6786">
        <w:rPr>
          <w:rFonts w:cs="Times New Roman"/>
          <w:sz w:val="28"/>
          <w:szCs w:val="28"/>
        </w:rPr>
        <w:t>periodā</w:t>
      </w:r>
      <w:r w:rsidR="002C6055" w:rsidRPr="007E6786">
        <w:rPr>
          <w:rFonts w:cs="Times New Roman"/>
          <w:sz w:val="28"/>
          <w:szCs w:val="28"/>
        </w:rPr>
        <w:t xml:space="preserve"> un informēt par pasākumiem, kas veicami ES fondu vadības sistēmas vienkāršošanai</w:t>
      </w:r>
      <w:r w:rsidR="00BC16FB" w:rsidRPr="007E6786">
        <w:rPr>
          <w:rFonts w:cs="Times New Roman"/>
          <w:sz w:val="28"/>
          <w:szCs w:val="28"/>
        </w:rPr>
        <w:t>.</w:t>
      </w:r>
      <w:r w:rsidR="002C6055" w:rsidRPr="007E6786">
        <w:rPr>
          <w:rFonts w:cs="Times New Roman"/>
          <w:sz w:val="28"/>
          <w:szCs w:val="28"/>
        </w:rPr>
        <w:t xml:space="preserve"> </w:t>
      </w:r>
    </w:p>
    <w:p w14:paraId="28CE098B" w14:textId="72D68BBB" w:rsidR="000C56F7" w:rsidRDefault="00A53EF8" w:rsidP="007E6786">
      <w:pPr>
        <w:pStyle w:val="ListParagraph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>Admin</w:t>
      </w:r>
      <w:r w:rsidR="00BE34F6" w:rsidRPr="007E6786">
        <w:rPr>
          <w:rFonts w:cs="Times New Roman"/>
          <w:sz w:val="28"/>
          <w:szCs w:val="28"/>
        </w:rPr>
        <w:t xml:space="preserve">istratīvo slogu </w:t>
      </w:r>
      <w:r w:rsidR="0018014B" w:rsidRPr="007E6786">
        <w:rPr>
          <w:rFonts w:cs="Times New Roman"/>
          <w:sz w:val="28"/>
          <w:szCs w:val="28"/>
        </w:rPr>
        <w:t xml:space="preserve">gan administrēšanā iesaistītajām institūcijām, gan finansējuma saņēmējiem </w:t>
      </w:r>
      <w:r w:rsidR="00BE34F6" w:rsidRPr="000C56F7">
        <w:rPr>
          <w:rFonts w:cs="Times New Roman"/>
          <w:sz w:val="28"/>
          <w:szCs w:val="28"/>
        </w:rPr>
        <w:t>plānots mazināt</w:t>
      </w:r>
      <w:r w:rsidR="0018014B" w:rsidRPr="000C56F7">
        <w:rPr>
          <w:rFonts w:cs="Times New Roman"/>
          <w:sz w:val="28"/>
          <w:szCs w:val="28"/>
        </w:rPr>
        <w:t>,</w:t>
      </w:r>
      <w:r w:rsidR="00BE34F6" w:rsidRPr="000C56F7">
        <w:rPr>
          <w:rFonts w:cs="Times New Roman"/>
          <w:sz w:val="28"/>
          <w:szCs w:val="28"/>
        </w:rPr>
        <w:t xml:space="preserve"> veicot </w:t>
      </w:r>
      <w:r w:rsidR="0018014B" w:rsidRPr="000C56F7">
        <w:rPr>
          <w:rFonts w:cs="Times New Roman"/>
          <w:sz w:val="28"/>
          <w:szCs w:val="28"/>
        </w:rPr>
        <w:t xml:space="preserve">šādas </w:t>
      </w:r>
      <w:r w:rsidR="00BE34F6" w:rsidRPr="000C56F7">
        <w:rPr>
          <w:rFonts w:cs="Times New Roman"/>
          <w:sz w:val="28"/>
          <w:szCs w:val="28"/>
        </w:rPr>
        <w:t>darbības</w:t>
      </w:r>
      <w:r w:rsidR="00C76C45" w:rsidRPr="000C56F7">
        <w:rPr>
          <w:rFonts w:cs="Times New Roman"/>
          <w:sz w:val="28"/>
          <w:szCs w:val="28"/>
        </w:rPr>
        <w:t xml:space="preserve"> </w:t>
      </w:r>
      <w:r w:rsidR="000C56F7" w:rsidRPr="000C56F7">
        <w:rPr>
          <w:rFonts w:cs="Times New Roman"/>
          <w:sz w:val="28"/>
          <w:szCs w:val="28"/>
        </w:rPr>
        <w:t>ES Kohēzijas politikas fond</w:t>
      </w:r>
      <w:r w:rsidR="000C56F7">
        <w:rPr>
          <w:rFonts w:cs="Times New Roman"/>
          <w:sz w:val="28"/>
          <w:szCs w:val="28"/>
        </w:rPr>
        <w:t>u</w:t>
      </w:r>
      <w:r w:rsidR="000C56F7" w:rsidRPr="000C56F7">
        <w:rPr>
          <w:rFonts w:cs="Times New Roman"/>
          <w:sz w:val="28"/>
          <w:szCs w:val="28"/>
        </w:rPr>
        <w:t xml:space="preserve"> – ERAF, ESF un KF</w:t>
      </w:r>
      <w:r w:rsidR="000C56F7">
        <w:rPr>
          <w:rFonts w:cs="Times New Roman"/>
          <w:sz w:val="28"/>
          <w:szCs w:val="28"/>
        </w:rPr>
        <w:t xml:space="preserve"> (turpmāk – ES KP fondi) – </w:t>
      </w:r>
      <w:r w:rsidR="00C76C45" w:rsidRPr="007E6786">
        <w:rPr>
          <w:rFonts w:cs="Times New Roman"/>
          <w:sz w:val="28"/>
          <w:szCs w:val="28"/>
        </w:rPr>
        <w:t>ietvaros</w:t>
      </w:r>
      <w:r w:rsidR="00BE34F6" w:rsidRPr="007E6786">
        <w:rPr>
          <w:rFonts w:cs="Times New Roman"/>
          <w:sz w:val="28"/>
          <w:szCs w:val="28"/>
        </w:rPr>
        <w:t xml:space="preserve">: </w:t>
      </w:r>
    </w:p>
    <w:p w14:paraId="50833F38" w14:textId="62464BC2" w:rsidR="000C56F7" w:rsidRDefault="00BE34F6" w:rsidP="007E6786">
      <w:pPr>
        <w:pStyle w:val="ListParagraph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>1)</w:t>
      </w:r>
      <w:r w:rsidR="00B46369">
        <w:rPr>
          <w:rFonts w:cs="Times New Roman"/>
          <w:sz w:val="28"/>
          <w:szCs w:val="28"/>
        </w:rPr>
        <w:t> </w:t>
      </w:r>
      <w:r w:rsidRPr="007E6786">
        <w:rPr>
          <w:rFonts w:cs="Times New Roman"/>
          <w:sz w:val="28"/>
          <w:szCs w:val="28"/>
        </w:rPr>
        <w:t>veid</w:t>
      </w:r>
      <w:r w:rsidR="008403B7" w:rsidRPr="007E6786">
        <w:rPr>
          <w:rFonts w:cs="Times New Roman"/>
          <w:sz w:val="28"/>
          <w:szCs w:val="28"/>
        </w:rPr>
        <w:t xml:space="preserve">ot </w:t>
      </w:r>
      <w:r w:rsidR="00A53EF8" w:rsidRPr="007E6786">
        <w:rPr>
          <w:rFonts w:cs="Times New Roman"/>
          <w:sz w:val="28"/>
          <w:szCs w:val="28"/>
        </w:rPr>
        <w:t>op</w:t>
      </w:r>
      <w:r w:rsidR="009F0694" w:rsidRPr="007E6786">
        <w:rPr>
          <w:rFonts w:cs="Times New Roman"/>
          <w:sz w:val="28"/>
          <w:szCs w:val="28"/>
        </w:rPr>
        <w:t>timizētu institucionālo sistēmu</w:t>
      </w:r>
      <w:r w:rsidR="0018014B" w:rsidRPr="007E6786">
        <w:rPr>
          <w:rFonts w:cs="Times New Roman"/>
          <w:sz w:val="28"/>
          <w:szCs w:val="28"/>
        </w:rPr>
        <w:t>,</w:t>
      </w:r>
      <w:r w:rsidR="009F0694" w:rsidRPr="007E6786">
        <w:rPr>
          <w:rFonts w:cs="Times New Roman"/>
          <w:sz w:val="28"/>
          <w:szCs w:val="28"/>
        </w:rPr>
        <w:t xml:space="preserve"> </w:t>
      </w:r>
      <w:r w:rsidRPr="007E6786">
        <w:rPr>
          <w:rFonts w:cs="Times New Roman"/>
          <w:sz w:val="28"/>
          <w:szCs w:val="28"/>
        </w:rPr>
        <w:t>sasaistot</w:t>
      </w:r>
      <w:r w:rsidR="009F0694" w:rsidRPr="007E6786">
        <w:rPr>
          <w:rFonts w:cs="Times New Roman"/>
          <w:sz w:val="28"/>
          <w:szCs w:val="28"/>
        </w:rPr>
        <w:t xml:space="preserve"> </w:t>
      </w:r>
      <w:r w:rsidR="005E6F01" w:rsidRPr="007E6786">
        <w:rPr>
          <w:rFonts w:cs="Times New Roman"/>
          <w:sz w:val="28"/>
          <w:szCs w:val="28"/>
        </w:rPr>
        <w:t xml:space="preserve">to </w:t>
      </w:r>
      <w:r w:rsidR="009F0694" w:rsidRPr="007E6786">
        <w:rPr>
          <w:rFonts w:cs="Times New Roman"/>
          <w:sz w:val="28"/>
          <w:szCs w:val="28"/>
        </w:rPr>
        <w:t xml:space="preserve">ar </w:t>
      </w:r>
      <w:r w:rsidR="00A53EF8" w:rsidRPr="007E6786">
        <w:rPr>
          <w:rFonts w:cs="Times New Roman"/>
          <w:sz w:val="28"/>
          <w:szCs w:val="28"/>
        </w:rPr>
        <w:t>plānot</w:t>
      </w:r>
      <w:r w:rsidR="00B46369">
        <w:rPr>
          <w:rFonts w:cs="Times New Roman"/>
          <w:sz w:val="28"/>
          <w:szCs w:val="28"/>
        </w:rPr>
        <w:t>o</w:t>
      </w:r>
      <w:r w:rsidR="00A53EF8" w:rsidRPr="007E6786">
        <w:rPr>
          <w:rFonts w:cs="Times New Roman"/>
          <w:sz w:val="28"/>
          <w:szCs w:val="28"/>
        </w:rPr>
        <w:t xml:space="preserve"> investīcij</w:t>
      </w:r>
      <w:r w:rsidRPr="007E6786">
        <w:rPr>
          <w:rFonts w:cs="Times New Roman"/>
          <w:sz w:val="28"/>
          <w:szCs w:val="28"/>
        </w:rPr>
        <w:t>u virzien</w:t>
      </w:r>
      <w:r w:rsidR="005E6F01" w:rsidRPr="007E6786">
        <w:rPr>
          <w:rFonts w:cs="Times New Roman"/>
          <w:sz w:val="28"/>
          <w:szCs w:val="28"/>
        </w:rPr>
        <w:t>u nozarēm</w:t>
      </w:r>
      <w:r w:rsidR="00A53EF8" w:rsidRPr="007E6786">
        <w:rPr>
          <w:rFonts w:cs="Times New Roman"/>
          <w:sz w:val="28"/>
          <w:szCs w:val="28"/>
        </w:rPr>
        <w:t xml:space="preserve">; </w:t>
      </w:r>
    </w:p>
    <w:p w14:paraId="385DBBEE" w14:textId="77777777" w:rsidR="000C56F7" w:rsidRDefault="00BE34F6" w:rsidP="007E6786">
      <w:pPr>
        <w:pStyle w:val="ListParagraph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 xml:space="preserve">2) </w:t>
      </w:r>
      <w:r w:rsidR="00A53EF8" w:rsidRPr="007E6786">
        <w:rPr>
          <w:rFonts w:cs="Times New Roman"/>
          <w:sz w:val="28"/>
          <w:szCs w:val="28"/>
        </w:rPr>
        <w:t xml:space="preserve">mazināt kontroļu un auditu </w:t>
      </w:r>
      <w:r w:rsidR="0018014B" w:rsidRPr="007E6786">
        <w:rPr>
          <w:rFonts w:cs="Times New Roman"/>
          <w:sz w:val="28"/>
          <w:szCs w:val="28"/>
        </w:rPr>
        <w:t xml:space="preserve">apjomu </w:t>
      </w:r>
      <w:r w:rsidR="00A53EF8" w:rsidRPr="007E6786">
        <w:rPr>
          <w:rFonts w:cs="Times New Roman"/>
          <w:sz w:val="28"/>
          <w:szCs w:val="28"/>
        </w:rPr>
        <w:t>ES</w:t>
      </w:r>
      <w:r w:rsidR="00D323ED">
        <w:rPr>
          <w:rFonts w:cs="Times New Roman"/>
          <w:sz w:val="28"/>
          <w:szCs w:val="28"/>
        </w:rPr>
        <w:t xml:space="preserve"> </w:t>
      </w:r>
      <w:r w:rsidR="00A47134" w:rsidRPr="007E6786">
        <w:rPr>
          <w:rFonts w:cs="Times New Roman"/>
          <w:sz w:val="28"/>
          <w:szCs w:val="28"/>
        </w:rPr>
        <w:t xml:space="preserve">KP </w:t>
      </w:r>
      <w:r w:rsidR="00A53EF8" w:rsidRPr="007E6786">
        <w:rPr>
          <w:rFonts w:cs="Times New Roman"/>
          <w:sz w:val="28"/>
          <w:szCs w:val="28"/>
        </w:rPr>
        <w:t xml:space="preserve">fondu ieviešanā; </w:t>
      </w:r>
    </w:p>
    <w:p w14:paraId="25D80699" w14:textId="6DFAE9B9" w:rsidR="000C56F7" w:rsidRDefault="00BE34F6" w:rsidP="007E6786">
      <w:pPr>
        <w:pStyle w:val="ListParagraph"/>
        <w:ind w:left="0" w:firstLine="709"/>
        <w:contextualSpacing w:val="0"/>
        <w:jc w:val="both"/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</w:pPr>
      <w:r w:rsidRPr="007E6786">
        <w:rPr>
          <w:rFonts w:cs="Times New Roman"/>
          <w:sz w:val="28"/>
          <w:szCs w:val="28"/>
        </w:rPr>
        <w:t xml:space="preserve">3) </w:t>
      </w:r>
      <w:r w:rsidR="00A53EF8" w:rsidRPr="007E6786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t>nodrošināt vienotu praksi un principus starp ES KP fondu adminis</w:t>
      </w:r>
      <w:r w:rsidR="000C56F7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softHyphen/>
      </w:r>
      <w:r w:rsidR="00A53EF8" w:rsidRPr="007E6786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t>trēšanas iestādēm, mazinot neatbilstoši veikto izdevumu rašanās risku</w:t>
      </w:r>
      <w:r w:rsidR="00F114AE" w:rsidRPr="007E6786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t xml:space="preserve">; </w:t>
      </w:r>
    </w:p>
    <w:p w14:paraId="7F1CAACE" w14:textId="6B81EFB9" w:rsidR="00C7453E" w:rsidRPr="007E6786" w:rsidRDefault="00F114AE" w:rsidP="007E6786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7E6786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t xml:space="preserve">4) </w:t>
      </w:r>
      <w:r w:rsidR="005E6F01" w:rsidRPr="007E6786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t xml:space="preserve">piedāvāt finansējuma saņēmējiem </w:t>
      </w:r>
      <w:r w:rsidRPr="007E6786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t xml:space="preserve">vienotu </w:t>
      </w:r>
      <w:r w:rsidR="005E6F01" w:rsidRPr="007E6786">
        <w:rPr>
          <w:rFonts w:eastAsia="EUAlbertina-Bold-Identity-H" w:cs="Times New Roman"/>
          <w:color w:val="000000" w:themeColor="text1"/>
          <w:sz w:val="28"/>
          <w:szCs w:val="28"/>
          <w:lang w:eastAsia="lv-LV"/>
        </w:rPr>
        <w:t xml:space="preserve">elektronisko resursu projektu pieteikumu pārvaldīšanai. </w:t>
      </w:r>
    </w:p>
    <w:p w14:paraId="7F1CAACF" w14:textId="77777777" w:rsidR="0018014B" w:rsidRPr="007E6786" w:rsidRDefault="0018014B" w:rsidP="007E6786">
      <w:pPr>
        <w:pStyle w:val="ListParagraph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lastRenderedPageBreak/>
        <w:t xml:space="preserve">Koncepcijas ietvaros </w:t>
      </w:r>
      <w:r w:rsidR="00450260" w:rsidRPr="007E6786">
        <w:rPr>
          <w:rFonts w:cs="Times New Roman"/>
          <w:sz w:val="28"/>
          <w:szCs w:val="28"/>
        </w:rPr>
        <w:t xml:space="preserve">attiecībā uz ES KP fondiem </w:t>
      </w:r>
      <w:r w:rsidRPr="007E6786">
        <w:rPr>
          <w:rFonts w:cs="Times New Roman"/>
          <w:sz w:val="28"/>
          <w:szCs w:val="28"/>
        </w:rPr>
        <w:t xml:space="preserve">tiek piedāvāti četri institucionālās sistēmas modeļi: </w:t>
      </w:r>
    </w:p>
    <w:p w14:paraId="7F1CAAD0" w14:textId="3DD54A69" w:rsidR="0018014B" w:rsidRPr="007E6786" w:rsidRDefault="0018014B" w:rsidP="007E6786">
      <w:pPr>
        <w:pStyle w:val="ListParagraph"/>
        <w:tabs>
          <w:tab w:val="left" w:pos="567"/>
        </w:tabs>
        <w:ind w:left="0" w:firstLine="709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>1)</w:t>
      </w:r>
      <w:r w:rsidR="000C56F7">
        <w:rPr>
          <w:rFonts w:cs="Times New Roman"/>
          <w:sz w:val="28"/>
          <w:szCs w:val="28"/>
        </w:rPr>
        <w:t> </w:t>
      </w:r>
      <w:r w:rsidRPr="007E6786">
        <w:rPr>
          <w:rFonts w:cs="Times New Roman"/>
          <w:sz w:val="28"/>
          <w:szCs w:val="28"/>
        </w:rPr>
        <w:t>2007</w:t>
      </w:r>
      <w:r w:rsidR="00E969D0">
        <w:rPr>
          <w:rFonts w:cs="Times New Roman"/>
          <w:sz w:val="28"/>
          <w:szCs w:val="28"/>
        </w:rPr>
        <w:t>.</w:t>
      </w:r>
      <w:r w:rsidR="00D323ED">
        <w:rPr>
          <w:rFonts w:cs="Times New Roman"/>
          <w:sz w:val="28"/>
          <w:szCs w:val="28"/>
        </w:rPr>
        <w:t>–</w:t>
      </w:r>
      <w:r w:rsidRPr="007E6786">
        <w:rPr>
          <w:rFonts w:cs="Times New Roman"/>
          <w:sz w:val="28"/>
          <w:szCs w:val="28"/>
        </w:rPr>
        <w:t xml:space="preserve">2013.gada plānošanas periodā </w:t>
      </w:r>
      <w:r w:rsidRPr="007E6786">
        <w:rPr>
          <w:rFonts w:cs="Times New Roman"/>
          <w:b/>
          <w:sz w:val="28"/>
          <w:szCs w:val="28"/>
        </w:rPr>
        <w:t>esošā sistēma</w:t>
      </w:r>
      <w:r w:rsidR="000C56F7">
        <w:rPr>
          <w:rFonts w:cs="Times New Roman"/>
          <w:sz w:val="28"/>
          <w:szCs w:val="28"/>
        </w:rPr>
        <w:t xml:space="preserve"> izmanto</w:t>
      </w:r>
      <w:r w:rsidRPr="007E6786">
        <w:rPr>
          <w:rFonts w:cs="Times New Roman"/>
          <w:sz w:val="28"/>
          <w:szCs w:val="28"/>
        </w:rPr>
        <w:t xml:space="preserve"> minētajā plānošanas periodā noteikto pieeju ES KP fondu administrēšanas institūciju noteikšanai</w:t>
      </w:r>
      <w:r w:rsidR="000C56F7">
        <w:rPr>
          <w:rFonts w:cs="Times New Roman"/>
          <w:sz w:val="28"/>
          <w:szCs w:val="28"/>
        </w:rPr>
        <w:t xml:space="preserve"> –</w:t>
      </w:r>
      <w:r w:rsidRPr="007E6786">
        <w:rPr>
          <w:rFonts w:cs="Times New Roman"/>
          <w:sz w:val="28"/>
          <w:szCs w:val="28"/>
        </w:rPr>
        <w:t xml:space="preserve"> ka visas nozaru ministrijas, kuru nozarēs plānotas ES KP fondu investīcijas, nosakāmas par starpniekinstitūcijām un ka projektu ieviešana tiek decentralizēti uzticēta nozaru ministriju pakļautībā esoš</w:t>
      </w:r>
      <w:r w:rsidR="000C56F7">
        <w:rPr>
          <w:rFonts w:cs="Times New Roman"/>
          <w:sz w:val="28"/>
          <w:szCs w:val="28"/>
        </w:rPr>
        <w:t>aj</w:t>
      </w:r>
      <w:r w:rsidRPr="007E6786">
        <w:rPr>
          <w:rFonts w:cs="Times New Roman"/>
          <w:sz w:val="28"/>
          <w:szCs w:val="28"/>
        </w:rPr>
        <w:t>ām aģentūrām vai ievērojot administratīvo pēctecību;</w:t>
      </w:r>
    </w:p>
    <w:p w14:paraId="7F1CAAD1" w14:textId="372EAD33" w:rsidR="0018014B" w:rsidRPr="007E6786" w:rsidRDefault="0018014B" w:rsidP="007E6786">
      <w:pPr>
        <w:pStyle w:val="ListParagraph"/>
        <w:tabs>
          <w:tab w:val="left" w:pos="567"/>
        </w:tabs>
        <w:ind w:left="0" w:firstLine="709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 xml:space="preserve"> 2) </w:t>
      </w:r>
      <w:r w:rsidR="00450260" w:rsidRPr="007E6786">
        <w:rPr>
          <w:rFonts w:cs="Times New Roman"/>
          <w:b/>
          <w:sz w:val="28"/>
          <w:szCs w:val="28"/>
        </w:rPr>
        <w:t>funkcionālā ieviešanas sistēma</w:t>
      </w:r>
      <w:r w:rsidR="00450260" w:rsidRPr="007E6786">
        <w:rPr>
          <w:rFonts w:cs="Times New Roman"/>
          <w:sz w:val="28"/>
          <w:szCs w:val="28"/>
        </w:rPr>
        <w:t xml:space="preserve"> </w:t>
      </w:r>
      <w:r w:rsidR="00D323ED">
        <w:rPr>
          <w:rFonts w:cs="Times New Roman"/>
          <w:sz w:val="28"/>
          <w:szCs w:val="28"/>
        </w:rPr>
        <w:t>–</w:t>
      </w:r>
      <w:r w:rsidR="00450260" w:rsidRPr="007E6786">
        <w:rPr>
          <w:rFonts w:cs="Times New Roman"/>
          <w:sz w:val="28"/>
          <w:szCs w:val="28"/>
        </w:rPr>
        <w:t xml:space="preserve"> </w:t>
      </w:r>
      <w:r w:rsidRPr="007E6786">
        <w:rPr>
          <w:rFonts w:cs="Times New Roman"/>
          <w:sz w:val="28"/>
          <w:szCs w:val="28"/>
        </w:rPr>
        <w:t>sistēma, kas balstīta uz tematisko mērķu un prioritāro virzienu īstenošanu</w:t>
      </w:r>
      <w:r w:rsidR="006B7B7F">
        <w:rPr>
          <w:rFonts w:cs="Times New Roman"/>
          <w:sz w:val="28"/>
          <w:szCs w:val="28"/>
        </w:rPr>
        <w:t>:</w:t>
      </w:r>
      <w:r w:rsidRPr="007E6786">
        <w:rPr>
          <w:rFonts w:cs="Times New Roman"/>
          <w:sz w:val="28"/>
          <w:szCs w:val="28"/>
        </w:rPr>
        <w:t xml:space="preserve"> katram prioritārajam virzienam tiek noteikta viena atbildīgā iestāde (ministrija) un sadarbības iestāde atbilstoši institucionāl</w:t>
      </w:r>
      <w:r w:rsidR="006B7B7F">
        <w:rPr>
          <w:rFonts w:cs="Times New Roman"/>
          <w:sz w:val="28"/>
          <w:szCs w:val="28"/>
        </w:rPr>
        <w:t>aj</w:t>
      </w:r>
      <w:r w:rsidRPr="007E6786">
        <w:rPr>
          <w:rFonts w:cs="Times New Roman"/>
          <w:sz w:val="28"/>
          <w:szCs w:val="28"/>
        </w:rPr>
        <w:t xml:space="preserve">ai </w:t>
      </w:r>
      <w:r w:rsidR="00FE2B63" w:rsidRPr="007E6786">
        <w:rPr>
          <w:rFonts w:cs="Times New Roman"/>
          <w:sz w:val="28"/>
          <w:szCs w:val="28"/>
        </w:rPr>
        <w:t>un funkcionāl</w:t>
      </w:r>
      <w:r w:rsidR="006B7B7F">
        <w:rPr>
          <w:rFonts w:cs="Times New Roman"/>
          <w:sz w:val="28"/>
          <w:szCs w:val="28"/>
        </w:rPr>
        <w:t>aj</w:t>
      </w:r>
      <w:r w:rsidR="00FE2B63" w:rsidRPr="007E6786">
        <w:rPr>
          <w:rFonts w:cs="Times New Roman"/>
          <w:sz w:val="28"/>
          <w:szCs w:val="28"/>
        </w:rPr>
        <w:t xml:space="preserve">ai </w:t>
      </w:r>
      <w:r w:rsidRPr="007E6786">
        <w:rPr>
          <w:rFonts w:cs="Times New Roman"/>
          <w:sz w:val="28"/>
          <w:szCs w:val="28"/>
        </w:rPr>
        <w:t>padotībai un ES KP fondu administrēšanas pēctecībai, vienlaikus efektīvi iesaistot citas nozaru ministrijas un partnerus ES fondu investīciju plānošanā un ieviešanā atbilstoši kompetencei, bet nedeleģējot t</w:t>
      </w:r>
      <w:r w:rsidR="006B7B7F">
        <w:rPr>
          <w:rFonts w:cs="Times New Roman"/>
          <w:sz w:val="28"/>
          <w:szCs w:val="28"/>
        </w:rPr>
        <w:t>ie</w:t>
      </w:r>
      <w:r w:rsidRPr="007E6786">
        <w:rPr>
          <w:rFonts w:cs="Times New Roman"/>
          <w:sz w:val="28"/>
          <w:szCs w:val="28"/>
        </w:rPr>
        <w:t>m regulas priekšlikumos noteiktās vadošās iestādes funkcijas;</w:t>
      </w:r>
    </w:p>
    <w:p w14:paraId="7F1CAAD2" w14:textId="41765AC7" w:rsidR="0018014B" w:rsidRPr="007E6786" w:rsidRDefault="0018014B" w:rsidP="007E6786">
      <w:pPr>
        <w:pStyle w:val="ListParagraph"/>
        <w:tabs>
          <w:tab w:val="left" w:pos="567"/>
        </w:tabs>
        <w:ind w:left="0" w:firstLine="709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 xml:space="preserve">3) </w:t>
      </w:r>
      <w:r w:rsidR="00450260" w:rsidRPr="007E6786">
        <w:rPr>
          <w:rFonts w:cs="Times New Roman"/>
          <w:b/>
          <w:sz w:val="28"/>
          <w:szCs w:val="28"/>
        </w:rPr>
        <w:t>uz finansējuma saņēmēju orientēta ieviešanas sistēma</w:t>
      </w:r>
      <w:r w:rsidR="00450260" w:rsidRPr="007E6786">
        <w:rPr>
          <w:rFonts w:cs="Times New Roman"/>
          <w:sz w:val="28"/>
          <w:szCs w:val="28"/>
        </w:rPr>
        <w:t xml:space="preserve"> </w:t>
      </w:r>
      <w:r w:rsidR="00D323ED">
        <w:rPr>
          <w:rFonts w:cs="Times New Roman"/>
          <w:sz w:val="28"/>
          <w:szCs w:val="28"/>
        </w:rPr>
        <w:t>–</w:t>
      </w:r>
      <w:r w:rsidR="00450260" w:rsidRPr="007E6786">
        <w:rPr>
          <w:rFonts w:cs="Times New Roman"/>
          <w:sz w:val="28"/>
          <w:szCs w:val="28"/>
        </w:rPr>
        <w:t xml:space="preserve"> </w:t>
      </w:r>
      <w:r w:rsidRPr="007E6786">
        <w:rPr>
          <w:rFonts w:cs="Times New Roman"/>
          <w:sz w:val="28"/>
          <w:szCs w:val="28"/>
        </w:rPr>
        <w:t xml:space="preserve">sistēma, kas </w:t>
      </w:r>
      <w:r w:rsidRPr="006B7B7F">
        <w:rPr>
          <w:rFonts w:cs="Times New Roman"/>
          <w:sz w:val="28"/>
          <w:szCs w:val="28"/>
        </w:rPr>
        <w:t>balstīta uz tematisko mērķu un prioritāro virzienu īstenošanu</w:t>
      </w:r>
      <w:r w:rsidR="006B7B7F">
        <w:rPr>
          <w:rFonts w:cs="Times New Roman"/>
          <w:sz w:val="28"/>
          <w:szCs w:val="28"/>
        </w:rPr>
        <w:t>:</w:t>
      </w:r>
      <w:r w:rsidRPr="006B7B7F">
        <w:rPr>
          <w:rFonts w:cs="Times New Roman"/>
          <w:sz w:val="28"/>
          <w:szCs w:val="28"/>
        </w:rPr>
        <w:t xml:space="preserve"> </w:t>
      </w:r>
      <w:r w:rsidRPr="007E6786">
        <w:rPr>
          <w:rFonts w:cs="Times New Roman"/>
          <w:sz w:val="28"/>
          <w:szCs w:val="28"/>
        </w:rPr>
        <w:t>katram prioritārajam virzienam tiek noteikta viena atbildīgā iestāde (ministrija), bet sadarbības iestāde atbilst finansējuma saņēmēja juridiskajam statusam;</w:t>
      </w:r>
    </w:p>
    <w:p w14:paraId="7F1CAAD3" w14:textId="62FDA962" w:rsidR="00D976CE" w:rsidRPr="006B7B7F" w:rsidRDefault="0018014B" w:rsidP="007E6786">
      <w:pPr>
        <w:pStyle w:val="ListParagraph"/>
        <w:tabs>
          <w:tab w:val="left" w:pos="567"/>
        </w:tabs>
        <w:ind w:left="0" w:firstLine="709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 xml:space="preserve">4) </w:t>
      </w:r>
      <w:r w:rsidR="00450260" w:rsidRPr="007E6786">
        <w:rPr>
          <w:rFonts w:cs="Times New Roman"/>
          <w:b/>
          <w:sz w:val="28"/>
          <w:szCs w:val="28"/>
        </w:rPr>
        <w:t>centralizēta uzraudzības sistēma</w:t>
      </w:r>
      <w:r w:rsidR="00450260" w:rsidRPr="007E6786">
        <w:rPr>
          <w:rFonts w:cs="Times New Roman"/>
          <w:sz w:val="28"/>
          <w:szCs w:val="28"/>
        </w:rPr>
        <w:t xml:space="preserve"> </w:t>
      </w:r>
      <w:r w:rsidR="00D323ED">
        <w:rPr>
          <w:rFonts w:cs="Times New Roman"/>
          <w:sz w:val="28"/>
          <w:szCs w:val="28"/>
        </w:rPr>
        <w:t>–</w:t>
      </w:r>
      <w:r w:rsidR="00450260" w:rsidRPr="007E6786">
        <w:rPr>
          <w:rFonts w:cs="Times New Roman"/>
          <w:sz w:val="28"/>
          <w:szCs w:val="28"/>
        </w:rPr>
        <w:t xml:space="preserve"> </w:t>
      </w:r>
      <w:r w:rsidRPr="007E6786">
        <w:rPr>
          <w:rFonts w:cs="Times New Roman"/>
          <w:sz w:val="28"/>
          <w:szCs w:val="28"/>
        </w:rPr>
        <w:t xml:space="preserve">sistēma, kas balstīta </w:t>
      </w:r>
      <w:r w:rsidRPr="006B7B7F">
        <w:rPr>
          <w:rFonts w:cs="Times New Roman"/>
          <w:sz w:val="28"/>
          <w:szCs w:val="28"/>
        </w:rPr>
        <w:t xml:space="preserve">uz </w:t>
      </w:r>
      <w:r w:rsidR="00FE2B63" w:rsidRPr="006B7B7F">
        <w:rPr>
          <w:rFonts w:cs="Times New Roman"/>
          <w:sz w:val="28"/>
          <w:szCs w:val="28"/>
        </w:rPr>
        <w:t>specifisko atbalsta mērķu</w:t>
      </w:r>
      <w:r w:rsidR="00D323ED" w:rsidRPr="006B7B7F">
        <w:rPr>
          <w:rFonts w:cs="Times New Roman"/>
          <w:sz w:val="28"/>
          <w:szCs w:val="28"/>
        </w:rPr>
        <w:t xml:space="preserve"> </w:t>
      </w:r>
      <w:r w:rsidRPr="006B7B7F">
        <w:rPr>
          <w:rFonts w:cs="Times New Roman"/>
          <w:sz w:val="28"/>
          <w:szCs w:val="28"/>
        </w:rPr>
        <w:t>īstenošanu</w:t>
      </w:r>
      <w:r w:rsidR="006B7B7F">
        <w:rPr>
          <w:rFonts w:cs="Times New Roman"/>
          <w:sz w:val="28"/>
          <w:szCs w:val="28"/>
        </w:rPr>
        <w:t>:</w:t>
      </w:r>
      <w:r w:rsidRPr="006B7B7F">
        <w:rPr>
          <w:rFonts w:cs="Times New Roman"/>
          <w:sz w:val="28"/>
          <w:szCs w:val="28"/>
        </w:rPr>
        <w:t xml:space="preserve"> </w:t>
      </w:r>
      <w:r w:rsidR="00FE2B63" w:rsidRPr="006B7B7F">
        <w:rPr>
          <w:rFonts w:cs="Times New Roman"/>
          <w:sz w:val="28"/>
          <w:szCs w:val="28"/>
        </w:rPr>
        <w:t>specifiskajam atbalsta mērķim</w:t>
      </w:r>
      <w:r w:rsidRPr="006B7B7F">
        <w:rPr>
          <w:rFonts w:cs="Times New Roman"/>
          <w:sz w:val="28"/>
          <w:szCs w:val="28"/>
        </w:rPr>
        <w:t xml:space="preserve"> tiek noteikta viena atbildīgā iestāde (ministrija</w:t>
      </w:r>
      <w:r w:rsidR="00FE2B63" w:rsidRPr="006B7B7F">
        <w:rPr>
          <w:rFonts w:cs="Times New Roman"/>
          <w:sz w:val="28"/>
          <w:szCs w:val="28"/>
        </w:rPr>
        <w:t>/institūcija</w:t>
      </w:r>
      <w:r w:rsidR="006B7B7F">
        <w:rPr>
          <w:rFonts w:cs="Times New Roman"/>
          <w:sz w:val="28"/>
          <w:szCs w:val="28"/>
        </w:rPr>
        <w:t>)</w:t>
      </w:r>
      <w:r w:rsidRPr="006B7B7F">
        <w:rPr>
          <w:rFonts w:cs="Times New Roman"/>
          <w:sz w:val="28"/>
          <w:szCs w:val="28"/>
        </w:rPr>
        <w:t xml:space="preserve"> un viena sadarbības iestāde.</w:t>
      </w:r>
      <w:r w:rsidR="00D976CE" w:rsidRPr="006B7B7F">
        <w:rPr>
          <w:rFonts w:cs="Times New Roman"/>
          <w:sz w:val="28"/>
          <w:szCs w:val="28"/>
        </w:rPr>
        <w:t xml:space="preserve"> </w:t>
      </w:r>
    </w:p>
    <w:p w14:paraId="15B452CD" w14:textId="77777777" w:rsidR="002C7A53" w:rsidRDefault="00E418A9" w:rsidP="002C7A53">
      <w:pPr>
        <w:pStyle w:val="ListParagraph"/>
        <w:tabs>
          <w:tab w:val="left" w:pos="567"/>
        </w:tabs>
        <w:ind w:left="0" w:firstLine="709"/>
        <w:jc w:val="both"/>
        <w:rPr>
          <w:rFonts w:cs="Times New Roman"/>
          <w:spacing w:val="-2"/>
          <w:sz w:val="28"/>
          <w:szCs w:val="28"/>
        </w:rPr>
      </w:pPr>
      <w:r w:rsidRPr="006B7B7F">
        <w:rPr>
          <w:rFonts w:cs="Times New Roman"/>
          <w:color w:val="000000"/>
          <w:spacing w:val="-2"/>
          <w:sz w:val="28"/>
          <w:szCs w:val="28"/>
        </w:rPr>
        <w:tab/>
      </w:r>
      <w:r w:rsidR="005E17F4" w:rsidRPr="006B7B7F">
        <w:rPr>
          <w:rFonts w:cs="Times New Roman"/>
          <w:color w:val="000000"/>
          <w:spacing w:val="-2"/>
          <w:sz w:val="28"/>
          <w:szCs w:val="28"/>
        </w:rPr>
        <w:t xml:space="preserve">Zemkopības ministrijas pārraudzībā esošajiem fondiem </w:t>
      </w:r>
      <w:r w:rsidR="006B7B7F" w:rsidRPr="006B7B7F">
        <w:rPr>
          <w:rFonts w:cs="Times New Roman"/>
          <w:color w:val="000000"/>
          <w:spacing w:val="-2"/>
          <w:sz w:val="28"/>
          <w:szCs w:val="28"/>
        </w:rPr>
        <w:t>(</w:t>
      </w:r>
      <w:r w:rsidR="005E17F4" w:rsidRPr="006B7B7F">
        <w:rPr>
          <w:rFonts w:cs="Times New Roman"/>
          <w:color w:val="000000"/>
          <w:spacing w:val="-2"/>
          <w:sz w:val="28"/>
          <w:szCs w:val="28"/>
        </w:rPr>
        <w:t>ELFLA un EJZF</w:t>
      </w:r>
      <w:r w:rsidR="006B7B7F" w:rsidRPr="006B7B7F">
        <w:rPr>
          <w:rFonts w:cs="Times New Roman"/>
          <w:color w:val="000000"/>
          <w:spacing w:val="-2"/>
          <w:sz w:val="28"/>
          <w:szCs w:val="28"/>
        </w:rPr>
        <w:t>)</w:t>
      </w:r>
      <w:r w:rsidR="005E17F4" w:rsidRPr="006B7B7F">
        <w:rPr>
          <w:rFonts w:cs="Times New Roman"/>
          <w:color w:val="000000"/>
          <w:spacing w:val="-2"/>
          <w:sz w:val="28"/>
          <w:szCs w:val="28"/>
        </w:rPr>
        <w:t xml:space="preserve"> atbilstoši regulas priekšlikum</w:t>
      </w:r>
      <w:r w:rsidR="006B7B7F" w:rsidRPr="006B7B7F">
        <w:rPr>
          <w:rFonts w:cs="Times New Roman"/>
          <w:color w:val="000000"/>
          <w:spacing w:val="-2"/>
          <w:sz w:val="28"/>
          <w:szCs w:val="28"/>
        </w:rPr>
        <w:t>iem</w:t>
      </w:r>
      <w:r w:rsidR="005E17F4" w:rsidRPr="006B7B7F">
        <w:rPr>
          <w:rFonts w:cs="Times New Roman"/>
          <w:color w:val="000000"/>
          <w:spacing w:val="-2"/>
          <w:sz w:val="28"/>
          <w:szCs w:val="28"/>
        </w:rPr>
        <w:t xml:space="preserve"> (dis</w:t>
      </w:r>
      <w:r w:rsidR="006B7B7F" w:rsidRPr="006B7B7F">
        <w:rPr>
          <w:rFonts w:cs="Times New Roman"/>
          <w:color w:val="000000"/>
          <w:spacing w:val="-2"/>
          <w:sz w:val="28"/>
          <w:szCs w:val="28"/>
        </w:rPr>
        <w:t>kusijas turpinās EK līmenī)</w:t>
      </w:r>
      <w:r w:rsidR="005E17F4" w:rsidRPr="006B7B7F">
        <w:rPr>
          <w:rFonts w:cs="Times New Roman"/>
          <w:color w:val="000000"/>
          <w:spacing w:val="-2"/>
          <w:sz w:val="28"/>
          <w:szCs w:val="28"/>
        </w:rPr>
        <w:t xml:space="preserve"> plānots izveidot savstarpēji identiskas ieviešanas sistēmas (ELFLA 2007.</w:t>
      </w:r>
      <w:r w:rsidR="00D323ED" w:rsidRPr="006B7B7F">
        <w:rPr>
          <w:rFonts w:cs="Times New Roman"/>
          <w:color w:val="000000"/>
          <w:spacing w:val="-2"/>
          <w:sz w:val="28"/>
          <w:szCs w:val="28"/>
        </w:rPr>
        <w:t>–</w:t>
      </w:r>
      <w:r w:rsidR="005E17F4" w:rsidRPr="006B7B7F">
        <w:rPr>
          <w:rFonts w:cs="Times New Roman"/>
          <w:color w:val="000000"/>
          <w:spacing w:val="-2"/>
          <w:sz w:val="28"/>
          <w:szCs w:val="28"/>
        </w:rPr>
        <w:t xml:space="preserve">2013.gada plānošanas perioda ieviešanas sistēmas modelis). </w:t>
      </w:r>
      <w:r w:rsidR="006B7B7F" w:rsidRPr="006B7B7F">
        <w:rPr>
          <w:rFonts w:cs="Times New Roman"/>
          <w:color w:val="000000"/>
          <w:spacing w:val="-2"/>
          <w:sz w:val="28"/>
          <w:szCs w:val="28"/>
        </w:rPr>
        <w:t>Līdz ar to</w:t>
      </w:r>
      <w:r w:rsidR="005E17F4" w:rsidRPr="006B7B7F">
        <w:rPr>
          <w:rFonts w:cs="Times New Roman"/>
          <w:color w:val="000000"/>
          <w:spacing w:val="-2"/>
          <w:sz w:val="28"/>
          <w:szCs w:val="28"/>
        </w:rPr>
        <w:t xml:space="preserve"> tiks harmonizēta gan </w:t>
      </w:r>
      <w:r w:rsidR="005E17F4" w:rsidRPr="006B7B7F">
        <w:rPr>
          <w:rFonts w:cs="Times New Roman"/>
          <w:spacing w:val="-2"/>
          <w:sz w:val="28"/>
          <w:szCs w:val="28"/>
        </w:rPr>
        <w:t>ELFLA un EJZF pārvaldība (t.sk. e-pārvaldība), gan administrēšana, tādējādi samazinot administratīvo slogu gan finansējuma saņēmējiem, gan administrē</w:t>
      </w:r>
      <w:r w:rsidR="006B7B7F" w:rsidRPr="006B7B7F">
        <w:rPr>
          <w:rFonts w:cs="Times New Roman"/>
          <w:spacing w:val="-2"/>
          <w:sz w:val="28"/>
          <w:szCs w:val="28"/>
        </w:rPr>
        <w:t>šanā iesaistītajām institūcijām</w:t>
      </w:r>
      <w:r w:rsidR="005E17F4" w:rsidRPr="006B7B7F">
        <w:rPr>
          <w:rFonts w:cs="Times New Roman"/>
          <w:spacing w:val="-2"/>
          <w:sz w:val="28"/>
          <w:szCs w:val="28"/>
        </w:rPr>
        <w:t xml:space="preserve"> un nodrošinot šo abu fondu efektīvu ieviešanu</w:t>
      </w:r>
      <w:r w:rsidR="00F51CBC" w:rsidRPr="006B7B7F">
        <w:rPr>
          <w:rFonts w:cs="Times New Roman"/>
          <w:spacing w:val="-2"/>
          <w:sz w:val="28"/>
          <w:szCs w:val="28"/>
        </w:rPr>
        <w:t>.</w:t>
      </w:r>
    </w:p>
    <w:p w14:paraId="7F1CAAD5" w14:textId="41D935E0" w:rsidR="00F51CBC" w:rsidRPr="007E6786" w:rsidRDefault="006B7B7F" w:rsidP="002C7A53">
      <w:pPr>
        <w:pStyle w:val="ListParagraph"/>
        <w:tabs>
          <w:tab w:val="left" w:pos="567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ETS</w:t>
      </w:r>
      <w:r w:rsidRPr="007E6786">
        <w:rPr>
          <w:rFonts w:cs="Times New Roman"/>
          <w:sz w:val="28"/>
          <w:szCs w:val="28"/>
        </w:rPr>
        <w:t xml:space="preserve"> </w:t>
      </w:r>
      <w:r w:rsidR="00F51CBC" w:rsidRPr="007E6786">
        <w:rPr>
          <w:rFonts w:cs="Times New Roman"/>
          <w:sz w:val="28"/>
          <w:szCs w:val="28"/>
        </w:rPr>
        <w:t>programmu ieviešanā tiek saglabāta esošā ieviešanas sistēma, nosakot</w:t>
      </w:r>
      <w:r w:rsidR="00D323ED">
        <w:rPr>
          <w:rFonts w:cs="Times New Roman"/>
          <w:sz w:val="28"/>
          <w:szCs w:val="28"/>
        </w:rPr>
        <w:t xml:space="preserve"> </w:t>
      </w:r>
      <w:r w:rsidR="00F51CBC" w:rsidRPr="007E6786">
        <w:rPr>
          <w:rFonts w:cs="Times New Roman"/>
          <w:sz w:val="28"/>
          <w:szCs w:val="28"/>
        </w:rPr>
        <w:t>institūcijas, kurām deleģēta regulā minēto funkciju pildīšana.</w:t>
      </w:r>
    </w:p>
    <w:p w14:paraId="7F1CAAD6" w14:textId="72CD3F07" w:rsidR="00D870EB" w:rsidRPr="007E6786" w:rsidRDefault="00D870EB" w:rsidP="007E6786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7E6786">
        <w:rPr>
          <w:rFonts w:cs="Times New Roman"/>
          <w:sz w:val="28"/>
          <w:szCs w:val="28"/>
        </w:rPr>
        <w:t xml:space="preserve">Visu ES fondu un ETS </w:t>
      </w:r>
      <w:r w:rsidR="006B7B7F" w:rsidRPr="007E6786">
        <w:rPr>
          <w:rFonts w:cs="Times New Roman"/>
          <w:sz w:val="28"/>
          <w:szCs w:val="28"/>
        </w:rPr>
        <w:t xml:space="preserve">programmu </w:t>
      </w:r>
      <w:r w:rsidRPr="007E6786">
        <w:rPr>
          <w:rFonts w:cs="Times New Roman"/>
          <w:sz w:val="28"/>
          <w:szCs w:val="28"/>
        </w:rPr>
        <w:t xml:space="preserve">ieviešanas modeļu izmaksām nav būtiskas atšķirības ietekmē uz valsts budžetu. ES fondu un ETS </w:t>
      </w:r>
      <w:r w:rsidR="006B7B7F" w:rsidRPr="007E6786">
        <w:rPr>
          <w:rFonts w:cs="Times New Roman"/>
          <w:sz w:val="28"/>
          <w:szCs w:val="28"/>
        </w:rPr>
        <w:t xml:space="preserve">programmu </w:t>
      </w:r>
      <w:r w:rsidRPr="007E6786">
        <w:rPr>
          <w:rFonts w:cs="Times New Roman"/>
          <w:sz w:val="28"/>
          <w:szCs w:val="28"/>
        </w:rPr>
        <w:t xml:space="preserve">īstenošanas administrēšanai </w:t>
      </w:r>
      <w:r w:rsidR="006B7B7F" w:rsidRPr="007E6786">
        <w:rPr>
          <w:rFonts w:cs="Times New Roman"/>
          <w:sz w:val="28"/>
          <w:szCs w:val="28"/>
        </w:rPr>
        <w:t xml:space="preserve">indikatīvi </w:t>
      </w:r>
      <w:r w:rsidRPr="007E6786">
        <w:rPr>
          <w:rFonts w:cs="Times New Roman"/>
          <w:sz w:val="28"/>
          <w:szCs w:val="28"/>
        </w:rPr>
        <w:t>nepieciešam</w:t>
      </w:r>
      <w:r w:rsidR="006B7B7F">
        <w:rPr>
          <w:rFonts w:cs="Times New Roman"/>
          <w:sz w:val="28"/>
          <w:szCs w:val="28"/>
        </w:rPr>
        <w:t>s</w:t>
      </w:r>
      <w:r w:rsidRPr="007E6786">
        <w:rPr>
          <w:rFonts w:cs="Times New Roman"/>
          <w:sz w:val="28"/>
          <w:szCs w:val="28"/>
        </w:rPr>
        <w:t xml:space="preserve"> </w:t>
      </w:r>
      <w:r w:rsidRPr="007E6786">
        <w:rPr>
          <w:rFonts w:eastAsia="Times New Roman" w:cs="Times New Roman"/>
          <w:color w:val="000000"/>
          <w:sz w:val="28"/>
          <w:szCs w:val="28"/>
          <w:lang w:eastAsia="lv-LV"/>
        </w:rPr>
        <w:t>20 586 181 lat</w:t>
      </w:r>
      <w:r w:rsidR="006B7B7F">
        <w:rPr>
          <w:rFonts w:eastAsia="Times New Roman" w:cs="Times New Roman"/>
          <w:color w:val="000000"/>
          <w:sz w:val="28"/>
          <w:szCs w:val="28"/>
          <w:lang w:eastAsia="lv-LV"/>
        </w:rPr>
        <w:t>s</w:t>
      </w:r>
      <w:r w:rsidRPr="007E6786">
        <w:rPr>
          <w:rFonts w:eastAsia="Times New Roman" w:cs="Times New Roman"/>
          <w:color w:val="000000"/>
          <w:sz w:val="28"/>
          <w:szCs w:val="28"/>
          <w:lang w:eastAsia="lv-LV"/>
        </w:rPr>
        <w:t xml:space="preserve">, no kuriem </w:t>
      </w:r>
      <w:r w:rsidR="00EC3D9D" w:rsidRPr="007E6786">
        <w:rPr>
          <w:rFonts w:eastAsia="Times New Roman" w:cs="Times New Roman"/>
          <w:color w:val="000000"/>
          <w:sz w:val="28"/>
          <w:szCs w:val="28"/>
          <w:lang w:eastAsia="lv-LV"/>
        </w:rPr>
        <w:t xml:space="preserve">16 462 443 latus sedz ES fondi, bet 4 123 738 lati tiek segti no valsts budžeta. </w:t>
      </w:r>
    </w:p>
    <w:p w14:paraId="7F1CAAD7" w14:textId="1DA9B3CB" w:rsidR="00450260" w:rsidRPr="006B7B7F" w:rsidRDefault="00F51CBC" w:rsidP="007E6786">
      <w:pPr>
        <w:pStyle w:val="ListParagraph"/>
        <w:ind w:left="0" w:firstLine="709"/>
        <w:jc w:val="both"/>
        <w:rPr>
          <w:rFonts w:cs="Times New Roman"/>
          <w:spacing w:val="-2"/>
          <w:sz w:val="28"/>
          <w:szCs w:val="28"/>
        </w:rPr>
      </w:pPr>
      <w:r w:rsidRPr="007E6786">
        <w:rPr>
          <w:rFonts w:cs="Times New Roman"/>
          <w:sz w:val="28"/>
          <w:szCs w:val="28"/>
        </w:rPr>
        <w:t>Izvērtējot piedāvātos institucionālās sistēmas modeļus ES KP fondu īstenošanai</w:t>
      </w:r>
      <w:r w:rsidR="006B7B7F">
        <w:rPr>
          <w:rFonts w:cs="Times New Roman"/>
          <w:sz w:val="28"/>
          <w:szCs w:val="28"/>
        </w:rPr>
        <w:t xml:space="preserve"> un</w:t>
      </w:r>
      <w:r w:rsidRPr="007E6786">
        <w:rPr>
          <w:rFonts w:cs="Times New Roman"/>
          <w:sz w:val="28"/>
          <w:szCs w:val="28"/>
        </w:rPr>
        <w:t xml:space="preserve"> līdzšinējo institucionālo kapacitāti, pēctecības nodrošināšanu un </w:t>
      </w:r>
      <w:r w:rsidRPr="006B7B7F">
        <w:rPr>
          <w:rFonts w:cs="Times New Roman"/>
          <w:spacing w:val="-2"/>
          <w:sz w:val="28"/>
          <w:szCs w:val="28"/>
        </w:rPr>
        <w:t>sistēmas optimizēšanu,</w:t>
      </w:r>
      <w:r w:rsidR="00D323ED" w:rsidRPr="006B7B7F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6B7B7F">
        <w:rPr>
          <w:rFonts w:cs="Times New Roman"/>
          <w:spacing w:val="-2"/>
          <w:sz w:val="28"/>
          <w:szCs w:val="28"/>
        </w:rPr>
        <w:t>visoptimālākais</w:t>
      </w:r>
      <w:proofErr w:type="spellEnd"/>
      <w:r w:rsidRPr="006B7B7F">
        <w:rPr>
          <w:rFonts w:cs="Times New Roman"/>
          <w:spacing w:val="-2"/>
          <w:sz w:val="28"/>
          <w:szCs w:val="28"/>
        </w:rPr>
        <w:t xml:space="preserve"> ieviešanas sistēmas modelis ir 4.modelis.</w:t>
      </w:r>
      <w:r w:rsidR="00D323ED" w:rsidRPr="006B7B7F">
        <w:rPr>
          <w:rFonts w:cs="Times New Roman"/>
          <w:spacing w:val="-2"/>
          <w:sz w:val="28"/>
          <w:szCs w:val="28"/>
        </w:rPr>
        <w:t xml:space="preserve"> </w:t>
      </w:r>
    </w:p>
    <w:p w14:paraId="7F1CAAD8" w14:textId="77777777" w:rsidR="00AF49C1" w:rsidRPr="007E6786" w:rsidRDefault="00AF49C1" w:rsidP="007E6786">
      <w:pPr>
        <w:tabs>
          <w:tab w:val="right" w:pos="9072"/>
        </w:tabs>
        <w:ind w:firstLine="709"/>
        <w:jc w:val="both"/>
        <w:rPr>
          <w:rFonts w:cs="Times New Roman"/>
          <w:sz w:val="28"/>
          <w:szCs w:val="28"/>
        </w:rPr>
      </w:pPr>
    </w:p>
    <w:p w14:paraId="7F1CAAD9" w14:textId="77777777" w:rsidR="00C64107" w:rsidRPr="007E6786" w:rsidRDefault="00C64107" w:rsidP="007E6786">
      <w:pPr>
        <w:tabs>
          <w:tab w:val="right" w:pos="9072"/>
        </w:tabs>
        <w:ind w:firstLine="709"/>
        <w:jc w:val="both"/>
        <w:rPr>
          <w:rFonts w:cs="Times New Roman"/>
          <w:sz w:val="28"/>
          <w:szCs w:val="28"/>
        </w:rPr>
      </w:pPr>
    </w:p>
    <w:p w14:paraId="7F1CAADA" w14:textId="77777777" w:rsidR="00C64107" w:rsidRPr="007E6786" w:rsidRDefault="00C64107" w:rsidP="007E6786">
      <w:pPr>
        <w:tabs>
          <w:tab w:val="right" w:pos="9072"/>
        </w:tabs>
        <w:ind w:firstLine="709"/>
        <w:jc w:val="both"/>
        <w:rPr>
          <w:rFonts w:cs="Times New Roman"/>
          <w:sz w:val="28"/>
          <w:szCs w:val="28"/>
        </w:rPr>
      </w:pPr>
    </w:p>
    <w:p w14:paraId="0416F41D" w14:textId="77777777" w:rsidR="00FE3E0B" w:rsidRPr="007E6786" w:rsidRDefault="00FE3E0B" w:rsidP="002C7A53">
      <w:pPr>
        <w:tabs>
          <w:tab w:val="left" w:pos="6237"/>
          <w:tab w:val="right" w:pos="9072"/>
        </w:tabs>
        <w:ind w:firstLine="709"/>
        <w:jc w:val="both"/>
        <w:rPr>
          <w:rFonts w:cs="Times New Roman"/>
          <w:sz w:val="28"/>
          <w:szCs w:val="28"/>
        </w:rPr>
      </w:pPr>
      <w:r w:rsidRPr="007E6786">
        <w:rPr>
          <w:sz w:val="28"/>
          <w:szCs w:val="28"/>
        </w:rPr>
        <w:t>Finanšu ministrs</w:t>
      </w:r>
      <w:r w:rsidRPr="007E6786">
        <w:rPr>
          <w:sz w:val="28"/>
          <w:szCs w:val="28"/>
        </w:rPr>
        <w:tab/>
        <w:t>Andris Vilks</w:t>
      </w:r>
    </w:p>
    <w:sectPr w:rsidR="00FE3E0B" w:rsidRPr="007E6786" w:rsidSect="007E678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AAEC" w14:textId="77777777" w:rsidR="007007A7" w:rsidRDefault="007007A7" w:rsidP="002C6055">
      <w:r>
        <w:separator/>
      </w:r>
    </w:p>
  </w:endnote>
  <w:endnote w:type="continuationSeparator" w:id="0">
    <w:p w14:paraId="7F1CAAED" w14:textId="77777777" w:rsidR="007007A7" w:rsidRDefault="007007A7" w:rsidP="002C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7295" w14:textId="77777777" w:rsidR="007E6786" w:rsidRPr="007E6786" w:rsidRDefault="007E6786" w:rsidP="007E6786">
    <w:pPr>
      <w:pStyle w:val="Footer"/>
      <w:rPr>
        <w:sz w:val="16"/>
        <w:szCs w:val="16"/>
      </w:rPr>
    </w:pPr>
    <w:r w:rsidRPr="007E6786">
      <w:rPr>
        <w:sz w:val="16"/>
        <w:szCs w:val="16"/>
      </w:rPr>
      <w:t>R0939_3kops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C7AD" w14:textId="5A869EC2" w:rsidR="007E6786" w:rsidRPr="007E6786" w:rsidRDefault="007E6786">
    <w:pPr>
      <w:pStyle w:val="Footer"/>
      <w:rPr>
        <w:sz w:val="16"/>
        <w:szCs w:val="16"/>
      </w:rPr>
    </w:pPr>
    <w:r w:rsidRPr="007E6786">
      <w:rPr>
        <w:sz w:val="16"/>
        <w:szCs w:val="16"/>
      </w:rPr>
      <w:t>R0939_3kops</w:t>
    </w:r>
    <w:r w:rsidR="008D409C">
      <w:rPr>
        <w:sz w:val="16"/>
        <w:szCs w:val="16"/>
      </w:rPr>
      <w:t xml:space="preserve"> </w:t>
    </w:r>
    <w:proofErr w:type="spellStart"/>
    <w:r w:rsidR="008D409C">
      <w:rPr>
        <w:sz w:val="16"/>
        <w:szCs w:val="16"/>
      </w:rPr>
      <w:t>v_sk</w:t>
    </w:r>
    <w:proofErr w:type="spellEnd"/>
    <w:r w:rsidR="008D409C">
      <w:rPr>
        <w:sz w:val="16"/>
        <w:szCs w:val="16"/>
      </w:rPr>
      <w:t xml:space="preserve">. = </w:t>
    </w:r>
    <w:r w:rsidR="008D409C">
      <w:rPr>
        <w:sz w:val="16"/>
        <w:szCs w:val="16"/>
      </w:rPr>
      <w:fldChar w:fldCharType="begin"/>
    </w:r>
    <w:r w:rsidR="008D409C">
      <w:rPr>
        <w:sz w:val="16"/>
        <w:szCs w:val="16"/>
      </w:rPr>
      <w:instrText xml:space="preserve"> NUMWORDS  \* MERGEFORMAT </w:instrText>
    </w:r>
    <w:r w:rsidR="008D409C">
      <w:rPr>
        <w:sz w:val="16"/>
        <w:szCs w:val="16"/>
      </w:rPr>
      <w:fldChar w:fldCharType="separate"/>
    </w:r>
    <w:r w:rsidR="00B46369">
      <w:rPr>
        <w:noProof/>
        <w:sz w:val="16"/>
        <w:szCs w:val="16"/>
      </w:rPr>
      <w:t>1077</w:t>
    </w:r>
    <w:r w:rsidR="008D40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CAAEA" w14:textId="77777777" w:rsidR="007007A7" w:rsidRDefault="007007A7" w:rsidP="002C6055">
      <w:r>
        <w:separator/>
      </w:r>
    </w:p>
  </w:footnote>
  <w:footnote w:type="continuationSeparator" w:id="0">
    <w:p w14:paraId="7F1CAAEB" w14:textId="77777777" w:rsidR="007007A7" w:rsidRDefault="007007A7" w:rsidP="002C6055">
      <w:r>
        <w:continuationSeparator/>
      </w:r>
    </w:p>
  </w:footnote>
  <w:footnote w:id="1">
    <w:p w14:paraId="7F1CAAF3" w14:textId="37431F06" w:rsidR="00D870EB" w:rsidRPr="00986BB4" w:rsidRDefault="00D870EB" w:rsidP="00E969D0">
      <w:pPr>
        <w:pStyle w:val="FootnoteText"/>
        <w:jc w:val="both"/>
      </w:pPr>
      <w:r w:rsidRPr="00986BB4">
        <w:rPr>
          <w:rStyle w:val="FootnoteReference"/>
        </w:rPr>
        <w:footnoteRef/>
      </w:r>
      <w:r w:rsidRPr="00986BB4">
        <w:t xml:space="preserve"> Eiropas Sociālais fonds, Eiropas Reģionālās attīstības fonds, Kohēzijas fonds/ISPA, ES pirmsiestāšanās finanšu instrumenti </w:t>
      </w:r>
      <w:proofErr w:type="spellStart"/>
      <w:r w:rsidRPr="00986BB4">
        <w:t>Phare</w:t>
      </w:r>
      <w:proofErr w:type="spellEnd"/>
      <w:r w:rsidRPr="00986BB4">
        <w:t xml:space="preserve"> un SAPARD, INTERREG, ES Kohēzijas politikas 3.mērķa </w:t>
      </w:r>
      <w:r w:rsidR="00E969D0" w:rsidRPr="00986BB4">
        <w:rPr>
          <w:rFonts w:cs="Times New Roman"/>
          <w:spacing w:val="-2"/>
        </w:rPr>
        <w:t>"</w:t>
      </w:r>
      <w:r w:rsidRPr="00986BB4">
        <w:t>Eiropas teritoriālā sadarbība</w:t>
      </w:r>
      <w:r w:rsidR="00E969D0" w:rsidRPr="00986BB4">
        <w:rPr>
          <w:rFonts w:cs="Times New Roman"/>
          <w:spacing w:val="-2"/>
        </w:rPr>
        <w:t>"</w:t>
      </w:r>
      <w:r w:rsidRPr="00986BB4">
        <w:t xml:space="preserve"> programmas (ERAF).</w:t>
      </w:r>
    </w:p>
  </w:footnote>
  <w:footnote w:id="2">
    <w:p w14:paraId="7F1CAAF4" w14:textId="5380A0CA" w:rsidR="00741642" w:rsidRPr="00986BB4" w:rsidRDefault="00741642" w:rsidP="00E969D0">
      <w:pPr>
        <w:jc w:val="both"/>
        <w:rPr>
          <w:sz w:val="20"/>
          <w:szCs w:val="20"/>
        </w:rPr>
      </w:pPr>
      <w:r w:rsidRPr="00986BB4">
        <w:rPr>
          <w:rStyle w:val="FootnoteReference"/>
          <w:sz w:val="20"/>
          <w:szCs w:val="20"/>
        </w:rPr>
        <w:footnoteRef/>
      </w:r>
      <w:r w:rsidRPr="00986BB4">
        <w:rPr>
          <w:sz w:val="20"/>
          <w:szCs w:val="20"/>
        </w:rPr>
        <w:t xml:space="preserve"> Finanšu ministrijas novērtējums, balstoties uz SIA </w:t>
      </w:r>
      <w:r w:rsidR="00E969D0" w:rsidRPr="00986BB4">
        <w:rPr>
          <w:rFonts w:cs="Times New Roman"/>
          <w:spacing w:val="-2"/>
          <w:sz w:val="20"/>
          <w:szCs w:val="20"/>
        </w:rPr>
        <w:t>"</w:t>
      </w:r>
      <w:proofErr w:type="spellStart"/>
      <w:r w:rsidRPr="00986BB4">
        <w:rPr>
          <w:iCs/>
          <w:sz w:val="20"/>
          <w:szCs w:val="20"/>
        </w:rPr>
        <w:t>Stockholm</w:t>
      </w:r>
      <w:proofErr w:type="spellEnd"/>
      <w:r w:rsidRPr="00986BB4">
        <w:rPr>
          <w:iCs/>
          <w:sz w:val="20"/>
          <w:szCs w:val="20"/>
        </w:rPr>
        <w:t xml:space="preserve"> </w:t>
      </w:r>
      <w:proofErr w:type="spellStart"/>
      <w:r w:rsidRPr="00986BB4">
        <w:rPr>
          <w:iCs/>
          <w:sz w:val="20"/>
          <w:szCs w:val="20"/>
        </w:rPr>
        <w:t>School</w:t>
      </w:r>
      <w:proofErr w:type="spellEnd"/>
      <w:r w:rsidRPr="00986BB4">
        <w:rPr>
          <w:iCs/>
          <w:sz w:val="20"/>
          <w:szCs w:val="20"/>
        </w:rPr>
        <w:t xml:space="preserve"> </w:t>
      </w:r>
      <w:proofErr w:type="spellStart"/>
      <w:r w:rsidRPr="00986BB4">
        <w:rPr>
          <w:iCs/>
          <w:sz w:val="20"/>
          <w:szCs w:val="20"/>
        </w:rPr>
        <w:t>of</w:t>
      </w:r>
      <w:proofErr w:type="spellEnd"/>
      <w:r w:rsidRPr="00986BB4">
        <w:rPr>
          <w:iCs/>
          <w:sz w:val="20"/>
          <w:szCs w:val="20"/>
        </w:rPr>
        <w:t xml:space="preserve"> </w:t>
      </w:r>
      <w:proofErr w:type="spellStart"/>
      <w:r w:rsidRPr="00986BB4">
        <w:rPr>
          <w:iCs/>
          <w:sz w:val="20"/>
          <w:szCs w:val="20"/>
        </w:rPr>
        <w:t>Economics</w:t>
      </w:r>
      <w:proofErr w:type="spellEnd"/>
      <w:r w:rsidRPr="00986BB4">
        <w:rPr>
          <w:iCs/>
          <w:sz w:val="20"/>
          <w:szCs w:val="20"/>
        </w:rPr>
        <w:t xml:space="preserve"> </w:t>
      </w:r>
      <w:proofErr w:type="spellStart"/>
      <w:r w:rsidRPr="00986BB4">
        <w:rPr>
          <w:iCs/>
          <w:sz w:val="20"/>
          <w:szCs w:val="20"/>
        </w:rPr>
        <w:t>in</w:t>
      </w:r>
      <w:proofErr w:type="spellEnd"/>
      <w:r w:rsidRPr="00986BB4">
        <w:rPr>
          <w:iCs/>
          <w:sz w:val="20"/>
          <w:szCs w:val="20"/>
        </w:rPr>
        <w:t xml:space="preserve"> </w:t>
      </w:r>
      <w:proofErr w:type="spellStart"/>
      <w:r w:rsidRPr="00986BB4">
        <w:rPr>
          <w:iCs/>
          <w:sz w:val="20"/>
          <w:szCs w:val="20"/>
        </w:rPr>
        <w:t>Riga</w:t>
      </w:r>
      <w:proofErr w:type="spellEnd"/>
      <w:r w:rsidR="00E969D0" w:rsidRPr="00986BB4">
        <w:rPr>
          <w:rFonts w:cs="Times New Roman"/>
          <w:spacing w:val="-2"/>
          <w:sz w:val="20"/>
          <w:szCs w:val="20"/>
        </w:rPr>
        <w:t>"</w:t>
      </w:r>
      <w:r w:rsidRPr="00986BB4">
        <w:rPr>
          <w:sz w:val="20"/>
          <w:szCs w:val="20"/>
        </w:rPr>
        <w:t xml:space="preserve"> izstrādāto ES fondu ietekmes izvērtēšanas makroekonomisko modeli</w:t>
      </w:r>
      <w:r w:rsidR="00E969D0" w:rsidRPr="00986BB4">
        <w:rPr>
          <w:sz w:val="20"/>
          <w:szCs w:val="20"/>
        </w:rPr>
        <w:t>.</w:t>
      </w:r>
    </w:p>
  </w:footnote>
  <w:footnote w:id="3">
    <w:p w14:paraId="7F1CAAF5" w14:textId="0AF93470" w:rsidR="00D870EB" w:rsidRPr="00986BB4" w:rsidRDefault="00D870EB" w:rsidP="00E969D0">
      <w:pPr>
        <w:pStyle w:val="FootnoteText"/>
        <w:jc w:val="both"/>
      </w:pPr>
      <w:r w:rsidRPr="00986BB4">
        <w:rPr>
          <w:rStyle w:val="FootnoteReference"/>
        </w:rPr>
        <w:footnoteRef/>
      </w:r>
      <w:r w:rsidRPr="00986BB4">
        <w:t xml:space="preserve"> </w:t>
      </w:r>
      <w:hyperlink r:id="rId1" w:history="1">
        <w:r w:rsidRPr="00986BB4">
          <w:rPr>
            <w:rStyle w:val="Hyperlink"/>
            <w:color w:val="auto"/>
            <w:u w:val="none"/>
          </w:rPr>
          <w:t>http://epp.eurostat.ec.europa.eu</w:t>
        </w:r>
      </w:hyperlink>
    </w:p>
  </w:footnote>
  <w:footnote w:id="4">
    <w:p w14:paraId="7F1CAAF6" w14:textId="05D1F123" w:rsidR="00D870EB" w:rsidRPr="00986BB4" w:rsidRDefault="00D870EB" w:rsidP="00E969D0">
      <w:pPr>
        <w:pStyle w:val="FootnoteText"/>
        <w:jc w:val="both"/>
        <w:rPr>
          <w:rFonts w:cs="Times New Roman"/>
        </w:rPr>
      </w:pPr>
      <w:r w:rsidRPr="00986BB4">
        <w:rPr>
          <w:rStyle w:val="FootnoteReference"/>
        </w:rPr>
        <w:footnoteRef/>
      </w:r>
      <w:r w:rsidR="00986BB4">
        <w:t> </w:t>
      </w:r>
      <w:r w:rsidRPr="00986BB4">
        <w:t xml:space="preserve">Eiropas Parlamenta un Padomes </w:t>
      </w:r>
      <w:r w:rsidR="00B46369">
        <w:t>R</w:t>
      </w:r>
      <w:r w:rsidR="00E969D0" w:rsidRPr="00986BB4">
        <w:t xml:space="preserve">egula (EK) </w:t>
      </w:r>
      <w:r w:rsidR="00986BB4" w:rsidRPr="00986BB4">
        <w:t>Nr.</w:t>
      </w:r>
      <w:r w:rsidR="00E969D0" w:rsidRPr="00986BB4">
        <w:t>1059/2003 (2003.gada 26.</w:t>
      </w:r>
      <w:r w:rsidRPr="00986BB4">
        <w:t xml:space="preserve">maijs) </w:t>
      </w:r>
      <w:r w:rsidRPr="00986BB4">
        <w:rPr>
          <w:rFonts w:cs="Times New Roman"/>
          <w:bCs/>
        </w:rPr>
        <w:t>par kopējas statistiski teritoriālo vienību klasifikācijas (NUTS) izveidi</w:t>
      </w:r>
      <w:r w:rsidR="00E969D0" w:rsidRPr="00986BB4">
        <w:rPr>
          <w:rFonts w:cs="Times New Roman"/>
          <w:bCs/>
        </w:rPr>
        <w:t>.</w:t>
      </w:r>
    </w:p>
  </w:footnote>
  <w:footnote w:id="5">
    <w:p w14:paraId="7F1CAAF7" w14:textId="0DA489CC" w:rsidR="00D870EB" w:rsidRPr="00986BB4" w:rsidRDefault="00D870EB" w:rsidP="00986BB4">
      <w:pPr>
        <w:pStyle w:val="FootnoteText"/>
        <w:jc w:val="both"/>
        <w:rPr>
          <w:spacing w:val="-2"/>
        </w:rPr>
      </w:pPr>
      <w:r w:rsidRPr="00986BB4">
        <w:rPr>
          <w:rStyle w:val="FootnoteReference"/>
          <w:spacing w:val="-2"/>
        </w:rPr>
        <w:footnoteRef/>
      </w:r>
      <w:r w:rsidRPr="00986BB4">
        <w:rPr>
          <w:spacing w:val="-2"/>
        </w:rPr>
        <w:t xml:space="preserve"> ES padome. Vispārējās regulas kompromisa teksts pirms skatīšanas Eiropas </w:t>
      </w:r>
      <w:r w:rsidR="00986BB4">
        <w:rPr>
          <w:spacing w:val="-2"/>
        </w:rPr>
        <w:t>P</w:t>
      </w:r>
      <w:r w:rsidRPr="00986BB4">
        <w:rPr>
          <w:spacing w:val="-2"/>
        </w:rPr>
        <w:t>arlamentā. 15880/12</w:t>
      </w:r>
      <w:r w:rsidR="00986BB4" w:rsidRPr="00986BB4">
        <w:rPr>
          <w:spacing w:val="-2"/>
        </w:rPr>
        <w:t xml:space="preserve"> </w:t>
      </w:r>
      <w:r w:rsidRPr="00986BB4">
        <w:rPr>
          <w:spacing w:val="-2"/>
        </w:rPr>
        <w:t>ADD</w:t>
      </w:r>
      <w:r w:rsidR="00986BB4" w:rsidRPr="00986BB4">
        <w:rPr>
          <w:spacing w:val="-2"/>
        </w:rPr>
        <w:t xml:space="preserve"> </w:t>
      </w:r>
      <w:r w:rsidRPr="00986BB4">
        <w:rPr>
          <w:spacing w:val="-2"/>
        </w:rPr>
        <w:t>2</w:t>
      </w:r>
      <w:r w:rsidR="00986BB4" w:rsidRPr="00986BB4">
        <w:rPr>
          <w:spacing w:val="-2"/>
        </w:rPr>
        <w:t xml:space="preserve"> </w:t>
      </w:r>
      <w:r w:rsidRPr="00986BB4">
        <w:rPr>
          <w:spacing w:val="-2"/>
        </w:rPr>
        <w:t>REV</w:t>
      </w:r>
      <w:r w:rsidR="00986BB4" w:rsidRPr="00986BB4">
        <w:rPr>
          <w:spacing w:val="-2"/>
        </w:rPr>
        <w:t xml:space="preserve"> </w:t>
      </w:r>
      <w:r w:rsidRPr="00986BB4">
        <w:rPr>
          <w:spacing w:val="-2"/>
        </w:rPr>
        <w:t>1</w:t>
      </w:r>
      <w:r w:rsidR="00D323ED" w:rsidRPr="00986BB4">
        <w:rPr>
          <w:spacing w:val="-2"/>
        </w:rPr>
        <w:t xml:space="preserve"> 10.–11.</w:t>
      </w:r>
      <w:r w:rsidRPr="00986BB4">
        <w:rPr>
          <w:spacing w:val="-2"/>
        </w:rPr>
        <w:t>pants</w:t>
      </w:r>
      <w:r w:rsidR="00D323ED" w:rsidRPr="00986BB4">
        <w:rPr>
          <w:spacing w:val="-2"/>
        </w:rPr>
        <w:t>.</w:t>
      </w:r>
    </w:p>
  </w:footnote>
  <w:footnote w:id="6">
    <w:p w14:paraId="7F1CAAF8" w14:textId="4DE39D5A" w:rsidR="00D870EB" w:rsidRPr="00986BB4" w:rsidRDefault="00D870EB" w:rsidP="00986BB4">
      <w:pPr>
        <w:autoSpaceDE w:val="0"/>
        <w:autoSpaceDN w:val="0"/>
        <w:adjustRightInd w:val="0"/>
        <w:jc w:val="both"/>
        <w:rPr>
          <w:rFonts w:cs="Times New Roman"/>
          <w:bCs/>
          <w:spacing w:val="-2"/>
          <w:sz w:val="20"/>
          <w:szCs w:val="20"/>
        </w:rPr>
      </w:pPr>
      <w:r w:rsidRPr="00986BB4">
        <w:rPr>
          <w:rStyle w:val="FootnoteReference"/>
          <w:rFonts w:cs="Times New Roman"/>
          <w:spacing w:val="-2"/>
          <w:sz w:val="20"/>
          <w:szCs w:val="20"/>
        </w:rPr>
        <w:footnoteRef/>
      </w:r>
      <w:r w:rsidRPr="00986BB4">
        <w:rPr>
          <w:rFonts w:cs="Times New Roman"/>
          <w:spacing w:val="-2"/>
          <w:sz w:val="20"/>
          <w:szCs w:val="20"/>
        </w:rPr>
        <w:t xml:space="preserve"> ES padome. Vispārējās regulas kompromisa teksts pirms skatīšanas Eiropas </w:t>
      </w:r>
      <w:r w:rsidR="00986BB4">
        <w:rPr>
          <w:rFonts w:cs="Times New Roman"/>
          <w:spacing w:val="-2"/>
          <w:sz w:val="20"/>
          <w:szCs w:val="20"/>
        </w:rPr>
        <w:t>P</w:t>
      </w:r>
      <w:r w:rsidRPr="00986BB4">
        <w:rPr>
          <w:rFonts w:cs="Times New Roman"/>
          <w:spacing w:val="-2"/>
          <w:sz w:val="20"/>
          <w:szCs w:val="20"/>
        </w:rPr>
        <w:t xml:space="preserve">arlamentā. </w:t>
      </w:r>
      <w:r w:rsidRPr="00986BB4">
        <w:rPr>
          <w:rFonts w:cs="Times New Roman"/>
          <w:bCs/>
          <w:spacing w:val="-2"/>
          <w:sz w:val="20"/>
          <w:szCs w:val="20"/>
        </w:rPr>
        <w:t>11027/12 ADD 4 REV1</w:t>
      </w:r>
      <w:r w:rsidR="00D323ED" w:rsidRPr="00986BB4">
        <w:rPr>
          <w:rFonts w:cs="Times New Roman"/>
          <w:bCs/>
          <w:spacing w:val="-2"/>
          <w:sz w:val="20"/>
          <w:szCs w:val="20"/>
        </w:rPr>
        <w:t xml:space="preserve"> 19.–20.</w:t>
      </w:r>
      <w:r w:rsidRPr="00986BB4">
        <w:rPr>
          <w:rFonts w:cs="Times New Roman"/>
          <w:bCs/>
          <w:spacing w:val="-2"/>
          <w:sz w:val="20"/>
          <w:szCs w:val="20"/>
        </w:rPr>
        <w:t>pants</w:t>
      </w:r>
      <w:r w:rsidR="00D323ED" w:rsidRPr="00986BB4">
        <w:rPr>
          <w:rFonts w:cs="Times New Roman"/>
          <w:bCs/>
          <w:spacing w:val="-2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751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1CAAEE" w14:textId="77777777" w:rsidR="00D0268E" w:rsidRDefault="00D026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CAAEF" w14:textId="77777777" w:rsidR="00D870EB" w:rsidRDefault="00D87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4AE"/>
    <w:multiLevelType w:val="hybridMultilevel"/>
    <w:tmpl w:val="9D78956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32D1343"/>
    <w:multiLevelType w:val="hybridMultilevel"/>
    <w:tmpl w:val="D428AD82"/>
    <w:lvl w:ilvl="0" w:tplc="93F00C34">
      <w:start w:val="1"/>
      <w:numFmt w:val="decimal"/>
      <w:lvlText w:val="(%1)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2DD843E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02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6272"/>
    <w:multiLevelType w:val="hybridMultilevel"/>
    <w:tmpl w:val="F8AA42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55"/>
    <w:rsid w:val="00014DA9"/>
    <w:rsid w:val="000433C8"/>
    <w:rsid w:val="00052DC5"/>
    <w:rsid w:val="00063C40"/>
    <w:rsid w:val="000706D0"/>
    <w:rsid w:val="000759C9"/>
    <w:rsid w:val="0008334B"/>
    <w:rsid w:val="000C56F7"/>
    <w:rsid w:val="0011176B"/>
    <w:rsid w:val="001616B7"/>
    <w:rsid w:val="00165631"/>
    <w:rsid w:val="00175B9A"/>
    <w:rsid w:val="0018014B"/>
    <w:rsid w:val="001A57A9"/>
    <w:rsid w:val="001E0B31"/>
    <w:rsid w:val="00203ABF"/>
    <w:rsid w:val="00234B36"/>
    <w:rsid w:val="00236CA3"/>
    <w:rsid w:val="002509BA"/>
    <w:rsid w:val="00256286"/>
    <w:rsid w:val="00282487"/>
    <w:rsid w:val="00284FC2"/>
    <w:rsid w:val="002B5E69"/>
    <w:rsid w:val="002C6055"/>
    <w:rsid w:val="002C7A53"/>
    <w:rsid w:val="002E0D44"/>
    <w:rsid w:val="002F2A92"/>
    <w:rsid w:val="002F5051"/>
    <w:rsid w:val="00351506"/>
    <w:rsid w:val="00373DC3"/>
    <w:rsid w:val="003D3D83"/>
    <w:rsid w:val="003E406D"/>
    <w:rsid w:val="0044719A"/>
    <w:rsid w:val="00450260"/>
    <w:rsid w:val="004A1105"/>
    <w:rsid w:val="004B4D25"/>
    <w:rsid w:val="004E6755"/>
    <w:rsid w:val="004F6847"/>
    <w:rsid w:val="00536889"/>
    <w:rsid w:val="005772DC"/>
    <w:rsid w:val="005954AF"/>
    <w:rsid w:val="005E17F4"/>
    <w:rsid w:val="005E319C"/>
    <w:rsid w:val="005E495C"/>
    <w:rsid w:val="005E6F01"/>
    <w:rsid w:val="00613222"/>
    <w:rsid w:val="00647781"/>
    <w:rsid w:val="00671FE1"/>
    <w:rsid w:val="00677A64"/>
    <w:rsid w:val="006978D9"/>
    <w:rsid w:val="006A5205"/>
    <w:rsid w:val="006A740A"/>
    <w:rsid w:val="006B7B7F"/>
    <w:rsid w:val="007007A7"/>
    <w:rsid w:val="00741642"/>
    <w:rsid w:val="007B6D37"/>
    <w:rsid w:val="007B6FBC"/>
    <w:rsid w:val="007E6786"/>
    <w:rsid w:val="007F30BB"/>
    <w:rsid w:val="00833076"/>
    <w:rsid w:val="00837D5B"/>
    <w:rsid w:val="008403B7"/>
    <w:rsid w:val="008A7F76"/>
    <w:rsid w:val="008D409C"/>
    <w:rsid w:val="008D5C1A"/>
    <w:rsid w:val="00915667"/>
    <w:rsid w:val="009321F6"/>
    <w:rsid w:val="00956D6F"/>
    <w:rsid w:val="00976BB1"/>
    <w:rsid w:val="00986BB4"/>
    <w:rsid w:val="009C127C"/>
    <w:rsid w:val="009E2311"/>
    <w:rsid w:val="009F0694"/>
    <w:rsid w:val="00A30ED6"/>
    <w:rsid w:val="00A438D0"/>
    <w:rsid w:val="00A47134"/>
    <w:rsid w:val="00A53EF8"/>
    <w:rsid w:val="00A6690F"/>
    <w:rsid w:val="00A6784C"/>
    <w:rsid w:val="00A71A8A"/>
    <w:rsid w:val="00AB0AFD"/>
    <w:rsid w:val="00AB6F4F"/>
    <w:rsid w:val="00AE5B49"/>
    <w:rsid w:val="00AF49C1"/>
    <w:rsid w:val="00B262A3"/>
    <w:rsid w:val="00B2734B"/>
    <w:rsid w:val="00B418D4"/>
    <w:rsid w:val="00B45FB8"/>
    <w:rsid w:val="00B46369"/>
    <w:rsid w:val="00B551B5"/>
    <w:rsid w:val="00B72FB8"/>
    <w:rsid w:val="00BC16FB"/>
    <w:rsid w:val="00BE34F6"/>
    <w:rsid w:val="00C11F9B"/>
    <w:rsid w:val="00C64107"/>
    <w:rsid w:val="00C660D8"/>
    <w:rsid w:val="00C7453E"/>
    <w:rsid w:val="00C76A6E"/>
    <w:rsid w:val="00C76C45"/>
    <w:rsid w:val="00C86D86"/>
    <w:rsid w:val="00CB7303"/>
    <w:rsid w:val="00CD7529"/>
    <w:rsid w:val="00D0268E"/>
    <w:rsid w:val="00D323ED"/>
    <w:rsid w:val="00D41E4E"/>
    <w:rsid w:val="00D517DB"/>
    <w:rsid w:val="00D736BC"/>
    <w:rsid w:val="00D770CF"/>
    <w:rsid w:val="00D870EB"/>
    <w:rsid w:val="00D976CE"/>
    <w:rsid w:val="00DC2C4F"/>
    <w:rsid w:val="00E071D1"/>
    <w:rsid w:val="00E418A9"/>
    <w:rsid w:val="00E803A0"/>
    <w:rsid w:val="00E969D0"/>
    <w:rsid w:val="00EC3D9D"/>
    <w:rsid w:val="00EE7E1C"/>
    <w:rsid w:val="00F114AE"/>
    <w:rsid w:val="00F236D6"/>
    <w:rsid w:val="00F44C8F"/>
    <w:rsid w:val="00F46822"/>
    <w:rsid w:val="00F51CBC"/>
    <w:rsid w:val="00F579DB"/>
    <w:rsid w:val="00F63AF0"/>
    <w:rsid w:val="00F7729E"/>
    <w:rsid w:val="00FC0F0D"/>
    <w:rsid w:val="00FC5B1C"/>
    <w:rsid w:val="00FD4600"/>
    <w:rsid w:val="00FE2B63"/>
    <w:rsid w:val="00FE3E0B"/>
    <w:rsid w:val="00FF20A9"/>
    <w:rsid w:val="00FF20F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,"/>
  <w:listSeparator w:val=";"/>
  <w14:docId w14:val="7F1C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B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0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2C6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60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055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60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05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30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0BB"/>
    <w:rPr>
      <w:sz w:val="24"/>
    </w:rPr>
  </w:style>
  <w:style w:type="paragraph" w:styleId="BodyText">
    <w:name w:val="Body Text"/>
    <w:basedOn w:val="Normal"/>
    <w:link w:val="BodyTextChar"/>
    <w:semiHidden/>
    <w:rsid w:val="005E495C"/>
    <w:pPr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E495C"/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18014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B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0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2C6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60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055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60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05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30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0BB"/>
    <w:rPr>
      <w:sz w:val="24"/>
    </w:rPr>
  </w:style>
  <w:style w:type="paragraph" w:styleId="BodyText">
    <w:name w:val="Body Text"/>
    <w:basedOn w:val="Normal"/>
    <w:link w:val="BodyTextChar"/>
    <w:semiHidden/>
    <w:rsid w:val="005E495C"/>
    <w:pPr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E495C"/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18014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p.eurostat.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F8DC-5FA2-4AE1-BE01-E8E57C83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5544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Koncepcijas kopsavilkums</vt:lpstr>
    </vt:vector>
  </TitlesOfParts>
  <Manager>Kristīne Ancāne</Manager>
  <Company>Finanšu ministrija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Koncepcijas kopsavilkums</dc:title>
  <dc:subject>Koncepcija</dc:subject>
  <dc:creator>Renāte Zīverte</dc:creator>
  <dc:description>Kristīne Ancāne,
Tālrunis: 67-095-635;
Kristine.Ancane@fm.gov.lv
Renāte Zīverte,
Tālrunis: 67-083-858;
E-pasts: Renāte.Ziverte@fm.gov.lv</dc:description>
  <cp:lastModifiedBy>Leontīne Babkina</cp:lastModifiedBy>
  <cp:revision>60</cp:revision>
  <cp:lastPrinted>2013-05-30T07:10:00Z</cp:lastPrinted>
  <dcterms:created xsi:type="dcterms:W3CDTF">2013-02-08T09:29:00Z</dcterms:created>
  <dcterms:modified xsi:type="dcterms:W3CDTF">2013-06-05T08:40:00Z</dcterms:modified>
  <cp:category>Koncepcija</cp:category>
</cp:coreProperties>
</file>