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4" w:rsidRDefault="008040A4" w:rsidP="00031977">
      <w:pPr>
        <w:pStyle w:val="Heading1"/>
        <w:rPr>
          <w:i w:val="0"/>
          <w:iCs w:val="0"/>
        </w:rPr>
      </w:pPr>
      <w:r w:rsidRPr="00E82482">
        <w:rPr>
          <w:i w:val="0"/>
          <w:iCs w:val="0"/>
        </w:rPr>
        <w:t>Likumprojekts</w:t>
      </w:r>
    </w:p>
    <w:p w:rsidR="008040A4" w:rsidRPr="00E82482" w:rsidRDefault="008040A4" w:rsidP="00031977">
      <w:pPr>
        <w:pStyle w:val="Heading2"/>
      </w:pPr>
      <w:bookmarkStart w:id="0" w:name="_GoBack"/>
      <w:bookmarkStart w:id="1" w:name="OLE_LINK3"/>
      <w:bookmarkStart w:id="2" w:name="OLE_LINK4"/>
      <w:bookmarkStart w:id="3" w:name="OLE_LINK7"/>
      <w:bookmarkStart w:id="4" w:name="OLE_LINK8"/>
      <w:bookmarkEnd w:id="0"/>
    </w:p>
    <w:p w:rsidR="008040A4" w:rsidRPr="00E82482" w:rsidRDefault="008040A4" w:rsidP="00031977">
      <w:pPr>
        <w:pStyle w:val="Heading2"/>
      </w:pPr>
      <w:bookmarkStart w:id="5" w:name="OLE_LINK1"/>
      <w:bookmarkStart w:id="6" w:name="OLE_LINK2"/>
      <w:r w:rsidRPr="00E82482">
        <w:t xml:space="preserve">Grozījumi </w:t>
      </w:r>
      <w:bookmarkEnd w:id="1"/>
      <w:bookmarkEnd w:id="2"/>
      <w:r w:rsidRPr="00E82482">
        <w:t xml:space="preserve">likumā </w:t>
      </w:r>
      <w:r>
        <w:t>"</w:t>
      </w:r>
      <w:r w:rsidRPr="00E82482">
        <w:t>Par valsts un pašvaldību kapitāla daļām un kapitālsabiedrībām</w:t>
      </w:r>
      <w:r>
        <w:t>"</w:t>
      </w:r>
      <w:r w:rsidRPr="00E82482">
        <w:t xml:space="preserve"> </w:t>
      </w:r>
      <w:bookmarkEnd w:id="3"/>
      <w:bookmarkEnd w:id="4"/>
    </w:p>
    <w:bookmarkEnd w:id="5"/>
    <w:bookmarkEnd w:id="6"/>
    <w:p w:rsidR="008040A4" w:rsidRPr="00E82482" w:rsidRDefault="008040A4" w:rsidP="00031977">
      <w:pPr>
        <w:pStyle w:val="BodyTextIndent"/>
      </w:pPr>
    </w:p>
    <w:p w:rsidR="008040A4" w:rsidRPr="00E82482" w:rsidRDefault="008040A4" w:rsidP="00031977">
      <w:pPr>
        <w:pStyle w:val="BodyTextIndent"/>
      </w:pPr>
      <w:r w:rsidRPr="00E82482">
        <w:t xml:space="preserve">Izdarīt likumā </w:t>
      </w:r>
      <w:r>
        <w:t>"</w:t>
      </w:r>
      <w:r w:rsidRPr="00E82482">
        <w:t>Par valsts un pašvaldību kapitāla daļām un kapitālsabiedrībām</w:t>
      </w:r>
      <w:r>
        <w:t>"</w:t>
      </w:r>
      <w:r w:rsidRPr="00E82482">
        <w:t xml:space="preserve"> (Latvijas Republikas Saeimas un Ministru Kabineta Ziņotājs, 2002, 21.nr.; 2003, 6., 15.nr.; 2004, 18., 23.nr.; 2005, 2., 15.nr.; 2006, 24.nr.; 2008, 1.nr.; 2009, 2., 6., 9., 12., 14.nr.; Latvijas Vēstnesis, 2009, 136., 205.nr.) šādus grozījumus:</w:t>
      </w:r>
    </w:p>
    <w:p w:rsidR="008040A4" w:rsidRPr="00E82482" w:rsidRDefault="008040A4" w:rsidP="00031977">
      <w:pPr>
        <w:pStyle w:val="BodyTextIndent"/>
      </w:pPr>
    </w:p>
    <w:p w:rsidR="008040A4" w:rsidRPr="00E82482" w:rsidRDefault="008040A4" w:rsidP="00031977">
      <w:pPr>
        <w:pStyle w:val="BodyTextIndent"/>
      </w:pPr>
      <w:r>
        <w:t>1. Aizstāt 48.</w:t>
      </w:r>
      <w:r w:rsidRPr="00E82482">
        <w:t xml:space="preserve">panta trešajā daļā vārdus </w:t>
      </w:r>
      <w:r>
        <w:t xml:space="preserve">"izstrādātos sabiedrības darbinieku atlīdzības noteikšanas </w:t>
      </w:r>
      <w:r w:rsidRPr="00E82482">
        <w:t>svarīgākos nosacījumus</w:t>
      </w:r>
      <w:r>
        <w:t xml:space="preserve"> pabalstu"</w:t>
      </w:r>
      <w:r w:rsidRPr="00E82482">
        <w:t xml:space="preserve"> ar vārdiem</w:t>
      </w:r>
      <w:r>
        <w:t xml:space="preserve"> "izstrādātās sabiedrības darbinieku atlīdzības noteikšanas </w:t>
      </w:r>
      <w:r w:rsidRPr="00E82482">
        <w:t>svarīgākās vadlīnijas (pamatprincipus, kritērijus un apmēru ierobežojumus</w:t>
      </w:r>
      <w:r w:rsidRPr="00EA38A7">
        <w:t>) atalgojuma veidošanas mehānism</w:t>
      </w:r>
      <w:r>
        <w:t>am, pabalstu"</w:t>
      </w:r>
      <w:r w:rsidRPr="00EA38A7">
        <w:t>.</w:t>
      </w:r>
    </w:p>
    <w:p w:rsidR="008040A4" w:rsidRPr="00E82482" w:rsidRDefault="008040A4" w:rsidP="00031977">
      <w:pPr>
        <w:pStyle w:val="BodyTextIndent"/>
      </w:pPr>
    </w:p>
    <w:p w:rsidR="008040A4" w:rsidRPr="00E82482" w:rsidRDefault="008040A4" w:rsidP="00031977">
      <w:pPr>
        <w:pStyle w:val="BodyTextIndent"/>
      </w:pPr>
      <w:r>
        <w:t>2. Papildināt III nodaļ</w:t>
      </w:r>
      <w:r w:rsidRPr="00E82482">
        <w:t>u ar 64.</w:t>
      </w:r>
      <w:r w:rsidRPr="00E82482">
        <w:rPr>
          <w:vertAlign w:val="superscript"/>
        </w:rPr>
        <w:t>1</w:t>
      </w:r>
      <w:r w:rsidRPr="00E82482">
        <w:t xml:space="preserve"> pantu šādā redakcijā:</w:t>
      </w:r>
    </w:p>
    <w:p w:rsidR="008040A4" w:rsidRPr="00E82482" w:rsidRDefault="008040A4" w:rsidP="00031977">
      <w:pPr>
        <w:pStyle w:val="BodyTextIndent"/>
      </w:pPr>
    </w:p>
    <w:p w:rsidR="008040A4" w:rsidRPr="00E82482" w:rsidRDefault="008040A4" w:rsidP="00031977">
      <w:pPr>
        <w:pStyle w:val="BodyTextIndent"/>
      </w:pPr>
      <w:r>
        <w:t>"</w:t>
      </w:r>
      <w:r w:rsidRPr="00E82482">
        <w:rPr>
          <w:b/>
          <w:bCs/>
        </w:rPr>
        <w:t>64.</w:t>
      </w:r>
      <w:r w:rsidRPr="00E82482">
        <w:rPr>
          <w:b/>
          <w:bCs/>
          <w:vertAlign w:val="superscript"/>
        </w:rPr>
        <w:t>1</w:t>
      </w:r>
      <w:r w:rsidRPr="00E82482">
        <w:rPr>
          <w:b/>
          <w:bCs/>
        </w:rPr>
        <w:t xml:space="preserve"> pants. Dalībnieku sapulces piekrišana valdes rīcībai</w:t>
      </w:r>
    </w:p>
    <w:p w:rsidR="008040A4" w:rsidRDefault="008040A4" w:rsidP="00031977">
      <w:pPr>
        <w:pStyle w:val="BodyTextIndent"/>
      </w:pPr>
    </w:p>
    <w:p w:rsidR="008040A4" w:rsidRDefault="008040A4" w:rsidP="00031977">
      <w:pPr>
        <w:pStyle w:val="BodyTextIndent"/>
      </w:pPr>
      <w:r w:rsidRPr="00E82482">
        <w:t xml:space="preserve">Valdei nepieciešama dalībnieku sapulces iepriekšēja piekrišana sabiedrības darbinieku atlīdzības izmaksai paredzētā </w:t>
      </w:r>
      <w:r w:rsidRPr="002D220F">
        <w:t>maksimālā</w:t>
      </w:r>
      <w:r>
        <w:t xml:space="preserve"> </w:t>
      </w:r>
      <w:r w:rsidRPr="00E82482">
        <w:t xml:space="preserve">finansējuma apjoma </w:t>
      </w:r>
      <w:r>
        <w:t>apstiprināšanai</w:t>
      </w:r>
      <w:r w:rsidRPr="00E82482">
        <w:t xml:space="preserve"> </w:t>
      </w:r>
      <w:r>
        <w:t>nākamajam kalendāra</w:t>
      </w:r>
      <w:r w:rsidRPr="00E82482">
        <w:t xml:space="preserve"> gadam</w:t>
      </w:r>
      <w:r>
        <w:t>. Minēto apjomu</w:t>
      </w:r>
      <w:r w:rsidRPr="001B5F1F">
        <w:t xml:space="preserve"> valde</w:t>
      </w:r>
      <w:r>
        <w:t xml:space="preserve"> var koriģēt</w:t>
      </w:r>
      <w:r w:rsidRPr="001B5F1F">
        <w:t xml:space="preserve"> saskaņā ar vadlīnijām (mainoties ražošanas apjomam </w:t>
      </w:r>
      <w:r>
        <w:t>vai</w:t>
      </w:r>
      <w:r w:rsidRPr="001B5F1F">
        <w:t xml:space="preserve"> tirgus nosacījumiem)</w:t>
      </w:r>
      <w:r>
        <w:t>."</w:t>
      </w:r>
    </w:p>
    <w:p w:rsidR="008040A4" w:rsidRPr="00E82482" w:rsidRDefault="008040A4" w:rsidP="00031977">
      <w:pPr>
        <w:pStyle w:val="BodyTextIndent"/>
      </w:pPr>
    </w:p>
    <w:p w:rsidR="008040A4" w:rsidRPr="00E82482" w:rsidRDefault="008040A4" w:rsidP="00031977">
      <w:pPr>
        <w:pStyle w:val="BodyTextIndent"/>
      </w:pPr>
      <w:r>
        <w:t>3. Aizstāt 76.</w:t>
      </w:r>
      <w:r w:rsidRPr="00E82482">
        <w:t xml:space="preserve">panta trešajā daļā vārdus </w:t>
      </w:r>
      <w:r>
        <w:t xml:space="preserve">"izstrādātos sabiedrības darbinieku atlīdzības noteikšanas </w:t>
      </w:r>
      <w:r w:rsidRPr="00E82482">
        <w:t>sva</w:t>
      </w:r>
      <w:r>
        <w:t>rīgākos nosacījumus pabalstu" ar vārdiem</w:t>
      </w:r>
      <w:r w:rsidRPr="00C74B97">
        <w:t xml:space="preserve"> </w:t>
      </w:r>
      <w:r>
        <w:t xml:space="preserve">"izstrādātās sabiedrības darbinieku atlīdzības noteikšanas </w:t>
      </w:r>
      <w:r w:rsidRPr="00E82482">
        <w:t>svarīgākās vadlīnijas (pamatprincipus, kritērijus un apmēru ierobežojumus</w:t>
      </w:r>
      <w:r w:rsidRPr="00EA38A7">
        <w:t>) atalgojuma veidošanas mehānism</w:t>
      </w:r>
      <w:r>
        <w:t>am, pabalstu"</w:t>
      </w:r>
      <w:r w:rsidRPr="00E82482">
        <w:t>.</w:t>
      </w:r>
    </w:p>
    <w:p w:rsidR="008040A4" w:rsidRPr="00E82482" w:rsidRDefault="008040A4" w:rsidP="0003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0A4" w:rsidRPr="00E82482" w:rsidRDefault="008040A4" w:rsidP="00031977">
      <w:pPr>
        <w:pStyle w:val="BodyTextIndent"/>
      </w:pPr>
      <w:r w:rsidRPr="00E82482">
        <w:t>4. Papildināt 98</w:t>
      </w:r>
      <w:r>
        <w:t>.panta otro daļu ar 9.</w:t>
      </w:r>
      <w:r w:rsidRPr="00E82482">
        <w:t>punktu šādā redakcijā:</w:t>
      </w:r>
    </w:p>
    <w:p w:rsidR="008040A4" w:rsidRPr="00E82482" w:rsidRDefault="008040A4" w:rsidP="00031977">
      <w:pPr>
        <w:spacing w:after="0" w:line="240" w:lineRule="auto"/>
        <w:jc w:val="both"/>
        <w:rPr>
          <w:sz w:val="28"/>
          <w:szCs w:val="28"/>
        </w:rPr>
      </w:pPr>
    </w:p>
    <w:p w:rsidR="008040A4" w:rsidRPr="00045149" w:rsidRDefault="008040A4" w:rsidP="00031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82482">
        <w:rPr>
          <w:rFonts w:ascii="Times New Roman" w:hAnsi="Times New Roman" w:cs="Times New Roman"/>
          <w:sz w:val="28"/>
          <w:szCs w:val="28"/>
        </w:rPr>
        <w:t xml:space="preserve">9) sabiedrības darbinieku </w:t>
      </w:r>
      <w:r w:rsidRPr="00045149">
        <w:rPr>
          <w:rFonts w:ascii="Times New Roman" w:hAnsi="Times New Roman" w:cs="Times New Roman"/>
          <w:sz w:val="28"/>
          <w:szCs w:val="28"/>
        </w:rPr>
        <w:t>atlīdzības izmaksai paredzētā maksimālā finansējuma apjoma apstiprināšan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4514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ākamajam kalendāra</w:t>
      </w:r>
      <w:r w:rsidRPr="00045149">
        <w:rPr>
          <w:rFonts w:ascii="Times New Roman" w:hAnsi="Times New Roman" w:cs="Times New Roman"/>
          <w:sz w:val="28"/>
          <w:szCs w:val="28"/>
        </w:rPr>
        <w:t xml:space="preserve"> gadam</w:t>
      </w:r>
      <w:r>
        <w:rPr>
          <w:rFonts w:ascii="Times New Roman" w:hAnsi="Times New Roman" w:cs="Times New Roman"/>
          <w:sz w:val="28"/>
          <w:szCs w:val="28"/>
        </w:rPr>
        <w:t>. Minēto apjomu</w:t>
      </w:r>
      <w:r w:rsidRPr="00045149">
        <w:rPr>
          <w:rFonts w:ascii="Times New Roman" w:hAnsi="Times New Roman" w:cs="Times New Roman"/>
          <w:sz w:val="28"/>
          <w:szCs w:val="28"/>
        </w:rPr>
        <w:t xml:space="preserve"> valde var koriģēt saskaņā ar vadlīnijām (mainoties ražošanas apjomam </w:t>
      </w:r>
      <w:r>
        <w:rPr>
          <w:rFonts w:ascii="Times New Roman" w:hAnsi="Times New Roman" w:cs="Times New Roman"/>
          <w:sz w:val="28"/>
          <w:szCs w:val="28"/>
        </w:rPr>
        <w:t>vai</w:t>
      </w:r>
      <w:r w:rsidRPr="00045149">
        <w:rPr>
          <w:rFonts w:ascii="Times New Roman" w:hAnsi="Times New Roman" w:cs="Times New Roman"/>
          <w:sz w:val="28"/>
          <w:szCs w:val="28"/>
        </w:rPr>
        <w:t xml:space="preserve"> tirgus nosacījumiem).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040A4" w:rsidRPr="00E82482" w:rsidRDefault="008040A4" w:rsidP="00031977">
      <w:pPr>
        <w:spacing w:after="0" w:line="240" w:lineRule="auto"/>
        <w:jc w:val="both"/>
        <w:rPr>
          <w:sz w:val="28"/>
          <w:szCs w:val="28"/>
        </w:rPr>
      </w:pPr>
    </w:p>
    <w:p w:rsidR="008040A4" w:rsidRPr="00E82482" w:rsidRDefault="008040A4" w:rsidP="00031977">
      <w:pPr>
        <w:pStyle w:val="BodyTextIndent"/>
      </w:pPr>
      <w:r w:rsidRPr="00E82482">
        <w:t>5. Aizstāt 149.</w:t>
      </w:r>
      <w:r w:rsidRPr="00E82482">
        <w:rPr>
          <w:vertAlign w:val="superscript"/>
        </w:rPr>
        <w:t>3</w:t>
      </w:r>
      <w:r>
        <w:t> </w:t>
      </w:r>
      <w:r w:rsidRPr="00E82482">
        <w:t xml:space="preserve">pantā vārdus </w:t>
      </w:r>
      <w:r>
        <w:t xml:space="preserve">"izstrādātos publiski privātās kapitālsabiedrības darbinieku atlīdzības noteikšanas </w:t>
      </w:r>
      <w:r w:rsidRPr="00E82482">
        <w:t>svarīgākos nosacījumus</w:t>
      </w:r>
      <w:r>
        <w:t xml:space="preserve"> pabalstu" ar vārdiem "izstrādātās publiski privātās kapitālsabiedrības darbinieku atlīdzības noteikšanas </w:t>
      </w:r>
      <w:r w:rsidRPr="00E82482">
        <w:t>svarīgākās vadlīnijas (pamatprincipus, kritērijus un apmēru ierobežojumus</w:t>
      </w:r>
      <w:r w:rsidRPr="00EA38A7">
        <w:t>) atalgojuma veidošanas mehānism</w:t>
      </w:r>
      <w:r>
        <w:t>am, pabalstu"</w:t>
      </w:r>
      <w:r w:rsidRPr="00E82482">
        <w:t>.</w:t>
      </w:r>
      <w:r>
        <w:t xml:space="preserve"> </w:t>
      </w:r>
    </w:p>
    <w:p w:rsidR="008040A4" w:rsidRDefault="008040A4" w:rsidP="0003197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bkm194"/>
      <w:bookmarkStart w:id="8" w:name="bkm16"/>
    </w:p>
    <w:p w:rsidR="008040A4" w:rsidRPr="00031977" w:rsidRDefault="008040A4" w:rsidP="0003197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bookmarkEnd w:id="7"/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Default="008040A4" w:rsidP="00031977">
      <w:pPr>
        <w:pStyle w:val="FootnoteText"/>
        <w:ind w:firstLine="720"/>
        <w:jc w:val="both"/>
        <w:rPr>
          <w:sz w:val="28"/>
          <w:szCs w:val="28"/>
        </w:rPr>
      </w:pPr>
    </w:p>
    <w:p w:rsidR="008040A4" w:rsidRPr="00031977" w:rsidRDefault="008040A4" w:rsidP="00031977">
      <w:pPr>
        <w:pStyle w:val="Footnote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Pr="00031977">
        <w:rPr>
          <w:sz w:val="28"/>
          <w:szCs w:val="28"/>
        </w:rPr>
        <w:t>ministrs</w:t>
      </w:r>
      <w:r w:rsidRPr="00031977">
        <w:rPr>
          <w:sz w:val="28"/>
          <w:szCs w:val="28"/>
        </w:rPr>
        <w:tab/>
      </w:r>
      <w:r w:rsidRPr="00031977">
        <w:rPr>
          <w:sz w:val="28"/>
          <w:szCs w:val="28"/>
        </w:rPr>
        <w:tab/>
      </w:r>
      <w:r w:rsidRPr="00031977">
        <w:rPr>
          <w:sz w:val="28"/>
          <w:szCs w:val="28"/>
        </w:rPr>
        <w:tab/>
      </w:r>
      <w:r w:rsidRPr="00031977">
        <w:rPr>
          <w:sz w:val="28"/>
          <w:szCs w:val="28"/>
        </w:rPr>
        <w:tab/>
      </w:r>
      <w:r w:rsidRPr="00031977">
        <w:rPr>
          <w:sz w:val="28"/>
          <w:szCs w:val="28"/>
        </w:rPr>
        <w:tab/>
      </w:r>
      <w:r w:rsidRPr="00031977">
        <w:rPr>
          <w:sz w:val="28"/>
          <w:szCs w:val="28"/>
        </w:rPr>
        <w:tab/>
      </w:r>
      <w:r w:rsidRPr="00031977">
        <w:rPr>
          <w:sz w:val="28"/>
          <w:szCs w:val="28"/>
        </w:rPr>
        <w:tab/>
        <w:t xml:space="preserve">    </w:t>
      </w:r>
    </w:p>
    <w:p w:rsidR="008040A4" w:rsidRPr="00031977" w:rsidRDefault="008040A4" w:rsidP="00031977">
      <w:pPr>
        <w:pStyle w:val="FootnoteText"/>
        <w:ind w:firstLine="720"/>
        <w:jc w:val="both"/>
        <w:rPr>
          <w:sz w:val="28"/>
          <w:szCs w:val="28"/>
          <w:lang w:eastAsia="lv-LV"/>
        </w:rPr>
      </w:pPr>
      <w:r w:rsidRPr="00031977">
        <w:rPr>
          <w:sz w:val="28"/>
          <w:szCs w:val="28"/>
        </w:rPr>
        <w:t>A.Vilks</w:t>
      </w:r>
      <w:bookmarkEnd w:id="8"/>
    </w:p>
    <w:sectPr w:rsidR="008040A4" w:rsidRPr="00031977" w:rsidSect="00913ED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A4" w:rsidRDefault="008040A4" w:rsidP="001325C0">
      <w:pPr>
        <w:spacing w:after="0" w:line="240" w:lineRule="auto"/>
      </w:pPr>
      <w:r>
        <w:separator/>
      </w:r>
    </w:p>
  </w:endnote>
  <w:endnote w:type="continuationSeparator" w:id="1">
    <w:p w:rsidR="008040A4" w:rsidRDefault="008040A4" w:rsidP="0013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A4" w:rsidRPr="007A4841" w:rsidRDefault="008040A4" w:rsidP="00E05C64">
    <w:pPr>
      <w:pStyle w:val="Footer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L2686_0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A4" w:rsidRPr="00031977" w:rsidRDefault="008040A4" w:rsidP="00031977">
    <w:pPr>
      <w:pStyle w:val="Footer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031977">
      <w:rPr>
        <w:rFonts w:ascii="Times New Roman" w:hAnsi="Times New Roman" w:cs="Times New Roman"/>
        <w:sz w:val="16"/>
        <w:szCs w:val="16"/>
      </w:rPr>
      <w:t>L2686_0</w:t>
    </w:r>
    <w:r>
      <w:rPr>
        <w:rFonts w:ascii="Times New Roman" w:hAnsi="Times New Roman" w:cs="Times New Roman"/>
        <w:sz w:val="16"/>
        <w:szCs w:val="16"/>
      </w:rPr>
      <w:t xml:space="preserve"> v_sk. = </w:t>
    </w:r>
    <w:fldSimple w:instr=" NUMWORDS  \* MERGEFORMAT ">
      <w:r w:rsidRPr="003C406A">
        <w:rPr>
          <w:rFonts w:ascii="Times New Roman" w:hAnsi="Times New Roman" w:cs="Times New Roman"/>
          <w:noProof/>
          <w:sz w:val="16"/>
          <w:szCs w:val="16"/>
        </w:rPr>
        <w:t>242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A4" w:rsidRDefault="008040A4" w:rsidP="001325C0">
      <w:pPr>
        <w:spacing w:after="0" w:line="240" w:lineRule="auto"/>
      </w:pPr>
      <w:r>
        <w:separator/>
      </w:r>
    </w:p>
  </w:footnote>
  <w:footnote w:type="continuationSeparator" w:id="1">
    <w:p w:rsidR="008040A4" w:rsidRDefault="008040A4" w:rsidP="0013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A4" w:rsidRDefault="008040A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040A4" w:rsidRDefault="008040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40D0"/>
    <w:multiLevelType w:val="hybridMultilevel"/>
    <w:tmpl w:val="45E4AE12"/>
    <w:lvl w:ilvl="0" w:tplc="ED6C0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32E7A"/>
    <w:multiLevelType w:val="hybridMultilevel"/>
    <w:tmpl w:val="45E4AE12"/>
    <w:lvl w:ilvl="0" w:tplc="ED6C0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5501B"/>
    <w:multiLevelType w:val="hybridMultilevel"/>
    <w:tmpl w:val="1E10C776"/>
    <w:lvl w:ilvl="0" w:tplc="FAF4F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8414D"/>
    <w:multiLevelType w:val="hybridMultilevel"/>
    <w:tmpl w:val="45E4AE12"/>
    <w:lvl w:ilvl="0" w:tplc="ED6C0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19"/>
    <w:rsid w:val="000129F1"/>
    <w:rsid w:val="000164D5"/>
    <w:rsid w:val="00017BFB"/>
    <w:rsid w:val="00021C18"/>
    <w:rsid w:val="00031977"/>
    <w:rsid w:val="0003640A"/>
    <w:rsid w:val="00042372"/>
    <w:rsid w:val="00045149"/>
    <w:rsid w:val="0007234B"/>
    <w:rsid w:val="00082C2D"/>
    <w:rsid w:val="00086EF1"/>
    <w:rsid w:val="000B65E7"/>
    <w:rsid w:val="000C2828"/>
    <w:rsid w:val="000E4F8E"/>
    <w:rsid w:val="000F0187"/>
    <w:rsid w:val="001108FE"/>
    <w:rsid w:val="0012362E"/>
    <w:rsid w:val="00130332"/>
    <w:rsid w:val="001325C0"/>
    <w:rsid w:val="00145D02"/>
    <w:rsid w:val="001733F8"/>
    <w:rsid w:val="0017421C"/>
    <w:rsid w:val="00185787"/>
    <w:rsid w:val="001959D4"/>
    <w:rsid w:val="001A5F15"/>
    <w:rsid w:val="001B3DB2"/>
    <w:rsid w:val="001B5F1F"/>
    <w:rsid w:val="001C059F"/>
    <w:rsid w:val="001C493E"/>
    <w:rsid w:val="00220A53"/>
    <w:rsid w:val="002238B4"/>
    <w:rsid w:val="00230583"/>
    <w:rsid w:val="00233AE7"/>
    <w:rsid w:val="002A31B3"/>
    <w:rsid w:val="002B5CDA"/>
    <w:rsid w:val="002B6CEB"/>
    <w:rsid w:val="002D089F"/>
    <w:rsid w:val="002D220F"/>
    <w:rsid w:val="002E56EA"/>
    <w:rsid w:val="00307304"/>
    <w:rsid w:val="0030731C"/>
    <w:rsid w:val="00307835"/>
    <w:rsid w:val="0032584A"/>
    <w:rsid w:val="003545A2"/>
    <w:rsid w:val="00377A9E"/>
    <w:rsid w:val="003B2606"/>
    <w:rsid w:val="003B3586"/>
    <w:rsid w:val="003C406A"/>
    <w:rsid w:val="003F2460"/>
    <w:rsid w:val="00405F2F"/>
    <w:rsid w:val="00406FE8"/>
    <w:rsid w:val="004121D2"/>
    <w:rsid w:val="00416B31"/>
    <w:rsid w:val="0044021E"/>
    <w:rsid w:val="00441C37"/>
    <w:rsid w:val="004516CB"/>
    <w:rsid w:val="00456394"/>
    <w:rsid w:val="00471563"/>
    <w:rsid w:val="00474B79"/>
    <w:rsid w:val="004A5F92"/>
    <w:rsid w:val="004A67B3"/>
    <w:rsid w:val="004C5103"/>
    <w:rsid w:val="004C6851"/>
    <w:rsid w:val="004C6958"/>
    <w:rsid w:val="00503CDC"/>
    <w:rsid w:val="00504792"/>
    <w:rsid w:val="005256D9"/>
    <w:rsid w:val="00531DFF"/>
    <w:rsid w:val="00535A28"/>
    <w:rsid w:val="005535E5"/>
    <w:rsid w:val="00562F6B"/>
    <w:rsid w:val="005709BC"/>
    <w:rsid w:val="005A5C61"/>
    <w:rsid w:val="005B2179"/>
    <w:rsid w:val="005B4255"/>
    <w:rsid w:val="005C3B21"/>
    <w:rsid w:val="005E1036"/>
    <w:rsid w:val="005E42A5"/>
    <w:rsid w:val="005F68B3"/>
    <w:rsid w:val="0060625B"/>
    <w:rsid w:val="006109CA"/>
    <w:rsid w:val="0061783D"/>
    <w:rsid w:val="006423E3"/>
    <w:rsid w:val="00695502"/>
    <w:rsid w:val="006B3279"/>
    <w:rsid w:val="006B4949"/>
    <w:rsid w:val="006B5FED"/>
    <w:rsid w:val="006C2428"/>
    <w:rsid w:val="006F0F16"/>
    <w:rsid w:val="006F1F87"/>
    <w:rsid w:val="00710DA9"/>
    <w:rsid w:val="00720144"/>
    <w:rsid w:val="00720D66"/>
    <w:rsid w:val="00720E8D"/>
    <w:rsid w:val="007438A0"/>
    <w:rsid w:val="0077423E"/>
    <w:rsid w:val="007A4841"/>
    <w:rsid w:val="008040A4"/>
    <w:rsid w:val="00804AA4"/>
    <w:rsid w:val="00811513"/>
    <w:rsid w:val="008156E9"/>
    <w:rsid w:val="0081735A"/>
    <w:rsid w:val="00827BB5"/>
    <w:rsid w:val="00852381"/>
    <w:rsid w:val="00861655"/>
    <w:rsid w:val="00870A54"/>
    <w:rsid w:val="008826B9"/>
    <w:rsid w:val="00885CEE"/>
    <w:rsid w:val="008A2FB7"/>
    <w:rsid w:val="008A3494"/>
    <w:rsid w:val="008B5D00"/>
    <w:rsid w:val="008C3A56"/>
    <w:rsid w:val="008E32A9"/>
    <w:rsid w:val="008E6341"/>
    <w:rsid w:val="00913ED4"/>
    <w:rsid w:val="00934AD5"/>
    <w:rsid w:val="009509FB"/>
    <w:rsid w:val="00972057"/>
    <w:rsid w:val="0097256B"/>
    <w:rsid w:val="009A0B1B"/>
    <w:rsid w:val="009F6B7A"/>
    <w:rsid w:val="00A13ECD"/>
    <w:rsid w:val="00A24AEB"/>
    <w:rsid w:val="00A27A67"/>
    <w:rsid w:val="00A34961"/>
    <w:rsid w:val="00A54DED"/>
    <w:rsid w:val="00A54F1E"/>
    <w:rsid w:val="00A762D8"/>
    <w:rsid w:val="00AA13C5"/>
    <w:rsid w:val="00AD145B"/>
    <w:rsid w:val="00AE7F3E"/>
    <w:rsid w:val="00AF1A09"/>
    <w:rsid w:val="00AF4003"/>
    <w:rsid w:val="00B17079"/>
    <w:rsid w:val="00B34C56"/>
    <w:rsid w:val="00B50BA3"/>
    <w:rsid w:val="00B51C52"/>
    <w:rsid w:val="00B75739"/>
    <w:rsid w:val="00B870E9"/>
    <w:rsid w:val="00BC1DE7"/>
    <w:rsid w:val="00BE308C"/>
    <w:rsid w:val="00BE3E07"/>
    <w:rsid w:val="00BE7B0C"/>
    <w:rsid w:val="00C0008F"/>
    <w:rsid w:val="00C20619"/>
    <w:rsid w:val="00C23BDF"/>
    <w:rsid w:val="00C243B6"/>
    <w:rsid w:val="00C24CF7"/>
    <w:rsid w:val="00C27A36"/>
    <w:rsid w:val="00C30298"/>
    <w:rsid w:val="00C36DF0"/>
    <w:rsid w:val="00C46B55"/>
    <w:rsid w:val="00C566F0"/>
    <w:rsid w:val="00C7373A"/>
    <w:rsid w:val="00C74194"/>
    <w:rsid w:val="00C74B97"/>
    <w:rsid w:val="00C91201"/>
    <w:rsid w:val="00CA6EC1"/>
    <w:rsid w:val="00CB601F"/>
    <w:rsid w:val="00CC6D59"/>
    <w:rsid w:val="00CC75F3"/>
    <w:rsid w:val="00D334B5"/>
    <w:rsid w:val="00D4121E"/>
    <w:rsid w:val="00D43777"/>
    <w:rsid w:val="00D534DA"/>
    <w:rsid w:val="00D64502"/>
    <w:rsid w:val="00D656F3"/>
    <w:rsid w:val="00D8335A"/>
    <w:rsid w:val="00D95408"/>
    <w:rsid w:val="00DA60B2"/>
    <w:rsid w:val="00DC4ED3"/>
    <w:rsid w:val="00DC5F15"/>
    <w:rsid w:val="00DD426E"/>
    <w:rsid w:val="00E05C64"/>
    <w:rsid w:val="00E06C82"/>
    <w:rsid w:val="00E13254"/>
    <w:rsid w:val="00E25CB4"/>
    <w:rsid w:val="00E42F19"/>
    <w:rsid w:val="00E5542F"/>
    <w:rsid w:val="00E82482"/>
    <w:rsid w:val="00EA38A7"/>
    <w:rsid w:val="00EA49D9"/>
    <w:rsid w:val="00EB344F"/>
    <w:rsid w:val="00EC6C32"/>
    <w:rsid w:val="00ED2957"/>
    <w:rsid w:val="00EE2189"/>
    <w:rsid w:val="00EE5408"/>
    <w:rsid w:val="00F04828"/>
    <w:rsid w:val="00F17F9F"/>
    <w:rsid w:val="00F44C6C"/>
    <w:rsid w:val="00F45A00"/>
    <w:rsid w:val="00F508C1"/>
    <w:rsid w:val="00F521FE"/>
    <w:rsid w:val="00F5435E"/>
    <w:rsid w:val="00F6238D"/>
    <w:rsid w:val="00F875AF"/>
    <w:rsid w:val="00FE45BC"/>
    <w:rsid w:val="00FF0CEE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19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2F1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2F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2F19"/>
    <w:rPr>
      <w:rFonts w:eastAsia="Times New Roman"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2F19"/>
    <w:rPr>
      <w:rFonts w:eastAsia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42F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2F1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2F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F19"/>
    <w:rPr>
      <w:rFonts w:ascii="Calibri" w:hAnsi="Calibri" w:cs="Calibri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E42F1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2F19"/>
    <w:rPr>
      <w:rFonts w:eastAsia="Times New Roman"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C7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3B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uiPriority w:val="99"/>
    <w:rsid w:val="003B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F45A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6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24C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4CF7"/>
    <w:rPr>
      <w:rFonts w:eastAsia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C24CF7"/>
    <w:rPr>
      <w:color w:val="0000FF"/>
      <w:u w:val="single"/>
    </w:rPr>
  </w:style>
  <w:style w:type="paragraph" w:customStyle="1" w:styleId="naiskr">
    <w:name w:val="naiskr"/>
    <w:basedOn w:val="Normal"/>
    <w:uiPriority w:val="99"/>
    <w:rsid w:val="00C24C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rsid w:val="006F0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F1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248</Words>
  <Characters>1974</Characters>
  <Application>Microsoft Office Outlook</Application>
  <DocSecurity>0</DocSecurity>
  <Lines>0</Lines>
  <Paragraphs>0</Paragraphs>
  <ScaleCrop>false</ScaleCrop>
  <Company>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valsts un pašvaldību kapitāla daļām un kapitālsabiedrībām” </dc:title>
  <dc:subject>Likumprojekts</dc:subject>
  <dc:creator>I.Artemjeva</dc:creator>
  <cp:keywords/>
  <dc:description>I.Artemjeva; t. 67095599;Ineta.Artemjeva@fm.gov.lv</dc:description>
  <cp:lastModifiedBy>Emilija Spundzane</cp:lastModifiedBy>
  <cp:revision>22</cp:revision>
  <cp:lastPrinted>2010-12-22T07:45:00Z</cp:lastPrinted>
  <dcterms:created xsi:type="dcterms:W3CDTF">2010-12-02T14:36:00Z</dcterms:created>
  <dcterms:modified xsi:type="dcterms:W3CDTF">2010-12-22T07:47:00Z</dcterms:modified>
</cp:coreProperties>
</file>