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1777" w14:textId="77777777" w:rsidR="004E2E68" w:rsidRPr="009715E4" w:rsidRDefault="004E2E68" w:rsidP="004E55C3">
      <w:pPr>
        <w:pStyle w:val="Header"/>
        <w:jc w:val="right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>Likumprojekts</w:t>
      </w:r>
    </w:p>
    <w:p w14:paraId="5F611778" w14:textId="77777777" w:rsidR="00B76975" w:rsidRPr="009715E4" w:rsidRDefault="00B76975" w:rsidP="004E55C3">
      <w:pPr>
        <w:rPr>
          <w:sz w:val="28"/>
          <w:szCs w:val="28"/>
        </w:rPr>
      </w:pPr>
    </w:p>
    <w:p w14:paraId="5F611779" w14:textId="77777777" w:rsidR="004E2E68" w:rsidRPr="009715E4" w:rsidRDefault="004E2E68" w:rsidP="004E55C3">
      <w:pPr>
        <w:jc w:val="center"/>
        <w:rPr>
          <w:rFonts w:eastAsia="Times New Roman"/>
          <w:b/>
          <w:bCs/>
          <w:color w:val="auto"/>
          <w:sz w:val="28"/>
          <w:szCs w:val="28"/>
          <w:lang w:eastAsia="lv-LV"/>
        </w:rPr>
      </w:pPr>
      <w:r w:rsidRPr="009715E4">
        <w:rPr>
          <w:b/>
          <w:color w:val="auto"/>
          <w:sz w:val="28"/>
          <w:szCs w:val="28"/>
        </w:rPr>
        <w:t xml:space="preserve">Grozījums </w:t>
      </w:r>
      <w:r w:rsidRPr="009715E4">
        <w:rPr>
          <w:rFonts w:eastAsia="Times New Roman"/>
          <w:b/>
          <w:bCs/>
          <w:color w:val="auto"/>
          <w:sz w:val="28"/>
          <w:szCs w:val="28"/>
          <w:lang w:eastAsia="lv-LV"/>
        </w:rPr>
        <w:t>Noziedzīgi iegūtu līdzekļu legalizācijas un terorisma finansēšanas novēršanas likumā</w:t>
      </w:r>
    </w:p>
    <w:p w14:paraId="5F61177A" w14:textId="77777777" w:rsidR="004E2E68" w:rsidRPr="009715E4" w:rsidRDefault="004E2E68" w:rsidP="004E55C3">
      <w:pPr>
        <w:jc w:val="center"/>
        <w:rPr>
          <w:b/>
          <w:bCs/>
          <w:color w:val="auto"/>
          <w:sz w:val="28"/>
          <w:szCs w:val="28"/>
        </w:rPr>
      </w:pPr>
    </w:p>
    <w:p w14:paraId="5F61177B" w14:textId="77777777" w:rsidR="009715E4" w:rsidRDefault="000F34FA" w:rsidP="004E55C3">
      <w:pPr>
        <w:ind w:firstLine="720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>Izdarīt Noziedzīgi iegūtu līdzekļu legalizācijas un terorisma finansēšanas novēršanas likumā (Latvijas Republikas Saeimas un Ministru Kabineta Ziņotājs, 2008, 16.nr.;</w:t>
      </w:r>
      <w:r w:rsidR="009715E4">
        <w:rPr>
          <w:color w:val="auto"/>
          <w:sz w:val="28"/>
          <w:szCs w:val="28"/>
        </w:rPr>
        <w:t xml:space="preserve"> 2009, 2.nr.;</w:t>
      </w:r>
      <w:r w:rsidRPr="009715E4">
        <w:rPr>
          <w:color w:val="auto"/>
          <w:sz w:val="28"/>
          <w:szCs w:val="28"/>
        </w:rPr>
        <w:t xml:space="preserve"> Latvijas Vēstnesis, </w:t>
      </w:r>
      <w:r w:rsidR="009715E4">
        <w:rPr>
          <w:color w:val="auto"/>
          <w:sz w:val="28"/>
          <w:szCs w:val="28"/>
        </w:rPr>
        <w:t>2009,</w:t>
      </w:r>
      <w:r w:rsidRPr="009715E4">
        <w:rPr>
          <w:color w:val="auto"/>
          <w:sz w:val="28"/>
          <w:szCs w:val="28"/>
        </w:rPr>
        <w:t xml:space="preserve"> 196., 205.nr.; 2011, 60.nr.) šādu grozījumu</w:t>
      </w:r>
      <w:r w:rsidR="009715E4">
        <w:rPr>
          <w:color w:val="auto"/>
          <w:sz w:val="28"/>
          <w:szCs w:val="28"/>
        </w:rPr>
        <w:t>:</w:t>
      </w:r>
    </w:p>
    <w:p w14:paraId="5F61177C" w14:textId="77777777" w:rsidR="009715E4" w:rsidRDefault="009715E4" w:rsidP="004E55C3">
      <w:pPr>
        <w:ind w:firstLine="720"/>
        <w:jc w:val="both"/>
        <w:rPr>
          <w:color w:val="auto"/>
          <w:sz w:val="28"/>
          <w:szCs w:val="28"/>
        </w:rPr>
      </w:pPr>
    </w:p>
    <w:p w14:paraId="5F61177D" w14:textId="77777777" w:rsidR="004E2E68" w:rsidRPr="009715E4" w:rsidRDefault="009715E4" w:rsidP="004E55C3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0F34FA" w:rsidRPr="009715E4">
        <w:rPr>
          <w:color w:val="auto"/>
          <w:sz w:val="28"/>
          <w:szCs w:val="28"/>
        </w:rPr>
        <w:t>apildināt likumu ar XIV nodaļu šādā redakcijā:</w:t>
      </w:r>
    </w:p>
    <w:p w14:paraId="5F61177E" w14:textId="77777777" w:rsidR="004E2E68" w:rsidRPr="009715E4" w:rsidRDefault="004E2E68" w:rsidP="004E55C3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p w14:paraId="5F61177F" w14:textId="4AB5ABB3" w:rsidR="00294936" w:rsidRPr="009715E4" w:rsidRDefault="004E55C3" w:rsidP="004E55C3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AF3C9F">
        <w:rPr>
          <w:sz w:val="28"/>
          <w:szCs w:val="28"/>
          <w:lang w:val="lv-LV"/>
        </w:rPr>
        <w:t>"</w:t>
      </w:r>
      <w:r w:rsidR="00294936" w:rsidRPr="009715E4">
        <w:rPr>
          <w:b/>
          <w:sz w:val="28"/>
          <w:szCs w:val="28"/>
          <w:lang w:val="lv-LV"/>
        </w:rPr>
        <w:t>XIV nodaļa</w:t>
      </w:r>
    </w:p>
    <w:p w14:paraId="5F611780" w14:textId="77777777" w:rsidR="00294936" w:rsidRPr="009715E4" w:rsidRDefault="00294936" w:rsidP="004E55C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 xml:space="preserve">Likuma subjekta vai Kontroles dienesta nepamatotas </w:t>
      </w:r>
      <w:r w:rsidR="00910175" w:rsidRPr="009715E4">
        <w:rPr>
          <w:b/>
          <w:sz w:val="28"/>
          <w:szCs w:val="28"/>
          <w:lang w:val="lv-LV"/>
        </w:rPr>
        <w:t xml:space="preserve">vai nelikumīgas </w:t>
      </w:r>
      <w:r w:rsidRPr="009715E4">
        <w:rPr>
          <w:b/>
          <w:sz w:val="28"/>
          <w:szCs w:val="28"/>
          <w:lang w:val="lv-LV"/>
        </w:rPr>
        <w:t>rīcības rezultātā nodarītu zaudējumu atlīdzināšana</w:t>
      </w:r>
    </w:p>
    <w:p w14:paraId="5F611781" w14:textId="77777777" w:rsidR="00040E8D" w:rsidRPr="009715E4" w:rsidRDefault="00040E8D" w:rsidP="004E55C3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p w14:paraId="5F611782" w14:textId="77777777" w:rsidR="00294936" w:rsidRPr="009715E4" w:rsidRDefault="00FA0B1E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>64.pants. Nepamatota rīcība</w:t>
      </w:r>
    </w:p>
    <w:p w14:paraId="5F611783" w14:textId="1800A273" w:rsidR="00C65884" w:rsidRPr="009715E4" w:rsidRDefault="00C65884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 xml:space="preserve">(1) </w:t>
      </w:r>
      <w:r w:rsidR="00040E8D" w:rsidRPr="009715E4">
        <w:rPr>
          <w:sz w:val="28"/>
          <w:szCs w:val="28"/>
          <w:lang w:val="lv-LV"/>
        </w:rPr>
        <w:t>Likuma subjekta rīcība</w:t>
      </w:r>
      <w:r w:rsidR="008B189A">
        <w:rPr>
          <w:sz w:val="28"/>
          <w:szCs w:val="28"/>
          <w:lang w:val="lv-LV"/>
        </w:rPr>
        <w:t>,</w:t>
      </w:r>
      <w:r w:rsidR="00040E8D" w:rsidRPr="009715E4">
        <w:rPr>
          <w:sz w:val="28"/>
          <w:szCs w:val="28"/>
          <w:lang w:val="lv-LV"/>
        </w:rPr>
        <w:t xml:space="preserve"> rīkojoties labā ticībā atbilstoši šā likuma noteikumiem, ir nepamatota</w:t>
      </w:r>
      <w:r w:rsidR="00951EB8" w:rsidRPr="009715E4">
        <w:rPr>
          <w:sz w:val="28"/>
          <w:szCs w:val="28"/>
          <w:lang w:val="lv-LV"/>
        </w:rPr>
        <w:t xml:space="preserve"> šā likuma izpratnē</w:t>
      </w:r>
      <w:r w:rsidR="00040E8D" w:rsidRPr="009715E4">
        <w:rPr>
          <w:sz w:val="28"/>
          <w:szCs w:val="28"/>
          <w:lang w:val="lv-LV"/>
        </w:rPr>
        <w:t>, ja vēlāk rodas viens no zaudējumu atlīdz</w:t>
      </w:r>
      <w:r w:rsidR="009715E4">
        <w:rPr>
          <w:sz w:val="28"/>
          <w:szCs w:val="28"/>
          <w:lang w:val="lv-LV"/>
        </w:rPr>
        <w:t>ināšanas tiesiskajiem pamatiem.</w:t>
      </w:r>
    </w:p>
    <w:p w14:paraId="5F611784" w14:textId="77777777" w:rsidR="009B50E0" w:rsidRPr="009715E4" w:rsidRDefault="00C65884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 xml:space="preserve">(2) </w:t>
      </w:r>
      <w:r w:rsidR="00040E8D" w:rsidRPr="009715E4">
        <w:rPr>
          <w:sz w:val="28"/>
          <w:szCs w:val="28"/>
          <w:lang w:val="lv-LV"/>
        </w:rPr>
        <w:t>Kontroles dienesta rīcība, rīkojoties atbilstoši šā likuma noteikumiem, ir nepamatota, ja vēlāk rodas viens no zaudējumu atlīdzināšanas tiesiskajiem pamatiem.</w:t>
      </w:r>
    </w:p>
    <w:p w14:paraId="5F611785" w14:textId="77777777" w:rsidR="00DD5D8E" w:rsidRPr="009715E4" w:rsidRDefault="00DD5D8E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F611786" w14:textId="77777777" w:rsidR="00C1077F" w:rsidRPr="009715E4" w:rsidRDefault="00C1077F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>65.pants. Li</w:t>
      </w:r>
      <w:r w:rsidR="00FA0B1E" w:rsidRPr="009715E4">
        <w:rPr>
          <w:b/>
          <w:sz w:val="28"/>
          <w:szCs w:val="28"/>
          <w:lang w:val="lv-LV"/>
        </w:rPr>
        <w:t>kuma subjekta nelikumīga rīcība</w:t>
      </w:r>
    </w:p>
    <w:p w14:paraId="5F611787" w14:textId="61055CFA" w:rsidR="00CD2A72" w:rsidRPr="009715E4" w:rsidRDefault="00CD2A72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>Likuma subjekta rīcība šā likuma izpratnē ir nelikumīga, ja tā neatbilst šā likuma noteikumie</w:t>
      </w:r>
      <w:r w:rsidR="009C4714" w:rsidRPr="009715E4">
        <w:rPr>
          <w:sz w:val="28"/>
          <w:szCs w:val="28"/>
          <w:lang w:val="lv-LV"/>
        </w:rPr>
        <w:t>m</w:t>
      </w:r>
      <w:r w:rsidR="00F17998">
        <w:rPr>
          <w:sz w:val="28"/>
          <w:szCs w:val="28"/>
          <w:lang w:val="lv-LV"/>
        </w:rPr>
        <w:t>,</w:t>
      </w:r>
      <w:r w:rsidR="009C4714" w:rsidRPr="009715E4">
        <w:rPr>
          <w:sz w:val="28"/>
          <w:szCs w:val="28"/>
          <w:lang w:val="lv-LV"/>
        </w:rPr>
        <w:t xml:space="preserve"> no brīža, kad likuma subjekts</w:t>
      </w:r>
      <w:r w:rsidRPr="009715E4">
        <w:rPr>
          <w:sz w:val="28"/>
          <w:szCs w:val="28"/>
          <w:lang w:val="lv-LV"/>
        </w:rPr>
        <w:t xml:space="preserve"> ir </w:t>
      </w:r>
      <w:r w:rsidR="00F17998">
        <w:rPr>
          <w:sz w:val="28"/>
          <w:szCs w:val="28"/>
          <w:lang w:val="lv-LV"/>
        </w:rPr>
        <w:t>sācis atturēt</w:t>
      </w:r>
      <w:r w:rsidRPr="009715E4">
        <w:rPr>
          <w:sz w:val="28"/>
          <w:szCs w:val="28"/>
          <w:lang w:val="lv-LV"/>
        </w:rPr>
        <w:t>ies no darījumu veikšanas</w:t>
      </w:r>
      <w:r w:rsidR="00F17998">
        <w:rPr>
          <w:sz w:val="28"/>
          <w:szCs w:val="28"/>
          <w:lang w:val="lv-LV"/>
        </w:rPr>
        <w:t>,</w:t>
      </w:r>
      <w:r w:rsidRPr="009715E4">
        <w:rPr>
          <w:sz w:val="28"/>
          <w:szCs w:val="28"/>
          <w:lang w:val="lv-LV"/>
        </w:rPr>
        <w:t xml:space="preserve"> līdz brīdim, kad Kontroles dienests pieņēmis rīkojumu saskaņā ar šā likuma 32.panta 2.</w:t>
      </w:r>
      <w:r w:rsidRPr="009715E4">
        <w:rPr>
          <w:sz w:val="28"/>
          <w:szCs w:val="28"/>
          <w:vertAlign w:val="superscript"/>
          <w:lang w:val="lv-LV"/>
        </w:rPr>
        <w:t>1</w:t>
      </w:r>
      <w:r w:rsidR="009715E4">
        <w:rPr>
          <w:sz w:val="28"/>
          <w:szCs w:val="28"/>
          <w:vertAlign w:val="superscript"/>
          <w:lang w:val="lv-LV"/>
        </w:rPr>
        <w:t> </w:t>
      </w:r>
      <w:r w:rsidRPr="009715E4">
        <w:rPr>
          <w:sz w:val="28"/>
          <w:szCs w:val="28"/>
          <w:lang w:val="lv-LV"/>
        </w:rPr>
        <w:t>daļu.</w:t>
      </w:r>
    </w:p>
    <w:p w14:paraId="5F611788" w14:textId="77777777" w:rsidR="00DD5D8E" w:rsidRPr="009715E4" w:rsidRDefault="00DD5D8E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F611789" w14:textId="77777777" w:rsidR="00294936" w:rsidRPr="009715E4" w:rsidRDefault="00173FBA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>66</w:t>
      </w:r>
      <w:r w:rsidR="00294936" w:rsidRPr="009715E4">
        <w:rPr>
          <w:b/>
          <w:sz w:val="28"/>
          <w:szCs w:val="28"/>
          <w:lang w:val="lv-LV"/>
        </w:rPr>
        <w:t xml:space="preserve">.pants. </w:t>
      </w:r>
      <w:r w:rsidR="007E1205" w:rsidRPr="009715E4">
        <w:rPr>
          <w:b/>
          <w:sz w:val="28"/>
          <w:szCs w:val="28"/>
          <w:lang w:val="lv-LV"/>
        </w:rPr>
        <w:t>Z</w:t>
      </w:r>
      <w:r w:rsidR="00FA0B1E" w:rsidRPr="009715E4">
        <w:rPr>
          <w:b/>
          <w:sz w:val="28"/>
          <w:szCs w:val="28"/>
          <w:lang w:val="lv-LV"/>
        </w:rPr>
        <w:t>audējums</w:t>
      </w:r>
    </w:p>
    <w:p w14:paraId="5F61178A" w14:textId="77777777" w:rsidR="00294936" w:rsidRPr="009715E4" w:rsidRDefault="007E1205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>Z</w:t>
      </w:r>
      <w:r w:rsidR="00294936" w:rsidRPr="009715E4">
        <w:rPr>
          <w:sz w:val="28"/>
          <w:szCs w:val="28"/>
          <w:lang w:val="lv-LV"/>
        </w:rPr>
        <w:t>audējums šā likuma izpratnē ir mantiski novērtējams pametums, kas personai radies</w:t>
      </w:r>
      <w:r w:rsidR="003F1F5E" w:rsidRPr="009715E4">
        <w:rPr>
          <w:sz w:val="28"/>
          <w:szCs w:val="28"/>
          <w:lang w:val="lv-LV"/>
        </w:rPr>
        <w:t xml:space="preserve"> Kontroles dienesta vai likuma subjekta</w:t>
      </w:r>
      <w:r w:rsidR="00294936" w:rsidRPr="009715E4">
        <w:rPr>
          <w:sz w:val="28"/>
          <w:szCs w:val="28"/>
          <w:lang w:val="lv-LV"/>
        </w:rPr>
        <w:t xml:space="preserve"> nepamatotas </w:t>
      </w:r>
      <w:r w:rsidR="00910175" w:rsidRPr="009715E4">
        <w:rPr>
          <w:sz w:val="28"/>
          <w:szCs w:val="28"/>
          <w:lang w:val="lv-LV"/>
        </w:rPr>
        <w:t xml:space="preserve">vai nelikumīgas </w:t>
      </w:r>
      <w:r w:rsidR="00294936" w:rsidRPr="009715E4">
        <w:rPr>
          <w:sz w:val="28"/>
          <w:szCs w:val="28"/>
          <w:lang w:val="lv-LV"/>
        </w:rPr>
        <w:t>rīcības rezultātā.</w:t>
      </w:r>
    </w:p>
    <w:p w14:paraId="5F61178B" w14:textId="77777777" w:rsidR="00294936" w:rsidRPr="009715E4" w:rsidRDefault="0029493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F61178C" w14:textId="77777777" w:rsidR="006D6D20" w:rsidRPr="009715E4" w:rsidRDefault="006D6D20" w:rsidP="004E55C3">
      <w:pPr>
        <w:pStyle w:val="naispant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bkm32"/>
      <w:r w:rsidRPr="009715E4">
        <w:rPr>
          <w:b/>
          <w:bCs/>
          <w:sz w:val="28"/>
          <w:szCs w:val="28"/>
        </w:rPr>
        <w:t>67.pants. Cēloņsakarība</w:t>
      </w:r>
    </w:p>
    <w:p w14:paraId="5F61178D" w14:textId="4FB662D4" w:rsidR="006D6D20" w:rsidRPr="009715E4" w:rsidRDefault="006D6D20" w:rsidP="004E55C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E4">
        <w:rPr>
          <w:sz w:val="28"/>
          <w:szCs w:val="28"/>
        </w:rPr>
        <w:t xml:space="preserve">(1) Tiesības uz zaudējuma atlīdzinājumu rodas, ja starp </w:t>
      </w:r>
      <w:r w:rsidR="00040E8D" w:rsidRPr="009715E4">
        <w:rPr>
          <w:sz w:val="28"/>
          <w:szCs w:val="28"/>
        </w:rPr>
        <w:t>likuma subjekta vai Kontroles dienesta nepamatotu vai nelikumīgu</w:t>
      </w:r>
      <w:r w:rsidRPr="009715E4">
        <w:rPr>
          <w:sz w:val="28"/>
          <w:szCs w:val="28"/>
        </w:rPr>
        <w:t xml:space="preserve"> rīcību un </w:t>
      </w:r>
      <w:r w:rsidR="00040E8D" w:rsidRPr="009715E4">
        <w:rPr>
          <w:sz w:val="28"/>
          <w:szCs w:val="28"/>
        </w:rPr>
        <w:t>personai</w:t>
      </w:r>
      <w:r w:rsidRPr="009715E4">
        <w:rPr>
          <w:sz w:val="28"/>
          <w:szCs w:val="28"/>
        </w:rPr>
        <w:t xml:space="preserve"> nodarīto zaudēj</w:t>
      </w:r>
      <w:r w:rsidR="00967906">
        <w:rPr>
          <w:sz w:val="28"/>
          <w:szCs w:val="28"/>
        </w:rPr>
        <w:t>umu pastāv tieša cēloņsakarība –</w:t>
      </w:r>
      <w:r w:rsidRPr="009715E4">
        <w:rPr>
          <w:sz w:val="28"/>
          <w:szCs w:val="28"/>
        </w:rPr>
        <w:t xml:space="preserve"> objektīva saikne starp </w:t>
      </w:r>
      <w:r w:rsidR="00040E8D" w:rsidRPr="009715E4">
        <w:rPr>
          <w:sz w:val="28"/>
          <w:szCs w:val="28"/>
        </w:rPr>
        <w:t>likuma subjekta vai Kontroles dienesta</w:t>
      </w:r>
      <w:r w:rsidRPr="009715E4">
        <w:rPr>
          <w:sz w:val="28"/>
          <w:szCs w:val="28"/>
        </w:rPr>
        <w:t xml:space="preserve"> rīcību un </w:t>
      </w:r>
      <w:r w:rsidR="00040E8D" w:rsidRPr="009715E4">
        <w:rPr>
          <w:sz w:val="28"/>
          <w:szCs w:val="28"/>
        </w:rPr>
        <w:t>to</w:t>
      </w:r>
      <w:r w:rsidRPr="009715E4">
        <w:rPr>
          <w:sz w:val="28"/>
          <w:szCs w:val="28"/>
        </w:rPr>
        <w:t xml:space="preserve"> radītajām laika ziņā sekojošām zaudējumu nodarošām sekām, proti, minētā rīcība rada un nosaka šo seku iestāšanās reālu iespēju</w:t>
      </w:r>
      <w:proofErr w:type="gramStart"/>
      <w:r w:rsidRPr="009715E4">
        <w:rPr>
          <w:sz w:val="28"/>
          <w:szCs w:val="28"/>
        </w:rPr>
        <w:t xml:space="preserve"> un</w:t>
      </w:r>
      <w:proofErr w:type="gramEnd"/>
      <w:r w:rsidRPr="009715E4">
        <w:rPr>
          <w:sz w:val="28"/>
          <w:szCs w:val="28"/>
        </w:rPr>
        <w:t xml:space="preserve"> ir galvenais faktors, kas nenovēršami radījis šīs sekas.</w:t>
      </w:r>
    </w:p>
    <w:bookmarkEnd w:id="0"/>
    <w:p w14:paraId="5F61178E" w14:textId="25CCD8D6" w:rsidR="00FA0B1E" w:rsidRPr="009715E4" w:rsidRDefault="00922D58" w:rsidP="004E55C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E4">
        <w:rPr>
          <w:sz w:val="28"/>
          <w:szCs w:val="28"/>
        </w:rPr>
        <w:t>(2)</w:t>
      </w:r>
      <w:r w:rsidR="001E5B20">
        <w:rPr>
          <w:sz w:val="28"/>
          <w:szCs w:val="28"/>
        </w:rPr>
        <w:t xml:space="preserve"> Cēloņsakarība </w:t>
      </w:r>
      <w:r w:rsidR="00967906">
        <w:rPr>
          <w:sz w:val="28"/>
          <w:szCs w:val="28"/>
        </w:rPr>
        <w:t>nepastāv, ja</w:t>
      </w:r>
      <w:r w:rsidRPr="009715E4">
        <w:rPr>
          <w:sz w:val="28"/>
          <w:szCs w:val="28"/>
        </w:rPr>
        <w:t xml:space="preserve"> tāds pats zaudējums būtu radies</w:t>
      </w:r>
      <w:r w:rsidR="00F17998">
        <w:rPr>
          <w:sz w:val="28"/>
          <w:szCs w:val="28"/>
        </w:rPr>
        <w:t>,</w:t>
      </w:r>
      <w:r w:rsidRPr="009715E4">
        <w:rPr>
          <w:sz w:val="28"/>
          <w:szCs w:val="28"/>
        </w:rPr>
        <w:t xml:space="preserve"> arī </w:t>
      </w:r>
      <w:r w:rsidR="00967906">
        <w:rPr>
          <w:sz w:val="28"/>
          <w:szCs w:val="28"/>
        </w:rPr>
        <w:t>neiestājoties kādam</w:t>
      </w:r>
      <w:r w:rsidRPr="009715E4">
        <w:rPr>
          <w:sz w:val="28"/>
          <w:szCs w:val="28"/>
        </w:rPr>
        <w:t xml:space="preserve"> no zaudējumu atlīdz</w:t>
      </w:r>
      <w:r w:rsidR="003F1F5E" w:rsidRPr="009715E4">
        <w:rPr>
          <w:sz w:val="28"/>
          <w:szCs w:val="28"/>
        </w:rPr>
        <w:t>ināšanas tiesiskajiem pamatiem.</w:t>
      </w:r>
    </w:p>
    <w:p w14:paraId="5F61178F" w14:textId="77777777" w:rsidR="007E64B9" w:rsidRPr="009715E4" w:rsidRDefault="007E64B9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</w:p>
    <w:p w14:paraId="5F611790" w14:textId="77777777" w:rsidR="00D7311C" w:rsidRPr="009715E4" w:rsidRDefault="00D7311C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>68.pants. Zaudējumu atlīdzināšanas tiesiskais pamats</w:t>
      </w:r>
    </w:p>
    <w:p w14:paraId="5F611791" w14:textId="66F7E02D" w:rsidR="00D7311C" w:rsidRPr="009715E4" w:rsidRDefault="0012533D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>(1)</w:t>
      </w:r>
      <w:r w:rsidR="002C52C8" w:rsidRPr="009715E4">
        <w:rPr>
          <w:sz w:val="28"/>
          <w:szCs w:val="28"/>
          <w:lang w:val="lv-LV"/>
        </w:rPr>
        <w:t xml:space="preserve"> </w:t>
      </w:r>
      <w:r w:rsidR="00D7311C" w:rsidRPr="009715E4">
        <w:rPr>
          <w:sz w:val="28"/>
          <w:szCs w:val="28"/>
          <w:lang w:val="lv-LV"/>
        </w:rPr>
        <w:t>Zaudējumu atlīdzināšanas tiesiskais pamats ir</w:t>
      </w:r>
      <w:r w:rsidR="00967906">
        <w:rPr>
          <w:sz w:val="28"/>
          <w:szCs w:val="28"/>
          <w:lang w:val="lv-LV"/>
        </w:rPr>
        <w:t xml:space="preserve"> šāds</w:t>
      </w:r>
      <w:r w:rsidR="00D7311C" w:rsidRPr="009715E4">
        <w:rPr>
          <w:sz w:val="28"/>
          <w:szCs w:val="28"/>
          <w:lang w:val="lv-LV"/>
        </w:rPr>
        <w:t>:</w:t>
      </w:r>
    </w:p>
    <w:p w14:paraId="5F611792" w14:textId="2676D30A" w:rsidR="007A17E6" w:rsidRPr="009715E4" w:rsidRDefault="007A17E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 xml:space="preserve">1) Kontroles dienesta rīkojums </w:t>
      </w:r>
      <w:r w:rsidR="00967906">
        <w:rPr>
          <w:sz w:val="28"/>
          <w:szCs w:val="28"/>
          <w:lang w:val="lv-LV"/>
        </w:rPr>
        <w:t>izbeigt atturēšano</w:t>
      </w:r>
      <w:r w:rsidRPr="009715E4">
        <w:rPr>
          <w:sz w:val="28"/>
          <w:szCs w:val="28"/>
          <w:lang w:val="lv-LV"/>
        </w:rPr>
        <w:t>s</w:t>
      </w:r>
      <w:r w:rsidR="000120BD" w:rsidRPr="009715E4">
        <w:rPr>
          <w:sz w:val="28"/>
          <w:szCs w:val="28"/>
          <w:lang w:val="lv-LV"/>
        </w:rPr>
        <w:t>, kas izdots</w:t>
      </w:r>
      <w:r w:rsidRPr="009715E4">
        <w:rPr>
          <w:sz w:val="28"/>
          <w:szCs w:val="28"/>
          <w:lang w:val="lv-LV"/>
        </w:rPr>
        <w:t xml:space="preserve"> saskaņā ar</w:t>
      </w:r>
      <w:r w:rsidR="000120BD" w:rsidRPr="009715E4">
        <w:rPr>
          <w:sz w:val="28"/>
          <w:szCs w:val="28"/>
          <w:lang w:val="lv-LV"/>
        </w:rPr>
        <w:t xml:space="preserve"> šā likuma</w:t>
      </w:r>
      <w:r w:rsidRPr="009715E4">
        <w:rPr>
          <w:sz w:val="28"/>
          <w:szCs w:val="28"/>
          <w:lang w:val="lv-LV"/>
        </w:rPr>
        <w:t xml:space="preserve"> 32.panta </w:t>
      </w:r>
      <w:r w:rsidR="00303FCC" w:rsidRPr="009715E4">
        <w:rPr>
          <w:sz w:val="28"/>
          <w:szCs w:val="28"/>
          <w:lang w:val="lv-LV"/>
        </w:rPr>
        <w:t>2.</w:t>
      </w:r>
      <w:r w:rsidR="00303FCC" w:rsidRPr="009715E4">
        <w:rPr>
          <w:sz w:val="28"/>
          <w:szCs w:val="28"/>
          <w:vertAlign w:val="superscript"/>
          <w:lang w:val="lv-LV"/>
        </w:rPr>
        <w:t>1</w:t>
      </w:r>
      <w:r w:rsidR="00967906">
        <w:rPr>
          <w:sz w:val="28"/>
          <w:szCs w:val="28"/>
          <w:vertAlign w:val="superscript"/>
          <w:lang w:val="lv-LV"/>
        </w:rPr>
        <w:t> </w:t>
      </w:r>
      <w:r w:rsidRPr="009715E4">
        <w:rPr>
          <w:sz w:val="28"/>
          <w:szCs w:val="28"/>
          <w:lang w:val="lv-LV"/>
        </w:rPr>
        <w:t>daļu;</w:t>
      </w:r>
    </w:p>
    <w:p w14:paraId="5F611793" w14:textId="49F1BF24" w:rsidR="007A17E6" w:rsidRPr="009715E4" w:rsidRDefault="007A17E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 xml:space="preserve">2) </w:t>
      </w:r>
      <w:r w:rsidR="00D20F49" w:rsidRPr="009715E4">
        <w:rPr>
          <w:sz w:val="28"/>
          <w:szCs w:val="28"/>
          <w:lang w:val="lv-LV"/>
        </w:rPr>
        <w:t xml:space="preserve">pēc </w:t>
      </w:r>
      <w:r w:rsidR="000120BD" w:rsidRPr="009715E4">
        <w:rPr>
          <w:sz w:val="28"/>
          <w:szCs w:val="28"/>
          <w:lang w:val="lv-LV"/>
        </w:rPr>
        <w:t>rīkojuma turpināt atturēšanos no viena vai vairāku savstarpēji saistītu darījumu veikšanas vai no noteikta veida debeta operācijām klienta kontā izdošanas saskaņā ar</w:t>
      </w:r>
      <w:r w:rsidR="00F17998">
        <w:rPr>
          <w:sz w:val="28"/>
          <w:szCs w:val="28"/>
          <w:lang w:val="lv-LV"/>
        </w:rPr>
        <w:t xml:space="preserve"> šā likuma</w:t>
      </w:r>
      <w:r w:rsidR="0014035C" w:rsidRPr="009715E4">
        <w:rPr>
          <w:sz w:val="28"/>
          <w:szCs w:val="28"/>
          <w:lang w:val="lv-LV"/>
        </w:rPr>
        <w:t xml:space="preserve"> </w:t>
      </w:r>
      <w:r w:rsidR="000120BD" w:rsidRPr="009715E4">
        <w:rPr>
          <w:sz w:val="28"/>
          <w:szCs w:val="28"/>
          <w:lang w:val="lv-LV"/>
        </w:rPr>
        <w:t xml:space="preserve">32.panta </w:t>
      </w:r>
      <w:r w:rsidR="00303FCC" w:rsidRPr="009715E4">
        <w:rPr>
          <w:sz w:val="28"/>
          <w:szCs w:val="28"/>
          <w:lang w:val="lv-LV"/>
        </w:rPr>
        <w:t>2.</w:t>
      </w:r>
      <w:r w:rsidR="00303FCC" w:rsidRPr="009715E4">
        <w:rPr>
          <w:sz w:val="28"/>
          <w:szCs w:val="28"/>
          <w:vertAlign w:val="superscript"/>
          <w:lang w:val="lv-LV"/>
        </w:rPr>
        <w:t>1</w:t>
      </w:r>
      <w:r w:rsidR="003C7B96">
        <w:rPr>
          <w:sz w:val="28"/>
          <w:szCs w:val="28"/>
          <w:vertAlign w:val="superscript"/>
          <w:lang w:val="lv-LV"/>
        </w:rPr>
        <w:t> </w:t>
      </w:r>
      <w:r w:rsidR="00303FCC" w:rsidRPr="009715E4">
        <w:rPr>
          <w:sz w:val="28"/>
          <w:szCs w:val="28"/>
          <w:lang w:val="lv-LV"/>
        </w:rPr>
        <w:t xml:space="preserve">daļu </w:t>
      </w:r>
      <w:r w:rsidRPr="009715E4">
        <w:rPr>
          <w:sz w:val="28"/>
          <w:szCs w:val="28"/>
          <w:lang w:val="lv-LV"/>
        </w:rPr>
        <w:t xml:space="preserve">Kontroles dienests konstatējis, ka nav pamata izdot </w:t>
      </w:r>
      <w:r w:rsidR="000120BD" w:rsidRPr="009715E4">
        <w:rPr>
          <w:sz w:val="28"/>
          <w:szCs w:val="28"/>
          <w:lang w:val="lv-LV"/>
        </w:rPr>
        <w:t xml:space="preserve">šā </w:t>
      </w:r>
      <w:r w:rsidRPr="009715E4">
        <w:rPr>
          <w:sz w:val="28"/>
          <w:szCs w:val="28"/>
          <w:lang w:val="lv-LV"/>
        </w:rPr>
        <w:t>likuma 32.panta trešās daļas 1.punktā minēto rīkojumu;</w:t>
      </w:r>
    </w:p>
    <w:p w14:paraId="5F611794" w14:textId="77777777" w:rsidR="007A17E6" w:rsidRPr="009715E4" w:rsidRDefault="007A17E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>3) Kontroles dienests atcēlis saskaņā ar šā likuma 32.panta trešās daļas 1.punktu izdoto rīkojumu;</w:t>
      </w:r>
    </w:p>
    <w:p w14:paraId="5F611795" w14:textId="3082FE49" w:rsidR="00180CBE" w:rsidRPr="009715E4" w:rsidRDefault="007A17E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 xml:space="preserve">4) </w:t>
      </w:r>
      <w:r w:rsidR="00F17998">
        <w:rPr>
          <w:sz w:val="28"/>
          <w:szCs w:val="28"/>
          <w:lang w:val="lv-LV"/>
        </w:rPr>
        <w:t>ģ</w:t>
      </w:r>
      <w:r w:rsidR="001B2CC1" w:rsidRPr="009715E4">
        <w:rPr>
          <w:sz w:val="28"/>
          <w:szCs w:val="28"/>
          <w:lang w:val="lv-LV"/>
        </w:rPr>
        <w:t>enerālprokurors vai īpaši pilnvarots prokurors atcēlis Kontroles dienesta rīkojumu, kas pieņemts saskaņā ar šā likuma</w:t>
      </w:r>
      <w:r w:rsidR="00620AD4" w:rsidRPr="009715E4">
        <w:rPr>
          <w:sz w:val="28"/>
          <w:szCs w:val="28"/>
          <w:lang w:val="lv-LV"/>
        </w:rPr>
        <w:t xml:space="preserve"> 32.panta 2</w:t>
      </w:r>
      <w:r w:rsidR="003C7B96">
        <w:rPr>
          <w:sz w:val="28"/>
          <w:szCs w:val="28"/>
          <w:lang w:val="lv-LV"/>
        </w:rPr>
        <w:t>.</w:t>
      </w:r>
      <w:r w:rsidR="00620AD4" w:rsidRPr="009715E4">
        <w:rPr>
          <w:sz w:val="28"/>
          <w:szCs w:val="28"/>
          <w:vertAlign w:val="superscript"/>
          <w:lang w:val="lv-LV"/>
        </w:rPr>
        <w:t>1</w:t>
      </w:r>
      <w:r w:rsidR="00967906">
        <w:rPr>
          <w:sz w:val="28"/>
          <w:szCs w:val="28"/>
          <w:lang w:val="lv-LV"/>
        </w:rPr>
        <w:t> </w:t>
      </w:r>
      <w:r w:rsidR="001B2CC1" w:rsidRPr="009715E4">
        <w:rPr>
          <w:sz w:val="28"/>
          <w:szCs w:val="28"/>
          <w:lang w:val="lv-LV"/>
        </w:rPr>
        <w:t>daļu vai trešās daļas 1.punktu.</w:t>
      </w:r>
    </w:p>
    <w:p w14:paraId="5F611796" w14:textId="4679C95B" w:rsidR="0012533D" w:rsidRPr="009715E4" w:rsidRDefault="0012533D" w:rsidP="004E55C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E4">
        <w:rPr>
          <w:sz w:val="28"/>
          <w:szCs w:val="28"/>
        </w:rPr>
        <w:t xml:space="preserve">(2) Tiesības uz zaudējumu atlīdzību </w:t>
      </w:r>
      <w:r w:rsidR="00E00B39" w:rsidRPr="009715E4">
        <w:rPr>
          <w:sz w:val="28"/>
          <w:szCs w:val="28"/>
        </w:rPr>
        <w:t xml:space="preserve">nerodas </w:t>
      </w:r>
      <w:r w:rsidR="00493249" w:rsidRPr="009715E4">
        <w:rPr>
          <w:sz w:val="28"/>
          <w:szCs w:val="28"/>
        </w:rPr>
        <w:t>no brīža, kad likuma subjekts saskaņā ar šā likuma 32.panta otro daļu ziņojis Kontroles dienestam atbilstoši šā likuma 31.panta prasībām</w:t>
      </w:r>
      <w:r w:rsidR="00967906">
        <w:rPr>
          <w:sz w:val="28"/>
          <w:szCs w:val="28"/>
        </w:rPr>
        <w:t>,</w:t>
      </w:r>
      <w:r w:rsidR="00493249" w:rsidRPr="009715E4">
        <w:rPr>
          <w:sz w:val="28"/>
          <w:szCs w:val="28"/>
        </w:rPr>
        <w:t xml:space="preserve"> līdz brīdim, kad Kontroles dienests izdevis rīkojumu saskaņā ar šā likuma 32.panta 2</w:t>
      </w:r>
      <w:r w:rsidR="00F17998">
        <w:rPr>
          <w:sz w:val="28"/>
          <w:szCs w:val="28"/>
        </w:rPr>
        <w:t>.</w:t>
      </w:r>
      <w:r w:rsidR="00493249" w:rsidRPr="009715E4">
        <w:rPr>
          <w:sz w:val="28"/>
          <w:szCs w:val="28"/>
          <w:vertAlign w:val="superscript"/>
        </w:rPr>
        <w:t>1</w:t>
      </w:r>
      <w:r w:rsidR="00F17998">
        <w:rPr>
          <w:sz w:val="28"/>
          <w:szCs w:val="28"/>
          <w:vertAlign w:val="superscript"/>
        </w:rPr>
        <w:t> </w:t>
      </w:r>
      <w:r w:rsidR="00493249" w:rsidRPr="009715E4">
        <w:rPr>
          <w:sz w:val="28"/>
          <w:szCs w:val="28"/>
        </w:rPr>
        <w:t xml:space="preserve">daļu, </w:t>
      </w:r>
      <w:r w:rsidR="00B965D9" w:rsidRPr="009715E4">
        <w:rPr>
          <w:sz w:val="28"/>
          <w:szCs w:val="28"/>
        </w:rPr>
        <w:t>ja likuma subjekts un</w:t>
      </w:r>
      <w:r w:rsidR="009F4D4A" w:rsidRPr="009715E4">
        <w:rPr>
          <w:sz w:val="28"/>
          <w:szCs w:val="28"/>
        </w:rPr>
        <w:t xml:space="preserve"> K</w:t>
      </w:r>
      <w:r w:rsidR="00180CBE" w:rsidRPr="009715E4">
        <w:rPr>
          <w:sz w:val="28"/>
          <w:szCs w:val="28"/>
        </w:rPr>
        <w:t>ontroles dienests ir rīkojies nepamatoti</w:t>
      </w:r>
      <w:r w:rsidR="00172DC0" w:rsidRPr="009715E4">
        <w:rPr>
          <w:sz w:val="28"/>
          <w:szCs w:val="28"/>
        </w:rPr>
        <w:t xml:space="preserve"> šā likuma izpratnē</w:t>
      </w:r>
      <w:r w:rsidR="00180CBE" w:rsidRPr="009715E4">
        <w:rPr>
          <w:sz w:val="28"/>
          <w:szCs w:val="28"/>
        </w:rPr>
        <w:t>.</w:t>
      </w:r>
    </w:p>
    <w:p w14:paraId="5F611797" w14:textId="77777777" w:rsidR="00294936" w:rsidRPr="00087451" w:rsidRDefault="0029493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F611798" w14:textId="77777777" w:rsidR="00294936" w:rsidRPr="009715E4" w:rsidRDefault="00173FBA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>6</w:t>
      </w:r>
      <w:r w:rsidR="006D6D20" w:rsidRPr="009715E4">
        <w:rPr>
          <w:b/>
          <w:sz w:val="28"/>
          <w:szCs w:val="28"/>
          <w:lang w:val="lv-LV"/>
        </w:rPr>
        <w:t>9</w:t>
      </w:r>
      <w:r w:rsidR="00FA0B1E" w:rsidRPr="009715E4">
        <w:rPr>
          <w:b/>
          <w:sz w:val="28"/>
          <w:szCs w:val="28"/>
          <w:lang w:val="lv-LV"/>
        </w:rPr>
        <w:t>.pants. Līdzatbildība</w:t>
      </w:r>
    </w:p>
    <w:p w14:paraId="5F611799" w14:textId="77777777" w:rsidR="00294936" w:rsidRPr="009715E4" w:rsidRDefault="0029493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>Persona nav tiesīga</w:t>
      </w:r>
      <w:r w:rsidR="00FE7C1C" w:rsidRPr="009715E4">
        <w:rPr>
          <w:sz w:val="28"/>
          <w:szCs w:val="28"/>
          <w:lang w:val="lv-LV"/>
        </w:rPr>
        <w:t xml:space="preserve"> pilnīgi vai daļēji</w:t>
      </w:r>
      <w:r w:rsidR="00702A88" w:rsidRPr="009715E4">
        <w:rPr>
          <w:sz w:val="28"/>
          <w:szCs w:val="28"/>
          <w:lang w:val="lv-LV"/>
        </w:rPr>
        <w:t xml:space="preserve"> saņemt zaudējuma atlīdzību, ja</w:t>
      </w:r>
      <w:r w:rsidR="00303FCC" w:rsidRPr="009715E4">
        <w:rPr>
          <w:sz w:val="28"/>
          <w:szCs w:val="28"/>
          <w:lang w:val="lv-LV"/>
        </w:rPr>
        <w:t xml:space="preserve"> </w:t>
      </w:r>
      <w:r w:rsidR="00BF1DFA" w:rsidRPr="009715E4">
        <w:rPr>
          <w:sz w:val="28"/>
          <w:szCs w:val="28"/>
          <w:lang w:val="lv-LV"/>
        </w:rPr>
        <w:t>tā</w:t>
      </w:r>
      <w:r w:rsidR="003C7B96">
        <w:rPr>
          <w:sz w:val="28"/>
          <w:szCs w:val="28"/>
          <w:lang w:val="lv-LV"/>
        </w:rPr>
        <w:t>:</w:t>
      </w:r>
    </w:p>
    <w:p w14:paraId="5F61179A" w14:textId="77777777" w:rsidR="00BD41C7" w:rsidRPr="009715E4" w:rsidRDefault="003C7B9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1) </w:t>
      </w:r>
      <w:r w:rsidR="00BD41C7" w:rsidRPr="009715E4">
        <w:rPr>
          <w:sz w:val="28"/>
          <w:szCs w:val="28"/>
          <w:lang w:val="lv-LV"/>
        </w:rPr>
        <w:t>nav izmantojusi savas zināšanas, spējas un praktiskās iespējas,</w:t>
      </w:r>
      <w:r w:rsidR="00910175" w:rsidRPr="009715E4">
        <w:rPr>
          <w:sz w:val="28"/>
          <w:szCs w:val="28"/>
          <w:lang w:val="lv-LV"/>
        </w:rPr>
        <w:t xml:space="preserve"> kā arī nav</w:t>
      </w:r>
      <w:r w:rsidR="00BD41C7" w:rsidRPr="009715E4">
        <w:rPr>
          <w:sz w:val="28"/>
          <w:szCs w:val="28"/>
          <w:lang w:val="lv-LV"/>
        </w:rPr>
        <w:t xml:space="preserve"> darījusi visu iespējamo, lai zaudējumu novērstu vai samazinātu;</w:t>
      </w:r>
    </w:p>
    <w:p w14:paraId="5F61179B" w14:textId="67CCC8C2" w:rsidR="00BD41C7" w:rsidRPr="009715E4" w:rsidRDefault="003C7B9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2) </w:t>
      </w:r>
      <w:r w:rsidR="00BD41C7" w:rsidRPr="009715E4">
        <w:rPr>
          <w:sz w:val="28"/>
          <w:szCs w:val="28"/>
          <w:lang w:val="lv-LV"/>
        </w:rPr>
        <w:t>traucējusi izvērtēt darījuma likumību, tajā skaitā nav sniegusi informāciju, kas nep</w:t>
      </w:r>
      <w:r w:rsidR="008869A7" w:rsidRPr="009715E4">
        <w:rPr>
          <w:sz w:val="28"/>
          <w:szCs w:val="28"/>
          <w:lang w:val="lv-LV"/>
        </w:rPr>
        <w:t xml:space="preserve">ieciešama </w:t>
      </w:r>
      <w:r w:rsidR="00967906">
        <w:rPr>
          <w:sz w:val="28"/>
          <w:szCs w:val="28"/>
          <w:lang w:val="lv-LV"/>
        </w:rPr>
        <w:t>(pieprasīta</w:t>
      </w:r>
      <w:r w:rsidR="00967906" w:rsidRPr="009715E4">
        <w:rPr>
          <w:sz w:val="28"/>
          <w:szCs w:val="28"/>
          <w:lang w:val="lv-LV"/>
        </w:rPr>
        <w:t xml:space="preserve">) </w:t>
      </w:r>
      <w:r w:rsidR="008869A7" w:rsidRPr="009715E4">
        <w:rPr>
          <w:sz w:val="28"/>
          <w:szCs w:val="28"/>
          <w:lang w:val="lv-LV"/>
        </w:rPr>
        <w:t>darījumu izvērtēšanai</w:t>
      </w:r>
      <w:r w:rsidR="00EA5AB7" w:rsidRPr="009715E4">
        <w:rPr>
          <w:sz w:val="28"/>
          <w:szCs w:val="28"/>
          <w:lang w:val="lv-LV"/>
        </w:rPr>
        <w:t>,</w:t>
      </w:r>
      <w:r w:rsidR="00BD41C7" w:rsidRPr="009715E4">
        <w:rPr>
          <w:sz w:val="28"/>
          <w:szCs w:val="28"/>
          <w:lang w:val="lv-LV"/>
        </w:rPr>
        <w:t xml:space="preserve"> nav savlaicīgi </w:t>
      </w:r>
      <w:r w:rsidR="008869A7" w:rsidRPr="009715E4">
        <w:rPr>
          <w:sz w:val="28"/>
          <w:szCs w:val="28"/>
          <w:lang w:val="lv-LV"/>
        </w:rPr>
        <w:t>sniegusi</w:t>
      </w:r>
      <w:r w:rsidR="00841195" w:rsidRPr="009715E4">
        <w:rPr>
          <w:sz w:val="28"/>
          <w:szCs w:val="28"/>
          <w:lang w:val="lv-LV"/>
        </w:rPr>
        <w:t xml:space="preserve"> nepieciešamo</w:t>
      </w:r>
      <w:r w:rsidR="008869A7" w:rsidRPr="009715E4">
        <w:rPr>
          <w:sz w:val="28"/>
          <w:szCs w:val="28"/>
          <w:lang w:val="lv-LV"/>
        </w:rPr>
        <w:t xml:space="preserve"> </w:t>
      </w:r>
      <w:r w:rsidR="00841195" w:rsidRPr="009715E4">
        <w:rPr>
          <w:sz w:val="28"/>
          <w:szCs w:val="28"/>
          <w:lang w:val="lv-LV"/>
        </w:rPr>
        <w:t>(</w:t>
      </w:r>
      <w:r w:rsidR="008869A7" w:rsidRPr="009715E4">
        <w:rPr>
          <w:sz w:val="28"/>
          <w:szCs w:val="28"/>
          <w:lang w:val="lv-LV"/>
        </w:rPr>
        <w:t>pieprasīto</w:t>
      </w:r>
      <w:r w:rsidR="00841195" w:rsidRPr="009715E4">
        <w:rPr>
          <w:sz w:val="28"/>
          <w:szCs w:val="28"/>
          <w:lang w:val="lv-LV"/>
        </w:rPr>
        <w:t>)</w:t>
      </w:r>
      <w:r w:rsidR="008869A7" w:rsidRPr="009715E4">
        <w:rPr>
          <w:sz w:val="28"/>
          <w:szCs w:val="28"/>
          <w:lang w:val="lv-LV"/>
        </w:rPr>
        <w:t xml:space="preserve"> informāciju, sniegusi nepatiesu informāciju,</w:t>
      </w:r>
      <w:r w:rsidR="00BD41C7" w:rsidRPr="009715E4">
        <w:rPr>
          <w:sz w:val="28"/>
          <w:szCs w:val="28"/>
          <w:lang w:val="lv-LV"/>
        </w:rPr>
        <w:t xml:space="preserve"> nav bijusi sasniedzama deklarētajā </w:t>
      </w:r>
      <w:r w:rsidR="00282BA9" w:rsidRPr="009715E4">
        <w:rPr>
          <w:sz w:val="28"/>
          <w:szCs w:val="28"/>
          <w:lang w:val="lv-LV"/>
        </w:rPr>
        <w:t>dzīves</w:t>
      </w:r>
      <w:r w:rsidR="005C70A9" w:rsidRPr="009715E4">
        <w:rPr>
          <w:sz w:val="28"/>
          <w:szCs w:val="28"/>
          <w:lang w:val="lv-LV"/>
        </w:rPr>
        <w:t xml:space="preserve">vietā </w:t>
      </w:r>
      <w:r w:rsidR="00BD41C7" w:rsidRPr="009715E4">
        <w:rPr>
          <w:sz w:val="28"/>
          <w:szCs w:val="28"/>
          <w:lang w:val="lv-LV"/>
        </w:rPr>
        <w:t>vai juridiskajā adresē;</w:t>
      </w:r>
    </w:p>
    <w:p w14:paraId="5F61179C" w14:textId="447FC449" w:rsidR="00BD41C7" w:rsidRPr="009715E4" w:rsidRDefault="003C7B96" w:rsidP="004E55C3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3) </w:t>
      </w:r>
      <w:r w:rsidR="00BD41C7" w:rsidRPr="009715E4">
        <w:rPr>
          <w:sz w:val="28"/>
          <w:szCs w:val="28"/>
          <w:lang w:val="lv-LV"/>
        </w:rPr>
        <w:t xml:space="preserve">citā veidā </w:t>
      </w:r>
      <w:r w:rsidR="00967906">
        <w:rPr>
          <w:sz w:val="28"/>
          <w:szCs w:val="28"/>
          <w:lang w:val="lv-LV"/>
        </w:rPr>
        <w:t xml:space="preserve">radījusi </w:t>
      </w:r>
      <w:r w:rsidR="00967906" w:rsidRPr="009715E4">
        <w:rPr>
          <w:sz w:val="28"/>
          <w:szCs w:val="28"/>
          <w:lang w:val="lv-LV"/>
        </w:rPr>
        <w:t>sev zaudējumu</w:t>
      </w:r>
      <w:r w:rsidR="00967906">
        <w:rPr>
          <w:sz w:val="28"/>
          <w:szCs w:val="28"/>
          <w:lang w:val="lv-LV"/>
        </w:rPr>
        <w:t>s vai</w:t>
      </w:r>
      <w:r w:rsidR="00967906" w:rsidRPr="009715E4">
        <w:rPr>
          <w:sz w:val="28"/>
          <w:szCs w:val="28"/>
          <w:lang w:val="lv-LV"/>
        </w:rPr>
        <w:t xml:space="preserve"> </w:t>
      </w:r>
      <w:r w:rsidR="00BD41C7" w:rsidRPr="009715E4">
        <w:rPr>
          <w:sz w:val="28"/>
          <w:szCs w:val="28"/>
          <w:lang w:val="lv-LV"/>
        </w:rPr>
        <w:t xml:space="preserve">izraisījusi </w:t>
      </w:r>
      <w:r w:rsidR="00967906">
        <w:rPr>
          <w:sz w:val="28"/>
          <w:szCs w:val="28"/>
          <w:lang w:val="lv-LV"/>
        </w:rPr>
        <w:t xml:space="preserve">šādu zaudējumu </w:t>
      </w:r>
      <w:r w:rsidR="00BD41C7" w:rsidRPr="009715E4">
        <w:rPr>
          <w:sz w:val="28"/>
          <w:szCs w:val="28"/>
          <w:lang w:val="lv-LV"/>
        </w:rPr>
        <w:t>rašanos.</w:t>
      </w:r>
    </w:p>
    <w:p w14:paraId="5F61179D" w14:textId="77777777" w:rsidR="009C5A0B" w:rsidRPr="00087451" w:rsidRDefault="009C5A0B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</w:p>
    <w:p w14:paraId="5F61179E" w14:textId="77777777" w:rsidR="00294936" w:rsidRPr="009715E4" w:rsidRDefault="006D6D20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>70</w:t>
      </w:r>
      <w:r w:rsidR="00294936" w:rsidRPr="009715E4">
        <w:rPr>
          <w:b/>
          <w:sz w:val="28"/>
          <w:szCs w:val="28"/>
          <w:lang w:val="lv-LV"/>
        </w:rPr>
        <w:t xml:space="preserve">.pants. </w:t>
      </w:r>
      <w:r w:rsidR="007E1205" w:rsidRPr="009715E4">
        <w:rPr>
          <w:b/>
          <w:sz w:val="28"/>
          <w:szCs w:val="28"/>
          <w:lang w:val="lv-LV"/>
        </w:rPr>
        <w:t>Z</w:t>
      </w:r>
      <w:r w:rsidR="00294936" w:rsidRPr="009715E4">
        <w:rPr>
          <w:b/>
          <w:sz w:val="28"/>
          <w:szCs w:val="28"/>
          <w:lang w:val="lv-LV"/>
        </w:rPr>
        <w:t>audējuma</w:t>
      </w:r>
      <w:r w:rsidR="00FA0B1E" w:rsidRPr="009715E4">
        <w:rPr>
          <w:b/>
          <w:sz w:val="28"/>
          <w:szCs w:val="28"/>
          <w:lang w:val="lv-LV"/>
        </w:rPr>
        <w:t xml:space="preserve"> atlīdzināšanas veidi un apmērs</w:t>
      </w:r>
    </w:p>
    <w:p w14:paraId="5F61179F" w14:textId="77777777" w:rsidR="00294936" w:rsidRPr="009715E4" w:rsidRDefault="00623A36" w:rsidP="004E55C3">
      <w:pPr>
        <w:pStyle w:val="NormalWeb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 xml:space="preserve">Personai </w:t>
      </w:r>
      <w:r w:rsidR="00294936" w:rsidRPr="009715E4">
        <w:rPr>
          <w:sz w:val="28"/>
          <w:szCs w:val="28"/>
          <w:lang w:val="lv-LV"/>
        </w:rPr>
        <w:t xml:space="preserve">ir atlīdzināmi šādi </w:t>
      </w:r>
      <w:r w:rsidR="00BB7349" w:rsidRPr="009715E4">
        <w:rPr>
          <w:sz w:val="28"/>
          <w:szCs w:val="28"/>
          <w:lang w:val="lv-LV"/>
        </w:rPr>
        <w:t xml:space="preserve">tiešie </w:t>
      </w:r>
      <w:r w:rsidR="00294936" w:rsidRPr="009715E4">
        <w:rPr>
          <w:sz w:val="28"/>
          <w:szCs w:val="28"/>
          <w:lang w:val="lv-LV"/>
        </w:rPr>
        <w:t>zaudējumi:</w:t>
      </w:r>
    </w:p>
    <w:p w14:paraId="5F6117A0" w14:textId="64DF0ACE" w:rsidR="00294936" w:rsidRPr="009715E4" w:rsidRDefault="003C7B96" w:rsidP="004E55C3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1) </w:t>
      </w:r>
      <w:r w:rsidR="00BB7349" w:rsidRPr="009715E4">
        <w:rPr>
          <w:sz w:val="28"/>
          <w:szCs w:val="28"/>
          <w:lang w:val="lv-LV"/>
        </w:rPr>
        <w:t xml:space="preserve">atturēšanās veikt darījumu </w:t>
      </w:r>
      <w:r w:rsidR="00967906" w:rsidRPr="009715E4">
        <w:rPr>
          <w:sz w:val="28"/>
          <w:szCs w:val="28"/>
          <w:lang w:val="lv-LV"/>
        </w:rPr>
        <w:t xml:space="preserve">rezultātā negūtie ienākumi </w:t>
      </w:r>
      <w:r w:rsidR="00BB7349" w:rsidRPr="009715E4">
        <w:rPr>
          <w:sz w:val="28"/>
          <w:szCs w:val="28"/>
          <w:lang w:val="lv-LV"/>
        </w:rPr>
        <w:t>vai atturēšanās no noteikta veida debeta operācijām klienta kontā vai šo darbību apturēšanas rezultātā</w:t>
      </w:r>
      <w:r w:rsidR="00D66A37" w:rsidRPr="009715E4">
        <w:rPr>
          <w:sz w:val="28"/>
          <w:szCs w:val="28"/>
          <w:lang w:val="lv-LV"/>
        </w:rPr>
        <w:t xml:space="preserve"> </w:t>
      </w:r>
      <w:r w:rsidR="00623A36" w:rsidRPr="009715E4">
        <w:rPr>
          <w:sz w:val="28"/>
          <w:szCs w:val="28"/>
          <w:lang w:val="lv-LV"/>
        </w:rPr>
        <w:t>negūtie ienākumi</w:t>
      </w:r>
      <w:r w:rsidR="00E85902" w:rsidRPr="009715E4">
        <w:rPr>
          <w:sz w:val="28"/>
          <w:szCs w:val="28"/>
          <w:lang w:val="lv-LV"/>
        </w:rPr>
        <w:t>;</w:t>
      </w:r>
    </w:p>
    <w:p w14:paraId="5F6117A1" w14:textId="77777777" w:rsidR="00061951" w:rsidRPr="009715E4" w:rsidRDefault="003C7B9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2) </w:t>
      </w:r>
      <w:r w:rsidR="00636DA3" w:rsidRPr="009715E4">
        <w:rPr>
          <w:sz w:val="28"/>
          <w:szCs w:val="28"/>
          <w:lang w:val="lv-LV"/>
        </w:rPr>
        <w:t>saistību neizpildes vai nokavējuma rezultātā nodarītie zaudējumi (līgumsods, nokavējuma procenti, likumiskie procenti)</w:t>
      </w:r>
      <w:r w:rsidR="00A26DF0" w:rsidRPr="009715E4">
        <w:rPr>
          <w:sz w:val="28"/>
          <w:szCs w:val="28"/>
          <w:lang w:val="lv-LV"/>
        </w:rPr>
        <w:t>;</w:t>
      </w:r>
    </w:p>
    <w:p w14:paraId="5F6117A2" w14:textId="4F7ED9DE" w:rsidR="00A0054C" w:rsidRPr="009715E4" w:rsidRDefault="003C7B9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3) </w:t>
      </w:r>
      <w:r w:rsidR="00A0054C" w:rsidRPr="009715E4">
        <w:rPr>
          <w:sz w:val="28"/>
          <w:szCs w:val="28"/>
          <w:lang w:val="lv-LV"/>
        </w:rPr>
        <w:t xml:space="preserve">citi tiešie zaudējumi, kas nav minēti šajā pantā, bet </w:t>
      </w:r>
      <w:r w:rsidR="00967906">
        <w:rPr>
          <w:sz w:val="28"/>
          <w:szCs w:val="28"/>
          <w:lang w:val="lv-LV"/>
        </w:rPr>
        <w:t>ko persona</w:t>
      </w:r>
      <w:r w:rsidR="00A0054C" w:rsidRPr="009715E4">
        <w:rPr>
          <w:sz w:val="28"/>
          <w:szCs w:val="28"/>
          <w:lang w:val="lv-LV"/>
        </w:rPr>
        <w:t xml:space="preserve"> spēj pierādīt</w:t>
      </w:r>
      <w:r w:rsidR="00967906">
        <w:rPr>
          <w:sz w:val="28"/>
          <w:szCs w:val="28"/>
          <w:lang w:val="lv-LV"/>
        </w:rPr>
        <w:t xml:space="preserve"> saskaņā ar Civillikumu</w:t>
      </w:r>
      <w:r w:rsidR="0052401F" w:rsidRPr="009715E4">
        <w:rPr>
          <w:sz w:val="28"/>
          <w:szCs w:val="28"/>
          <w:lang w:val="lv-LV"/>
        </w:rPr>
        <w:t>.</w:t>
      </w:r>
    </w:p>
    <w:p w14:paraId="5F6117A3" w14:textId="77777777" w:rsidR="0012533D" w:rsidRPr="009715E4" w:rsidRDefault="0012533D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51CCB14" w14:textId="77777777" w:rsidR="004E55C3" w:rsidRDefault="004E55C3">
      <w:pPr>
        <w:rPr>
          <w:rFonts w:eastAsia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6117A4" w14:textId="14914BFC" w:rsidR="009406B2" w:rsidRPr="009715E4" w:rsidRDefault="00B7526D" w:rsidP="004E55C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lastRenderedPageBreak/>
        <w:t>71</w:t>
      </w:r>
      <w:r w:rsidR="009406B2" w:rsidRPr="009715E4">
        <w:rPr>
          <w:b/>
          <w:sz w:val="28"/>
          <w:szCs w:val="28"/>
          <w:lang w:val="lv-LV"/>
        </w:rPr>
        <w:t>.pants. Atlīdzinājuma apmēra noteikšana</w:t>
      </w:r>
    </w:p>
    <w:p w14:paraId="5F6117A5" w14:textId="50722E57" w:rsidR="009406B2" w:rsidRPr="009715E4" w:rsidRDefault="00967906" w:rsidP="004E55C3">
      <w:pPr>
        <w:pStyle w:val="NormalWeb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(1) Nosakot atbilstoš</w:t>
      </w:r>
      <w:r w:rsidR="009406B2" w:rsidRPr="009715E4">
        <w:rPr>
          <w:sz w:val="28"/>
          <w:szCs w:val="28"/>
          <w:lang w:val="lv-LV"/>
        </w:rPr>
        <w:t>u zaudējuma atlīdzinājuma apmēru, ņem vērā likuma subjekta vai Kontroles dienesta rīcības tiesisko un faktisko pamatojumu un motīvus, kā arī personas rīcību.</w:t>
      </w:r>
    </w:p>
    <w:p w14:paraId="5F6117A6" w14:textId="77777777" w:rsidR="009406B2" w:rsidRPr="009715E4" w:rsidRDefault="009406B2" w:rsidP="004E55C3">
      <w:pPr>
        <w:pStyle w:val="NormalWeb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>(2) Nosakot zaudējuma atlīdzinājuma apmēru, papildus var ņemt vērā arī citus konkrētajā gadījumā būtiskus apstākļus, ja tos ir iespējams objektīvi pierādīt.</w:t>
      </w:r>
    </w:p>
    <w:p w14:paraId="5F6117A7" w14:textId="4410AD10" w:rsidR="009406B2" w:rsidRPr="009715E4" w:rsidRDefault="00967906" w:rsidP="004E55C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(3) Zaudējumu</w:t>
      </w:r>
      <w:r w:rsidR="009406B2" w:rsidRPr="009715E4">
        <w:rPr>
          <w:sz w:val="28"/>
          <w:szCs w:val="28"/>
          <w:lang w:val="lv-LV"/>
        </w:rPr>
        <w:t xml:space="preserve"> no summas, kas ap</w:t>
      </w:r>
      <w:r w:rsidR="008C0B16" w:rsidRPr="009715E4">
        <w:rPr>
          <w:sz w:val="28"/>
          <w:szCs w:val="28"/>
          <w:lang w:val="lv-LV"/>
        </w:rPr>
        <w:t>rēķināta saskaņā ar šā likuma 70</w:t>
      </w:r>
      <w:r w:rsidR="00026FB2" w:rsidRPr="009715E4">
        <w:rPr>
          <w:sz w:val="28"/>
          <w:szCs w:val="28"/>
          <w:lang w:val="lv-LV"/>
        </w:rPr>
        <w:t>.pantu</w:t>
      </w:r>
      <w:r>
        <w:rPr>
          <w:sz w:val="28"/>
          <w:szCs w:val="28"/>
          <w:lang w:val="lv-LV"/>
        </w:rPr>
        <w:t>, atlīdzina</w:t>
      </w:r>
      <w:r w:rsidR="009406B2" w:rsidRPr="009715E4">
        <w:rPr>
          <w:sz w:val="28"/>
          <w:szCs w:val="28"/>
          <w:lang w:val="lv-LV"/>
        </w:rPr>
        <w:t xml:space="preserve"> šādā apmērā:</w:t>
      </w:r>
    </w:p>
    <w:p w14:paraId="5F6117A8" w14:textId="06F74F0D" w:rsidR="009406B2" w:rsidRPr="009715E4" w:rsidRDefault="009406B2" w:rsidP="004E55C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E4">
        <w:rPr>
          <w:sz w:val="28"/>
          <w:szCs w:val="28"/>
        </w:rPr>
        <w:t>1) 100 procentu apmērā par aprēķināto summu vai summas daļ</w:t>
      </w:r>
      <w:r w:rsidR="00967906">
        <w:rPr>
          <w:sz w:val="28"/>
          <w:szCs w:val="28"/>
        </w:rPr>
        <w:t>u, kas nepārsniedz 100 000 latu</w:t>
      </w:r>
      <w:r w:rsidRPr="009715E4">
        <w:rPr>
          <w:sz w:val="28"/>
          <w:szCs w:val="28"/>
        </w:rPr>
        <w:t>;</w:t>
      </w:r>
    </w:p>
    <w:p w14:paraId="5F6117A9" w14:textId="05CD18F0" w:rsidR="009406B2" w:rsidRPr="009715E4" w:rsidRDefault="009406B2" w:rsidP="004E55C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E4">
        <w:rPr>
          <w:sz w:val="28"/>
          <w:szCs w:val="28"/>
        </w:rPr>
        <w:t>2) 75 procentu apmērā par aprēķināto summas daļu</w:t>
      </w:r>
      <w:r w:rsidR="00F17998">
        <w:rPr>
          <w:sz w:val="28"/>
          <w:szCs w:val="28"/>
        </w:rPr>
        <w:t>, kas pārsniedz</w:t>
      </w:r>
      <w:r w:rsidRPr="009715E4">
        <w:rPr>
          <w:sz w:val="28"/>
          <w:szCs w:val="28"/>
        </w:rPr>
        <w:t xml:space="preserve"> 100 </w:t>
      </w:r>
      <w:r w:rsidR="00F17998">
        <w:rPr>
          <w:sz w:val="28"/>
          <w:szCs w:val="28"/>
        </w:rPr>
        <w:t>000 latu,</w:t>
      </w:r>
      <w:r w:rsidR="00967906">
        <w:rPr>
          <w:sz w:val="28"/>
          <w:szCs w:val="28"/>
        </w:rPr>
        <w:t xml:space="preserve"> līdz 1 000 000 latu</w:t>
      </w:r>
      <w:r w:rsidRPr="009715E4">
        <w:rPr>
          <w:sz w:val="28"/>
          <w:szCs w:val="28"/>
        </w:rPr>
        <w:t>;</w:t>
      </w:r>
    </w:p>
    <w:p w14:paraId="5F6117AA" w14:textId="77777777" w:rsidR="009406B2" w:rsidRPr="009715E4" w:rsidRDefault="009406B2" w:rsidP="004E55C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E4">
        <w:rPr>
          <w:sz w:val="28"/>
          <w:szCs w:val="28"/>
        </w:rPr>
        <w:t>3) 50 procentu apmērā par aprēķināto summas daļu, kas pārsniedz 1 000 000 latu.</w:t>
      </w:r>
    </w:p>
    <w:p w14:paraId="5F6117AB" w14:textId="34F68E3D" w:rsidR="009406B2" w:rsidRPr="009715E4" w:rsidRDefault="00967906" w:rsidP="004E55C3">
      <w:pPr>
        <w:pStyle w:val="NormalWeb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(4) Personai izmaksājamo zaudējuma atlīdzību par negūtajiem ienākumiem apliek</w:t>
      </w:r>
      <w:r w:rsidR="009406B2" w:rsidRPr="009715E4">
        <w:rPr>
          <w:sz w:val="28"/>
          <w:szCs w:val="28"/>
          <w:lang w:val="lv-LV"/>
        </w:rPr>
        <w:t xml:space="preserve"> ar nodokļiem un nodevām nodokļu likumos noteiktajā kārtībā.</w:t>
      </w:r>
    </w:p>
    <w:p w14:paraId="5F6117AC" w14:textId="77777777" w:rsidR="00DE4410" w:rsidRPr="00B522DF" w:rsidRDefault="00DE4410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F6117AD" w14:textId="3D133640" w:rsidR="00294936" w:rsidRPr="009715E4" w:rsidRDefault="00294936" w:rsidP="004E55C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>7</w:t>
      </w:r>
      <w:r w:rsidR="004F7F41" w:rsidRPr="009715E4">
        <w:rPr>
          <w:b/>
          <w:sz w:val="28"/>
          <w:szCs w:val="28"/>
          <w:lang w:val="lv-LV"/>
        </w:rPr>
        <w:t>2</w:t>
      </w:r>
      <w:r w:rsidR="00E40595" w:rsidRPr="009715E4">
        <w:rPr>
          <w:b/>
          <w:sz w:val="28"/>
          <w:szCs w:val="28"/>
          <w:lang w:val="lv-LV"/>
        </w:rPr>
        <w:t>.</w:t>
      </w:r>
      <w:r w:rsidR="00967906">
        <w:rPr>
          <w:b/>
          <w:sz w:val="28"/>
          <w:szCs w:val="28"/>
          <w:lang w:val="lv-LV"/>
        </w:rPr>
        <w:t>pants. K</w:t>
      </w:r>
      <w:r w:rsidR="00967906" w:rsidRPr="009715E4">
        <w:rPr>
          <w:b/>
          <w:sz w:val="28"/>
          <w:szCs w:val="28"/>
          <w:lang w:val="lv-LV"/>
        </w:rPr>
        <w:t>ārtība</w:t>
      </w:r>
      <w:r w:rsidR="00967906">
        <w:rPr>
          <w:b/>
          <w:sz w:val="28"/>
          <w:szCs w:val="28"/>
          <w:lang w:val="lv-LV"/>
        </w:rPr>
        <w:t>, kādā</w:t>
      </w:r>
      <w:r w:rsidR="00967906" w:rsidRPr="009715E4">
        <w:rPr>
          <w:b/>
          <w:sz w:val="28"/>
          <w:szCs w:val="28"/>
          <w:lang w:val="lv-LV"/>
        </w:rPr>
        <w:t xml:space="preserve"> </w:t>
      </w:r>
      <w:r w:rsidR="00967906">
        <w:rPr>
          <w:b/>
          <w:sz w:val="28"/>
          <w:szCs w:val="28"/>
          <w:lang w:val="lv-LV"/>
        </w:rPr>
        <w:t>iesniedz</w:t>
      </w:r>
      <w:r w:rsidR="00967906" w:rsidRPr="009715E4">
        <w:rPr>
          <w:b/>
          <w:sz w:val="28"/>
          <w:szCs w:val="28"/>
          <w:lang w:val="lv-LV"/>
        </w:rPr>
        <w:t xml:space="preserve"> un</w:t>
      </w:r>
      <w:r w:rsidR="00967906">
        <w:rPr>
          <w:b/>
          <w:sz w:val="28"/>
          <w:szCs w:val="28"/>
          <w:lang w:val="lv-LV"/>
        </w:rPr>
        <w:t xml:space="preserve"> izskata iesniegumu</w:t>
      </w:r>
      <w:r w:rsidR="00B15321" w:rsidRPr="009715E4">
        <w:rPr>
          <w:b/>
          <w:sz w:val="28"/>
          <w:szCs w:val="28"/>
          <w:lang w:val="lv-LV"/>
        </w:rPr>
        <w:t xml:space="preserve"> </w:t>
      </w:r>
      <w:r w:rsidRPr="009715E4">
        <w:rPr>
          <w:b/>
          <w:sz w:val="28"/>
          <w:szCs w:val="28"/>
          <w:lang w:val="lv-LV"/>
        </w:rPr>
        <w:t>par zaudējuma atlīdzināšanu</w:t>
      </w:r>
      <w:r w:rsidR="00C219F9" w:rsidRPr="009715E4">
        <w:rPr>
          <w:b/>
          <w:sz w:val="28"/>
          <w:szCs w:val="28"/>
          <w:lang w:val="lv-LV"/>
        </w:rPr>
        <w:t xml:space="preserve"> </w:t>
      </w:r>
    </w:p>
    <w:p w14:paraId="5F6117AE" w14:textId="79E43A83" w:rsidR="00294936" w:rsidRPr="009715E4" w:rsidRDefault="0029493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 xml:space="preserve">(1) </w:t>
      </w:r>
      <w:r w:rsidR="00173828" w:rsidRPr="009715E4">
        <w:rPr>
          <w:sz w:val="28"/>
          <w:szCs w:val="28"/>
          <w:lang w:val="lv-LV"/>
        </w:rPr>
        <w:t xml:space="preserve">Iesniegumu par </w:t>
      </w:r>
      <w:r w:rsidRPr="009715E4">
        <w:rPr>
          <w:sz w:val="28"/>
          <w:szCs w:val="28"/>
          <w:lang w:val="lv-LV"/>
        </w:rPr>
        <w:t>zaudējuma atlīdzināšanu p</w:t>
      </w:r>
      <w:r w:rsidR="007D3800" w:rsidRPr="009715E4">
        <w:rPr>
          <w:sz w:val="28"/>
          <w:szCs w:val="28"/>
          <w:lang w:val="lv-LV"/>
        </w:rPr>
        <w:t xml:space="preserve">ersona sešu mēnešu laikā no šā likuma </w:t>
      </w:r>
      <w:r w:rsidR="00751500" w:rsidRPr="009715E4">
        <w:rPr>
          <w:sz w:val="28"/>
          <w:szCs w:val="28"/>
          <w:lang w:val="lv-LV"/>
        </w:rPr>
        <w:t>68</w:t>
      </w:r>
      <w:r w:rsidR="007D3800" w:rsidRPr="009715E4">
        <w:rPr>
          <w:sz w:val="28"/>
          <w:szCs w:val="28"/>
          <w:lang w:val="lv-LV"/>
        </w:rPr>
        <w:t>.pantā minētā tiesiskā pamata iestā</w:t>
      </w:r>
      <w:r w:rsidR="00143078">
        <w:rPr>
          <w:sz w:val="28"/>
          <w:szCs w:val="28"/>
          <w:lang w:val="lv-LV"/>
        </w:rPr>
        <w:t>šanās dienas</w:t>
      </w:r>
      <w:r w:rsidRPr="009715E4">
        <w:rPr>
          <w:sz w:val="28"/>
          <w:szCs w:val="28"/>
          <w:lang w:val="lv-LV"/>
        </w:rPr>
        <w:t xml:space="preserve"> </w:t>
      </w:r>
      <w:r w:rsidR="00173828" w:rsidRPr="009715E4">
        <w:rPr>
          <w:sz w:val="28"/>
          <w:szCs w:val="28"/>
          <w:lang w:val="lv-LV"/>
        </w:rPr>
        <w:t xml:space="preserve">iesniedz </w:t>
      </w:r>
      <w:r w:rsidR="00143078">
        <w:rPr>
          <w:sz w:val="28"/>
          <w:szCs w:val="28"/>
          <w:lang w:val="lv-LV"/>
        </w:rPr>
        <w:t>Ģenerālprokuratūrā. Iesniegumā norāda</w:t>
      </w:r>
      <w:r w:rsidRPr="009715E4">
        <w:rPr>
          <w:sz w:val="28"/>
          <w:szCs w:val="28"/>
          <w:lang w:val="lv-LV"/>
        </w:rPr>
        <w:t>:</w:t>
      </w:r>
    </w:p>
    <w:p w14:paraId="5F6117AF" w14:textId="7174F40E" w:rsidR="00294936" w:rsidRPr="009715E4" w:rsidRDefault="004B0FD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1) </w:t>
      </w:r>
      <w:r w:rsidR="005C70A9" w:rsidRPr="009715E4">
        <w:rPr>
          <w:sz w:val="28"/>
          <w:szCs w:val="28"/>
          <w:lang w:val="lv-LV"/>
        </w:rPr>
        <w:t>iesniedzēja vārdu, uzvārdu un</w:t>
      </w:r>
      <w:r w:rsidR="00294936" w:rsidRPr="009715E4">
        <w:rPr>
          <w:sz w:val="28"/>
          <w:szCs w:val="28"/>
          <w:lang w:val="lv-LV"/>
        </w:rPr>
        <w:t xml:space="preserve"> personas kodu</w:t>
      </w:r>
      <w:r w:rsidR="000A60DB" w:rsidRPr="009715E4">
        <w:rPr>
          <w:sz w:val="28"/>
          <w:szCs w:val="28"/>
          <w:lang w:val="lv-LV"/>
        </w:rPr>
        <w:t xml:space="preserve"> (ārzemniekiem, bezvalstniekiem un bēgļiem papildus norāda dzimšanas datumu</w:t>
      </w:r>
      <w:r w:rsidR="002570C0" w:rsidRPr="009715E4">
        <w:rPr>
          <w:sz w:val="28"/>
          <w:szCs w:val="28"/>
          <w:lang w:val="lv-LV"/>
        </w:rPr>
        <w:t>)</w:t>
      </w:r>
      <w:r w:rsidR="00143078">
        <w:rPr>
          <w:sz w:val="28"/>
          <w:szCs w:val="28"/>
          <w:lang w:val="lv-LV"/>
        </w:rPr>
        <w:t>. J</w:t>
      </w:r>
      <w:r w:rsidR="00A557C5" w:rsidRPr="009715E4">
        <w:rPr>
          <w:sz w:val="28"/>
          <w:szCs w:val="28"/>
          <w:lang w:val="lv-LV"/>
        </w:rPr>
        <w:t>u</w:t>
      </w:r>
      <w:r w:rsidR="00143078">
        <w:rPr>
          <w:sz w:val="28"/>
          <w:szCs w:val="28"/>
          <w:lang w:val="lv-LV"/>
        </w:rPr>
        <w:t>ridiskā persona</w:t>
      </w:r>
      <w:proofErr w:type="gramStart"/>
      <w:r w:rsidR="00143078">
        <w:rPr>
          <w:sz w:val="28"/>
          <w:szCs w:val="28"/>
          <w:lang w:val="lv-LV"/>
        </w:rPr>
        <w:t xml:space="preserve">  </w:t>
      </w:r>
      <w:proofErr w:type="gramEnd"/>
      <w:r w:rsidR="00143078">
        <w:rPr>
          <w:sz w:val="28"/>
          <w:szCs w:val="28"/>
          <w:lang w:val="lv-LV"/>
        </w:rPr>
        <w:t>uzrāda</w:t>
      </w:r>
      <w:r w:rsidR="005279E9" w:rsidRPr="009715E4">
        <w:rPr>
          <w:sz w:val="28"/>
          <w:szCs w:val="28"/>
          <w:lang w:val="lv-LV"/>
        </w:rPr>
        <w:t xml:space="preserve"> dokumentus, kas apliecina juridiskās personas dibin</w:t>
      </w:r>
      <w:r w:rsidR="00143078">
        <w:rPr>
          <w:sz w:val="28"/>
          <w:szCs w:val="28"/>
          <w:lang w:val="lv-LV"/>
        </w:rPr>
        <w:t>āšanu vai tiesisko reģistrāciju;</w:t>
      </w:r>
    </w:p>
    <w:p w14:paraId="5F6117B0" w14:textId="77777777" w:rsidR="00294936" w:rsidRPr="009715E4" w:rsidRDefault="004B0FD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2) </w:t>
      </w:r>
      <w:r w:rsidR="00294936" w:rsidRPr="009715E4">
        <w:rPr>
          <w:sz w:val="28"/>
          <w:szCs w:val="28"/>
          <w:lang w:val="lv-LV"/>
        </w:rPr>
        <w:t>prasījumu;</w:t>
      </w:r>
    </w:p>
    <w:p w14:paraId="5F6117B1" w14:textId="77777777" w:rsidR="00294936" w:rsidRPr="009715E4" w:rsidRDefault="004B0FD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3) </w:t>
      </w:r>
      <w:r w:rsidR="00294936" w:rsidRPr="009715E4">
        <w:rPr>
          <w:sz w:val="28"/>
          <w:szCs w:val="28"/>
          <w:lang w:val="lv-LV"/>
        </w:rPr>
        <w:t>faktus, kas pamato tiesības uz zaudējumu atlīdzināšanu;</w:t>
      </w:r>
      <w:r w:rsidR="00173828" w:rsidRPr="009715E4">
        <w:rPr>
          <w:sz w:val="28"/>
          <w:szCs w:val="28"/>
          <w:lang w:val="lv-LV"/>
        </w:rPr>
        <w:t xml:space="preserve"> </w:t>
      </w:r>
    </w:p>
    <w:p w14:paraId="5F6117B2" w14:textId="06B5F1AC" w:rsidR="00173828" w:rsidRPr="009715E4" w:rsidRDefault="004B0FD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4) </w:t>
      </w:r>
      <w:r w:rsidR="00173828" w:rsidRPr="009715E4">
        <w:rPr>
          <w:sz w:val="28"/>
          <w:szCs w:val="28"/>
          <w:lang w:val="lv-LV"/>
        </w:rPr>
        <w:t>personas ap</w:t>
      </w:r>
      <w:r w:rsidR="00143078">
        <w:rPr>
          <w:sz w:val="28"/>
          <w:szCs w:val="28"/>
          <w:lang w:val="lv-LV"/>
        </w:rPr>
        <w:t>liecinājumu, ka tai nebija brīvu finanšu līdzekļu</w:t>
      </w:r>
      <w:r w:rsidR="00173828" w:rsidRPr="009715E4">
        <w:rPr>
          <w:sz w:val="28"/>
          <w:szCs w:val="28"/>
          <w:lang w:val="lv-LV"/>
        </w:rPr>
        <w:t xml:space="preserve">, lai zaudējuma rašanās brīdī </w:t>
      </w:r>
      <w:r w:rsidR="00143078">
        <w:rPr>
          <w:sz w:val="28"/>
          <w:szCs w:val="28"/>
          <w:lang w:val="lv-LV"/>
        </w:rPr>
        <w:t>izpildītu</w:t>
      </w:r>
      <w:r w:rsidR="00143078" w:rsidRPr="009715E4">
        <w:rPr>
          <w:sz w:val="28"/>
          <w:szCs w:val="28"/>
          <w:lang w:val="lv-LV"/>
        </w:rPr>
        <w:t xml:space="preserve"> </w:t>
      </w:r>
      <w:r w:rsidR="00143078">
        <w:rPr>
          <w:sz w:val="28"/>
          <w:szCs w:val="28"/>
          <w:lang w:val="lv-LV"/>
        </w:rPr>
        <w:t>saistības</w:t>
      </w:r>
      <w:r w:rsidR="00173828" w:rsidRPr="009715E4">
        <w:rPr>
          <w:sz w:val="28"/>
          <w:szCs w:val="28"/>
          <w:lang w:val="lv-LV"/>
        </w:rPr>
        <w:t>;</w:t>
      </w:r>
    </w:p>
    <w:p w14:paraId="5F6117B3" w14:textId="77777777" w:rsidR="00294936" w:rsidRPr="009715E4" w:rsidRDefault="004B0FD6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5) </w:t>
      </w:r>
      <w:r w:rsidR="00294936" w:rsidRPr="009715E4">
        <w:rPr>
          <w:sz w:val="28"/>
          <w:szCs w:val="28"/>
          <w:lang w:val="lv-LV"/>
        </w:rPr>
        <w:t>bankas kontu</w:t>
      </w:r>
      <w:r w:rsidR="00436464" w:rsidRPr="009715E4">
        <w:rPr>
          <w:sz w:val="28"/>
          <w:szCs w:val="28"/>
          <w:lang w:val="lv-LV"/>
        </w:rPr>
        <w:t xml:space="preserve"> vai pasta norēķinu sistēmas kontu</w:t>
      </w:r>
      <w:r w:rsidR="00095D41" w:rsidRPr="009715E4">
        <w:rPr>
          <w:sz w:val="28"/>
          <w:szCs w:val="28"/>
          <w:lang w:val="lv-LV"/>
        </w:rPr>
        <w:t>, uz kuru zau</w:t>
      </w:r>
      <w:r w:rsidR="001A67E2" w:rsidRPr="009715E4">
        <w:rPr>
          <w:sz w:val="28"/>
          <w:szCs w:val="28"/>
          <w:lang w:val="lv-LV"/>
        </w:rPr>
        <w:t>dējuma atlīdzinājums pārskaitām</w:t>
      </w:r>
      <w:r w:rsidR="00FA0B1E" w:rsidRPr="009715E4">
        <w:rPr>
          <w:sz w:val="28"/>
          <w:szCs w:val="28"/>
          <w:lang w:val="lv-LV"/>
        </w:rPr>
        <w:t>s</w:t>
      </w:r>
      <w:r w:rsidR="001A67E2" w:rsidRPr="009715E4">
        <w:rPr>
          <w:sz w:val="28"/>
          <w:szCs w:val="28"/>
          <w:lang w:val="lv-LV"/>
        </w:rPr>
        <w:t>.</w:t>
      </w:r>
    </w:p>
    <w:p w14:paraId="5F6117B4" w14:textId="77777777" w:rsidR="00DE4410" w:rsidRPr="009715E4" w:rsidRDefault="00DE4410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 xml:space="preserve">(2) </w:t>
      </w:r>
      <w:r w:rsidR="00400C1C" w:rsidRPr="009715E4">
        <w:rPr>
          <w:sz w:val="28"/>
          <w:szCs w:val="28"/>
          <w:lang w:val="lv-LV"/>
        </w:rPr>
        <w:t>Iesniegumam pievieno</w:t>
      </w:r>
      <w:r w:rsidRPr="009715E4">
        <w:rPr>
          <w:sz w:val="28"/>
          <w:szCs w:val="28"/>
          <w:lang w:val="lv-LV"/>
        </w:rPr>
        <w:t xml:space="preserve"> zaudējumus apliecinošos do</w:t>
      </w:r>
      <w:r w:rsidR="004B0FD6">
        <w:rPr>
          <w:sz w:val="28"/>
          <w:szCs w:val="28"/>
          <w:lang w:val="lv-LV"/>
        </w:rPr>
        <w:t>kumentus un citus pierādījumus.</w:t>
      </w:r>
    </w:p>
    <w:p w14:paraId="5F6117B5" w14:textId="5739637A" w:rsidR="00EF77F2" w:rsidRPr="009715E4" w:rsidRDefault="00EF77F2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>(3</w:t>
      </w:r>
      <w:r w:rsidR="00294936" w:rsidRPr="009715E4">
        <w:rPr>
          <w:sz w:val="28"/>
          <w:szCs w:val="28"/>
          <w:lang w:val="lv-LV"/>
        </w:rPr>
        <w:t xml:space="preserve">) </w:t>
      </w:r>
      <w:r w:rsidR="001F091F" w:rsidRPr="009715E4">
        <w:rPr>
          <w:sz w:val="28"/>
          <w:szCs w:val="28"/>
          <w:lang w:val="lv-LV"/>
        </w:rPr>
        <w:t xml:space="preserve">Ģenerālprokurors vai </w:t>
      </w:r>
      <w:r w:rsidR="00DE4410" w:rsidRPr="009715E4">
        <w:rPr>
          <w:sz w:val="28"/>
          <w:szCs w:val="28"/>
          <w:lang w:val="lv-LV"/>
        </w:rPr>
        <w:t>īpaši pilnvarots prokurors</w:t>
      </w:r>
      <w:r w:rsidR="00143078">
        <w:rPr>
          <w:sz w:val="28"/>
          <w:szCs w:val="28"/>
          <w:lang w:val="lv-LV"/>
        </w:rPr>
        <w:t xml:space="preserve"> triju</w:t>
      </w:r>
      <w:r w:rsidR="00294936" w:rsidRPr="009715E4">
        <w:rPr>
          <w:sz w:val="28"/>
          <w:szCs w:val="28"/>
          <w:lang w:val="lv-LV"/>
        </w:rPr>
        <w:t xml:space="preserve"> mēnešu laikā pēc iesnieguma saņemšanas izvērtē zaudējuma atlīdzināšanas tiesisko pamatu un pieņem lēmumu par zaudējuma atlīdzināšanu un </w:t>
      </w:r>
      <w:r w:rsidR="004F2C7A" w:rsidRPr="009715E4">
        <w:rPr>
          <w:sz w:val="28"/>
          <w:szCs w:val="28"/>
          <w:lang w:val="lv-LV"/>
        </w:rPr>
        <w:t xml:space="preserve">tā </w:t>
      </w:r>
      <w:r w:rsidR="00143078">
        <w:rPr>
          <w:sz w:val="28"/>
          <w:szCs w:val="28"/>
          <w:lang w:val="lv-LV"/>
        </w:rPr>
        <w:t xml:space="preserve">apmēru vai </w:t>
      </w:r>
      <w:r w:rsidR="00294936" w:rsidRPr="009715E4">
        <w:rPr>
          <w:sz w:val="28"/>
          <w:szCs w:val="28"/>
          <w:lang w:val="lv-LV"/>
        </w:rPr>
        <w:t xml:space="preserve">par </w:t>
      </w:r>
      <w:r w:rsidR="00DE4410" w:rsidRPr="009715E4">
        <w:rPr>
          <w:sz w:val="28"/>
          <w:szCs w:val="28"/>
          <w:lang w:val="lv-LV"/>
        </w:rPr>
        <w:t>atteik</w:t>
      </w:r>
      <w:r w:rsidR="007C7860" w:rsidRPr="009715E4">
        <w:rPr>
          <w:sz w:val="28"/>
          <w:szCs w:val="28"/>
          <w:lang w:val="lv-LV"/>
        </w:rPr>
        <w:t>umu</w:t>
      </w:r>
      <w:r w:rsidR="00DE4410" w:rsidRPr="009715E4">
        <w:rPr>
          <w:sz w:val="28"/>
          <w:szCs w:val="28"/>
          <w:lang w:val="lv-LV"/>
        </w:rPr>
        <w:t xml:space="preserve"> atlīdzināt zaudējumu</w:t>
      </w:r>
      <w:r w:rsidR="00D66A37" w:rsidRPr="009715E4">
        <w:rPr>
          <w:sz w:val="28"/>
          <w:szCs w:val="28"/>
          <w:lang w:val="lv-LV"/>
        </w:rPr>
        <w:t>.</w:t>
      </w:r>
      <w:r w:rsidR="004249DA" w:rsidRPr="009715E4">
        <w:rPr>
          <w:sz w:val="28"/>
          <w:szCs w:val="28"/>
          <w:lang w:val="lv-LV"/>
        </w:rPr>
        <w:t xml:space="preserve"> Ja objektīvu iemesl</w:t>
      </w:r>
      <w:r w:rsidR="00143078">
        <w:rPr>
          <w:sz w:val="28"/>
          <w:szCs w:val="28"/>
          <w:lang w:val="lv-LV"/>
        </w:rPr>
        <w:t>u dēļ nav iespējams ievērot triju</w:t>
      </w:r>
      <w:r w:rsidR="004249DA" w:rsidRPr="009715E4">
        <w:rPr>
          <w:sz w:val="28"/>
          <w:szCs w:val="28"/>
          <w:lang w:val="lv-LV"/>
        </w:rPr>
        <w:t xml:space="preserve"> mēnešu termiņu, to var pagarināt līdz sešiem mēnešiem, par to </w:t>
      </w:r>
      <w:r w:rsidR="001F091F" w:rsidRPr="009715E4">
        <w:rPr>
          <w:sz w:val="28"/>
          <w:szCs w:val="28"/>
          <w:lang w:val="lv-LV"/>
        </w:rPr>
        <w:t xml:space="preserve">rakstiski </w:t>
      </w:r>
      <w:r w:rsidR="004249DA" w:rsidRPr="009715E4">
        <w:rPr>
          <w:sz w:val="28"/>
          <w:szCs w:val="28"/>
          <w:lang w:val="lv-LV"/>
        </w:rPr>
        <w:t>informējot iesniedzēju.</w:t>
      </w:r>
      <w:r w:rsidR="009D664E" w:rsidRPr="009715E4">
        <w:rPr>
          <w:sz w:val="28"/>
          <w:szCs w:val="28"/>
          <w:lang w:val="lv-LV"/>
        </w:rPr>
        <w:t xml:space="preserve"> </w:t>
      </w:r>
      <w:r w:rsidR="00143078">
        <w:rPr>
          <w:sz w:val="28"/>
          <w:szCs w:val="28"/>
          <w:lang w:val="lv-LV"/>
        </w:rPr>
        <w:t>Ja nepieciešams,</w:t>
      </w:r>
      <w:r w:rsidR="009D664E" w:rsidRPr="009715E4">
        <w:rPr>
          <w:sz w:val="28"/>
          <w:szCs w:val="28"/>
          <w:lang w:val="lv-LV"/>
        </w:rPr>
        <w:t xml:space="preserve"> </w:t>
      </w:r>
      <w:r w:rsidR="001F091F" w:rsidRPr="009715E4">
        <w:rPr>
          <w:sz w:val="28"/>
          <w:szCs w:val="28"/>
          <w:lang w:val="lv-LV"/>
        </w:rPr>
        <w:t xml:space="preserve">ģenerālprokurors vai </w:t>
      </w:r>
      <w:r w:rsidR="009D664E" w:rsidRPr="009715E4">
        <w:rPr>
          <w:sz w:val="28"/>
          <w:szCs w:val="28"/>
          <w:lang w:val="lv-LV"/>
        </w:rPr>
        <w:t xml:space="preserve">īpaši pilnvarots </w:t>
      </w:r>
      <w:r w:rsidR="00143078">
        <w:rPr>
          <w:sz w:val="28"/>
          <w:szCs w:val="28"/>
          <w:lang w:val="lv-LV"/>
        </w:rPr>
        <w:t>prokurors var pieprasīt papildu</w:t>
      </w:r>
      <w:r w:rsidR="009D664E" w:rsidRPr="009715E4">
        <w:rPr>
          <w:sz w:val="28"/>
          <w:szCs w:val="28"/>
          <w:lang w:val="lv-LV"/>
        </w:rPr>
        <w:t xml:space="preserve"> informāciju.</w:t>
      </w:r>
    </w:p>
    <w:p w14:paraId="5F6117B6" w14:textId="77777777" w:rsidR="004F6CE8" w:rsidRPr="009715E4" w:rsidRDefault="00EF77F2" w:rsidP="004E55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lastRenderedPageBreak/>
        <w:t xml:space="preserve">(4) Par apzināti nepatiesu ziņu sniegšanu Ģenerālprokuratūrai persona ir saucama pie </w:t>
      </w:r>
      <w:r w:rsidR="001F091F" w:rsidRPr="009715E4">
        <w:rPr>
          <w:sz w:val="28"/>
          <w:szCs w:val="28"/>
          <w:lang w:val="lv-LV"/>
        </w:rPr>
        <w:t>likumā noteiktās atbildības</w:t>
      </w:r>
      <w:r w:rsidRPr="009715E4">
        <w:rPr>
          <w:sz w:val="28"/>
          <w:szCs w:val="28"/>
          <w:lang w:val="lv-LV"/>
        </w:rPr>
        <w:t>.</w:t>
      </w:r>
      <w:bookmarkStart w:id="1" w:name="bkm100"/>
    </w:p>
    <w:p w14:paraId="5F6117B7" w14:textId="77777777" w:rsidR="00B63569" w:rsidRPr="009715E4" w:rsidRDefault="00B63569" w:rsidP="004E55C3">
      <w:pPr>
        <w:pStyle w:val="naispan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5F6117B8" w14:textId="2420E381" w:rsidR="00680070" w:rsidRPr="009715E4" w:rsidRDefault="004F7F41" w:rsidP="004E55C3">
      <w:pPr>
        <w:pStyle w:val="naispan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715E4">
        <w:rPr>
          <w:b/>
          <w:bCs/>
          <w:sz w:val="28"/>
          <w:szCs w:val="28"/>
        </w:rPr>
        <w:t>73.pants. Ģenerālprokurora vai īpaši pilnvarota prokurora</w:t>
      </w:r>
      <w:r w:rsidR="00143078">
        <w:rPr>
          <w:b/>
          <w:bCs/>
          <w:sz w:val="28"/>
          <w:szCs w:val="28"/>
        </w:rPr>
        <w:t xml:space="preserve"> lēmuma paziņošana un spēkā es</w:t>
      </w:r>
      <w:r w:rsidRPr="009715E4">
        <w:rPr>
          <w:b/>
          <w:bCs/>
          <w:sz w:val="28"/>
          <w:szCs w:val="28"/>
        </w:rPr>
        <w:t>ība</w:t>
      </w:r>
    </w:p>
    <w:p w14:paraId="5F6117B9" w14:textId="77777777" w:rsidR="00400C1C" w:rsidRPr="009715E4" w:rsidRDefault="000321B2" w:rsidP="004E55C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E4">
        <w:rPr>
          <w:sz w:val="28"/>
          <w:szCs w:val="28"/>
        </w:rPr>
        <w:t>(1)</w:t>
      </w:r>
      <w:r w:rsidR="008637F4" w:rsidRPr="009715E4">
        <w:rPr>
          <w:sz w:val="28"/>
          <w:szCs w:val="28"/>
        </w:rPr>
        <w:t xml:space="preserve"> </w:t>
      </w:r>
      <w:r w:rsidR="004F7F41" w:rsidRPr="009715E4">
        <w:rPr>
          <w:sz w:val="28"/>
          <w:szCs w:val="28"/>
        </w:rPr>
        <w:t>Lēmums par zaudējuma atlīdzināšanu vai par atteikumu atlīdzināt zaudējumu stājas spēkā ar brīdi, kad tas paziņots iesniedzējam</w:t>
      </w:r>
      <w:r w:rsidR="00680070" w:rsidRPr="009715E4">
        <w:rPr>
          <w:sz w:val="28"/>
          <w:szCs w:val="28"/>
        </w:rPr>
        <w:t>.</w:t>
      </w:r>
      <w:bookmarkEnd w:id="1"/>
    </w:p>
    <w:p w14:paraId="5F6117BA" w14:textId="77777777" w:rsidR="004D5711" w:rsidRPr="009715E4" w:rsidRDefault="000321B2" w:rsidP="004E55C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715E4">
        <w:rPr>
          <w:sz w:val="28"/>
          <w:szCs w:val="28"/>
          <w:lang w:val="lv-LV"/>
        </w:rPr>
        <w:t>(2)</w:t>
      </w:r>
      <w:r w:rsidR="008637F4" w:rsidRPr="009715E4">
        <w:rPr>
          <w:sz w:val="28"/>
          <w:szCs w:val="28"/>
          <w:lang w:val="lv-LV"/>
        </w:rPr>
        <w:t xml:space="preserve"> </w:t>
      </w:r>
      <w:r w:rsidR="004D5711" w:rsidRPr="009715E4">
        <w:rPr>
          <w:sz w:val="28"/>
          <w:szCs w:val="28"/>
          <w:lang w:val="lv-LV"/>
        </w:rPr>
        <w:t>Personai, kura nepiekrīt ģenerālprokurora vai īpaši pilnvarota prokurora lēmumam zaudējumu atlīdzināšanas lietā, 30 dienu laikā ir tiesības vērsties tiesā Civilprocesa likumā paredzētajā kārtībā.</w:t>
      </w:r>
    </w:p>
    <w:p w14:paraId="5F6117BB" w14:textId="77777777" w:rsidR="00B63569" w:rsidRPr="009715E4" w:rsidRDefault="00B63569" w:rsidP="004E55C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F6117BC" w14:textId="77777777" w:rsidR="00294936" w:rsidRPr="009715E4" w:rsidRDefault="00294936" w:rsidP="004E55C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9715E4">
        <w:rPr>
          <w:b/>
          <w:sz w:val="28"/>
          <w:szCs w:val="28"/>
          <w:lang w:val="lv-LV"/>
        </w:rPr>
        <w:t>7</w:t>
      </w:r>
      <w:r w:rsidR="005279E9" w:rsidRPr="009715E4">
        <w:rPr>
          <w:b/>
          <w:sz w:val="28"/>
          <w:szCs w:val="28"/>
          <w:lang w:val="lv-LV"/>
        </w:rPr>
        <w:t>4</w:t>
      </w:r>
      <w:r w:rsidRPr="009715E4">
        <w:rPr>
          <w:b/>
          <w:sz w:val="28"/>
          <w:szCs w:val="28"/>
          <w:lang w:val="lv-LV"/>
        </w:rPr>
        <w:t xml:space="preserve">.pants. </w:t>
      </w:r>
      <w:r w:rsidR="007E1205" w:rsidRPr="009715E4">
        <w:rPr>
          <w:b/>
          <w:sz w:val="28"/>
          <w:szCs w:val="28"/>
          <w:lang w:val="lv-LV"/>
        </w:rPr>
        <w:t>Z</w:t>
      </w:r>
      <w:r w:rsidRPr="009715E4">
        <w:rPr>
          <w:b/>
          <w:sz w:val="28"/>
          <w:szCs w:val="28"/>
          <w:lang w:val="lv-LV"/>
        </w:rPr>
        <w:t>audējuma atlīdzināšana</w:t>
      </w:r>
      <w:r w:rsidR="00FA0B1E" w:rsidRPr="009715E4">
        <w:rPr>
          <w:b/>
          <w:sz w:val="28"/>
          <w:szCs w:val="28"/>
          <w:lang w:val="lv-LV"/>
        </w:rPr>
        <w:t>s lietā pieņemtā lēmuma izpilde</w:t>
      </w:r>
    </w:p>
    <w:p w14:paraId="5F6117BD" w14:textId="77777777" w:rsidR="00594FD5" w:rsidRPr="009715E4" w:rsidRDefault="006D4ED3" w:rsidP="004E55C3">
      <w:pPr>
        <w:pStyle w:val="NoSpacing"/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 xml:space="preserve">(1) </w:t>
      </w:r>
      <w:r w:rsidR="00594FD5" w:rsidRPr="009715E4">
        <w:rPr>
          <w:color w:val="auto"/>
          <w:sz w:val="28"/>
          <w:szCs w:val="28"/>
        </w:rPr>
        <w:t xml:space="preserve">Zaudējuma </w:t>
      </w:r>
      <w:r w:rsidR="00294936" w:rsidRPr="009715E4">
        <w:rPr>
          <w:color w:val="auto"/>
          <w:sz w:val="28"/>
          <w:szCs w:val="28"/>
        </w:rPr>
        <w:t>atlīdzinājumu izmaksā Finanšu ministrija</w:t>
      </w:r>
      <w:r w:rsidR="00EB50D8">
        <w:rPr>
          <w:color w:val="auto"/>
          <w:sz w:val="28"/>
          <w:szCs w:val="28"/>
        </w:rPr>
        <w:t>.</w:t>
      </w:r>
    </w:p>
    <w:p w14:paraId="5F6117BE" w14:textId="202E5FF7" w:rsidR="00F46D4A" w:rsidRPr="009715E4" w:rsidRDefault="00143078" w:rsidP="004E55C3">
      <w:pPr>
        <w:pStyle w:val="NoSpacing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(2) Pēc tam</w:t>
      </w:r>
      <w:r w:rsidR="00B423E9" w:rsidRPr="009715E4">
        <w:rPr>
          <w:color w:val="auto"/>
          <w:sz w:val="28"/>
          <w:szCs w:val="28"/>
        </w:rPr>
        <w:t xml:space="preserve"> kad stājies spēkā ģ</w:t>
      </w:r>
      <w:r w:rsidR="00594FD5" w:rsidRPr="009715E4">
        <w:rPr>
          <w:color w:val="auto"/>
          <w:sz w:val="28"/>
          <w:szCs w:val="28"/>
        </w:rPr>
        <w:t>enerālprokur</w:t>
      </w:r>
      <w:r w:rsidR="00C16F06" w:rsidRPr="009715E4">
        <w:rPr>
          <w:color w:val="auto"/>
          <w:sz w:val="28"/>
          <w:szCs w:val="28"/>
        </w:rPr>
        <w:t>ora vai īpaši pilnvarota prokurora</w:t>
      </w:r>
      <w:r w:rsidR="00594FD5" w:rsidRPr="009715E4">
        <w:rPr>
          <w:color w:val="auto"/>
          <w:sz w:val="28"/>
          <w:szCs w:val="28"/>
        </w:rPr>
        <w:t xml:space="preserve"> lēmums par zaudējuma atlīdzinājumu</w:t>
      </w:r>
      <w:r w:rsidR="00605654" w:rsidRPr="009715E4">
        <w:rPr>
          <w:color w:val="auto"/>
          <w:sz w:val="28"/>
          <w:szCs w:val="28"/>
        </w:rPr>
        <w:t xml:space="preserve">, Ģenerālprokuratūra </w:t>
      </w:r>
      <w:r>
        <w:rPr>
          <w:color w:val="auto"/>
          <w:sz w:val="28"/>
          <w:szCs w:val="28"/>
        </w:rPr>
        <w:t>triju</w:t>
      </w:r>
      <w:r w:rsidR="00F46D4A" w:rsidRPr="009715E4">
        <w:rPr>
          <w:color w:val="auto"/>
          <w:sz w:val="28"/>
          <w:szCs w:val="28"/>
        </w:rPr>
        <w:t xml:space="preserve"> dienu laikā </w:t>
      </w:r>
      <w:r w:rsidR="00605654" w:rsidRPr="009715E4">
        <w:rPr>
          <w:color w:val="auto"/>
          <w:sz w:val="28"/>
          <w:szCs w:val="28"/>
        </w:rPr>
        <w:t xml:space="preserve">nosūta </w:t>
      </w:r>
      <w:r w:rsidR="00F46D4A" w:rsidRPr="009715E4">
        <w:rPr>
          <w:color w:val="auto"/>
          <w:sz w:val="28"/>
          <w:szCs w:val="28"/>
        </w:rPr>
        <w:t>Finanšu ministrijai:</w:t>
      </w:r>
    </w:p>
    <w:p w14:paraId="5F6117BF" w14:textId="77777777" w:rsidR="00F46D4A" w:rsidRDefault="00F46D4A" w:rsidP="004E55C3">
      <w:pPr>
        <w:pStyle w:val="NoSpacing"/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 xml:space="preserve">1) </w:t>
      </w:r>
      <w:r w:rsidR="00605654" w:rsidRPr="009715E4">
        <w:rPr>
          <w:color w:val="auto"/>
          <w:sz w:val="28"/>
          <w:szCs w:val="28"/>
        </w:rPr>
        <w:t>lēmuma vai tiesas nolēmuma norakstu</w:t>
      </w:r>
      <w:r w:rsidRPr="009715E4">
        <w:rPr>
          <w:color w:val="auto"/>
          <w:sz w:val="28"/>
          <w:szCs w:val="28"/>
        </w:rPr>
        <w:t>;</w:t>
      </w:r>
    </w:p>
    <w:p w14:paraId="0C847D54" w14:textId="77777777" w:rsidR="00006B26" w:rsidRDefault="00006B26" w:rsidP="004E55C3">
      <w:pPr>
        <w:pStyle w:val="NoSpacing"/>
        <w:ind w:firstLine="709"/>
        <w:jc w:val="both"/>
        <w:rPr>
          <w:sz w:val="28"/>
          <w:szCs w:val="28"/>
        </w:rPr>
      </w:pPr>
      <w:r w:rsidRPr="00006B26">
        <w:rPr>
          <w:sz w:val="28"/>
          <w:szCs w:val="28"/>
        </w:rPr>
        <w:t xml:space="preserve">2) informāciju par: </w:t>
      </w:r>
    </w:p>
    <w:p w14:paraId="4A88C9EE" w14:textId="06652AD8" w:rsidR="00006B26" w:rsidRDefault="00006B26" w:rsidP="004E55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fizisku personu rezidentu </w:t>
      </w:r>
      <w:r w:rsidR="00087451">
        <w:rPr>
          <w:sz w:val="28"/>
          <w:szCs w:val="28"/>
        </w:rPr>
        <w:t xml:space="preserve">– </w:t>
      </w:r>
      <w:r w:rsidRPr="00006B26">
        <w:rPr>
          <w:sz w:val="28"/>
          <w:szCs w:val="28"/>
        </w:rPr>
        <w:t xml:space="preserve">vārdu, uzvārdu un personas kodu; </w:t>
      </w:r>
    </w:p>
    <w:p w14:paraId="57EFB649" w14:textId="6FF28FB8" w:rsidR="00006B26" w:rsidRDefault="00006B26" w:rsidP="004E55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 fizisku personu nerezidentu</w:t>
      </w:r>
      <w:r w:rsidRPr="00006B26">
        <w:rPr>
          <w:sz w:val="28"/>
          <w:szCs w:val="28"/>
        </w:rPr>
        <w:t xml:space="preserve"> </w:t>
      </w:r>
      <w:r w:rsidR="00087451">
        <w:rPr>
          <w:sz w:val="28"/>
          <w:szCs w:val="28"/>
        </w:rPr>
        <w:t xml:space="preserve">– </w:t>
      </w:r>
      <w:r w:rsidRPr="00006B26">
        <w:rPr>
          <w:sz w:val="28"/>
          <w:szCs w:val="28"/>
        </w:rPr>
        <w:t xml:space="preserve">vārdu, uzvārdu un personas kodu vai citu personas identifikācijas informāciju; </w:t>
      </w:r>
    </w:p>
    <w:p w14:paraId="07B0D311" w14:textId="70F7E15B" w:rsidR="00006B26" w:rsidRDefault="00006B26" w:rsidP="004E55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c) juridisku personu rezidentu</w:t>
      </w:r>
      <w:r w:rsidRPr="00006B26">
        <w:rPr>
          <w:sz w:val="28"/>
          <w:szCs w:val="28"/>
        </w:rPr>
        <w:t xml:space="preserve"> </w:t>
      </w:r>
      <w:r w:rsidR="00087451">
        <w:rPr>
          <w:sz w:val="28"/>
          <w:szCs w:val="28"/>
        </w:rPr>
        <w:t xml:space="preserve">– </w:t>
      </w:r>
      <w:r w:rsidRPr="00006B26">
        <w:rPr>
          <w:sz w:val="28"/>
          <w:szCs w:val="28"/>
        </w:rPr>
        <w:t xml:space="preserve">nosaukumu un reģistrācijas numuru; </w:t>
      </w:r>
    </w:p>
    <w:p w14:paraId="06B2F167" w14:textId="637ECE71" w:rsidR="00006B26" w:rsidRDefault="00006B26" w:rsidP="00087451">
      <w:pPr>
        <w:pStyle w:val="NoSpacing"/>
        <w:ind w:firstLine="709"/>
        <w:jc w:val="both"/>
        <w:rPr>
          <w:color w:val="auto"/>
          <w:sz w:val="28"/>
          <w:szCs w:val="28"/>
        </w:rPr>
      </w:pPr>
      <w:r w:rsidRPr="00006B26">
        <w:rPr>
          <w:sz w:val="28"/>
          <w:szCs w:val="28"/>
        </w:rPr>
        <w:t>d)</w:t>
      </w:r>
      <w:r w:rsidR="00087451">
        <w:rPr>
          <w:sz w:val="28"/>
          <w:szCs w:val="28"/>
        </w:rPr>
        <w:t xml:space="preserve"> juridisku personu nerezidentu –</w:t>
      </w:r>
      <w:r w:rsidRPr="00006B26">
        <w:rPr>
          <w:sz w:val="28"/>
          <w:szCs w:val="28"/>
        </w:rPr>
        <w:t xml:space="preserve"> dokumenta kopiju, kas apliecina juridiskās personas dibin</w:t>
      </w:r>
      <w:r w:rsidR="00087451">
        <w:rPr>
          <w:sz w:val="28"/>
          <w:szCs w:val="28"/>
        </w:rPr>
        <w:t>āšanu vai tiesisko reģistrāciju;</w:t>
      </w:r>
    </w:p>
    <w:p w14:paraId="5F6117C1" w14:textId="77777777" w:rsidR="00EF6CBD" w:rsidRPr="009715E4" w:rsidRDefault="00EF6CBD" w:rsidP="004E55C3">
      <w:pPr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 xml:space="preserve">3) </w:t>
      </w:r>
      <w:r w:rsidR="00F46D4A" w:rsidRPr="009715E4">
        <w:rPr>
          <w:color w:val="auto"/>
          <w:sz w:val="28"/>
          <w:szCs w:val="28"/>
        </w:rPr>
        <w:t>informāciju par bankas kontu</w:t>
      </w:r>
      <w:r w:rsidR="00DC2839" w:rsidRPr="009715E4">
        <w:rPr>
          <w:color w:val="auto"/>
          <w:sz w:val="28"/>
          <w:szCs w:val="28"/>
        </w:rPr>
        <w:t xml:space="preserve"> vai pasta norēķinu sistēmas kontu</w:t>
      </w:r>
      <w:r w:rsidR="00F46D4A" w:rsidRPr="009715E4">
        <w:rPr>
          <w:color w:val="auto"/>
          <w:sz w:val="28"/>
          <w:szCs w:val="28"/>
        </w:rPr>
        <w:t>, uz kuru zaudējuma atlīdzinājums pārskaitāms</w:t>
      </w:r>
      <w:r w:rsidR="00EB50D8">
        <w:rPr>
          <w:color w:val="auto"/>
          <w:sz w:val="28"/>
          <w:szCs w:val="28"/>
        </w:rPr>
        <w:t>.</w:t>
      </w:r>
    </w:p>
    <w:p w14:paraId="5F6117C2" w14:textId="615E64A0" w:rsidR="00771D26" w:rsidRPr="009715E4" w:rsidRDefault="00771D26" w:rsidP="004E55C3">
      <w:pPr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 xml:space="preserve">(3) Finanšu ministrija </w:t>
      </w:r>
      <w:r w:rsidR="00DC2839" w:rsidRPr="009715E4">
        <w:rPr>
          <w:color w:val="auto"/>
          <w:sz w:val="28"/>
          <w:szCs w:val="28"/>
        </w:rPr>
        <w:t>mēneša</w:t>
      </w:r>
      <w:r w:rsidRPr="009715E4">
        <w:rPr>
          <w:color w:val="auto"/>
          <w:sz w:val="28"/>
          <w:szCs w:val="28"/>
        </w:rPr>
        <w:t xml:space="preserve"> laikā pēc visas nepieciešamās informācijas saņemšanas izmaksā zaudējuma atlīdzinājumu, pārskaitot to uz personas personīgo bankas kontu vai pasta norēķinu sistēmas kontu.</w:t>
      </w:r>
    </w:p>
    <w:p w14:paraId="5F6117C3" w14:textId="7D4732C0" w:rsidR="00771D26" w:rsidRPr="009715E4" w:rsidRDefault="00771D26" w:rsidP="004E55C3">
      <w:pPr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>(4) Finanšu ministrija saskaņā ar pamatotu lēmumu zaudējuma atlīdzinājumu var izmaksāt pa daļām gada laikā pēc visas nepieciešamās informācijas saņemšanas dienas. Finanšu ministrija par savu lēmumu rakstveidā informē privātpersonu. Šis lēmum</w:t>
      </w:r>
      <w:r w:rsidR="00EB50D8">
        <w:rPr>
          <w:color w:val="auto"/>
          <w:sz w:val="28"/>
          <w:szCs w:val="28"/>
        </w:rPr>
        <w:t>s nav apstrīdams un pārsūdzams.</w:t>
      </w:r>
    </w:p>
    <w:p w14:paraId="5F6117C4" w14:textId="156781CB" w:rsidR="00771D26" w:rsidRPr="009715E4" w:rsidRDefault="00771D26" w:rsidP="004E55C3">
      <w:pPr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>(5) Zaudējumu atlīdzību i</w:t>
      </w:r>
      <w:r w:rsidR="00F17998">
        <w:rPr>
          <w:color w:val="auto"/>
          <w:sz w:val="28"/>
          <w:szCs w:val="28"/>
        </w:rPr>
        <w:t>zmaksā no valsts budžetā īpaš</w:t>
      </w:r>
      <w:r w:rsidRPr="009715E4">
        <w:rPr>
          <w:color w:val="auto"/>
          <w:sz w:val="28"/>
          <w:szCs w:val="28"/>
        </w:rPr>
        <w:t>i šiem mērķiem paredzētajiem līdzekļiem.</w:t>
      </w:r>
    </w:p>
    <w:p w14:paraId="5F6117C5" w14:textId="5728F082" w:rsidR="00771D26" w:rsidRPr="009715E4" w:rsidRDefault="00771D26" w:rsidP="004E55C3">
      <w:pPr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 xml:space="preserve">(6) Ja nepieciešams, Finanšu ministrija sagatavo priekšlikumus par grozījumiem </w:t>
      </w:r>
      <w:r w:rsidR="00143078" w:rsidRPr="009715E4">
        <w:rPr>
          <w:color w:val="auto"/>
          <w:sz w:val="28"/>
          <w:szCs w:val="28"/>
        </w:rPr>
        <w:t xml:space="preserve">likumā </w:t>
      </w:r>
      <w:r w:rsidR="00143078">
        <w:rPr>
          <w:color w:val="auto"/>
          <w:sz w:val="28"/>
          <w:szCs w:val="28"/>
        </w:rPr>
        <w:t>par valsts budžetu</w:t>
      </w:r>
      <w:r w:rsidR="00143078" w:rsidRPr="009715E4">
        <w:rPr>
          <w:color w:val="auto"/>
          <w:sz w:val="28"/>
          <w:szCs w:val="28"/>
        </w:rPr>
        <w:t xml:space="preserve"> </w:t>
      </w:r>
      <w:r w:rsidR="00143078">
        <w:rPr>
          <w:color w:val="auto"/>
          <w:sz w:val="28"/>
          <w:szCs w:val="28"/>
        </w:rPr>
        <w:t>kārtējam</w:t>
      </w:r>
      <w:r w:rsidR="00143078" w:rsidRPr="009715E4">
        <w:rPr>
          <w:color w:val="auto"/>
          <w:sz w:val="28"/>
          <w:szCs w:val="28"/>
        </w:rPr>
        <w:t xml:space="preserve"> </w:t>
      </w:r>
      <w:r w:rsidR="00143078">
        <w:rPr>
          <w:color w:val="auto"/>
          <w:sz w:val="28"/>
          <w:szCs w:val="28"/>
        </w:rPr>
        <w:t>gadam</w:t>
      </w:r>
      <w:r w:rsidRPr="009715E4">
        <w:rPr>
          <w:color w:val="auto"/>
          <w:sz w:val="28"/>
          <w:szCs w:val="28"/>
        </w:rPr>
        <w:t>.</w:t>
      </w:r>
    </w:p>
    <w:p w14:paraId="5F6117C6" w14:textId="47A6D8CF" w:rsidR="00976F76" w:rsidRPr="009715E4" w:rsidRDefault="00771D26" w:rsidP="004E55C3">
      <w:pPr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>(7) Finanšu ministrija reizi gadā (līdz nākamā gada 15.janvārim) sagatav</w:t>
      </w:r>
      <w:r w:rsidR="00143078">
        <w:rPr>
          <w:color w:val="auto"/>
          <w:sz w:val="28"/>
          <w:szCs w:val="28"/>
        </w:rPr>
        <w:t>o un iesniedz Ministru kabinetā</w:t>
      </w:r>
      <w:r w:rsidRPr="009715E4">
        <w:rPr>
          <w:color w:val="auto"/>
          <w:sz w:val="28"/>
          <w:szCs w:val="28"/>
        </w:rPr>
        <w:t xml:space="preserve"> pārskatu par visiem attiecīgajā laikposmā sa</w:t>
      </w:r>
      <w:r w:rsidR="00B423E9" w:rsidRPr="009715E4">
        <w:rPr>
          <w:color w:val="auto"/>
          <w:sz w:val="28"/>
          <w:szCs w:val="28"/>
        </w:rPr>
        <w:t>ņemtajiem tiesu nolēmumiem vai ģ</w:t>
      </w:r>
      <w:r w:rsidRPr="009715E4">
        <w:rPr>
          <w:color w:val="auto"/>
          <w:sz w:val="28"/>
          <w:szCs w:val="28"/>
        </w:rPr>
        <w:t>enerālprokurora vai īpaši pilnvarota prokurora lēmumiem par zaudējumu atlīdzinājumu izmaksu no valsts pamatbudžeta.</w:t>
      </w:r>
    </w:p>
    <w:p w14:paraId="5F6117C7" w14:textId="77777777" w:rsidR="004F6CE8" w:rsidRPr="009715E4" w:rsidRDefault="004F6CE8" w:rsidP="004E55C3">
      <w:pPr>
        <w:ind w:firstLine="709"/>
        <w:jc w:val="both"/>
        <w:rPr>
          <w:color w:val="auto"/>
          <w:sz w:val="28"/>
          <w:szCs w:val="28"/>
        </w:rPr>
      </w:pPr>
    </w:p>
    <w:p w14:paraId="00BED82B" w14:textId="77777777" w:rsidR="00B522DF" w:rsidRDefault="00B522DF">
      <w:pPr>
        <w:rPr>
          <w:rFonts w:eastAsia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6117C8" w14:textId="5C353854" w:rsidR="00D2576B" w:rsidRPr="009715E4" w:rsidRDefault="006D6D20" w:rsidP="004E55C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bookmarkStart w:id="2" w:name="_GoBack"/>
      <w:bookmarkEnd w:id="2"/>
      <w:r w:rsidRPr="009715E4">
        <w:rPr>
          <w:b/>
          <w:sz w:val="28"/>
          <w:szCs w:val="28"/>
          <w:lang w:val="lv-LV"/>
        </w:rPr>
        <w:lastRenderedPageBreak/>
        <w:t>7</w:t>
      </w:r>
      <w:r w:rsidR="005279E9" w:rsidRPr="009715E4">
        <w:rPr>
          <w:b/>
          <w:sz w:val="28"/>
          <w:szCs w:val="28"/>
          <w:lang w:val="lv-LV"/>
        </w:rPr>
        <w:t>5</w:t>
      </w:r>
      <w:r w:rsidR="00D2576B" w:rsidRPr="009715E4">
        <w:rPr>
          <w:b/>
          <w:sz w:val="28"/>
          <w:szCs w:val="28"/>
          <w:lang w:val="lv-LV"/>
        </w:rPr>
        <w:t>.pants. Likuma subjekta atbildība</w:t>
      </w:r>
    </w:p>
    <w:p w14:paraId="5F6117C9" w14:textId="77777777" w:rsidR="009C0A9C" w:rsidRPr="009715E4" w:rsidRDefault="0078737A" w:rsidP="004E55C3">
      <w:pPr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 xml:space="preserve">(1) </w:t>
      </w:r>
      <w:r w:rsidR="00C423A8" w:rsidRPr="009715E4">
        <w:rPr>
          <w:color w:val="auto"/>
          <w:sz w:val="28"/>
          <w:szCs w:val="28"/>
        </w:rPr>
        <w:t xml:space="preserve">Ja valsts atlīdzina personai likuma subjekta nelikumīgas rīcības dēļ nodarītos zaudējumus, </w:t>
      </w:r>
      <w:r w:rsidR="009C0A9C" w:rsidRPr="009715E4">
        <w:rPr>
          <w:color w:val="auto"/>
          <w:sz w:val="28"/>
          <w:szCs w:val="28"/>
        </w:rPr>
        <w:t>Ģenerālprokuratūra pēc atlīdzības izmaksas vērš regresa prasību pret likuma subjektu.</w:t>
      </w:r>
    </w:p>
    <w:p w14:paraId="5F6117CA" w14:textId="42DAED9F" w:rsidR="009C0A9C" w:rsidRPr="009715E4" w:rsidRDefault="0078737A" w:rsidP="004E55C3">
      <w:pPr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 xml:space="preserve">(2) </w:t>
      </w:r>
      <w:r w:rsidR="0051361C" w:rsidRPr="009715E4">
        <w:rPr>
          <w:color w:val="auto"/>
          <w:sz w:val="28"/>
          <w:szCs w:val="28"/>
        </w:rPr>
        <w:t xml:space="preserve">Pirms </w:t>
      </w:r>
      <w:r w:rsidR="00143078">
        <w:rPr>
          <w:color w:val="auto"/>
          <w:sz w:val="28"/>
          <w:szCs w:val="28"/>
        </w:rPr>
        <w:t>regresa prasības</w:t>
      </w:r>
      <w:r w:rsidR="00143078" w:rsidRPr="009715E4">
        <w:rPr>
          <w:color w:val="auto"/>
          <w:sz w:val="28"/>
          <w:szCs w:val="28"/>
        </w:rPr>
        <w:t xml:space="preserve"> </w:t>
      </w:r>
      <w:r w:rsidR="00143078">
        <w:rPr>
          <w:color w:val="auto"/>
          <w:sz w:val="28"/>
          <w:szCs w:val="28"/>
        </w:rPr>
        <w:t>vēršana</w:t>
      </w:r>
      <w:r w:rsidR="0051361C" w:rsidRPr="009715E4">
        <w:rPr>
          <w:color w:val="auto"/>
          <w:sz w:val="28"/>
          <w:szCs w:val="28"/>
        </w:rPr>
        <w:t xml:space="preserve">s </w:t>
      </w:r>
      <w:r w:rsidR="00143078">
        <w:rPr>
          <w:color w:val="auto"/>
          <w:sz w:val="28"/>
          <w:szCs w:val="28"/>
        </w:rPr>
        <w:t xml:space="preserve">pret </w:t>
      </w:r>
      <w:r w:rsidR="001E5B20">
        <w:rPr>
          <w:color w:val="auto"/>
          <w:sz w:val="28"/>
          <w:szCs w:val="28"/>
        </w:rPr>
        <w:t>likuma subjektu</w:t>
      </w:r>
      <w:r w:rsidR="0051361C" w:rsidRPr="009715E4">
        <w:rPr>
          <w:color w:val="auto"/>
          <w:sz w:val="28"/>
          <w:szCs w:val="28"/>
        </w:rPr>
        <w:t xml:space="preserve"> Ģenerālprokuratūra </w:t>
      </w:r>
      <w:r w:rsidR="001E5B20">
        <w:rPr>
          <w:color w:val="auto"/>
          <w:sz w:val="28"/>
          <w:szCs w:val="28"/>
        </w:rPr>
        <w:t xml:space="preserve">to </w:t>
      </w:r>
      <w:r w:rsidR="00143078" w:rsidRPr="009715E4">
        <w:rPr>
          <w:color w:val="auto"/>
          <w:sz w:val="28"/>
          <w:szCs w:val="28"/>
        </w:rPr>
        <w:t xml:space="preserve">informē </w:t>
      </w:r>
      <w:r w:rsidR="0051361C" w:rsidRPr="009715E4">
        <w:rPr>
          <w:color w:val="auto"/>
          <w:sz w:val="28"/>
          <w:szCs w:val="28"/>
        </w:rPr>
        <w:t xml:space="preserve">par pieņemto lēmumu un aicina </w:t>
      </w:r>
      <w:r w:rsidR="00922D58" w:rsidRPr="009715E4">
        <w:rPr>
          <w:color w:val="auto"/>
          <w:sz w:val="28"/>
          <w:szCs w:val="28"/>
        </w:rPr>
        <w:t xml:space="preserve">mēneša laikā </w:t>
      </w:r>
      <w:r w:rsidR="0051361C" w:rsidRPr="009715E4">
        <w:rPr>
          <w:color w:val="auto"/>
          <w:sz w:val="28"/>
          <w:szCs w:val="28"/>
        </w:rPr>
        <w:t>labprātīgi atlīdzināt nodarīto</w:t>
      </w:r>
      <w:r w:rsidR="001E5B20">
        <w:rPr>
          <w:color w:val="auto"/>
          <w:sz w:val="28"/>
          <w:szCs w:val="28"/>
        </w:rPr>
        <w:t>s</w:t>
      </w:r>
      <w:r w:rsidR="0051361C" w:rsidRPr="009715E4">
        <w:rPr>
          <w:color w:val="auto"/>
          <w:sz w:val="28"/>
          <w:szCs w:val="28"/>
        </w:rPr>
        <w:t xml:space="preserve"> zaudējumu</w:t>
      </w:r>
      <w:r w:rsidR="001E5B20">
        <w:rPr>
          <w:color w:val="auto"/>
          <w:sz w:val="28"/>
          <w:szCs w:val="28"/>
        </w:rPr>
        <w:t>s</w:t>
      </w:r>
      <w:r w:rsidR="0051361C" w:rsidRPr="009715E4">
        <w:rPr>
          <w:color w:val="auto"/>
          <w:sz w:val="28"/>
          <w:szCs w:val="28"/>
        </w:rPr>
        <w:t>.</w:t>
      </w:r>
    </w:p>
    <w:p w14:paraId="5F6117CB" w14:textId="63DAB61D" w:rsidR="008B7E3A" w:rsidRPr="009715E4" w:rsidRDefault="004E2E68" w:rsidP="004E55C3">
      <w:pPr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>(3</w:t>
      </w:r>
      <w:r w:rsidR="00594FD5" w:rsidRPr="009715E4">
        <w:rPr>
          <w:color w:val="auto"/>
          <w:sz w:val="28"/>
          <w:szCs w:val="28"/>
        </w:rPr>
        <w:t xml:space="preserve">) </w:t>
      </w:r>
      <w:r w:rsidR="008B7E3A" w:rsidRPr="009715E4">
        <w:rPr>
          <w:color w:val="auto"/>
          <w:sz w:val="28"/>
          <w:szCs w:val="28"/>
        </w:rPr>
        <w:t>Regresa kārtībā piedzītie līdzekļi ieskaitāmi valsts pamatbudžetā.</w:t>
      </w:r>
      <w:r w:rsidR="004E55C3">
        <w:rPr>
          <w:color w:val="auto"/>
          <w:sz w:val="28"/>
          <w:szCs w:val="28"/>
        </w:rPr>
        <w:t>"</w:t>
      </w:r>
    </w:p>
    <w:p w14:paraId="5F6117CC" w14:textId="77777777" w:rsidR="008B7E3A" w:rsidRPr="009715E4" w:rsidRDefault="008B7E3A" w:rsidP="004E55C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lang w:val="lv-LV"/>
        </w:rPr>
      </w:pPr>
    </w:p>
    <w:p w14:paraId="5F6117DA" w14:textId="77777777" w:rsidR="00EB50D8" w:rsidRDefault="00EB50D8" w:rsidP="004E55C3">
      <w:pPr>
        <w:ind w:firstLine="709"/>
        <w:rPr>
          <w:color w:val="auto"/>
          <w:sz w:val="28"/>
          <w:szCs w:val="28"/>
        </w:rPr>
      </w:pPr>
    </w:p>
    <w:p w14:paraId="5F6117DB" w14:textId="77777777" w:rsidR="00EB50D8" w:rsidRPr="009715E4" w:rsidRDefault="00EB50D8" w:rsidP="004E55C3">
      <w:pPr>
        <w:ind w:firstLine="709"/>
        <w:rPr>
          <w:color w:val="auto"/>
          <w:sz w:val="28"/>
          <w:szCs w:val="28"/>
        </w:rPr>
      </w:pPr>
    </w:p>
    <w:p w14:paraId="58897011" w14:textId="77777777" w:rsidR="001E5B20" w:rsidRDefault="001E5B20" w:rsidP="004E55C3">
      <w:pPr>
        <w:ind w:firstLine="709"/>
        <w:rPr>
          <w:color w:val="auto"/>
          <w:sz w:val="28"/>
          <w:szCs w:val="28"/>
        </w:rPr>
      </w:pPr>
    </w:p>
    <w:p w14:paraId="5F6117DC" w14:textId="77777777" w:rsidR="00EB50D8" w:rsidRDefault="004E2E68" w:rsidP="004E55C3">
      <w:pPr>
        <w:ind w:firstLine="709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 xml:space="preserve">Finanšu </w:t>
      </w:r>
      <w:r w:rsidR="00EB50D8">
        <w:rPr>
          <w:color w:val="auto"/>
          <w:sz w:val="28"/>
          <w:szCs w:val="28"/>
        </w:rPr>
        <w:t>ministrs</w:t>
      </w:r>
    </w:p>
    <w:p w14:paraId="5F6117DD" w14:textId="77777777" w:rsidR="004E2E68" w:rsidRPr="009715E4" w:rsidRDefault="004E2E68" w:rsidP="004E55C3">
      <w:pPr>
        <w:ind w:firstLine="709"/>
        <w:rPr>
          <w:color w:val="auto"/>
          <w:sz w:val="28"/>
          <w:szCs w:val="28"/>
        </w:rPr>
      </w:pPr>
      <w:r w:rsidRPr="009715E4">
        <w:rPr>
          <w:color w:val="auto"/>
          <w:sz w:val="28"/>
          <w:szCs w:val="28"/>
        </w:rPr>
        <w:t>A.Vilks</w:t>
      </w:r>
    </w:p>
    <w:sectPr w:rsidR="004E2E68" w:rsidRPr="009715E4" w:rsidSect="004E55C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17E2" w14:textId="77777777" w:rsidR="00B522DF" w:rsidRDefault="00B522DF" w:rsidP="00E40595">
      <w:r>
        <w:separator/>
      </w:r>
    </w:p>
    <w:p w14:paraId="5F6117E3" w14:textId="77777777" w:rsidR="00B522DF" w:rsidRDefault="00B522DF"/>
  </w:endnote>
  <w:endnote w:type="continuationSeparator" w:id="0">
    <w:p w14:paraId="5F6117E4" w14:textId="77777777" w:rsidR="00B522DF" w:rsidRDefault="00B522DF" w:rsidP="00E40595">
      <w:r>
        <w:continuationSeparator/>
      </w:r>
    </w:p>
    <w:p w14:paraId="5F6117E5" w14:textId="77777777" w:rsidR="00B522DF" w:rsidRDefault="00B52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EF19" w14:textId="30195A94" w:rsidR="00B522DF" w:rsidRPr="004E55C3" w:rsidRDefault="00B522DF">
    <w:pPr>
      <w:pStyle w:val="Footer"/>
      <w:rPr>
        <w:sz w:val="16"/>
        <w:szCs w:val="16"/>
      </w:rPr>
    </w:pPr>
    <w:r w:rsidRPr="004E55C3">
      <w:rPr>
        <w:sz w:val="16"/>
        <w:szCs w:val="16"/>
      </w:rPr>
      <w:t>L3244_1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3A6A" w14:textId="4E971C30" w:rsidR="00B522DF" w:rsidRPr="004E55C3" w:rsidRDefault="00B522DF">
    <w:pPr>
      <w:pStyle w:val="Footer"/>
      <w:rPr>
        <w:sz w:val="16"/>
        <w:szCs w:val="16"/>
      </w:rPr>
    </w:pPr>
    <w:r w:rsidRPr="004E55C3">
      <w:rPr>
        <w:sz w:val="16"/>
        <w:szCs w:val="16"/>
      </w:rPr>
      <w:t>L3244_1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1209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17DE" w14:textId="77777777" w:rsidR="00B522DF" w:rsidRDefault="00B522DF" w:rsidP="00E40595">
      <w:r>
        <w:separator/>
      </w:r>
    </w:p>
    <w:p w14:paraId="5F6117DF" w14:textId="77777777" w:rsidR="00B522DF" w:rsidRDefault="00B522DF"/>
  </w:footnote>
  <w:footnote w:type="continuationSeparator" w:id="0">
    <w:p w14:paraId="5F6117E0" w14:textId="77777777" w:rsidR="00B522DF" w:rsidRDefault="00B522DF" w:rsidP="00E40595">
      <w:r>
        <w:continuationSeparator/>
      </w:r>
    </w:p>
    <w:p w14:paraId="5F6117E1" w14:textId="77777777" w:rsidR="00B522DF" w:rsidRDefault="00B522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17E6" w14:textId="77777777" w:rsidR="00B522DF" w:rsidRDefault="00B522DF">
    <w:pPr>
      <w:pStyle w:val="Header"/>
    </w:pPr>
  </w:p>
  <w:p w14:paraId="5F6117E7" w14:textId="77777777" w:rsidR="00B522DF" w:rsidRDefault="00B522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17E8" w14:textId="77777777" w:rsidR="00B522DF" w:rsidRPr="004E55C3" w:rsidRDefault="00B522DF">
    <w:pPr>
      <w:pStyle w:val="Header"/>
      <w:jc w:val="center"/>
      <w:rPr>
        <w:sz w:val="24"/>
        <w:szCs w:val="24"/>
      </w:rPr>
    </w:pPr>
    <w:r w:rsidRPr="004E55C3">
      <w:rPr>
        <w:sz w:val="24"/>
        <w:szCs w:val="24"/>
      </w:rPr>
      <w:fldChar w:fldCharType="begin"/>
    </w:r>
    <w:r w:rsidRPr="004E55C3">
      <w:rPr>
        <w:sz w:val="24"/>
        <w:szCs w:val="24"/>
      </w:rPr>
      <w:instrText xml:space="preserve"> PAGE   \* MERGEFORMAT </w:instrText>
    </w:r>
    <w:r w:rsidRPr="004E55C3">
      <w:rPr>
        <w:sz w:val="24"/>
        <w:szCs w:val="24"/>
      </w:rPr>
      <w:fldChar w:fldCharType="separate"/>
    </w:r>
    <w:r w:rsidR="005537DC">
      <w:rPr>
        <w:noProof/>
        <w:sz w:val="24"/>
        <w:szCs w:val="24"/>
      </w:rPr>
      <w:t>5</w:t>
    </w:r>
    <w:r w:rsidRPr="004E55C3">
      <w:rPr>
        <w:noProof/>
        <w:sz w:val="24"/>
        <w:szCs w:val="24"/>
      </w:rPr>
      <w:fldChar w:fldCharType="end"/>
    </w:r>
  </w:p>
  <w:p w14:paraId="5F6117E9" w14:textId="77777777" w:rsidR="00B522DF" w:rsidRDefault="00B522DF">
    <w:pPr>
      <w:pStyle w:val="Header"/>
    </w:pPr>
  </w:p>
  <w:p w14:paraId="5F6117EA" w14:textId="77777777" w:rsidR="00B522DF" w:rsidRDefault="00B522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79C"/>
    <w:multiLevelType w:val="hybridMultilevel"/>
    <w:tmpl w:val="1C6A4E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600"/>
    <w:multiLevelType w:val="hybridMultilevel"/>
    <w:tmpl w:val="5A5E415C"/>
    <w:lvl w:ilvl="0" w:tplc="B552AA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051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894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2D5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A11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2E9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C4B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025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284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C92888"/>
    <w:multiLevelType w:val="hybridMultilevel"/>
    <w:tmpl w:val="CEBC98CE"/>
    <w:lvl w:ilvl="0" w:tplc="0426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BA1"/>
    <w:multiLevelType w:val="hybridMultilevel"/>
    <w:tmpl w:val="272E906C"/>
    <w:lvl w:ilvl="0" w:tplc="FC8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C3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E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8E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4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4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E8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87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8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0D3EDA"/>
    <w:multiLevelType w:val="hybridMultilevel"/>
    <w:tmpl w:val="D02011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0640A"/>
    <w:multiLevelType w:val="hybridMultilevel"/>
    <w:tmpl w:val="91F874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088"/>
    <w:multiLevelType w:val="hybridMultilevel"/>
    <w:tmpl w:val="DD602B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D6E88"/>
    <w:multiLevelType w:val="hybridMultilevel"/>
    <w:tmpl w:val="3028B352"/>
    <w:lvl w:ilvl="0" w:tplc="D9123BAE">
      <w:start w:val="1"/>
      <w:numFmt w:val="decimal"/>
      <w:lvlText w:val="(%1)"/>
      <w:lvlJc w:val="left"/>
      <w:pPr>
        <w:ind w:left="2062" w:hanging="360"/>
      </w:pPr>
      <w:rPr>
        <w:rFonts w:hint="default"/>
        <w:color w:val="0D0D0D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782" w:hanging="360"/>
      </w:pPr>
    </w:lvl>
    <w:lvl w:ilvl="2" w:tplc="0426001B" w:tentative="1">
      <w:start w:val="1"/>
      <w:numFmt w:val="lowerRoman"/>
      <w:lvlText w:val="%3."/>
      <w:lvlJc w:val="right"/>
      <w:pPr>
        <w:ind w:left="3502" w:hanging="180"/>
      </w:pPr>
    </w:lvl>
    <w:lvl w:ilvl="3" w:tplc="0426000F" w:tentative="1">
      <w:start w:val="1"/>
      <w:numFmt w:val="decimal"/>
      <w:lvlText w:val="%4."/>
      <w:lvlJc w:val="left"/>
      <w:pPr>
        <w:ind w:left="4222" w:hanging="360"/>
      </w:pPr>
    </w:lvl>
    <w:lvl w:ilvl="4" w:tplc="04260019" w:tentative="1">
      <w:start w:val="1"/>
      <w:numFmt w:val="lowerLetter"/>
      <w:lvlText w:val="%5."/>
      <w:lvlJc w:val="left"/>
      <w:pPr>
        <w:ind w:left="4942" w:hanging="360"/>
      </w:pPr>
    </w:lvl>
    <w:lvl w:ilvl="5" w:tplc="0426001B" w:tentative="1">
      <w:start w:val="1"/>
      <w:numFmt w:val="lowerRoman"/>
      <w:lvlText w:val="%6."/>
      <w:lvlJc w:val="right"/>
      <w:pPr>
        <w:ind w:left="5662" w:hanging="180"/>
      </w:pPr>
    </w:lvl>
    <w:lvl w:ilvl="6" w:tplc="0426000F" w:tentative="1">
      <w:start w:val="1"/>
      <w:numFmt w:val="decimal"/>
      <w:lvlText w:val="%7."/>
      <w:lvlJc w:val="left"/>
      <w:pPr>
        <w:ind w:left="6382" w:hanging="360"/>
      </w:pPr>
    </w:lvl>
    <w:lvl w:ilvl="7" w:tplc="04260019" w:tentative="1">
      <w:start w:val="1"/>
      <w:numFmt w:val="lowerLetter"/>
      <w:lvlText w:val="%8."/>
      <w:lvlJc w:val="left"/>
      <w:pPr>
        <w:ind w:left="7102" w:hanging="360"/>
      </w:pPr>
    </w:lvl>
    <w:lvl w:ilvl="8" w:tplc="042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79DD580C"/>
    <w:multiLevelType w:val="hybridMultilevel"/>
    <w:tmpl w:val="CF3E14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936"/>
    <w:rsid w:val="00006B26"/>
    <w:rsid w:val="000120BD"/>
    <w:rsid w:val="000135CD"/>
    <w:rsid w:val="000174AD"/>
    <w:rsid w:val="00017BE5"/>
    <w:rsid w:val="00026465"/>
    <w:rsid w:val="00026FB2"/>
    <w:rsid w:val="000321B2"/>
    <w:rsid w:val="00032794"/>
    <w:rsid w:val="00034BB3"/>
    <w:rsid w:val="00040E8D"/>
    <w:rsid w:val="0004390A"/>
    <w:rsid w:val="00045DFC"/>
    <w:rsid w:val="00050B5E"/>
    <w:rsid w:val="00056D0E"/>
    <w:rsid w:val="00060438"/>
    <w:rsid w:val="0006141D"/>
    <w:rsid w:val="0006194F"/>
    <w:rsid w:val="00061951"/>
    <w:rsid w:val="00062A20"/>
    <w:rsid w:val="00081D12"/>
    <w:rsid w:val="000832F1"/>
    <w:rsid w:val="00086807"/>
    <w:rsid w:val="00087451"/>
    <w:rsid w:val="00087A9C"/>
    <w:rsid w:val="00095D41"/>
    <w:rsid w:val="000A60DB"/>
    <w:rsid w:val="000A61C5"/>
    <w:rsid w:val="000C257F"/>
    <w:rsid w:val="000D2B4B"/>
    <w:rsid w:val="000E1DBE"/>
    <w:rsid w:val="000F14E4"/>
    <w:rsid w:val="000F2ED4"/>
    <w:rsid w:val="000F34FA"/>
    <w:rsid w:val="00110465"/>
    <w:rsid w:val="00117EC5"/>
    <w:rsid w:val="0012533D"/>
    <w:rsid w:val="00134D9C"/>
    <w:rsid w:val="0013706D"/>
    <w:rsid w:val="0014035C"/>
    <w:rsid w:val="00143078"/>
    <w:rsid w:val="0014734D"/>
    <w:rsid w:val="00160A6A"/>
    <w:rsid w:val="001622AE"/>
    <w:rsid w:val="00163AE8"/>
    <w:rsid w:val="00172DC0"/>
    <w:rsid w:val="00173828"/>
    <w:rsid w:val="00173CA7"/>
    <w:rsid w:val="00173FBA"/>
    <w:rsid w:val="001774C6"/>
    <w:rsid w:val="00180CBE"/>
    <w:rsid w:val="001959A1"/>
    <w:rsid w:val="001A5CD0"/>
    <w:rsid w:val="001A67E2"/>
    <w:rsid w:val="001A6C7E"/>
    <w:rsid w:val="001A71D6"/>
    <w:rsid w:val="001B1B36"/>
    <w:rsid w:val="001B1EE8"/>
    <w:rsid w:val="001B2CC1"/>
    <w:rsid w:val="001B3F89"/>
    <w:rsid w:val="001B69E0"/>
    <w:rsid w:val="001B719D"/>
    <w:rsid w:val="001D6EA9"/>
    <w:rsid w:val="001E0192"/>
    <w:rsid w:val="001E21EC"/>
    <w:rsid w:val="001E5B20"/>
    <w:rsid w:val="001F091F"/>
    <w:rsid w:val="001F529D"/>
    <w:rsid w:val="00205DB9"/>
    <w:rsid w:val="0021104D"/>
    <w:rsid w:val="002204D6"/>
    <w:rsid w:val="00220A6D"/>
    <w:rsid w:val="00237FC1"/>
    <w:rsid w:val="002570C0"/>
    <w:rsid w:val="00277AA7"/>
    <w:rsid w:val="0028153B"/>
    <w:rsid w:val="00282BA9"/>
    <w:rsid w:val="002910F0"/>
    <w:rsid w:val="00294936"/>
    <w:rsid w:val="002A0CFD"/>
    <w:rsid w:val="002A4296"/>
    <w:rsid w:val="002C52C8"/>
    <w:rsid w:val="002D0554"/>
    <w:rsid w:val="002D13C5"/>
    <w:rsid w:val="002D2A7D"/>
    <w:rsid w:val="002D4341"/>
    <w:rsid w:val="002D5354"/>
    <w:rsid w:val="002D5813"/>
    <w:rsid w:val="002E3F72"/>
    <w:rsid w:val="002E7C82"/>
    <w:rsid w:val="002F5D9B"/>
    <w:rsid w:val="00303FCC"/>
    <w:rsid w:val="00310D21"/>
    <w:rsid w:val="003118A4"/>
    <w:rsid w:val="003204EC"/>
    <w:rsid w:val="0032156C"/>
    <w:rsid w:val="00337FE2"/>
    <w:rsid w:val="00355717"/>
    <w:rsid w:val="00375577"/>
    <w:rsid w:val="00383B5D"/>
    <w:rsid w:val="00384455"/>
    <w:rsid w:val="00390994"/>
    <w:rsid w:val="003A38D6"/>
    <w:rsid w:val="003B2BDE"/>
    <w:rsid w:val="003B3AD6"/>
    <w:rsid w:val="003C7B96"/>
    <w:rsid w:val="003E57A6"/>
    <w:rsid w:val="003F1F5E"/>
    <w:rsid w:val="00400C1C"/>
    <w:rsid w:val="00417702"/>
    <w:rsid w:val="004249DA"/>
    <w:rsid w:val="00425A96"/>
    <w:rsid w:val="00436464"/>
    <w:rsid w:val="0045213B"/>
    <w:rsid w:val="00457454"/>
    <w:rsid w:val="00461EEA"/>
    <w:rsid w:val="00472528"/>
    <w:rsid w:val="004808DE"/>
    <w:rsid w:val="004814E5"/>
    <w:rsid w:val="00485627"/>
    <w:rsid w:val="00493249"/>
    <w:rsid w:val="00495E1F"/>
    <w:rsid w:val="00497327"/>
    <w:rsid w:val="004A3F26"/>
    <w:rsid w:val="004B0560"/>
    <w:rsid w:val="004B0A89"/>
    <w:rsid w:val="004B0FD6"/>
    <w:rsid w:val="004B1B6A"/>
    <w:rsid w:val="004B2FCA"/>
    <w:rsid w:val="004C276F"/>
    <w:rsid w:val="004C792E"/>
    <w:rsid w:val="004C7B57"/>
    <w:rsid w:val="004D0392"/>
    <w:rsid w:val="004D3A0C"/>
    <w:rsid w:val="004D5711"/>
    <w:rsid w:val="004E1523"/>
    <w:rsid w:val="004E2E68"/>
    <w:rsid w:val="004E4D42"/>
    <w:rsid w:val="004E55C3"/>
    <w:rsid w:val="004E6B89"/>
    <w:rsid w:val="004F120B"/>
    <w:rsid w:val="004F2C7A"/>
    <w:rsid w:val="004F6CE8"/>
    <w:rsid w:val="004F7F41"/>
    <w:rsid w:val="005015F8"/>
    <w:rsid w:val="0050199F"/>
    <w:rsid w:val="0051361C"/>
    <w:rsid w:val="00514A39"/>
    <w:rsid w:val="005167D6"/>
    <w:rsid w:val="005175A1"/>
    <w:rsid w:val="005205FB"/>
    <w:rsid w:val="0052104D"/>
    <w:rsid w:val="0052401F"/>
    <w:rsid w:val="005257C4"/>
    <w:rsid w:val="005279E9"/>
    <w:rsid w:val="00544B22"/>
    <w:rsid w:val="005465C0"/>
    <w:rsid w:val="00546EB5"/>
    <w:rsid w:val="005537DC"/>
    <w:rsid w:val="00556017"/>
    <w:rsid w:val="00560217"/>
    <w:rsid w:val="00561F24"/>
    <w:rsid w:val="00581E72"/>
    <w:rsid w:val="00582ACA"/>
    <w:rsid w:val="00583F8E"/>
    <w:rsid w:val="00594FD5"/>
    <w:rsid w:val="005A3CD3"/>
    <w:rsid w:val="005B10B8"/>
    <w:rsid w:val="005B2C46"/>
    <w:rsid w:val="005C43B3"/>
    <w:rsid w:val="005C56F8"/>
    <w:rsid w:val="005C584D"/>
    <w:rsid w:val="005C70A9"/>
    <w:rsid w:val="005D38B9"/>
    <w:rsid w:val="005E1387"/>
    <w:rsid w:val="005E1A7F"/>
    <w:rsid w:val="005E1C50"/>
    <w:rsid w:val="005E2077"/>
    <w:rsid w:val="005E3F8F"/>
    <w:rsid w:val="005E57F9"/>
    <w:rsid w:val="005F0325"/>
    <w:rsid w:val="005F1768"/>
    <w:rsid w:val="006016D6"/>
    <w:rsid w:val="00605654"/>
    <w:rsid w:val="0060665F"/>
    <w:rsid w:val="00614D64"/>
    <w:rsid w:val="00620417"/>
    <w:rsid w:val="00620AD4"/>
    <w:rsid w:val="00620ECC"/>
    <w:rsid w:val="00623A36"/>
    <w:rsid w:val="00636DA3"/>
    <w:rsid w:val="006403A0"/>
    <w:rsid w:val="006454D3"/>
    <w:rsid w:val="006659E4"/>
    <w:rsid w:val="00680070"/>
    <w:rsid w:val="00690424"/>
    <w:rsid w:val="006919FA"/>
    <w:rsid w:val="006968E0"/>
    <w:rsid w:val="006A1D0F"/>
    <w:rsid w:val="006A1F82"/>
    <w:rsid w:val="006A39F9"/>
    <w:rsid w:val="006A5294"/>
    <w:rsid w:val="006B0430"/>
    <w:rsid w:val="006B1A3D"/>
    <w:rsid w:val="006C306F"/>
    <w:rsid w:val="006C4CDE"/>
    <w:rsid w:val="006C685F"/>
    <w:rsid w:val="006D15E3"/>
    <w:rsid w:val="006D4D54"/>
    <w:rsid w:val="006D4ED3"/>
    <w:rsid w:val="006D6442"/>
    <w:rsid w:val="006D6D20"/>
    <w:rsid w:val="006E0EE5"/>
    <w:rsid w:val="006E1D86"/>
    <w:rsid w:val="006E355E"/>
    <w:rsid w:val="006E44FA"/>
    <w:rsid w:val="006E4C50"/>
    <w:rsid w:val="006E6323"/>
    <w:rsid w:val="006F3B6C"/>
    <w:rsid w:val="00702A88"/>
    <w:rsid w:val="007040D2"/>
    <w:rsid w:val="00706342"/>
    <w:rsid w:val="00706C70"/>
    <w:rsid w:val="00707E28"/>
    <w:rsid w:val="0071312D"/>
    <w:rsid w:val="00716740"/>
    <w:rsid w:val="0072028B"/>
    <w:rsid w:val="00722250"/>
    <w:rsid w:val="00733F55"/>
    <w:rsid w:val="00734B5C"/>
    <w:rsid w:val="00742078"/>
    <w:rsid w:val="00751500"/>
    <w:rsid w:val="00755087"/>
    <w:rsid w:val="00756D70"/>
    <w:rsid w:val="00760FA7"/>
    <w:rsid w:val="0076665D"/>
    <w:rsid w:val="00771D26"/>
    <w:rsid w:val="0077465E"/>
    <w:rsid w:val="00776242"/>
    <w:rsid w:val="007804EB"/>
    <w:rsid w:val="00781B05"/>
    <w:rsid w:val="0078737A"/>
    <w:rsid w:val="00795934"/>
    <w:rsid w:val="007A00D6"/>
    <w:rsid w:val="007A17E6"/>
    <w:rsid w:val="007A2945"/>
    <w:rsid w:val="007A2E45"/>
    <w:rsid w:val="007A7347"/>
    <w:rsid w:val="007B6134"/>
    <w:rsid w:val="007C0E8E"/>
    <w:rsid w:val="007C21D2"/>
    <w:rsid w:val="007C54D2"/>
    <w:rsid w:val="007C7860"/>
    <w:rsid w:val="007D3800"/>
    <w:rsid w:val="007E1205"/>
    <w:rsid w:val="007E5DC8"/>
    <w:rsid w:val="007E64B9"/>
    <w:rsid w:val="007E6C43"/>
    <w:rsid w:val="007F1D96"/>
    <w:rsid w:val="007F6BE5"/>
    <w:rsid w:val="008202D5"/>
    <w:rsid w:val="008310E9"/>
    <w:rsid w:val="008402F9"/>
    <w:rsid w:val="00841195"/>
    <w:rsid w:val="00844EEF"/>
    <w:rsid w:val="008529D7"/>
    <w:rsid w:val="00857B37"/>
    <w:rsid w:val="008608CE"/>
    <w:rsid w:val="00861C44"/>
    <w:rsid w:val="008637F4"/>
    <w:rsid w:val="008869A7"/>
    <w:rsid w:val="00893741"/>
    <w:rsid w:val="008A12DD"/>
    <w:rsid w:val="008A5FD0"/>
    <w:rsid w:val="008A7059"/>
    <w:rsid w:val="008B189A"/>
    <w:rsid w:val="008B7125"/>
    <w:rsid w:val="008B7E3A"/>
    <w:rsid w:val="008C0B16"/>
    <w:rsid w:val="008C2742"/>
    <w:rsid w:val="008D39DB"/>
    <w:rsid w:val="008D7D9F"/>
    <w:rsid w:val="008F3276"/>
    <w:rsid w:val="008F3386"/>
    <w:rsid w:val="008F6024"/>
    <w:rsid w:val="00910175"/>
    <w:rsid w:val="009143D6"/>
    <w:rsid w:val="00914B12"/>
    <w:rsid w:val="00922D58"/>
    <w:rsid w:val="00925520"/>
    <w:rsid w:val="00931C95"/>
    <w:rsid w:val="00934DA4"/>
    <w:rsid w:val="0094000D"/>
    <w:rsid w:val="009406B2"/>
    <w:rsid w:val="00944385"/>
    <w:rsid w:val="00951EB8"/>
    <w:rsid w:val="00962E17"/>
    <w:rsid w:val="00967906"/>
    <w:rsid w:val="009704AA"/>
    <w:rsid w:val="009715E4"/>
    <w:rsid w:val="00976F76"/>
    <w:rsid w:val="00980E66"/>
    <w:rsid w:val="009812F1"/>
    <w:rsid w:val="0098211F"/>
    <w:rsid w:val="0099011D"/>
    <w:rsid w:val="009A3542"/>
    <w:rsid w:val="009A7FF3"/>
    <w:rsid w:val="009B1546"/>
    <w:rsid w:val="009B50E0"/>
    <w:rsid w:val="009B6FDE"/>
    <w:rsid w:val="009B759A"/>
    <w:rsid w:val="009C0A9C"/>
    <w:rsid w:val="009C2312"/>
    <w:rsid w:val="009C4714"/>
    <w:rsid w:val="009C5A0B"/>
    <w:rsid w:val="009D44F6"/>
    <w:rsid w:val="009D4BF3"/>
    <w:rsid w:val="009D664E"/>
    <w:rsid w:val="009D73DF"/>
    <w:rsid w:val="009E47D9"/>
    <w:rsid w:val="009F1CB9"/>
    <w:rsid w:val="009F4A66"/>
    <w:rsid w:val="009F4D4A"/>
    <w:rsid w:val="00A0054C"/>
    <w:rsid w:val="00A02D53"/>
    <w:rsid w:val="00A13BB7"/>
    <w:rsid w:val="00A13E2D"/>
    <w:rsid w:val="00A14183"/>
    <w:rsid w:val="00A23871"/>
    <w:rsid w:val="00A2592B"/>
    <w:rsid w:val="00A26DF0"/>
    <w:rsid w:val="00A31257"/>
    <w:rsid w:val="00A37EAB"/>
    <w:rsid w:val="00A42A9C"/>
    <w:rsid w:val="00A45878"/>
    <w:rsid w:val="00A557C5"/>
    <w:rsid w:val="00A62766"/>
    <w:rsid w:val="00A6696E"/>
    <w:rsid w:val="00A70D8D"/>
    <w:rsid w:val="00A733EB"/>
    <w:rsid w:val="00A753E8"/>
    <w:rsid w:val="00A7586D"/>
    <w:rsid w:val="00A80B99"/>
    <w:rsid w:val="00A864EE"/>
    <w:rsid w:val="00A956A4"/>
    <w:rsid w:val="00A95D8C"/>
    <w:rsid w:val="00AA1B36"/>
    <w:rsid w:val="00AA4667"/>
    <w:rsid w:val="00AA633E"/>
    <w:rsid w:val="00AA7BCD"/>
    <w:rsid w:val="00AC2934"/>
    <w:rsid w:val="00AC2B7F"/>
    <w:rsid w:val="00AC3BA3"/>
    <w:rsid w:val="00AC44DB"/>
    <w:rsid w:val="00AC7089"/>
    <w:rsid w:val="00AD20F3"/>
    <w:rsid w:val="00AF32DC"/>
    <w:rsid w:val="00AF3C9F"/>
    <w:rsid w:val="00B0717B"/>
    <w:rsid w:val="00B13F49"/>
    <w:rsid w:val="00B15321"/>
    <w:rsid w:val="00B21663"/>
    <w:rsid w:val="00B304FD"/>
    <w:rsid w:val="00B340A8"/>
    <w:rsid w:val="00B40D1E"/>
    <w:rsid w:val="00B423E9"/>
    <w:rsid w:val="00B522DF"/>
    <w:rsid w:val="00B621EF"/>
    <w:rsid w:val="00B63569"/>
    <w:rsid w:val="00B6475B"/>
    <w:rsid w:val="00B65E7E"/>
    <w:rsid w:val="00B6639B"/>
    <w:rsid w:val="00B7526D"/>
    <w:rsid w:val="00B76975"/>
    <w:rsid w:val="00B82F8F"/>
    <w:rsid w:val="00B8372E"/>
    <w:rsid w:val="00B965D9"/>
    <w:rsid w:val="00B97EC5"/>
    <w:rsid w:val="00BA43AB"/>
    <w:rsid w:val="00BB7349"/>
    <w:rsid w:val="00BD09A0"/>
    <w:rsid w:val="00BD2A40"/>
    <w:rsid w:val="00BD41C7"/>
    <w:rsid w:val="00BF1DFA"/>
    <w:rsid w:val="00C010EB"/>
    <w:rsid w:val="00C1077F"/>
    <w:rsid w:val="00C10E8B"/>
    <w:rsid w:val="00C16F06"/>
    <w:rsid w:val="00C1759D"/>
    <w:rsid w:val="00C21100"/>
    <w:rsid w:val="00C219F9"/>
    <w:rsid w:val="00C21EA8"/>
    <w:rsid w:val="00C31235"/>
    <w:rsid w:val="00C37074"/>
    <w:rsid w:val="00C404C1"/>
    <w:rsid w:val="00C423A8"/>
    <w:rsid w:val="00C42F29"/>
    <w:rsid w:val="00C468FF"/>
    <w:rsid w:val="00C57908"/>
    <w:rsid w:val="00C65884"/>
    <w:rsid w:val="00C73FB4"/>
    <w:rsid w:val="00C80018"/>
    <w:rsid w:val="00C86326"/>
    <w:rsid w:val="00C900FA"/>
    <w:rsid w:val="00C9207A"/>
    <w:rsid w:val="00C97779"/>
    <w:rsid w:val="00CA718F"/>
    <w:rsid w:val="00CD2A72"/>
    <w:rsid w:val="00CD2F04"/>
    <w:rsid w:val="00CD369E"/>
    <w:rsid w:val="00CE301A"/>
    <w:rsid w:val="00CE3710"/>
    <w:rsid w:val="00CF03A5"/>
    <w:rsid w:val="00CF50C0"/>
    <w:rsid w:val="00CF78D7"/>
    <w:rsid w:val="00D011C7"/>
    <w:rsid w:val="00D04740"/>
    <w:rsid w:val="00D15834"/>
    <w:rsid w:val="00D1628B"/>
    <w:rsid w:val="00D20F49"/>
    <w:rsid w:val="00D2576B"/>
    <w:rsid w:val="00D26312"/>
    <w:rsid w:val="00D3264E"/>
    <w:rsid w:val="00D41328"/>
    <w:rsid w:val="00D4503C"/>
    <w:rsid w:val="00D474E0"/>
    <w:rsid w:val="00D51365"/>
    <w:rsid w:val="00D66A37"/>
    <w:rsid w:val="00D66B82"/>
    <w:rsid w:val="00D71D38"/>
    <w:rsid w:val="00D7311C"/>
    <w:rsid w:val="00D74C10"/>
    <w:rsid w:val="00D756E2"/>
    <w:rsid w:val="00D75B71"/>
    <w:rsid w:val="00D90A6B"/>
    <w:rsid w:val="00D973FD"/>
    <w:rsid w:val="00DA40B4"/>
    <w:rsid w:val="00DB1E61"/>
    <w:rsid w:val="00DB2BB0"/>
    <w:rsid w:val="00DB3ABC"/>
    <w:rsid w:val="00DC2839"/>
    <w:rsid w:val="00DD10D6"/>
    <w:rsid w:val="00DD5D8E"/>
    <w:rsid w:val="00DE10B8"/>
    <w:rsid w:val="00DE38E7"/>
    <w:rsid w:val="00DE4410"/>
    <w:rsid w:val="00E00B39"/>
    <w:rsid w:val="00E01F3E"/>
    <w:rsid w:val="00E0224A"/>
    <w:rsid w:val="00E15000"/>
    <w:rsid w:val="00E23B65"/>
    <w:rsid w:val="00E25E7D"/>
    <w:rsid w:val="00E40595"/>
    <w:rsid w:val="00E503AB"/>
    <w:rsid w:val="00E55A7D"/>
    <w:rsid w:val="00E65A41"/>
    <w:rsid w:val="00E66549"/>
    <w:rsid w:val="00E723AD"/>
    <w:rsid w:val="00E72E88"/>
    <w:rsid w:val="00E76EF7"/>
    <w:rsid w:val="00E81A8A"/>
    <w:rsid w:val="00E83EEA"/>
    <w:rsid w:val="00E85902"/>
    <w:rsid w:val="00E923E3"/>
    <w:rsid w:val="00E92AFF"/>
    <w:rsid w:val="00EA5AB7"/>
    <w:rsid w:val="00EB30F3"/>
    <w:rsid w:val="00EB50D8"/>
    <w:rsid w:val="00EC2807"/>
    <w:rsid w:val="00EE134C"/>
    <w:rsid w:val="00EE3EC0"/>
    <w:rsid w:val="00EE4C89"/>
    <w:rsid w:val="00EE61D3"/>
    <w:rsid w:val="00EF1F61"/>
    <w:rsid w:val="00EF5559"/>
    <w:rsid w:val="00EF6CBD"/>
    <w:rsid w:val="00EF77F2"/>
    <w:rsid w:val="00F010B2"/>
    <w:rsid w:val="00F17204"/>
    <w:rsid w:val="00F17998"/>
    <w:rsid w:val="00F2494A"/>
    <w:rsid w:val="00F4137B"/>
    <w:rsid w:val="00F46D4A"/>
    <w:rsid w:val="00F47E32"/>
    <w:rsid w:val="00F5302B"/>
    <w:rsid w:val="00F67510"/>
    <w:rsid w:val="00F75077"/>
    <w:rsid w:val="00F813D9"/>
    <w:rsid w:val="00F8322D"/>
    <w:rsid w:val="00F8387A"/>
    <w:rsid w:val="00F87C85"/>
    <w:rsid w:val="00F95C6A"/>
    <w:rsid w:val="00F9624D"/>
    <w:rsid w:val="00FA0B1E"/>
    <w:rsid w:val="00FA7B95"/>
    <w:rsid w:val="00FB7469"/>
    <w:rsid w:val="00FC5BC4"/>
    <w:rsid w:val="00FE0938"/>
    <w:rsid w:val="00FE5094"/>
    <w:rsid w:val="00FE5D73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611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78"/>
    <w:rPr>
      <w:color w:val="0D0D0D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E2E68"/>
    <w:pPr>
      <w:keepNext/>
      <w:ind w:firstLine="720"/>
      <w:jc w:val="center"/>
      <w:outlineLvl w:val="2"/>
    </w:pPr>
    <w:rPr>
      <w:rFonts w:eastAsia="Times New Roman"/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93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en-US"/>
    </w:rPr>
  </w:style>
  <w:style w:type="paragraph" w:customStyle="1" w:styleId="naisf">
    <w:name w:val="naisf"/>
    <w:basedOn w:val="Normal"/>
    <w:rsid w:val="0029493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4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936"/>
    <w:pPr>
      <w:spacing w:after="200" w:line="276" w:lineRule="auto"/>
    </w:pPr>
    <w:rPr>
      <w:rFonts w:ascii="Calibri" w:hAnsi="Calibri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936"/>
    <w:rPr>
      <w:rFonts w:ascii="Calibri" w:eastAsia="Calibri" w:hAnsi="Calibri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36"/>
    <w:rPr>
      <w:rFonts w:ascii="Tahoma" w:hAnsi="Tahoma" w:cs="Tahoma"/>
      <w:noProof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BD"/>
    <w:pPr>
      <w:spacing w:after="0" w:line="240" w:lineRule="auto"/>
    </w:pPr>
    <w:rPr>
      <w:rFonts w:ascii="Times New Roman" w:hAnsi="Times New Roman"/>
      <w:b/>
      <w:bCs/>
      <w:color w:val="0D0D0D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BD"/>
    <w:rPr>
      <w:rFonts w:ascii="Calibri" w:eastAsia="Calibri" w:hAnsi="Calibri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405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0595"/>
    <w:rPr>
      <w:color w:val="0D0D0D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05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0595"/>
    <w:rPr>
      <w:color w:val="0D0D0D"/>
      <w:sz w:val="22"/>
      <w:szCs w:val="22"/>
      <w:lang w:eastAsia="en-US"/>
    </w:rPr>
  </w:style>
  <w:style w:type="paragraph" w:customStyle="1" w:styleId="naispant">
    <w:name w:val="naispant"/>
    <w:basedOn w:val="Normal"/>
    <w:rsid w:val="00976F7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A73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4D9C"/>
    <w:rPr>
      <w:i/>
      <w:iCs/>
    </w:rPr>
  </w:style>
  <w:style w:type="paragraph" w:styleId="NoSpacing">
    <w:name w:val="No Spacing"/>
    <w:uiPriority w:val="1"/>
    <w:qFormat/>
    <w:rsid w:val="00F46D4A"/>
    <w:rPr>
      <w:color w:val="0D0D0D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2E68"/>
    <w:rPr>
      <w:rFonts w:eastAsia="Times New Roman"/>
      <w:b/>
      <w:bCs/>
      <w:sz w:val="28"/>
      <w:szCs w:val="24"/>
      <w:lang w:eastAsia="en-US"/>
    </w:rPr>
  </w:style>
  <w:style w:type="paragraph" w:customStyle="1" w:styleId="naislab">
    <w:name w:val="naislab"/>
    <w:basedOn w:val="Normal"/>
    <w:rsid w:val="004E2E68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E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78"/>
    <w:rPr>
      <w:color w:val="0D0D0D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E2E68"/>
    <w:pPr>
      <w:keepNext/>
      <w:ind w:firstLine="720"/>
      <w:jc w:val="center"/>
      <w:outlineLvl w:val="2"/>
    </w:pPr>
    <w:rPr>
      <w:rFonts w:eastAsia="Times New Roman"/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93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en-US"/>
    </w:rPr>
  </w:style>
  <w:style w:type="paragraph" w:customStyle="1" w:styleId="naisf">
    <w:name w:val="naisf"/>
    <w:basedOn w:val="Normal"/>
    <w:rsid w:val="0029493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4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936"/>
    <w:pPr>
      <w:spacing w:after="200" w:line="276" w:lineRule="auto"/>
    </w:pPr>
    <w:rPr>
      <w:rFonts w:ascii="Calibri" w:hAnsi="Calibri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936"/>
    <w:rPr>
      <w:rFonts w:ascii="Calibri" w:eastAsia="Calibri" w:hAnsi="Calibri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36"/>
    <w:rPr>
      <w:rFonts w:ascii="Tahoma" w:hAnsi="Tahoma" w:cs="Tahoma"/>
      <w:noProof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BD"/>
    <w:pPr>
      <w:spacing w:after="0" w:line="240" w:lineRule="auto"/>
    </w:pPr>
    <w:rPr>
      <w:rFonts w:ascii="Times New Roman" w:hAnsi="Times New Roman"/>
      <w:b/>
      <w:bCs/>
      <w:color w:val="0D0D0D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BD"/>
    <w:rPr>
      <w:rFonts w:ascii="Calibri" w:eastAsia="Calibri" w:hAnsi="Calibri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405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0595"/>
    <w:rPr>
      <w:color w:val="0D0D0D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05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0595"/>
    <w:rPr>
      <w:color w:val="0D0D0D"/>
      <w:sz w:val="22"/>
      <w:szCs w:val="22"/>
      <w:lang w:eastAsia="en-US"/>
    </w:rPr>
  </w:style>
  <w:style w:type="paragraph" w:customStyle="1" w:styleId="naispant">
    <w:name w:val="naispant"/>
    <w:basedOn w:val="Normal"/>
    <w:rsid w:val="00976F7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A73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4D9C"/>
    <w:rPr>
      <w:i/>
      <w:iCs/>
    </w:rPr>
  </w:style>
  <w:style w:type="paragraph" w:styleId="NoSpacing">
    <w:name w:val="No Spacing"/>
    <w:uiPriority w:val="1"/>
    <w:qFormat/>
    <w:rsid w:val="00F46D4A"/>
    <w:rPr>
      <w:color w:val="0D0D0D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2E68"/>
    <w:rPr>
      <w:rFonts w:eastAsia="Times New Roman"/>
      <w:b/>
      <w:bCs/>
      <w:sz w:val="28"/>
      <w:szCs w:val="24"/>
      <w:lang w:eastAsia="en-US"/>
    </w:rPr>
  </w:style>
  <w:style w:type="paragraph" w:customStyle="1" w:styleId="naislab">
    <w:name w:val="naislab"/>
    <w:basedOn w:val="Normal"/>
    <w:rsid w:val="004E2E68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E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D31B-EC7F-4279-B338-269E8291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1209</Words>
  <Characters>8172</Characters>
  <Application>Microsoft Office Word</Application>
  <DocSecurity>0</DocSecurity>
  <Lines>188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Noziedzīgi iegūtu līdzekļu legalizācijas un terorisma finansēšanas novēršanas likumā</vt:lpstr>
      <vt:lpstr>Grozījums Noziedzīgi iegūtu līdzekļu legalizācijas un terorisma finansēšanas novēršanas likumā</vt:lpstr>
    </vt:vector>
  </TitlesOfParts>
  <Company>Tieslietu Ministrija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Noziedzīgi iegūtu līdzekļu legalizācijas un terorisma finansēšanas novēršanas likumā</dc:title>
  <dc:subject>Likumprojekts</dc:subject>
  <dc:creator>M.Stepiņš</dc:creator>
  <dc:description>67095490
maris.stepins@fm.gov.lv</dc:description>
  <cp:lastModifiedBy>Emīlija Spundzāne</cp:lastModifiedBy>
  <cp:revision>40</cp:revision>
  <cp:lastPrinted>2012-01-23T14:14:00Z</cp:lastPrinted>
  <dcterms:created xsi:type="dcterms:W3CDTF">2011-11-08T11:53:00Z</dcterms:created>
  <dcterms:modified xsi:type="dcterms:W3CDTF">2012-01-23T14:23:00Z</dcterms:modified>
</cp:coreProperties>
</file>