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27" w:rsidRPr="006240DD" w:rsidRDefault="00970527" w:rsidP="00970527">
      <w:pPr>
        <w:pStyle w:val="Header"/>
        <w:jc w:val="right"/>
        <w:rPr>
          <w:i/>
          <w:szCs w:val="28"/>
        </w:rPr>
      </w:pPr>
      <w:r w:rsidRPr="006240DD">
        <w:rPr>
          <w:i/>
          <w:szCs w:val="28"/>
        </w:rPr>
        <w:t>Projekts</w:t>
      </w:r>
    </w:p>
    <w:p w:rsidR="002223C0" w:rsidRPr="006240DD" w:rsidRDefault="002223C0" w:rsidP="00970527">
      <w:pPr>
        <w:pStyle w:val="Header"/>
        <w:jc w:val="right"/>
        <w:rPr>
          <w:i/>
          <w:szCs w:val="28"/>
        </w:rPr>
      </w:pPr>
    </w:p>
    <w:p w:rsidR="00970527" w:rsidRPr="006240DD" w:rsidRDefault="00970527" w:rsidP="00970527">
      <w:pPr>
        <w:jc w:val="right"/>
        <w:rPr>
          <w:b/>
          <w:szCs w:val="28"/>
        </w:rPr>
      </w:pPr>
    </w:p>
    <w:p w:rsidR="000D3E51" w:rsidRPr="006240DD" w:rsidRDefault="000D3E51" w:rsidP="0058360B">
      <w:pPr>
        <w:jc w:val="center"/>
        <w:rPr>
          <w:b/>
          <w:szCs w:val="28"/>
        </w:rPr>
      </w:pPr>
      <w:r w:rsidRPr="006240DD">
        <w:rPr>
          <w:b/>
          <w:szCs w:val="28"/>
        </w:rPr>
        <w:t>Fiskālās disciplīnas likums</w:t>
      </w:r>
    </w:p>
    <w:p w:rsidR="001E782A" w:rsidRPr="006240DD" w:rsidRDefault="001E782A" w:rsidP="0058360B">
      <w:pPr>
        <w:jc w:val="center"/>
        <w:rPr>
          <w:b/>
          <w:szCs w:val="28"/>
        </w:rPr>
      </w:pPr>
    </w:p>
    <w:p w:rsidR="00154CAF" w:rsidRPr="006240DD" w:rsidRDefault="002E17CC" w:rsidP="0058360B">
      <w:pPr>
        <w:jc w:val="both"/>
        <w:rPr>
          <w:b/>
          <w:szCs w:val="28"/>
        </w:rPr>
      </w:pPr>
      <w:r w:rsidRPr="006240DD">
        <w:rPr>
          <w:b/>
          <w:szCs w:val="28"/>
        </w:rPr>
        <w:tab/>
      </w:r>
      <w:r w:rsidR="00101355" w:rsidRPr="006240DD">
        <w:rPr>
          <w:b/>
          <w:szCs w:val="28"/>
        </w:rPr>
        <w:t>1.</w:t>
      </w:r>
      <w:r w:rsidR="00527D31" w:rsidRPr="006240DD">
        <w:rPr>
          <w:b/>
          <w:szCs w:val="28"/>
        </w:rPr>
        <w:t xml:space="preserve"> </w:t>
      </w:r>
      <w:r w:rsidR="00101355" w:rsidRPr="006240DD">
        <w:rPr>
          <w:b/>
          <w:szCs w:val="28"/>
        </w:rPr>
        <w:t>pants. Likuma mērķi</w:t>
      </w:r>
      <w:r w:rsidR="00737BFE" w:rsidRPr="006240DD">
        <w:rPr>
          <w:b/>
          <w:szCs w:val="28"/>
        </w:rPr>
        <w:t>s</w:t>
      </w:r>
    </w:p>
    <w:p w:rsidR="006A6FEC" w:rsidRPr="006240DD" w:rsidRDefault="002E17CC" w:rsidP="0058360B">
      <w:pPr>
        <w:pStyle w:val="Default"/>
        <w:jc w:val="both"/>
        <w:rPr>
          <w:rFonts w:ascii="Times New Roman" w:hAnsi="Times New Roman" w:cs="Times New Roman"/>
          <w:sz w:val="28"/>
          <w:szCs w:val="28"/>
        </w:rPr>
      </w:pPr>
      <w:r w:rsidRPr="006240DD">
        <w:rPr>
          <w:rFonts w:ascii="Times New Roman" w:hAnsi="Times New Roman" w:cs="Times New Roman"/>
          <w:sz w:val="28"/>
          <w:szCs w:val="28"/>
        </w:rPr>
        <w:tab/>
      </w:r>
      <w:r w:rsidR="001A1D74" w:rsidRPr="006240DD">
        <w:rPr>
          <w:rFonts w:ascii="Times New Roman" w:hAnsi="Times New Roman" w:cs="Times New Roman"/>
          <w:sz w:val="28"/>
          <w:szCs w:val="28"/>
        </w:rPr>
        <w:t xml:space="preserve">(1) </w:t>
      </w:r>
      <w:r w:rsidR="00F30E58" w:rsidRPr="006240DD">
        <w:rPr>
          <w:rFonts w:ascii="Times New Roman" w:hAnsi="Times New Roman" w:cs="Times New Roman"/>
          <w:sz w:val="28"/>
          <w:szCs w:val="28"/>
        </w:rPr>
        <w:t>F</w:t>
      </w:r>
      <w:r w:rsidR="00A70FE7" w:rsidRPr="006240DD">
        <w:rPr>
          <w:rFonts w:ascii="Times New Roman" w:hAnsi="Times New Roman" w:cs="Times New Roman"/>
          <w:sz w:val="28"/>
          <w:szCs w:val="28"/>
        </w:rPr>
        <w:t xml:space="preserve">iskālās disciplīnas </w:t>
      </w:r>
      <w:r w:rsidR="00830A57" w:rsidRPr="006240DD">
        <w:rPr>
          <w:rFonts w:ascii="Times New Roman" w:hAnsi="Times New Roman" w:cs="Times New Roman"/>
          <w:sz w:val="28"/>
          <w:szCs w:val="28"/>
        </w:rPr>
        <w:t>likuma</w:t>
      </w:r>
      <w:r w:rsidR="00AD3AC9" w:rsidRPr="006240DD">
        <w:rPr>
          <w:rFonts w:ascii="Times New Roman" w:hAnsi="Times New Roman" w:cs="Times New Roman"/>
          <w:sz w:val="28"/>
          <w:szCs w:val="28"/>
        </w:rPr>
        <w:t xml:space="preserve"> mērķi</w:t>
      </w:r>
      <w:r w:rsidR="00737BFE" w:rsidRPr="006240DD">
        <w:rPr>
          <w:rFonts w:ascii="Times New Roman" w:hAnsi="Times New Roman" w:cs="Times New Roman"/>
          <w:sz w:val="28"/>
          <w:szCs w:val="28"/>
        </w:rPr>
        <w:t>s ir</w:t>
      </w:r>
      <w:r w:rsidR="006A6FEC" w:rsidRPr="006240DD">
        <w:rPr>
          <w:rFonts w:ascii="Times New Roman" w:hAnsi="Times New Roman" w:cs="Times New Roman"/>
          <w:sz w:val="28"/>
          <w:szCs w:val="28"/>
        </w:rPr>
        <w:t xml:space="preserve"> nodrošināt ilgtspējīgu </w:t>
      </w:r>
      <w:r w:rsidR="00A97A48">
        <w:rPr>
          <w:rFonts w:ascii="Times New Roman" w:hAnsi="Times New Roman" w:cs="Times New Roman"/>
          <w:sz w:val="28"/>
          <w:szCs w:val="28"/>
        </w:rPr>
        <w:t>valsts</w:t>
      </w:r>
      <w:r w:rsidR="00A97A48" w:rsidRPr="006240DD">
        <w:rPr>
          <w:rFonts w:ascii="Times New Roman" w:hAnsi="Times New Roman" w:cs="Times New Roman"/>
          <w:sz w:val="28"/>
          <w:szCs w:val="28"/>
        </w:rPr>
        <w:t xml:space="preserve"> </w:t>
      </w:r>
      <w:r w:rsidR="006A6FEC" w:rsidRPr="006240DD">
        <w:rPr>
          <w:rFonts w:ascii="Times New Roman" w:hAnsi="Times New Roman" w:cs="Times New Roman"/>
          <w:sz w:val="28"/>
          <w:szCs w:val="28"/>
        </w:rPr>
        <w:t xml:space="preserve">attīstību, </w:t>
      </w:r>
      <w:r w:rsidR="00447E78" w:rsidRPr="006240DD">
        <w:rPr>
          <w:rFonts w:ascii="Times New Roman" w:hAnsi="Times New Roman" w:cs="Times New Roman"/>
          <w:sz w:val="28"/>
          <w:szCs w:val="28"/>
        </w:rPr>
        <w:t>makroekonomisko</w:t>
      </w:r>
      <w:r w:rsidR="006A6FEC" w:rsidRPr="006240DD">
        <w:rPr>
          <w:rFonts w:ascii="Times New Roman" w:hAnsi="Times New Roman" w:cs="Times New Roman"/>
          <w:sz w:val="28"/>
          <w:szCs w:val="28"/>
        </w:rPr>
        <w:t xml:space="preserve"> stabilitāti un samazināt tautsaimniecības ievainojamību ārējo </w:t>
      </w:r>
      <w:r w:rsidR="00A97A48">
        <w:rPr>
          <w:rFonts w:ascii="Times New Roman" w:hAnsi="Times New Roman" w:cs="Times New Roman"/>
          <w:sz w:val="28"/>
          <w:szCs w:val="28"/>
        </w:rPr>
        <w:t>satricinājumu</w:t>
      </w:r>
      <w:r w:rsidR="00A97A48" w:rsidRPr="006240DD">
        <w:rPr>
          <w:rFonts w:ascii="Times New Roman" w:hAnsi="Times New Roman" w:cs="Times New Roman"/>
          <w:sz w:val="28"/>
          <w:szCs w:val="28"/>
        </w:rPr>
        <w:t xml:space="preserve"> </w:t>
      </w:r>
      <w:r w:rsidR="006A6FEC" w:rsidRPr="006240DD">
        <w:rPr>
          <w:rFonts w:ascii="Times New Roman" w:hAnsi="Times New Roman" w:cs="Times New Roman"/>
          <w:sz w:val="28"/>
          <w:szCs w:val="28"/>
        </w:rPr>
        <w:t>rezultātā.</w:t>
      </w:r>
    </w:p>
    <w:p w:rsidR="00D6171A" w:rsidRPr="006240DD" w:rsidRDefault="002E17CC" w:rsidP="0058360B">
      <w:pPr>
        <w:pStyle w:val="Default"/>
        <w:jc w:val="both"/>
        <w:rPr>
          <w:rFonts w:ascii="Times New Roman" w:hAnsi="Times New Roman" w:cs="Times New Roman"/>
          <w:sz w:val="28"/>
          <w:szCs w:val="28"/>
        </w:rPr>
      </w:pPr>
      <w:r w:rsidRPr="006240DD">
        <w:rPr>
          <w:rFonts w:ascii="Times New Roman" w:hAnsi="Times New Roman" w:cs="Times New Roman"/>
          <w:sz w:val="28"/>
          <w:szCs w:val="28"/>
        </w:rPr>
        <w:tab/>
      </w:r>
      <w:r w:rsidR="001A1D74" w:rsidRPr="006240DD">
        <w:rPr>
          <w:rFonts w:ascii="Times New Roman" w:hAnsi="Times New Roman" w:cs="Times New Roman"/>
          <w:sz w:val="28"/>
          <w:szCs w:val="28"/>
        </w:rPr>
        <w:t xml:space="preserve">(2) </w:t>
      </w:r>
      <w:r w:rsidR="00737BFE" w:rsidRPr="006240DD">
        <w:rPr>
          <w:rFonts w:ascii="Times New Roman" w:hAnsi="Times New Roman" w:cs="Times New Roman"/>
          <w:sz w:val="28"/>
          <w:szCs w:val="28"/>
        </w:rPr>
        <w:t xml:space="preserve">Šis likums nosaka </w:t>
      </w:r>
      <w:r w:rsidR="00864ED7" w:rsidRPr="006240DD">
        <w:rPr>
          <w:rFonts w:ascii="Times New Roman" w:hAnsi="Times New Roman" w:cs="Times New Roman"/>
          <w:sz w:val="28"/>
          <w:szCs w:val="28"/>
        </w:rPr>
        <w:t xml:space="preserve">fiskālās </w:t>
      </w:r>
      <w:r w:rsidR="00737BFE" w:rsidRPr="006240DD">
        <w:rPr>
          <w:rFonts w:ascii="Times New Roman" w:hAnsi="Times New Roman" w:cs="Times New Roman"/>
          <w:sz w:val="28"/>
          <w:szCs w:val="28"/>
        </w:rPr>
        <w:t>politikas veidošanas principus,</w:t>
      </w:r>
      <w:r w:rsidR="00F21D45" w:rsidRPr="006240DD">
        <w:rPr>
          <w:rFonts w:ascii="Times New Roman" w:hAnsi="Times New Roman" w:cs="Times New Roman"/>
          <w:sz w:val="28"/>
          <w:szCs w:val="28"/>
        </w:rPr>
        <w:t xml:space="preserve"> t</w:t>
      </w:r>
      <w:r w:rsidR="00C7353E" w:rsidRPr="006240DD">
        <w:rPr>
          <w:rFonts w:ascii="Times New Roman" w:hAnsi="Times New Roman" w:cs="Times New Roman"/>
          <w:sz w:val="28"/>
          <w:szCs w:val="28"/>
        </w:rPr>
        <w:t>ās</w:t>
      </w:r>
      <w:r w:rsidR="00F21D45" w:rsidRPr="006240DD">
        <w:rPr>
          <w:rFonts w:ascii="Times New Roman" w:hAnsi="Times New Roman" w:cs="Times New Roman"/>
          <w:sz w:val="28"/>
          <w:szCs w:val="28"/>
        </w:rPr>
        <w:t xml:space="preserve"> </w:t>
      </w:r>
      <w:r w:rsidR="009132AC" w:rsidRPr="006240DD">
        <w:rPr>
          <w:rFonts w:ascii="Times New Roman" w:hAnsi="Times New Roman" w:cs="Times New Roman"/>
          <w:sz w:val="28"/>
          <w:szCs w:val="28"/>
        </w:rPr>
        <w:t>plānošanas</w:t>
      </w:r>
      <w:r w:rsidR="008F2084" w:rsidRPr="006240DD">
        <w:rPr>
          <w:rFonts w:ascii="Times New Roman" w:hAnsi="Times New Roman" w:cs="Times New Roman"/>
          <w:sz w:val="28"/>
          <w:szCs w:val="28"/>
        </w:rPr>
        <w:t xml:space="preserve"> un realizēšanas</w:t>
      </w:r>
      <w:r w:rsidR="00737BFE" w:rsidRPr="006240DD">
        <w:rPr>
          <w:rFonts w:ascii="Times New Roman" w:hAnsi="Times New Roman" w:cs="Times New Roman"/>
          <w:sz w:val="28"/>
          <w:szCs w:val="28"/>
        </w:rPr>
        <w:t xml:space="preserve"> instrumentus un fiskālos nosacījumus. </w:t>
      </w:r>
    </w:p>
    <w:p w:rsidR="001E782A" w:rsidRPr="006240DD" w:rsidRDefault="001E782A" w:rsidP="0058360B">
      <w:pPr>
        <w:jc w:val="both"/>
        <w:rPr>
          <w:szCs w:val="28"/>
        </w:rPr>
      </w:pPr>
    </w:p>
    <w:p w:rsidR="00DB72CB" w:rsidRPr="006240DD" w:rsidRDefault="002E17CC" w:rsidP="0058360B">
      <w:pPr>
        <w:jc w:val="both"/>
        <w:rPr>
          <w:b/>
          <w:szCs w:val="28"/>
        </w:rPr>
      </w:pPr>
      <w:r w:rsidRPr="006240DD">
        <w:rPr>
          <w:b/>
          <w:szCs w:val="28"/>
        </w:rPr>
        <w:tab/>
      </w:r>
      <w:r w:rsidR="005D4DA1" w:rsidRPr="006240DD">
        <w:rPr>
          <w:b/>
          <w:szCs w:val="28"/>
        </w:rPr>
        <w:t>2</w:t>
      </w:r>
      <w:r w:rsidR="00DB72CB" w:rsidRPr="006240DD">
        <w:rPr>
          <w:b/>
          <w:szCs w:val="28"/>
        </w:rPr>
        <w:t>. pants. Likuma darbības joma</w:t>
      </w:r>
    </w:p>
    <w:p w:rsidR="00A0149A" w:rsidRPr="006240DD" w:rsidRDefault="002E17CC" w:rsidP="0058360B">
      <w:pPr>
        <w:jc w:val="both"/>
        <w:rPr>
          <w:szCs w:val="28"/>
        </w:rPr>
      </w:pPr>
      <w:r w:rsidRPr="006240DD">
        <w:rPr>
          <w:szCs w:val="28"/>
        </w:rPr>
        <w:tab/>
      </w:r>
      <w:r w:rsidR="00623002" w:rsidRPr="00623002">
        <w:rPr>
          <w:szCs w:val="28"/>
        </w:rPr>
        <w:t>Likums attiecas uz valsts un pašvaldību budžeta iestādēm, budžeta nefinansētām iestādēm, no valsts budžeta daļēji finansētām atvasinātām publiskām personām, kā arī nosaka fiskālās politikas principus, kas jāievēro arī citām vispārējās valdības sektorā atbilstoši Eiropas Savienībā piemērotajai metodoloģijai iekļaujamām institūcijām.</w:t>
      </w:r>
    </w:p>
    <w:p w:rsidR="001F203E" w:rsidRPr="006240DD" w:rsidRDefault="001F203E" w:rsidP="00DE7882">
      <w:pPr>
        <w:ind w:firstLine="720"/>
        <w:jc w:val="both"/>
        <w:rPr>
          <w:szCs w:val="28"/>
        </w:rPr>
      </w:pPr>
    </w:p>
    <w:p w:rsidR="00154CAF" w:rsidRPr="006240DD" w:rsidRDefault="002E17CC" w:rsidP="0058360B">
      <w:pPr>
        <w:jc w:val="both"/>
        <w:rPr>
          <w:b/>
          <w:szCs w:val="28"/>
        </w:rPr>
      </w:pPr>
      <w:r w:rsidRPr="006240DD">
        <w:rPr>
          <w:b/>
          <w:szCs w:val="28"/>
        </w:rPr>
        <w:tab/>
      </w:r>
      <w:r w:rsidR="005D4DA1" w:rsidRPr="006240DD">
        <w:rPr>
          <w:b/>
          <w:szCs w:val="28"/>
        </w:rPr>
        <w:t>3</w:t>
      </w:r>
      <w:r w:rsidR="00154CAF" w:rsidRPr="006240DD">
        <w:rPr>
          <w:b/>
          <w:szCs w:val="28"/>
        </w:rPr>
        <w:t>.</w:t>
      </w:r>
      <w:r w:rsidR="00527D31" w:rsidRPr="006240DD">
        <w:rPr>
          <w:b/>
          <w:szCs w:val="28"/>
        </w:rPr>
        <w:t xml:space="preserve"> </w:t>
      </w:r>
      <w:r w:rsidR="00154CAF" w:rsidRPr="006240DD">
        <w:rPr>
          <w:b/>
          <w:szCs w:val="28"/>
        </w:rPr>
        <w:t>pants. Fiskālā politika</w:t>
      </w:r>
    </w:p>
    <w:p w:rsidR="00101355" w:rsidRPr="006240DD" w:rsidRDefault="002E17CC" w:rsidP="0058360B">
      <w:pPr>
        <w:jc w:val="both"/>
        <w:rPr>
          <w:szCs w:val="28"/>
        </w:rPr>
      </w:pPr>
      <w:r w:rsidRPr="006240DD">
        <w:rPr>
          <w:szCs w:val="28"/>
        </w:rPr>
        <w:tab/>
      </w:r>
      <w:r w:rsidR="00101355" w:rsidRPr="006240DD">
        <w:rPr>
          <w:szCs w:val="28"/>
        </w:rPr>
        <w:t xml:space="preserve">Fiskālā politika ir </w:t>
      </w:r>
      <w:r w:rsidR="00750CFB" w:rsidRPr="006240DD">
        <w:rPr>
          <w:szCs w:val="28"/>
        </w:rPr>
        <w:t>princip</w:t>
      </w:r>
      <w:r w:rsidR="00D478F6" w:rsidRPr="006240DD">
        <w:rPr>
          <w:szCs w:val="28"/>
        </w:rPr>
        <w:t>u un lēmumu komplekss, kas no</w:t>
      </w:r>
      <w:r w:rsidR="00056A19" w:rsidRPr="006240DD">
        <w:rPr>
          <w:szCs w:val="28"/>
        </w:rPr>
        <w:t>saka</w:t>
      </w:r>
      <w:r w:rsidR="00F21D45" w:rsidRPr="006240DD">
        <w:rPr>
          <w:szCs w:val="28"/>
        </w:rPr>
        <w:t xml:space="preserve"> </w:t>
      </w:r>
      <w:r w:rsidR="00D478F6" w:rsidRPr="006240DD">
        <w:rPr>
          <w:szCs w:val="28"/>
        </w:rPr>
        <w:t xml:space="preserve">ieņēmumu un izdevumu politiku, realizējot valsts lomu ienākumu </w:t>
      </w:r>
      <w:r w:rsidR="000A3C4E" w:rsidRPr="006240DD">
        <w:rPr>
          <w:szCs w:val="28"/>
        </w:rPr>
        <w:t xml:space="preserve">un izdevumu </w:t>
      </w:r>
      <w:r w:rsidR="00D478F6" w:rsidRPr="006240DD">
        <w:rPr>
          <w:szCs w:val="28"/>
        </w:rPr>
        <w:t>pārdalē</w:t>
      </w:r>
      <w:r w:rsidR="00481296" w:rsidRPr="006240DD">
        <w:rPr>
          <w:szCs w:val="28"/>
        </w:rPr>
        <w:t xml:space="preserve">. </w:t>
      </w:r>
    </w:p>
    <w:p w:rsidR="00481296" w:rsidRPr="006240DD" w:rsidRDefault="00481296" w:rsidP="0058360B">
      <w:pPr>
        <w:jc w:val="both"/>
        <w:rPr>
          <w:szCs w:val="28"/>
        </w:rPr>
      </w:pPr>
    </w:p>
    <w:p w:rsidR="00DF0D4D" w:rsidRPr="006240DD" w:rsidRDefault="00895C24" w:rsidP="0058360B">
      <w:pPr>
        <w:jc w:val="both"/>
        <w:rPr>
          <w:b/>
          <w:szCs w:val="28"/>
        </w:rPr>
      </w:pPr>
      <w:r w:rsidRPr="006240DD">
        <w:rPr>
          <w:b/>
          <w:szCs w:val="28"/>
        </w:rPr>
        <w:tab/>
      </w:r>
      <w:r w:rsidR="005D4DA1" w:rsidRPr="006240DD">
        <w:rPr>
          <w:b/>
          <w:szCs w:val="28"/>
        </w:rPr>
        <w:t>4</w:t>
      </w:r>
      <w:r w:rsidR="00481296" w:rsidRPr="006240DD">
        <w:rPr>
          <w:b/>
          <w:szCs w:val="28"/>
        </w:rPr>
        <w:t xml:space="preserve">. pants. </w:t>
      </w:r>
      <w:r w:rsidR="00DF0D4D" w:rsidRPr="006240DD">
        <w:rPr>
          <w:b/>
          <w:szCs w:val="28"/>
        </w:rPr>
        <w:t>Fiskālās politikas principi</w:t>
      </w:r>
    </w:p>
    <w:p w:rsidR="00562268" w:rsidRPr="006240DD" w:rsidRDefault="00895C24" w:rsidP="0058360B">
      <w:pPr>
        <w:jc w:val="both"/>
        <w:rPr>
          <w:szCs w:val="28"/>
        </w:rPr>
      </w:pPr>
      <w:r w:rsidRPr="006240DD">
        <w:rPr>
          <w:szCs w:val="28"/>
        </w:rPr>
        <w:tab/>
      </w:r>
      <w:r w:rsidR="00DF0D4D" w:rsidRPr="006240DD">
        <w:rPr>
          <w:szCs w:val="28"/>
        </w:rPr>
        <w:t>Fiskālās politikas</w:t>
      </w:r>
      <w:r w:rsidR="001C24C5" w:rsidRPr="006240DD">
        <w:rPr>
          <w:szCs w:val="28"/>
        </w:rPr>
        <w:t xml:space="preserve"> īstenošanā tiek ievēroti šādi</w:t>
      </w:r>
      <w:r w:rsidR="00DF0D4D" w:rsidRPr="006240DD">
        <w:rPr>
          <w:szCs w:val="28"/>
        </w:rPr>
        <w:t xml:space="preserve"> principi</w:t>
      </w:r>
      <w:r w:rsidR="001C24C5" w:rsidRPr="006240DD">
        <w:rPr>
          <w:szCs w:val="28"/>
        </w:rPr>
        <w:t>:</w:t>
      </w:r>
    </w:p>
    <w:p w:rsidR="00940C6D" w:rsidRPr="006240DD" w:rsidRDefault="00940C6D" w:rsidP="00D24BF6">
      <w:pPr>
        <w:pStyle w:val="NoSpacing"/>
        <w:ind w:firstLine="720"/>
        <w:jc w:val="both"/>
      </w:pPr>
      <w:r w:rsidRPr="006240DD">
        <w:t xml:space="preserve">1) </w:t>
      </w:r>
      <w:r w:rsidRPr="006240DD">
        <w:rPr>
          <w:b/>
        </w:rPr>
        <w:t>taupības princips</w:t>
      </w:r>
      <w:r w:rsidRPr="006240DD">
        <w:t xml:space="preserve"> – fiskālā politika īstenojama </w:t>
      </w:r>
      <w:r w:rsidR="00A9110A">
        <w:rPr>
          <w:szCs w:val="28"/>
        </w:rPr>
        <w:t>lietderīgi un efektīvi</w:t>
      </w:r>
      <w:r w:rsidR="00A9110A" w:rsidRPr="006240DD">
        <w:rPr>
          <w:szCs w:val="28"/>
        </w:rPr>
        <w:t xml:space="preserve"> </w:t>
      </w:r>
      <w:r w:rsidRPr="006240DD">
        <w:t>izlietojot pieejamos resursus.</w:t>
      </w:r>
      <w:r w:rsidR="00A9110A">
        <w:t xml:space="preserve"> </w:t>
      </w:r>
    </w:p>
    <w:p w:rsidR="006A6FEC" w:rsidRPr="006240DD" w:rsidRDefault="00940C6D" w:rsidP="00940C6D">
      <w:pPr>
        <w:jc w:val="both"/>
        <w:rPr>
          <w:szCs w:val="28"/>
        </w:rPr>
      </w:pPr>
      <w:r w:rsidRPr="006240DD">
        <w:rPr>
          <w:szCs w:val="28"/>
        </w:rPr>
        <w:tab/>
      </w:r>
      <w:r w:rsidR="006A6FEC" w:rsidRPr="006240DD">
        <w:rPr>
          <w:szCs w:val="28"/>
        </w:rPr>
        <w:t xml:space="preserve">2) </w:t>
      </w:r>
      <w:r w:rsidR="006A6FEC" w:rsidRPr="006240DD">
        <w:rPr>
          <w:b/>
          <w:szCs w:val="28"/>
        </w:rPr>
        <w:t>uzkrājuma</w:t>
      </w:r>
      <w:r w:rsidR="007F5FED">
        <w:rPr>
          <w:b/>
          <w:szCs w:val="28"/>
        </w:rPr>
        <w:t xml:space="preserve"> veidošanas</w:t>
      </w:r>
      <w:r w:rsidR="006A6FEC" w:rsidRPr="006240DD">
        <w:rPr>
          <w:b/>
          <w:szCs w:val="28"/>
        </w:rPr>
        <w:t xml:space="preserve"> princips</w:t>
      </w:r>
      <w:r w:rsidR="006A6FEC" w:rsidRPr="006240DD">
        <w:rPr>
          <w:szCs w:val="28"/>
        </w:rPr>
        <w:t xml:space="preserve"> –</w:t>
      </w:r>
      <w:r w:rsidR="00C5269A" w:rsidRPr="006240DD">
        <w:rPr>
          <w:szCs w:val="28"/>
        </w:rPr>
        <w:t xml:space="preserve"> </w:t>
      </w:r>
      <w:r w:rsidR="006A6FEC" w:rsidRPr="006240DD">
        <w:rPr>
          <w:szCs w:val="28"/>
        </w:rPr>
        <w:t xml:space="preserve">īstenojama tāda fiskālā politika, </w:t>
      </w:r>
      <w:r w:rsidR="0085581D" w:rsidRPr="006240DD">
        <w:rPr>
          <w:szCs w:val="28"/>
        </w:rPr>
        <w:t>k</w:t>
      </w:r>
      <w:r w:rsidR="0085581D">
        <w:rPr>
          <w:szCs w:val="28"/>
        </w:rPr>
        <w:t xml:space="preserve">urā, ja to atļauj ekonomiskā situācija, budžets tiek plānots un realizēts ar pārpalikumu, </w:t>
      </w:r>
      <w:r w:rsidR="006A6FEC" w:rsidRPr="006240DD">
        <w:rPr>
          <w:szCs w:val="28"/>
        </w:rPr>
        <w:t>kas ļauj segt nākotnes saistības ekonomiskās situācijas pasliktināšanās vai budžeta neizpildes gadījumā</w:t>
      </w:r>
      <w:r w:rsidR="00FB2332" w:rsidRPr="006240DD">
        <w:rPr>
          <w:szCs w:val="28"/>
        </w:rPr>
        <w:t>.</w:t>
      </w:r>
    </w:p>
    <w:p w:rsidR="00A9110A" w:rsidRPr="006240DD" w:rsidRDefault="00895C24" w:rsidP="00A9110A">
      <w:pPr>
        <w:jc w:val="both"/>
        <w:rPr>
          <w:szCs w:val="28"/>
        </w:rPr>
      </w:pPr>
      <w:r w:rsidRPr="006240DD">
        <w:rPr>
          <w:szCs w:val="28"/>
        </w:rPr>
        <w:tab/>
      </w:r>
      <w:r w:rsidR="00447E78" w:rsidRPr="006240DD">
        <w:rPr>
          <w:szCs w:val="28"/>
        </w:rPr>
        <w:t>3</w:t>
      </w:r>
      <w:r w:rsidR="00637F46" w:rsidRPr="006240DD">
        <w:rPr>
          <w:szCs w:val="28"/>
        </w:rPr>
        <w:t>)</w:t>
      </w:r>
      <w:r w:rsidR="00637F46" w:rsidRPr="006240DD">
        <w:rPr>
          <w:b/>
          <w:szCs w:val="28"/>
        </w:rPr>
        <w:t xml:space="preserve"> </w:t>
      </w:r>
      <w:proofErr w:type="spellStart"/>
      <w:r w:rsidR="00637F46" w:rsidRPr="006240DD">
        <w:rPr>
          <w:b/>
          <w:szCs w:val="28"/>
        </w:rPr>
        <w:t>pretcikliskas</w:t>
      </w:r>
      <w:proofErr w:type="spellEnd"/>
      <w:r w:rsidR="00637F46" w:rsidRPr="006240DD">
        <w:rPr>
          <w:b/>
          <w:szCs w:val="28"/>
        </w:rPr>
        <w:t xml:space="preserve"> fiskālās politikas princips – </w:t>
      </w:r>
      <w:r w:rsidR="00637F46" w:rsidRPr="006240DD">
        <w:rPr>
          <w:szCs w:val="28"/>
        </w:rPr>
        <w:t xml:space="preserve">īstenojama </w:t>
      </w:r>
      <w:proofErr w:type="spellStart"/>
      <w:r w:rsidR="00637F46" w:rsidRPr="006240DD">
        <w:rPr>
          <w:szCs w:val="28"/>
        </w:rPr>
        <w:t>pretcikliska</w:t>
      </w:r>
      <w:proofErr w:type="spellEnd"/>
      <w:r w:rsidR="00637F46" w:rsidRPr="006240DD">
        <w:rPr>
          <w:szCs w:val="28"/>
        </w:rPr>
        <w:t xml:space="preserve"> fiskālā politika, kas darbojas pret</w:t>
      </w:r>
      <w:r w:rsidR="009A6BB1" w:rsidRPr="006240DD">
        <w:rPr>
          <w:szCs w:val="28"/>
        </w:rPr>
        <w:t>ēji</w:t>
      </w:r>
      <w:r w:rsidR="00637F46" w:rsidRPr="006240DD">
        <w:rPr>
          <w:szCs w:val="28"/>
        </w:rPr>
        <w:t xml:space="preserve"> ekonomikas cikla tendencēm,</w:t>
      </w:r>
      <w:r w:rsidR="00A9110A">
        <w:rPr>
          <w:szCs w:val="28"/>
        </w:rPr>
        <w:t xml:space="preserve"> </w:t>
      </w:r>
      <w:r w:rsidR="00A9110A" w:rsidRPr="0097547F">
        <w:rPr>
          <w:szCs w:val="28"/>
        </w:rPr>
        <w:t>ekonomikas cikla augšupejas fāzē tiek realizēta ierobežojoša fiskālā politika, savukārt ekonomikas cikla lejupslīdes fāzē – stimulējoša fiskālā politika.</w:t>
      </w:r>
      <w:r w:rsidR="00A9110A">
        <w:rPr>
          <w:b/>
          <w:szCs w:val="28"/>
        </w:rPr>
        <w:t xml:space="preserve"> </w:t>
      </w:r>
    </w:p>
    <w:p w:rsidR="00E5109A" w:rsidRPr="006240DD" w:rsidRDefault="00E5109A" w:rsidP="009A6BB1">
      <w:pPr>
        <w:ind w:firstLine="720"/>
        <w:jc w:val="both"/>
        <w:rPr>
          <w:szCs w:val="28"/>
        </w:rPr>
      </w:pPr>
      <w:r w:rsidRPr="006240DD">
        <w:rPr>
          <w:szCs w:val="28"/>
        </w:rPr>
        <w:t xml:space="preserve">4) </w:t>
      </w:r>
      <w:r w:rsidRPr="006240DD">
        <w:rPr>
          <w:b/>
          <w:szCs w:val="28"/>
        </w:rPr>
        <w:t>stabilitātes princips</w:t>
      </w:r>
      <w:r w:rsidRPr="006240DD">
        <w:rPr>
          <w:szCs w:val="28"/>
        </w:rPr>
        <w:t xml:space="preserve"> – tiek īstenota fiskālā politika, kas ir paredzama un pēctecīga vidējā termiņā un veicina ekonomikas attīstību un finanšu </w:t>
      </w:r>
      <w:r w:rsidR="00FB2332" w:rsidRPr="006240DD">
        <w:rPr>
          <w:szCs w:val="28"/>
        </w:rPr>
        <w:t>stabilitāti.</w:t>
      </w:r>
      <w:r w:rsidR="00A9110A">
        <w:rPr>
          <w:szCs w:val="28"/>
        </w:rPr>
        <w:t xml:space="preserve"> </w:t>
      </w:r>
    </w:p>
    <w:p w:rsidR="00481296" w:rsidRDefault="00E5109A" w:rsidP="00940C6D">
      <w:pPr>
        <w:ind w:firstLine="720"/>
        <w:jc w:val="both"/>
        <w:rPr>
          <w:szCs w:val="28"/>
        </w:rPr>
      </w:pPr>
      <w:r w:rsidRPr="006240DD">
        <w:rPr>
          <w:szCs w:val="28"/>
        </w:rPr>
        <w:t>5</w:t>
      </w:r>
      <w:r w:rsidR="001C24C5" w:rsidRPr="006240DD">
        <w:rPr>
          <w:szCs w:val="28"/>
        </w:rPr>
        <w:t xml:space="preserve">) </w:t>
      </w:r>
      <w:r w:rsidR="00F61A58" w:rsidRPr="006240DD">
        <w:rPr>
          <w:b/>
          <w:szCs w:val="28"/>
        </w:rPr>
        <w:t>ilgtspējīga</w:t>
      </w:r>
      <w:r w:rsidR="00A9110A">
        <w:rPr>
          <w:b/>
          <w:szCs w:val="28"/>
        </w:rPr>
        <w:t>s</w:t>
      </w:r>
      <w:r w:rsidR="00F61A58" w:rsidRPr="006240DD">
        <w:rPr>
          <w:b/>
          <w:szCs w:val="28"/>
        </w:rPr>
        <w:t xml:space="preserve"> </w:t>
      </w:r>
      <w:r w:rsidR="00A9110A">
        <w:rPr>
          <w:b/>
          <w:szCs w:val="28"/>
        </w:rPr>
        <w:t>fiskālās politikas</w:t>
      </w:r>
      <w:r w:rsidR="001D5DCE" w:rsidRPr="006240DD">
        <w:rPr>
          <w:b/>
          <w:szCs w:val="28"/>
        </w:rPr>
        <w:t xml:space="preserve"> princips</w:t>
      </w:r>
      <w:r w:rsidR="00481296" w:rsidRPr="006240DD">
        <w:rPr>
          <w:b/>
          <w:szCs w:val="28"/>
        </w:rPr>
        <w:t xml:space="preserve"> </w:t>
      </w:r>
      <w:r w:rsidR="001C24C5" w:rsidRPr="006240DD">
        <w:rPr>
          <w:b/>
          <w:szCs w:val="28"/>
        </w:rPr>
        <w:t>–</w:t>
      </w:r>
      <w:r w:rsidR="00A81C6C" w:rsidRPr="006240DD">
        <w:rPr>
          <w:b/>
          <w:szCs w:val="28"/>
        </w:rPr>
        <w:t xml:space="preserve"> </w:t>
      </w:r>
      <w:r w:rsidR="00A9110A" w:rsidRPr="006240DD">
        <w:rPr>
          <w:szCs w:val="28"/>
        </w:rPr>
        <w:t xml:space="preserve">tiek īstenota </w:t>
      </w:r>
      <w:r w:rsidR="00F21D45" w:rsidRPr="006240DD">
        <w:rPr>
          <w:szCs w:val="28"/>
        </w:rPr>
        <w:t>fiskāl</w:t>
      </w:r>
      <w:r w:rsidR="002D7879" w:rsidRPr="006240DD">
        <w:rPr>
          <w:szCs w:val="28"/>
        </w:rPr>
        <w:t>ā</w:t>
      </w:r>
      <w:r w:rsidR="00F21D45" w:rsidRPr="006240DD">
        <w:rPr>
          <w:szCs w:val="28"/>
        </w:rPr>
        <w:t xml:space="preserve"> politik</w:t>
      </w:r>
      <w:r w:rsidR="002D7879" w:rsidRPr="006240DD">
        <w:rPr>
          <w:szCs w:val="28"/>
        </w:rPr>
        <w:t>a, kas</w:t>
      </w:r>
      <w:r w:rsidR="00F21D45" w:rsidRPr="006240DD">
        <w:rPr>
          <w:szCs w:val="28"/>
        </w:rPr>
        <w:t xml:space="preserve"> </w:t>
      </w:r>
      <w:r w:rsidR="00481296" w:rsidRPr="006240DD">
        <w:rPr>
          <w:szCs w:val="28"/>
        </w:rPr>
        <w:t xml:space="preserve">vērsta uz </w:t>
      </w:r>
      <w:r w:rsidR="00770E45">
        <w:rPr>
          <w:szCs w:val="28"/>
        </w:rPr>
        <w:t>tāda</w:t>
      </w:r>
      <w:r w:rsidR="00733618" w:rsidRPr="006240DD">
        <w:rPr>
          <w:szCs w:val="28"/>
        </w:rPr>
        <w:t xml:space="preserve"> </w:t>
      </w:r>
      <w:r w:rsidR="004336B6" w:rsidRPr="006240DD">
        <w:rPr>
          <w:szCs w:val="28"/>
        </w:rPr>
        <w:t xml:space="preserve">vispārējās valdības </w:t>
      </w:r>
      <w:r w:rsidR="00E278B7" w:rsidRPr="006240DD">
        <w:rPr>
          <w:szCs w:val="28"/>
        </w:rPr>
        <w:t xml:space="preserve">parāda līmeņa uzturēšanu, kas neuzliek </w:t>
      </w:r>
      <w:r w:rsidR="00E278B7" w:rsidRPr="00A9110A">
        <w:rPr>
          <w:szCs w:val="28"/>
        </w:rPr>
        <w:t>ne</w:t>
      </w:r>
      <w:r w:rsidR="001D5DCE" w:rsidRPr="00F33FA7">
        <w:rPr>
          <w:szCs w:val="28"/>
        </w:rPr>
        <w:t>samērīgu slogu ekonomikai, bet</w:t>
      </w:r>
      <w:r w:rsidR="00E278B7" w:rsidRPr="00F33FA7">
        <w:rPr>
          <w:szCs w:val="28"/>
        </w:rPr>
        <w:t xml:space="preserve"> veicina tās </w:t>
      </w:r>
      <w:r w:rsidR="000A3C4E" w:rsidRPr="00F33FA7">
        <w:rPr>
          <w:szCs w:val="28"/>
        </w:rPr>
        <w:t>attīstību</w:t>
      </w:r>
      <w:r w:rsidR="00E507ED" w:rsidRPr="00F33FA7">
        <w:rPr>
          <w:szCs w:val="28"/>
        </w:rPr>
        <w:t xml:space="preserve"> ilgtermiņā</w:t>
      </w:r>
      <w:r w:rsidR="006D3E97">
        <w:rPr>
          <w:szCs w:val="28"/>
        </w:rPr>
        <w:t>.</w:t>
      </w:r>
    </w:p>
    <w:p w:rsidR="00555B3E" w:rsidRPr="006240DD" w:rsidRDefault="00E5109A" w:rsidP="00F33FA7">
      <w:pPr>
        <w:ind w:firstLine="720"/>
        <w:jc w:val="both"/>
        <w:rPr>
          <w:szCs w:val="28"/>
        </w:rPr>
      </w:pPr>
      <w:r w:rsidRPr="006240DD">
        <w:rPr>
          <w:szCs w:val="28"/>
        </w:rPr>
        <w:t>6</w:t>
      </w:r>
      <w:r w:rsidR="00555B3E" w:rsidRPr="006240DD">
        <w:rPr>
          <w:szCs w:val="28"/>
        </w:rPr>
        <w:t xml:space="preserve">) </w:t>
      </w:r>
      <w:r w:rsidR="00477552" w:rsidRPr="006240DD">
        <w:rPr>
          <w:b/>
          <w:szCs w:val="28"/>
        </w:rPr>
        <w:t xml:space="preserve">fiskālā </w:t>
      </w:r>
      <w:r w:rsidR="00B1293A" w:rsidRPr="006240DD">
        <w:rPr>
          <w:b/>
          <w:szCs w:val="28"/>
        </w:rPr>
        <w:t xml:space="preserve">taisnīguma </w:t>
      </w:r>
      <w:r w:rsidR="00555B3E" w:rsidRPr="006240DD">
        <w:rPr>
          <w:b/>
          <w:szCs w:val="28"/>
        </w:rPr>
        <w:t>princips</w:t>
      </w:r>
      <w:r w:rsidR="00555B3E" w:rsidRPr="006240DD">
        <w:rPr>
          <w:szCs w:val="28"/>
        </w:rPr>
        <w:t xml:space="preserve"> – tiek īstenota fiskālā politika, kas ņem vērā finansiālo ietekmi </w:t>
      </w:r>
      <w:r w:rsidR="00D25C01">
        <w:rPr>
          <w:szCs w:val="28"/>
        </w:rPr>
        <w:t xml:space="preserve">uz </w:t>
      </w:r>
      <w:r w:rsidR="00613F8F">
        <w:rPr>
          <w:szCs w:val="28"/>
        </w:rPr>
        <w:t>sabiedrīb</w:t>
      </w:r>
      <w:r w:rsidR="00F33FA7">
        <w:rPr>
          <w:szCs w:val="28"/>
        </w:rPr>
        <w:t>u</w:t>
      </w:r>
      <w:r w:rsidR="00613F8F">
        <w:rPr>
          <w:szCs w:val="28"/>
        </w:rPr>
        <w:t xml:space="preserve"> </w:t>
      </w:r>
      <w:r w:rsidR="00555B3E" w:rsidRPr="006240DD">
        <w:rPr>
          <w:szCs w:val="28"/>
        </w:rPr>
        <w:t xml:space="preserve">gan </w:t>
      </w:r>
      <w:r w:rsidR="001342C6" w:rsidRPr="006240DD">
        <w:rPr>
          <w:szCs w:val="28"/>
        </w:rPr>
        <w:t xml:space="preserve">šobrīd, gan </w:t>
      </w:r>
      <w:r w:rsidR="00613F8F" w:rsidRPr="006240DD">
        <w:rPr>
          <w:szCs w:val="28"/>
        </w:rPr>
        <w:t>nākamajā</w:t>
      </w:r>
      <w:r w:rsidR="00613F8F">
        <w:rPr>
          <w:szCs w:val="28"/>
        </w:rPr>
        <w:t>s</w:t>
      </w:r>
      <w:r w:rsidR="00613F8F" w:rsidRPr="006240DD">
        <w:rPr>
          <w:szCs w:val="28"/>
        </w:rPr>
        <w:t xml:space="preserve"> </w:t>
      </w:r>
      <w:r w:rsidR="001342C6" w:rsidRPr="006240DD">
        <w:rPr>
          <w:szCs w:val="28"/>
        </w:rPr>
        <w:t>paaudzē</w:t>
      </w:r>
      <w:r w:rsidR="00613F8F">
        <w:rPr>
          <w:szCs w:val="28"/>
        </w:rPr>
        <w:t>s</w:t>
      </w:r>
      <w:r w:rsidR="001342C6" w:rsidRPr="006240DD">
        <w:rPr>
          <w:szCs w:val="28"/>
        </w:rPr>
        <w:t>.</w:t>
      </w:r>
    </w:p>
    <w:p w:rsidR="00C83C02" w:rsidRPr="006240DD" w:rsidRDefault="00E5109A" w:rsidP="007B57AE">
      <w:pPr>
        <w:ind w:firstLine="720"/>
        <w:jc w:val="both"/>
        <w:rPr>
          <w:b/>
        </w:rPr>
      </w:pPr>
      <w:r w:rsidRPr="006240DD">
        <w:rPr>
          <w:szCs w:val="28"/>
        </w:rPr>
        <w:lastRenderedPageBreak/>
        <w:t xml:space="preserve">7) </w:t>
      </w:r>
      <w:r w:rsidR="00C550A8">
        <w:rPr>
          <w:b/>
          <w:szCs w:val="28"/>
        </w:rPr>
        <w:t>atklātuma</w:t>
      </w:r>
      <w:r w:rsidR="00C550A8" w:rsidRPr="006240DD">
        <w:rPr>
          <w:b/>
          <w:szCs w:val="28"/>
        </w:rPr>
        <w:t xml:space="preserve"> </w:t>
      </w:r>
      <w:r w:rsidRPr="006240DD">
        <w:rPr>
          <w:b/>
          <w:szCs w:val="28"/>
        </w:rPr>
        <w:t>princips</w:t>
      </w:r>
      <w:r w:rsidRPr="006240DD">
        <w:rPr>
          <w:szCs w:val="28"/>
        </w:rPr>
        <w:t xml:space="preserve"> – tiek nodrošināta publiski pieejama informācija par fiskālās politikas mērķiem, to sasn</w:t>
      </w:r>
      <w:r w:rsidR="006D3E97">
        <w:rPr>
          <w:szCs w:val="28"/>
        </w:rPr>
        <w:t>iegšanas metodēm un rezultātiem.</w:t>
      </w:r>
    </w:p>
    <w:p w:rsidR="00E5109A" w:rsidRPr="006240DD" w:rsidRDefault="00E5109A" w:rsidP="0058360B">
      <w:pPr>
        <w:jc w:val="both"/>
        <w:rPr>
          <w:b/>
          <w:szCs w:val="28"/>
        </w:rPr>
      </w:pPr>
    </w:p>
    <w:p w:rsidR="00503326" w:rsidRPr="006240DD" w:rsidRDefault="00E5109A" w:rsidP="007B57AE">
      <w:pPr>
        <w:ind w:firstLine="720"/>
        <w:jc w:val="both"/>
        <w:rPr>
          <w:b/>
          <w:szCs w:val="28"/>
        </w:rPr>
      </w:pPr>
      <w:r w:rsidRPr="006240DD">
        <w:rPr>
          <w:b/>
          <w:szCs w:val="28"/>
        </w:rPr>
        <w:t>5</w:t>
      </w:r>
      <w:r w:rsidR="00CF046D" w:rsidRPr="006240DD">
        <w:rPr>
          <w:b/>
          <w:szCs w:val="28"/>
        </w:rPr>
        <w:t xml:space="preserve">. pants. </w:t>
      </w:r>
      <w:r w:rsidR="0084475D" w:rsidRPr="006240DD">
        <w:rPr>
          <w:b/>
          <w:szCs w:val="28"/>
        </w:rPr>
        <w:t xml:space="preserve">Vidēja termiņa </w:t>
      </w:r>
      <w:r w:rsidR="00F401CD" w:rsidRPr="006240DD">
        <w:rPr>
          <w:b/>
          <w:szCs w:val="28"/>
        </w:rPr>
        <w:t>budžeta</w:t>
      </w:r>
      <w:r w:rsidR="0084475D" w:rsidRPr="006240DD">
        <w:rPr>
          <w:b/>
          <w:szCs w:val="28"/>
        </w:rPr>
        <w:t xml:space="preserve"> </w:t>
      </w:r>
      <w:r w:rsidR="004F386B" w:rsidRPr="006240DD">
        <w:rPr>
          <w:b/>
          <w:szCs w:val="28"/>
        </w:rPr>
        <w:t>ietvara likums</w:t>
      </w:r>
    </w:p>
    <w:p w:rsidR="004F386B" w:rsidRPr="006240DD" w:rsidRDefault="008445CC" w:rsidP="0058360B">
      <w:pPr>
        <w:jc w:val="both"/>
        <w:rPr>
          <w:b/>
          <w:szCs w:val="28"/>
        </w:rPr>
      </w:pPr>
      <w:r w:rsidRPr="006240DD">
        <w:rPr>
          <w:szCs w:val="28"/>
        </w:rPr>
        <w:tab/>
      </w:r>
      <w:r w:rsidR="0084475D" w:rsidRPr="006240DD">
        <w:rPr>
          <w:szCs w:val="28"/>
        </w:rPr>
        <w:t>(1)</w:t>
      </w:r>
      <w:r w:rsidR="00E1615C" w:rsidRPr="006240DD">
        <w:rPr>
          <w:szCs w:val="28"/>
        </w:rPr>
        <w:t xml:space="preserve"> </w:t>
      </w:r>
      <w:r w:rsidR="004F386B" w:rsidRPr="006240DD">
        <w:rPr>
          <w:szCs w:val="28"/>
        </w:rPr>
        <w:t xml:space="preserve">Fiskālās politikas </w:t>
      </w:r>
      <w:r w:rsidR="00504613" w:rsidRPr="006240DD">
        <w:rPr>
          <w:szCs w:val="28"/>
        </w:rPr>
        <w:t xml:space="preserve">plānošanas </w:t>
      </w:r>
      <w:r w:rsidR="004F386B" w:rsidRPr="006240DD">
        <w:rPr>
          <w:szCs w:val="28"/>
        </w:rPr>
        <w:t xml:space="preserve">instruments ir vidēja termiņa </w:t>
      </w:r>
      <w:r w:rsidR="00F401CD" w:rsidRPr="006240DD">
        <w:rPr>
          <w:szCs w:val="28"/>
        </w:rPr>
        <w:t>budžeta</w:t>
      </w:r>
      <w:r w:rsidR="004F386B" w:rsidRPr="006240DD">
        <w:rPr>
          <w:szCs w:val="28"/>
        </w:rPr>
        <w:t xml:space="preserve"> ietvara likums</w:t>
      </w:r>
      <w:r w:rsidR="00DA076A" w:rsidRPr="006240DD">
        <w:rPr>
          <w:szCs w:val="28"/>
        </w:rPr>
        <w:t>.</w:t>
      </w:r>
    </w:p>
    <w:p w:rsidR="00B8211D" w:rsidRDefault="008445CC" w:rsidP="0058360B">
      <w:pPr>
        <w:jc w:val="both"/>
        <w:rPr>
          <w:szCs w:val="28"/>
        </w:rPr>
      </w:pPr>
      <w:r w:rsidRPr="006240DD">
        <w:rPr>
          <w:szCs w:val="28"/>
        </w:rPr>
        <w:tab/>
      </w:r>
      <w:r w:rsidR="00B8211D" w:rsidRPr="00523435">
        <w:rPr>
          <w:szCs w:val="28"/>
        </w:rPr>
        <w:t>(2)</w:t>
      </w:r>
      <w:r w:rsidR="00E1615C" w:rsidRPr="00523435">
        <w:rPr>
          <w:szCs w:val="28"/>
        </w:rPr>
        <w:t xml:space="preserve"> </w:t>
      </w:r>
      <w:r w:rsidR="00B8211D" w:rsidRPr="00523435">
        <w:rPr>
          <w:szCs w:val="28"/>
        </w:rPr>
        <w:t xml:space="preserve">Vidēja termiņa </w:t>
      </w:r>
      <w:r w:rsidR="00F401CD" w:rsidRPr="00523435">
        <w:rPr>
          <w:szCs w:val="28"/>
        </w:rPr>
        <w:t>budžeta</w:t>
      </w:r>
      <w:r w:rsidR="00B8211D" w:rsidRPr="00523435">
        <w:rPr>
          <w:szCs w:val="28"/>
        </w:rPr>
        <w:t xml:space="preserve"> ietvara likums </w:t>
      </w:r>
      <w:bookmarkStart w:id="0" w:name="OLE_LINK1"/>
      <w:bookmarkStart w:id="1" w:name="OLE_LINK2"/>
      <w:r w:rsidR="00B8211D" w:rsidRPr="00523435">
        <w:rPr>
          <w:szCs w:val="28"/>
        </w:rPr>
        <w:t>tiek sagatavots</w:t>
      </w:r>
      <w:r w:rsidR="00F75C5B" w:rsidRPr="00523435">
        <w:rPr>
          <w:szCs w:val="28"/>
        </w:rPr>
        <w:t xml:space="preserve"> katru gadu turpmāk</w:t>
      </w:r>
      <w:r w:rsidR="00B13216" w:rsidRPr="00523435">
        <w:rPr>
          <w:szCs w:val="28"/>
        </w:rPr>
        <w:t>o</w:t>
      </w:r>
      <w:r w:rsidR="00B8211D" w:rsidRPr="00523435">
        <w:rPr>
          <w:szCs w:val="28"/>
        </w:rPr>
        <w:t xml:space="preserve"> </w:t>
      </w:r>
      <w:r w:rsidR="00465FA5" w:rsidRPr="00523435">
        <w:rPr>
          <w:szCs w:val="28"/>
        </w:rPr>
        <w:t xml:space="preserve">trīs </w:t>
      </w:r>
      <w:r w:rsidR="00B8211D" w:rsidRPr="00523435">
        <w:rPr>
          <w:szCs w:val="28"/>
        </w:rPr>
        <w:t>gad</w:t>
      </w:r>
      <w:r w:rsidR="007A6CB8" w:rsidRPr="00523435">
        <w:rPr>
          <w:szCs w:val="28"/>
        </w:rPr>
        <w:t>u periodam</w:t>
      </w:r>
      <w:r w:rsidR="00100522" w:rsidRPr="00523435">
        <w:rPr>
          <w:szCs w:val="28"/>
        </w:rPr>
        <w:t xml:space="preserve">, kurā </w:t>
      </w:r>
      <w:r w:rsidR="00B13216" w:rsidRPr="00523435">
        <w:rPr>
          <w:szCs w:val="28"/>
        </w:rPr>
        <w:t>maksimāli pieļaujamais valsts konsolidētā budžeta izdevumu kopējais apjoms</w:t>
      </w:r>
      <w:r w:rsidR="00100522" w:rsidRPr="00523435">
        <w:rPr>
          <w:szCs w:val="28"/>
        </w:rPr>
        <w:t xml:space="preserve"> pirm</w:t>
      </w:r>
      <w:r w:rsidR="005566DE" w:rsidRPr="00523435">
        <w:rPr>
          <w:szCs w:val="28"/>
        </w:rPr>
        <w:t>ajam</w:t>
      </w:r>
      <w:r w:rsidR="00100522" w:rsidRPr="00523435">
        <w:rPr>
          <w:szCs w:val="28"/>
        </w:rPr>
        <w:t xml:space="preserve"> </w:t>
      </w:r>
      <w:r w:rsidR="00D445EB" w:rsidRPr="00523435">
        <w:rPr>
          <w:szCs w:val="28"/>
        </w:rPr>
        <w:t xml:space="preserve">un otrajam </w:t>
      </w:r>
      <w:r w:rsidR="00410EF8" w:rsidRPr="00523435">
        <w:rPr>
          <w:szCs w:val="28"/>
        </w:rPr>
        <w:t xml:space="preserve">vidēja termiņa budžeta </w:t>
      </w:r>
      <w:r w:rsidR="00100522" w:rsidRPr="00523435">
        <w:rPr>
          <w:szCs w:val="28"/>
        </w:rPr>
        <w:t xml:space="preserve">ietvara likuma </w:t>
      </w:r>
      <w:r w:rsidR="003E6D67" w:rsidRPr="00523435">
        <w:rPr>
          <w:szCs w:val="28"/>
        </w:rPr>
        <w:t xml:space="preserve">perioda </w:t>
      </w:r>
      <w:r w:rsidR="00100522" w:rsidRPr="00523435">
        <w:rPr>
          <w:szCs w:val="28"/>
        </w:rPr>
        <w:t>gad</w:t>
      </w:r>
      <w:r w:rsidR="005566DE" w:rsidRPr="00523435">
        <w:rPr>
          <w:szCs w:val="28"/>
        </w:rPr>
        <w:t>am</w:t>
      </w:r>
      <w:r w:rsidR="00523435">
        <w:rPr>
          <w:szCs w:val="28"/>
        </w:rPr>
        <w:t xml:space="preserve"> </w:t>
      </w:r>
      <w:r w:rsidR="005B2438" w:rsidRPr="005B2438">
        <w:rPr>
          <w:szCs w:val="28"/>
        </w:rPr>
        <w:t>pārmantots no iepriekšējā vidēja termiņa budžeta ietvara likuma perioda otrā un trešā gada</w:t>
      </w:r>
      <w:r w:rsidR="00B8211D" w:rsidRPr="005B2438">
        <w:rPr>
          <w:szCs w:val="28"/>
        </w:rPr>
        <w:t>.</w:t>
      </w:r>
      <w:bookmarkEnd w:id="0"/>
      <w:bookmarkEnd w:id="1"/>
      <w:r w:rsidR="005B2438">
        <w:rPr>
          <w:szCs w:val="28"/>
        </w:rPr>
        <w:t xml:space="preserve"> Izdevumu pārmantošanā ievēro </w:t>
      </w:r>
      <w:r w:rsidR="00090353">
        <w:rPr>
          <w:szCs w:val="28"/>
        </w:rPr>
        <w:t>šādus</w:t>
      </w:r>
      <w:r w:rsidR="005B2438">
        <w:rPr>
          <w:szCs w:val="28"/>
        </w:rPr>
        <w:t xml:space="preserve"> nosacījumus</w:t>
      </w:r>
      <w:r w:rsidR="00090353">
        <w:rPr>
          <w:szCs w:val="28"/>
        </w:rPr>
        <w:t>:</w:t>
      </w:r>
    </w:p>
    <w:p w:rsidR="00090353" w:rsidRDefault="00090353" w:rsidP="00090353">
      <w:pPr>
        <w:ind w:firstLine="720"/>
        <w:jc w:val="both"/>
        <w:rPr>
          <w:szCs w:val="28"/>
        </w:rPr>
      </w:pPr>
      <w:r>
        <w:rPr>
          <w:szCs w:val="28"/>
        </w:rPr>
        <w:t>1) izdevumu pārmantošana attiecas uz valsts konsolidētā budžeta izdevumu apjomu, no kura izslēgti</w:t>
      </w:r>
      <w:r w:rsidRPr="007A1147">
        <w:rPr>
          <w:szCs w:val="28"/>
        </w:rPr>
        <w:t xml:space="preserve"> </w:t>
      </w:r>
      <w:r w:rsidR="00783A62">
        <w:rPr>
          <w:szCs w:val="28"/>
        </w:rPr>
        <w:t>attiecīgā</w:t>
      </w:r>
      <w:r>
        <w:rPr>
          <w:szCs w:val="28"/>
        </w:rPr>
        <w:t xml:space="preserve"> gada kopējie izlīdzinātie izdevumi, </w:t>
      </w:r>
      <w:r w:rsidRPr="00DA3800">
        <w:rPr>
          <w:szCs w:val="28"/>
        </w:rPr>
        <w:t>kas tiek aprēķināti saskaņā ar šī likuma 1</w:t>
      </w:r>
      <w:r w:rsidR="009D3982">
        <w:rPr>
          <w:szCs w:val="28"/>
        </w:rPr>
        <w:t>4</w:t>
      </w:r>
      <w:r w:rsidRPr="00DA3800">
        <w:rPr>
          <w:szCs w:val="28"/>
        </w:rPr>
        <w:t>.panta trešo daļu (koriģētie valsts</w:t>
      </w:r>
      <w:r>
        <w:rPr>
          <w:szCs w:val="28"/>
        </w:rPr>
        <w:t xml:space="preserve"> konsolidētā budžeta izdevumi);</w:t>
      </w:r>
    </w:p>
    <w:p w:rsidR="00090353" w:rsidRPr="009D3982" w:rsidRDefault="00090353" w:rsidP="00090353">
      <w:pPr>
        <w:ind w:firstLine="720"/>
        <w:jc w:val="both"/>
        <w:rPr>
          <w:szCs w:val="28"/>
        </w:rPr>
      </w:pPr>
      <w:r w:rsidRPr="00E920B1">
        <w:rPr>
          <w:szCs w:val="28"/>
        </w:rPr>
        <w:t xml:space="preserve">2) izstrādājot kārtējo vidēja termiņa budžeta ietvara likumu, pārmantoto koriģēto valsts konsolidētā budžeta izdevumu apjomu var palielināt 6. </w:t>
      </w:r>
      <w:r w:rsidR="00601F2A">
        <w:rPr>
          <w:szCs w:val="28"/>
        </w:rPr>
        <w:t>p</w:t>
      </w:r>
      <w:r w:rsidR="00601F2A" w:rsidRPr="00E920B1">
        <w:rPr>
          <w:szCs w:val="28"/>
        </w:rPr>
        <w:t>anta</w:t>
      </w:r>
      <w:r w:rsidR="00601F2A">
        <w:rPr>
          <w:szCs w:val="28"/>
        </w:rPr>
        <w:t xml:space="preserve"> otrajā un</w:t>
      </w:r>
      <w:r w:rsidRPr="00E920B1">
        <w:rPr>
          <w:szCs w:val="28"/>
        </w:rPr>
        <w:t xml:space="preserve"> </w:t>
      </w:r>
      <w:r w:rsidR="00630863" w:rsidRPr="00E920B1">
        <w:rPr>
          <w:szCs w:val="28"/>
        </w:rPr>
        <w:t xml:space="preserve">trešajā </w:t>
      </w:r>
      <w:r w:rsidRPr="00E920B1">
        <w:rPr>
          <w:szCs w:val="28"/>
        </w:rPr>
        <w:t>daļā minētajos gadījumos;</w:t>
      </w:r>
    </w:p>
    <w:p w:rsidR="00090353" w:rsidRPr="006240DD" w:rsidRDefault="00090353" w:rsidP="00090353">
      <w:pPr>
        <w:ind w:firstLine="720"/>
        <w:jc w:val="both"/>
        <w:rPr>
          <w:szCs w:val="28"/>
        </w:rPr>
      </w:pPr>
      <w:r w:rsidRPr="009D3982">
        <w:rPr>
          <w:szCs w:val="28"/>
        </w:rPr>
        <w:t>3) ja koriģētais</w:t>
      </w:r>
      <w:r w:rsidRPr="00B828C9">
        <w:rPr>
          <w:szCs w:val="28"/>
        </w:rPr>
        <w:t xml:space="preserve"> maksimālais valsts konsolidētā budžeta izdevumu apjoms, kas tiek aprēķināts saskaņā ar šī likuma 1</w:t>
      </w:r>
      <w:r w:rsidR="009D3982">
        <w:rPr>
          <w:szCs w:val="28"/>
        </w:rPr>
        <w:t>0</w:t>
      </w:r>
      <w:r w:rsidRPr="00B828C9">
        <w:rPr>
          <w:szCs w:val="28"/>
        </w:rPr>
        <w:t>. pantu, ir mazāks  par pārmantojamo un saskaņā ar šīs daļas otro punktu palielināto koriģēto valsts konsolidētā budžeta izdevumu apjomu,  koriģētais maksimālais valsts konsolidētā budžeta pieļaujamais apjoms netiek pārmantots, bet gan aprēķināts saskaņā ar šī likuma 1</w:t>
      </w:r>
      <w:r w:rsidR="009D3982">
        <w:rPr>
          <w:szCs w:val="28"/>
        </w:rPr>
        <w:t>0</w:t>
      </w:r>
      <w:r w:rsidRPr="00B828C9">
        <w:rPr>
          <w:szCs w:val="28"/>
        </w:rPr>
        <w:t xml:space="preserve">. panta nosacījumiem.  </w:t>
      </w:r>
    </w:p>
    <w:p w:rsidR="003315DE" w:rsidRPr="006240DD" w:rsidRDefault="008445CC" w:rsidP="0058360B">
      <w:pPr>
        <w:jc w:val="both"/>
        <w:rPr>
          <w:szCs w:val="28"/>
        </w:rPr>
      </w:pPr>
      <w:r w:rsidRPr="006240DD">
        <w:rPr>
          <w:szCs w:val="28"/>
        </w:rPr>
        <w:tab/>
      </w:r>
      <w:r w:rsidR="00B8211D" w:rsidRPr="006240DD">
        <w:rPr>
          <w:szCs w:val="28"/>
        </w:rPr>
        <w:t xml:space="preserve">(3) Vidēja termiņa </w:t>
      </w:r>
      <w:r w:rsidR="00F401CD" w:rsidRPr="006240DD">
        <w:rPr>
          <w:szCs w:val="28"/>
        </w:rPr>
        <w:t xml:space="preserve">budžeta </w:t>
      </w:r>
      <w:r w:rsidR="00B8211D" w:rsidRPr="006240DD">
        <w:rPr>
          <w:szCs w:val="28"/>
        </w:rPr>
        <w:t xml:space="preserve">ietvara likumprojektu </w:t>
      </w:r>
      <w:r w:rsidR="00FB7CF4" w:rsidRPr="006240DD">
        <w:rPr>
          <w:szCs w:val="28"/>
        </w:rPr>
        <w:t>turpmāk</w:t>
      </w:r>
      <w:r w:rsidR="0072098B" w:rsidRPr="006240DD">
        <w:rPr>
          <w:szCs w:val="28"/>
        </w:rPr>
        <w:t>o trīs gadu period</w:t>
      </w:r>
      <w:r w:rsidR="00FB7CF4" w:rsidRPr="006240DD">
        <w:rPr>
          <w:szCs w:val="28"/>
        </w:rPr>
        <w:t>am</w:t>
      </w:r>
      <w:r w:rsidR="0072098B" w:rsidRPr="006240DD">
        <w:rPr>
          <w:szCs w:val="28"/>
        </w:rPr>
        <w:t xml:space="preserve"> </w:t>
      </w:r>
      <w:r w:rsidR="00B8211D" w:rsidRPr="006240DD">
        <w:rPr>
          <w:szCs w:val="28"/>
        </w:rPr>
        <w:t>izstrādā Ministru kabinets un iesniedz Saeimā</w:t>
      </w:r>
      <w:r w:rsidR="00B876E4" w:rsidRPr="006240DD">
        <w:rPr>
          <w:szCs w:val="28"/>
        </w:rPr>
        <w:t xml:space="preserve"> </w:t>
      </w:r>
      <w:r w:rsidR="008125FB" w:rsidRPr="006240DD">
        <w:rPr>
          <w:szCs w:val="28"/>
        </w:rPr>
        <w:t xml:space="preserve">līdz kārtējā </w:t>
      </w:r>
      <w:r w:rsidR="0032738E" w:rsidRPr="006240DD">
        <w:rPr>
          <w:szCs w:val="28"/>
        </w:rPr>
        <w:t>gada</w:t>
      </w:r>
      <w:r w:rsidR="00B876E4" w:rsidRPr="006240DD">
        <w:rPr>
          <w:szCs w:val="28"/>
        </w:rPr>
        <w:t xml:space="preserve"> </w:t>
      </w:r>
      <w:r w:rsidR="004141CE" w:rsidRPr="006240DD">
        <w:rPr>
          <w:color w:val="000000"/>
          <w:szCs w:val="28"/>
        </w:rPr>
        <w:t>30</w:t>
      </w:r>
      <w:r w:rsidR="00B876E4" w:rsidRPr="006240DD">
        <w:rPr>
          <w:color w:val="000000"/>
          <w:szCs w:val="28"/>
        </w:rPr>
        <w:t xml:space="preserve">. </w:t>
      </w:r>
      <w:r w:rsidR="004141CE" w:rsidRPr="006240DD">
        <w:rPr>
          <w:color w:val="000000"/>
          <w:szCs w:val="28"/>
        </w:rPr>
        <w:t>aprīli</w:t>
      </w:r>
      <w:r w:rsidR="008125FB" w:rsidRPr="006240DD">
        <w:rPr>
          <w:color w:val="000000"/>
          <w:szCs w:val="28"/>
        </w:rPr>
        <w:t>m</w:t>
      </w:r>
      <w:r w:rsidR="00B876E4" w:rsidRPr="006240DD">
        <w:rPr>
          <w:szCs w:val="28"/>
        </w:rPr>
        <w:t xml:space="preserve">. </w:t>
      </w:r>
      <w:r w:rsidR="00FD403B">
        <w:rPr>
          <w:szCs w:val="28"/>
        </w:rPr>
        <w:t xml:space="preserve">Vidēja termiņa budžeta ietvara likums stājas spēkā </w:t>
      </w:r>
      <w:r w:rsidR="00366F0B" w:rsidRPr="00366F0B">
        <w:rPr>
          <w:szCs w:val="28"/>
        </w:rPr>
        <w:t>nākamajā dienā pēc tā izsludināšanas</w:t>
      </w:r>
      <w:r w:rsidR="00FD403B">
        <w:rPr>
          <w:szCs w:val="28"/>
        </w:rPr>
        <w:t xml:space="preserve"> un ir spēkā līdz vidēja termiņa budžeta ietvara perioda pirmā gada 31.</w:t>
      </w:r>
      <w:r w:rsidR="0031230B">
        <w:rPr>
          <w:szCs w:val="28"/>
        </w:rPr>
        <w:t xml:space="preserve"> </w:t>
      </w:r>
      <w:r w:rsidR="00FD403B">
        <w:rPr>
          <w:szCs w:val="28"/>
        </w:rPr>
        <w:t xml:space="preserve">decembrim. </w:t>
      </w:r>
      <w:r w:rsidR="003E26FA" w:rsidRPr="001237E5">
        <w:rPr>
          <w:szCs w:val="28"/>
        </w:rPr>
        <w:t>Iepriekšējā Vidēja termiņa budžeta ietvara likuma normas par otro un trešo ietvara perioda gadu zaudē spēku līdz ar nākamā Vidējā termiņa budžeta ietvara likuma spēkā stāšanos.</w:t>
      </w:r>
    </w:p>
    <w:p w:rsidR="00403481" w:rsidRPr="006240DD" w:rsidRDefault="00495763" w:rsidP="0058360B">
      <w:pPr>
        <w:jc w:val="both"/>
        <w:rPr>
          <w:szCs w:val="28"/>
        </w:rPr>
      </w:pPr>
      <w:r w:rsidRPr="006240DD">
        <w:rPr>
          <w:szCs w:val="28"/>
        </w:rPr>
        <w:tab/>
      </w:r>
      <w:r w:rsidR="00503326" w:rsidRPr="006240DD">
        <w:rPr>
          <w:szCs w:val="28"/>
        </w:rPr>
        <w:t xml:space="preserve">(4) </w:t>
      </w:r>
      <w:r w:rsidR="002C045E" w:rsidRPr="006240DD">
        <w:rPr>
          <w:szCs w:val="28"/>
        </w:rPr>
        <w:t xml:space="preserve">Izstrādājot vidēja termiņa </w:t>
      </w:r>
      <w:r w:rsidR="00F401CD" w:rsidRPr="006240DD">
        <w:rPr>
          <w:szCs w:val="28"/>
        </w:rPr>
        <w:t xml:space="preserve">budžeta </w:t>
      </w:r>
      <w:r w:rsidR="002C045E" w:rsidRPr="006240DD">
        <w:rPr>
          <w:szCs w:val="28"/>
        </w:rPr>
        <w:t xml:space="preserve">ietvara likumprojektu </w:t>
      </w:r>
      <w:r w:rsidR="007A318F" w:rsidRPr="006240DD">
        <w:rPr>
          <w:szCs w:val="28"/>
        </w:rPr>
        <w:t xml:space="preserve">vai izdarot grozījumus vidēja termiņa </w:t>
      </w:r>
      <w:r w:rsidR="00F401CD" w:rsidRPr="006240DD">
        <w:rPr>
          <w:szCs w:val="28"/>
        </w:rPr>
        <w:t xml:space="preserve">budžeta </w:t>
      </w:r>
      <w:r w:rsidR="007A318F" w:rsidRPr="006240DD">
        <w:rPr>
          <w:szCs w:val="28"/>
        </w:rPr>
        <w:t xml:space="preserve">ietvara likumā, </w:t>
      </w:r>
      <w:r w:rsidR="002C045E" w:rsidRPr="006240DD">
        <w:rPr>
          <w:szCs w:val="28"/>
        </w:rPr>
        <w:t>Ministru kabinet</w:t>
      </w:r>
      <w:r w:rsidR="00E16E90" w:rsidRPr="006240DD">
        <w:rPr>
          <w:szCs w:val="28"/>
        </w:rPr>
        <w:t>a pilnvarots pārstāvis</w:t>
      </w:r>
      <w:r w:rsidR="002C045E" w:rsidRPr="006240DD">
        <w:rPr>
          <w:szCs w:val="28"/>
        </w:rPr>
        <w:t xml:space="preserve"> un Latvijas </w:t>
      </w:r>
      <w:r w:rsidR="00510BFD" w:rsidRPr="006240DD">
        <w:rPr>
          <w:szCs w:val="28"/>
        </w:rPr>
        <w:t>P</w:t>
      </w:r>
      <w:r w:rsidR="002C045E" w:rsidRPr="006240DD">
        <w:rPr>
          <w:szCs w:val="28"/>
        </w:rPr>
        <w:t xml:space="preserve">ašvaldību savienība </w:t>
      </w:r>
      <w:r w:rsidR="00F84028" w:rsidRPr="006240DD">
        <w:rPr>
          <w:szCs w:val="28"/>
        </w:rPr>
        <w:t xml:space="preserve">veic sarunas </w:t>
      </w:r>
      <w:r w:rsidR="00403481" w:rsidRPr="006240DD">
        <w:rPr>
          <w:szCs w:val="28"/>
        </w:rPr>
        <w:t>par</w:t>
      </w:r>
      <w:r w:rsidR="004D517B" w:rsidRPr="006240DD">
        <w:rPr>
          <w:szCs w:val="28"/>
        </w:rPr>
        <w:t xml:space="preserve"> ar likumprojekt</w:t>
      </w:r>
      <w:r w:rsidR="00261DDE" w:rsidRPr="006240DD">
        <w:rPr>
          <w:szCs w:val="28"/>
        </w:rPr>
        <w:t>u</w:t>
      </w:r>
      <w:r w:rsidR="0041332C" w:rsidRPr="006240DD">
        <w:rPr>
          <w:szCs w:val="28"/>
        </w:rPr>
        <w:t xml:space="preserve"> </w:t>
      </w:r>
      <w:r w:rsidR="004D517B" w:rsidRPr="006240DD">
        <w:rPr>
          <w:szCs w:val="28"/>
        </w:rPr>
        <w:t>saistītiem</w:t>
      </w:r>
      <w:r w:rsidR="00403481" w:rsidRPr="006240DD">
        <w:rPr>
          <w:szCs w:val="28"/>
        </w:rPr>
        <w:t xml:space="preserve"> jautājumiem, </w:t>
      </w:r>
      <w:r w:rsidR="004D517B" w:rsidRPr="006240DD">
        <w:rPr>
          <w:szCs w:val="28"/>
        </w:rPr>
        <w:t>kas skar pašvaldību intereses</w:t>
      </w:r>
      <w:r w:rsidR="009270D4" w:rsidRPr="006240DD">
        <w:rPr>
          <w:szCs w:val="28"/>
        </w:rPr>
        <w:t xml:space="preserve">, </w:t>
      </w:r>
      <w:r w:rsidR="00F84028" w:rsidRPr="006240DD">
        <w:rPr>
          <w:szCs w:val="28"/>
        </w:rPr>
        <w:t>sarunu rezultātus noformējot protokolu veidā</w:t>
      </w:r>
      <w:r w:rsidR="0037014D" w:rsidRPr="006240DD">
        <w:rPr>
          <w:szCs w:val="28"/>
        </w:rPr>
        <w:t>, ko</w:t>
      </w:r>
      <w:r w:rsidR="00A436BB" w:rsidRPr="006240DD">
        <w:rPr>
          <w:szCs w:val="28"/>
        </w:rPr>
        <w:t xml:space="preserve"> pievieno likumprojektam.</w:t>
      </w:r>
    </w:p>
    <w:p w:rsidR="00057C81" w:rsidRPr="006240DD" w:rsidRDefault="00344091" w:rsidP="0058360B">
      <w:pPr>
        <w:jc w:val="both"/>
        <w:rPr>
          <w:szCs w:val="28"/>
        </w:rPr>
      </w:pPr>
      <w:r w:rsidRPr="006240DD">
        <w:rPr>
          <w:szCs w:val="28"/>
        </w:rPr>
        <w:tab/>
      </w:r>
      <w:r w:rsidR="00057C81" w:rsidRPr="006240DD">
        <w:rPr>
          <w:szCs w:val="28"/>
        </w:rPr>
        <w:t>(</w:t>
      </w:r>
      <w:r w:rsidR="00564C89" w:rsidRPr="006240DD">
        <w:rPr>
          <w:szCs w:val="28"/>
        </w:rPr>
        <w:t>5</w:t>
      </w:r>
      <w:r w:rsidR="00057C81" w:rsidRPr="006240DD">
        <w:rPr>
          <w:szCs w:val="28"/>
        </w:rPr>
        <w:t xml:space="preserve">) </w:t>
      </w:r>
      <w:r w:rsidR="00DC3DA8" w:rsidRPr="006240DD">
        <w:rPr>
          <w:szCs w:val="28"/>
        </w:rPr>
        <w:t xml:space="preserve">Vidēja termiņa </w:t>
      </w:r>
      <w:r w:rsidR="00FA5DDC" w:rsidRPr="006240DD">
        <w:rPr>
          <w:szCs w:val="28"/>
        </w:rPr>
        <w:t xml:space="preserve">budžeta </w:t>
      </w:r>
      <w:r w:rsidR="00DC3DA8" w:rsidRPr="006240DD">
        <w:rPr>
          <w:szCs w:val="28"/>
        </w:rPr>
        <w:t>ietvara likumā</w:t>
      </w:r>
      <w:r w:rsidR="008506CE">
        <w:rPr>
          <w:szCs w:val="28"/>
        </w:rPr>
        <w:t xml:space="preserve"> katram perioda gadam</w:t>
      </w:r>
      <w:r w:rsidR="00DC3DA8" w:rsidRPr="006240DD">
        <w:rPr>
          <w:szCs w:val="28"/>
        </w:rPr>
        <w:t xml:space="preserve"> </w:t>
      </w:r>
      <w:r w:rsidR="00981392" w:rsidRPr="006240DD">
        <w:rPr>
          <w:szCs w:val="28"/>
        </w:rPr>
        <w:t xml:space="preserve">nosakāmi </w:t>
      </w:r>
      <w:r w:rsidR="00F816A9" w:rsidRPr="006240DD">
        <w:rPr>
          <w:szCs w:val="28"/>
        </w:rPr>
        <w:t>šād</w:t>
      </w:r>
      <w:r w:rsidR="00981392" w:rsidRPr="006240DD">
        <w:rPr>
          <w:szCs w:val="28"/>
        </w:rPr>
        <w:t>i</w:t>
      </w:r>
      <w:r w:rsidR="00F816A9" w:rsidRPr="006240DD">
        <w:rPr>
          <w:szCs w:val="28"/>
        </w:rPr>
        <w:t xml:space="preserve"> skaitlisk</w:t>
      </w:r>
      <w:r w:rsidR="00981392" w:rsidRPr="006240DD">
        <w:rPr>
          <w:szCs w:val="28"/>
        </w:rPr>
        <w:t>ie</w:t>
      </w:r>
      <w:r w:rsidR="00F816A9" w:rsidRPr="006240DD">
        <w:rPr>
          <w:szCs w:val="28"/>
        </w:rPr>
        <w:t xml:space="preserve"> fiskāl</w:t>
      </w:r>
      <w:r w:rsidR="00981392" w:rsidRPr="006240DD">
        <w:rPr>
          <w:szCs w:val="28"/>
        </w:rPr>
        <w:t>ie</w:t>
      </w:r>
      <w:r w:rsidR="00F816A9" w:rsidRPr="006240DD">
        <w:rPr>
          <w:szCs w:val="28"/>
        </w:rPr>
        <w:t xml:space="preserve"> rādītāj</w:t>
      </w:r>
      <w:r w:rsidR="00981392" w:rsidRPr="006240DD">
        <w:rPr>
          <w:szCs w:val="28"/>
        </w:rPr>
        <w:t>i</w:t>
      </w:r>
      <w:r w:rsidR="00057C81" w:rsidRPr="006240DD">
        <w:rPr>
          <w:szCs w:val="28"/>
        </w:rPr>
        <w:t>:</w:t>
      </w:r>
    </w:p>
    <w:p w:rsidR="00FE611C" w:rsidRPr="00150BC8" w:rsidRDefault="00344091" w:rsidP="00C21231">
      <w:pPr>
        <w:jc w:val="both"/>
        <w:rPr>
          <w:szCs w:val="28"/>
        </w:rPr>
      </w:pPr>
      <w:r w:rsidRPr="006240DD">
        <w:rPr>
          <w:szCs w:val="28"/>
        </w:rPr>
        <w:tab/>
      </w:r>
      <w:r w:rsidR="001A2FE7">
        <w:rPr>
          <w:szCs w:val="28"/>
        </w:rPr>
        <w:t>1</w:t>
      </w:r>
      <w:r w:rsidR="00057C81" w:rsidRPr="006240DD">
        <w:rPr>
          <w:szCs w:val="28"/>
        </w:rPr>
        <w:t xml:space="preserve">) </w:t>
      </w:r>
      <w:r w:rsidR="00D60640" w:rsidRPr="006240DD">
        <w:rPr>
          <w:szCs w:val="28"/>
        </w:rPr>
        <w:t>pieļaujam</w:t>
      </w:r>
      <w:r w:rsidR="00D7609D" w:rsidRPr="006240DD">
        <w:rPr>
          <w:szCs w:val="28"/>
        </w:rPr>
        <w:t>ais</w:t>
      </w:r>
      <w:r w:rsidR="00D60640" w:rsidRPr="006240DD">
        <w:rPr>
          <w:szCs w:val="28"/>
        </w:rPr>
        <w:t xml:space="preserve"> </w:t>
      </w:r>
      <w:r w:rsidR="00057C81" w:rsidRPr="006240DD">
        <w:rPr>
          <w:szCs w:val="28"/>
        </w:rPr>
        <w:t xml:space="preserve">konsolidētā kopbudžeta </w:t>
      </w:r>
      <w:r w:rsidR="00102C1C" w:rsidRPr="006240DD">
        <w:rPr>
          <w:szCs w:val="28"/>
        </w:rPr>
        <w:t>bilances līmeni</w:t>
      </w:r>
      <w:r w:rsidR="00D7609D" w:rsidRPr="006240DD">
        <w:rPr>
          <w:szCs w:val="28"/>
        </w:rPr>
        <w:t>s</w:t>
      </w:r>
      <w:r w:rsidR="006D72C7" w:rsidRPr="006240DD">
        <w:rPr>
          <w:szCs w:val="28"/>
        </w:rPr>
        <w:t xml:space="preserve"> </w:t>
      </w:r>
      <w:r w:rsidR="005A683E" w:rsidRPr="006240DD">
        <w:rPr>
          <w:szCs w:val="28"/>
        </w:rPr>
        <w:t xml:space="preserve">katram </w:t>
      </w:r>
      <w:r w:rsidR="00F93996" w:rsidRPr="006240DD">
        <w:rPr>
          <w:szCs w:val="28"/>
        </w:rPr>
        <w:t xml:space="preserve">vidēja termiņa </w:t>
      </w:r>
      <w:r w:rsidR="00FA5DDC" w:rsidRPr="006240DD">
        <w:rPr>
          <w:szCs w:val="28"/>
        </w:rPr>
        <w:t>budžeta</w:t>
      </w:r>
      <w:r w:rsidR="00F93996" w:rsidRPr="006240DD">
        <w:rPr>
          <w:szCs w:val="28"/>
        </w:rPr>
        <w:t xml:space="preserve"> ietvara perioda gadam </w:t>
      </w:r>
      <w:r w:rsidR="00F948C1" w:rsidRPr="006240DD">
        <w:rPr>
          <w:szCs w:val="28"/>
        </w:rPr>
        <w:t>izteikts procentos no iekšzemes kopprodukta</w:t>
      </w:r>
      <w:r w:rsidR="00A438B4" w:rsidRPr="006240DD">
        <w:rPr>
          <w:szCs w:val="28"/>
        </w:rPr>
        <w:t>,</w:t>
      </w:r>
      <w:r w:rsidR="00135313" w:rsidRPr="006240DD">
        <w:rPr>
          <w:szCs w:val="28"/>
        </w:rPr>
        <w:t xml:space="preserve"> </w:t>
      </w:r>
      <w:r w:rsidR="00A438B4" w:rsidRPr="006240DD">
        <w:rPr>
          <w:szCs w:val="28"/>
        </w:rPr>
        <w:t xml:space="preserve">bilanci aprēķinot </w:t>
      </w:r>
      <w:r w:rsidR="000D2AF1" w:rsidRPr="006240DD">
        <w:rPr>
          <w:szCs w:val="28"/>
        </w:rPr>
        <w:t xml:space="preserve">saskaņā ar </w:t>
      </w:r>
      <w:r w:rsidR="003402DC" w:rsidRPr="003402DC">
        <w:rPr>
          <w:szCs w:val="28"/>
        </w:rPr>
        <w:t xml:space="preserve"> </w:t>
      </w:r>
      <w:r w:rsidR="005F7F1E" w:rsidRPr="00150BC8">
        <w:rPr>
          <w:szCs w:val="28"/>
        </w:rPr>
        <w:t xml:space="preserve">Eiropas kontu sistēmas </w:t>
      </w:r>
      <w:r w:rsidR="005F7F1E" w:rsidRPr="00150BC8">
        <w:rPr>
          <w:rFonts w:asciiTheme="minorHAnsi" w:eastAsiaTheme="minorHAnsi" w:hAnsiTheme="minorHAnsi" w:cstheme="minorBidi"/>
          <w:sz w:val="22"/>
          <w:szCs w:val="28"/>
        </w:rPr>
        <w:t xml:space="preserve"> </w:t>
      </w:r>
      <w:r w:rsidR="005F7F1E" w:rsidRPr="00150BC8">
        <w:rPr>
          <w:szCs w:val="28"/>
        </w:rPr>
        <w:t>metodoloģiju</w:t>
      </w:r>
      <w:r w:rsidR="006D3E97" w:rsidRPr="00150BC8">
        <w:rPr>
          <w:szCs w:val="28"/>
        </w:rPr>
        <w:t>;</w:t>
      </w:r>
    </w:p>
    <w:p w:rsidR="00057C81" w:rsidRDefault="00FE611C" w:rsidP="00D25C01">
      <w:pPr>
        <w:ind w:firstLine="720"/>
        <w:jc w:val="both"/>
        <w:rPr>
          <w:szCs w:val="28"/>
        </w:rPr>
      </w:pPr>
      <w:r>
        <w:rPr>
          <w:szCs w:val="28"/>
        </w:rPr>
        <w:lastRenderedPageBreak/>
        <w:t>2) pieļaujamais valsts konsolidētā budžeta finansiālās bilances līmenis izteikts procentos no iekšzemes kopprodukta</w:t>
      </w:r>
      <w:r w:rsidR="00D25C01">
        <w:rPr>
          <w:szCs w:val="28"/>
        </w:rPr>
        <w:t>;</w:t>
      </w:r>
    </w:p>
    <w:p w:rsidR="001A2FE7" w:rsidRDefault="00D25C01" w:rsidP="003402DC">
      <w:pPr>
        <w:ind w:firstLine="720"/>
        <w:jc w:val="both"/>
        <w:rPr>
          <w:szCs w:val="28"/>
        </w:rPr>
      </w:pPr>
      <w:r>
        <w:rPr>
          <w:szCs w:val="28"/>
        </w:rPr>
        <w:t>3</w:t>
      </w:r>
      <w:r w:rsidR="001A2FE7" w:rsidRPr="006240DD">
        <w:rPr>
          <w:szCs w:val="28"/>
        </w:rPr>
        <w:t>) maksimāli pieļaujamais valsts konsolidētā budžeta izdevumu kopējais apjoms</w:t>
      </w:r>
      <w:r w:rsidR="00114109">
        <w:rPr>
          <w:szCs w:val="28"/>
        </w:rPr>
        <w:t>;</w:t>
      </w:r>
    </w:p>
    <w:p w:rsidR="00404327" w:rsidRDefault="00523435" w:rsidP="00523435">
      <w:pPr>
        <w:ind w:firstLine="720"/>
        <w:jc w:val="both"/>
        <w:rPr>
          <w:szCs w:val="28"/>
        </w:rPr>
      </w:pPr>
      <w:r w:rsidRPr="00C17807">
        <w:rPr>
          <w:szCs w:val="28"/>
        </w:rPr>
        <w:t xml:space="preserve">4) </w:t>
      </w:r>
      <w:r w:rsidR="00404327">
        <w:rPr>
          <w:szCs w:val="28"/>
        </w:rPr>
        <w:t>kopējo izlīdzināto izdevumu apjoms;</w:t>
      </w:r>
    </w:p>
    <w:p w:rsidR="00404327" w:rsidRDefault="00404327" w:rsidP="00523435">
      <w:pPr>
        <w:ind w:firstLine="720"/>
        <w:jc w:val="both"/>
        <w:rPr>
          <w:szCs w:val="28"/>
        </w:rPr>
      </w:pPr>
      <w:r>
        <w:rPr>
          <w:szCs w:val="28"/>
        </w:rPr>
        <w:t>5)</w:t>
      </w:r>
      <w:r w:rsidR="00F3376D">
        <w:rPr>
          <w:szCs w:val="28"/>
        </w:rPr>
        <w:t xml:space="preserve"> </w:t>
      </w:r>
      <w:r w:rsidR="00CA7A02" w:rsidRPr="005F7F1E">
        <w:rPr>
          <w:szCs w:val="28"/>
        </w:rPr>
        <w:t>izlīdzināto izdevumu apjom</w:t>
      </w:r>
      <w:r w:rsidR="00CA7A02">
        <w:rPr>
          <w:szCs w:val="28"/>
        </w:rPr>
        <w:t>s</w:t>
      </w:r>
      <w:r w:rsidR="00CA7A02" w:rsidRPr="005F7F1E">
        <w:rPr>
          <w:szCs w:val="28"/>
        </w:rPr>
        <w:t xml:space="preserve"> katrai Eiropas Savienības politiku instrumentu un cit</w:t>
      </w:r>
      <w:r w:rsidR="00CA7A02">
        <w:rPr>
          <w:szCs w:val="28"/>
        </w:rPr>
        <w:t>ai</w:t>
      </w:r>
      <w:r w:rsidR="00CA7A02" w:rsidRPr="005F7F1E">
        <w:rPr>
          <w:szCs w:val="28"/>
        </w:rPr>
        <w:t xml:space="preserve"> ārvalstu finanšu palīdzības</w:t>
      </w:r>
      <w:r w:rsidR="00CA7A02">
        <w:rPr>
          <w:szCs w:val="28"/>
        </w:rPr>
        <w:t xml:space="preserve"> programmai</w:t>
      </w:r>
      <w:r w:rsidR="00C84641">
        <w:rPr>
          <w:szCs w:val="28"/>
        </w:rPr>
        <w:t xml:space="preserve"> kopā un</w:t>
      </w:r>
      <w:r w:rsidR="00C84641" w:rsidRPr="00C84641">
        <w:rPr>
          <w:szCs w:val="28"/>
        </w:rPr>
        <w:t xml:space="preserve"> </w:t>
      </w:r>
      <w:r w:rsidR="00C84641">
        <w:rPr>
          <w:szCs w:val="28"/>
        </w:rPr>
        <w:t>katram vidēja termiņa budžeta ietvara perioda gadam</w:t>
      </w:r>
      <w:r>
        <w:rPr>
          <w:szCs w:val="28"/>
        </w:rPr>
        <w:t>;</w:t>
      </w:r>
    </w:p>
    <w:p w:rsidR="00404327" w:rsidRDefault="00404327" w:rsidP="00523435">
      <w:pPr>
        <w:ind w:firstLine="720"/>
        <w:jc w:val="both"/>
        <w:rPr>
          <w:szCs w:val="28"/>
        </w:rPr>
      </w:pPr>
      <w:r>
        <w:rPr>
          <w:szCs w:val="28"/>
        </w:rPr>
        <w:t>6) valsts parāda apkalpošanas izlīdzināto izdevumu apjoms</w:t>
      </w:r>
      <w:r w:rsidR="008506CE">
        <w:rPr>
          <w:szCs w:val="28"/>
        </w:rPr>
        <w:t>.</w:t>
      </w:r>
    </w:p>
    <w:p w:rsidR="00507F58" w:rsidRPr="006240DD" w:rsidRDefault="002D2EFF" w:rsidP="0058360B">
      <w:pPr>
        <w:jc w:val="both"/>
        <w:rPr>
          <w:szCs w:val="28"/>
        </w:rPr>
      </w:pPr>
      <w:r w:rsidRPr="006240DD">
        <w:rPr>
          <w:szCs w:val="28"/>
        </w:rPr>
        <w:tab/>
      </w:r>
      <w:r w:rsidR="000C0A70" w:rsidRPr="00B968F5">
        <w:rPr>
          <w:szCs w:val="28"/>
        </w:rPr>
        <w:t>(</w:t>
      </w:r>
      <w:r w:rsidR="00F92CE9">
        <w:rPr>
          <w:szCs w:val="28"/>
        </w:rPr>
        <w:t>6</w:t>
      </w:r>
      <w:r w:rsidR="000C0A70" w:rsidRPr="00B968F5">
        <w:rPr>
          <w:szCs w:val="28"/>
        </w:rPr>
        <w:t>)</w:t>
      </w:r>
      <w:r w:rsidR="00E1615C" w:rsidRPr="00B968F5">
        <w:rPr>
          <w:szCs w:val="28"/>
        </w:rPr>
        <w:t xml:space="preserve"> </w:t>
      </w:r>
      <w:r w:rsidR="00161AF5" w:rsidRPr="00161AF5">
        <w:rPr>
          <w:szCs w:val="28"/>
        </w:rPr>
        <w:t>Vidēja termiņa budžeta ietvara likumā iekļauj arī citu informāciju, ja to nosaka speciālie likumi</w:t>
      </w:r>
      <w:r w:rsidR="00FB2332" w:rsidRPr="00B968F5">
        <w:rPr>
          <w:szCs w:val="28"/>
        </w:rPr>
        <w:t>.</w:t>
      </w:r>
      <w:r w:rsidR="00161AF5">
        <w:rPr>
          <w:szCs w:val="28"/>
        </w:rPr>
        <w:t xml:space="preserve"> </w:t>
      </w:r>
    </w:p>
    <w:p w:rsidR="003C4BFD" w:rsidRDefault="003C4BFD" w:rsidP="003C4BFD">
      <w:pPr>
        <w:ind w:firstLine="720"/>
        <w:jc w:val="both"/>
      </w:pPr>
      <w:r>
        <w:t>(</w:t>
      </w:r>
      <w:r w:rsidR="00F92CE9">
        <w:t>7</w:t>
      </w:r>
      <w:r>
        <w:t xml:space="preserve">) </w:t>
      </w:r>
      <w:r w:rsidRPr="00B9351E">
        <w:t xml:space="preserve">Vidēja termiņa budžeta ietvara </w:t>
      </w:r>
      <w:r>
        <w:t>likuma projektam tiek pievienoti paskaidrojumi, kuri ietver:</w:t>
      </w:r>
    </w:p>
    <w:p w:rsidR="004853FC" w:rsidRPr="0089492A" w:rsidRDefault="00C54A94" w:rsidP="0089492A">
      <w:pPr>
        <w:ind w:firstLine="720"/>
        <w:jc w:val="both"/>
      </w:pPr>
      <w:r>
        <w:t>1</w:t>
      </w:r>
      <w:r w:rsidR="0089492A">
        <w:t xml:space="preserve">) </w:t>
      </w:r>
      <w:r w:rsidR="0089492A" w:rsidRPr="0089492A">
        <w:t xml:space="preserve">šī panta </w:t>
      </w:r>
      <w:r w:rsidR="0089492A" w:rsidRPr="004D7F0D">
        <w:t>piektajā daļā noteikto</w:t>
      </w:r>
      <w:r w:rsidR="004853FC" w:rsidRPr="0089492A">
        <w:t xml:space="preserve"> fiskālo rādītāju </w:t>
      </w:r>
      <w:r w:rsidR="0089492A" w:rsidRPr="0089492A">
        <w:t>ap</w:t>
      </w:r>
      <w:r w:rsidR="004853FC" w:rsidRPr="0089492A">
        <w:t>rēķināšanas metodes un paskaidrojum</w:t>
      </w:r>
      <w:r w:rsidR="0089492A" w:rsidRPr="0089492A">
        <w:t>us</w:t>
      </w:r>
      <w:r w:rsidR="004853FC" w:rsidRPr="0089492A">
        <w:t>;</w:t>
      </w:r>
    </w:p>
    <w:p w:rsidR="00770E45" w:rsidRPr="00F3376D" w:rsidRDefault="00712ABA" w:rsidP="00770E45">
      <w:pPr>
        <w:ind w:firstLine="720"/>
        <w:jc w:val="both"/>
      </w:pPr>
      <w:r w:rsidRPr="00630863">
        <w:t>2</w:t>
      </w:r>
      <w:r w:rsidR="0089492A" w:rsidRPr="00630863">
        <w:t xml:space="preserve">) </w:t>
      </w:r>
      <w:r w:rsidR="003C4BFD" w:rsidRPr="00630863">
        <w:t xml:space="preserve">informāciju par </w:t>
      </w:r>
      <w:r w:rsidR="00A53828" w:rsidRPr="00E920B1">
        <w:t>esoš</w:t>
      </w:r>
      <w:r w:rsidR="00770E45" w:rsidRPr="00E920B1">
        <w:t>o</w:t>
      </w:r>
      <w:r w:rsidR="003C4BFD" w:rsidRPr="00E920B1">
        <w:t xml:space="preserve"> </w:t>
      </w:r>
      <w:r w:rsidR="00630863" w:rsidRPr="00150BC8">
        <w:t>makroekonomiskās attīstības scenāriju, tā</w:t>
      </w:r>
      <w:r w:rsidR="00770E45" w:rsidRPr="00E920B1">
        <w:t xml:space="preserve"> </w:t>
      </w:r>
      <w:r w:rsidR="003C4BFD" w:rsidRPr="009D3982">
        <w:t>risku izvērtējumu</w:t>
      </w:r>
      <w:r w:rsidRPr="009D3982">
        <w:t xml:space="preserve"> vidējam termiņam</w:t>
      </w:r>
      <w:r w:rsidR="00770E45" w:rsidRPr="009D3982">
        <w:t>, kā arī salīdzinājumu ar iepriekš</w:t>
      </w:r>
      <w:r w:rsidR="00770E45" w:rsidRPr="00EF7122">
        <w:t>ējā gada vidēja termiņa budžeta ietvara likumā apstiprinātajām makroekonomiskajām prognozēm</w:t>
      </w:r>
      <w:r w:rsidRPr="00F3376D">
        <w:t xml:space="preserve"> vidējam termiņam</w:t>
      </w:r>
      <w:r w:rsidR="00770E45" w:rsidRPr="00F3376D">
        <w:t>;</w:t>
      </w:r>
    </w:p>
    <w:p w:rsidR="00712ABA" w:rsidRDefault="00712ABA" w:rsidP="00770E45">
      <w:pPr>
        <w:ind w:firstLine="720"/>
        <w:jc w:val="both"/>
      </w:pPr>
      <w:r w:rsidRPr="00630863">
        <w:t>3</w:t>
      </w:r>
      <w:r w:rsidR="00770E45" w:rsidRPr="00630863">
        <w:t xml:space="preserve">) </w:t>
      </w:r>
      <w:r w:rsidRPr="00630863">
        <w:t>ieņēmumu prognozes vidējam</w:t>
      </w:r>
      <w:r>
        <w:t xml:space="preserve"> termiņam, kā arī salīdzinājumu ar iepriekšējā gada vidēja termiņa budžeta ietvara likumā apstiprinātajām ieņēmumu prognozēm vidējam termiņam; </w:t>
      </w:r>
    </w:p>
    <w:p w:rsidR="00770E45" w:rsidRDefault="00712ABA" w:rsidP="00770E45">
      <w:pPr>
        <w:ind w:firstLine="720"/>
        <w:jc w:val="both"/>
      </w:pPr>
      <w:r>
        <w:t xml:space="preserve">4) </w:t>
      </w:r>
      <w:r w:rsidRPr="00712ABA">
        <w:t>valdības fiskālās po</w:t>
      </w:r>
      <w:r>
        <w:t xml:space="preserve">litikas mērķus vidējam termiņam, kā arī salīdzinājumu ar iepriekšējā gada vidēja termiņa budžeta ietvara likumā apstiprinātos </w:t>
      </w:r>
      <w:r w:rsidRPr="00712ABA">
        <w:t>valdības fiskālās po</w:t>
      </w:r>
      <w:r>
        <w:t>litikas mērķus vidējam termiņam</w:t>
      </w:r>
      <w:r w:rsidR="00770E45">
        <w:t>.</w:t>
      </w:r>
    </w:p>
    <w:p w:rsidR="005B2438" w:rsidRDefault="0001090C" w:rsidP="003C4BFD">
      <w:pPr>
        <w:ind w:firstLine="720"/>
        <w:jc w:val="both"/>
        <w:rPr>
          <w:szCs w:val="28"/>
        </w:rPr>
      </w:pPr>
      <w:r w:rsidRPr="006240DD">
        <w:rPr>
          <w:szCs w:val="28"/>
        </w:rPr>
        <w:tab/>
      </w:r>
    </w:p>
    <w:p w:rsidR="00B9351E" w:rsidRDefault="00B9351E" w:rsidP="00B9351E">
      <w:pPr>
        <w:ind w:firstLine="720"/>
        <w:jc w:val="both"/>
        <w:rPr>
          <w:b/>
          <w:szCs w:val="28"/>
        </w:rPr>
      </w:pPr>
      <w:r>
        <w:rPr>
          <w:b/>
          <w:szCs w:val="28"/>
        </w:rPr>
        <w:t>6</w:t>
      </w:r>
      <w:r w:rsidRPr="006240DD">
        <w:rPr>
          <w:b/>
          <w:szCs w:val="28"/>
        </w:rPr>
        <w:t>. pants. Vidēja termiņa budžeta ietvara</w:t>
      </w:r>
      <w:r>
        <w:rPr>
          <w:b/>
          <w:szCs w:val="28"/>
        </w:rPr>
        <w:t xml:space="preserve"> </w:t>
      </w:r>
      <w:r w:rsidRPr="006240DD">
        <w:rPr>
          <w:b/>
          <w:szCs w:val="28"/>
        </w:rPr>
        <w:t>likum</w:t>
      </w:r>
      <w:r>
        <w:rPr>
          <w:b/>
          <w:szCs w:val="28"/>
        </w:rPr>
        <w:t xml:space="preserve">a </w:t>
      </w:r>
      <w:r w:rsidR="00B727AE" w:rsidRPr="00B727AE">
        <w:rPr>
          <w:b/>
          <w:szCs w:val="28"/>
        </w:rPr>
        <w:t>grozījumu sagatavošanas</w:t>
      </w:r>
      <w:r>
        <w:rPr>
          <w:b/>
          <w:szCs w:val="28"/>
        </w:rPr>
        <w:t xml:space="preserve"> </w:t>
      </w:r>
      <w:r w:rsidRPr="006240DD">
        <w:rPr>
          <w:b/>
          <w:szCs w:val="28"/>
        </w:rPr>
        <w:t>nosacījumi</w:t>
      </w:r>
      <w:r>
        <w:rPr>
          <w:b/>
          <w:szCs w:val="28"/>
        </w:rPr>
        <w:t xml:space="preserve"> </w:t>
      </w:r>
    </w:p>
    <w:p w:rsidR="000707C0" w:rsidRPr="006240DD" w:rsidRDefault="000707C0" w:rsidP="00934027">
      <w:pPr>
        <w:ind w:firstLine="720"/>
        <w:jc w:val="both"/>
        <w:rPr>
          <w:szCs w:val="28"/>
        </w:rPr>
      </w:pPr>
      <w:r w:rsidRPr="006240DD">
        <w:rPr>
          <w:szCs w:val="28"/>
        </w:rPr>
        <w:t>(</w:t>
      </w:r>
      <w:r w:rsidR="0075669C">
        <w:rPr>
          <w:szCs w:val="28"/>
        </w:rPr>
        <w:t>1</w:t>
      </w:r>
      <w:r w:rsidRPr="006240DD">
        <w:rPr>
          <w:szCs w:val="28"/>
        </w:rPr>
        <w:t xml:space="preserve">) Izdarot grozījumus vidēja termiņa budžeta ietvara likumā, nedrīkst paaugstināt vidēja termiņa budžeta ietvara likuma perioda pirmajam un otrajam gadam noteikto </w:t>
      </w:r>
      <w:r w:rsidR="00523435">
        <w:rPr>
          <w:szCs w:val="28"/>
        </w:rPr>
        <w:t xml:space="preserve">koriģēto </w:t>
      </w:r>
      <w:r w:rsidRPr="006240DD">
        <w:rPr>
          <w:szCs w:val="28"/>
        </w:rPr>
        <w:t>maksimāli pieļaujamo valsts konsolidētā budžeta izdevumu kopējo apjomu.</w:t>
      </w:r>
    </w:p>
    <w:p w:rsidR="000707C0" w:rsidRPr="006240DD" w:rsidRDefault="000707C0" w:rsidP="000707C0">
      <w:pPr>
        <w:jc w:val="both"/>
        <w:rPr>
          <w:szCs w:val="28"/>
        </w:rPr>
      </w:pPr>
      <w:r w:rsidRPr="006240DD">
        <w:rPr>
          <w:szCs w:val="28"/>
        </w:rPr>
        <w:tab/>
        <w:t>(</w:t>
      </w:r>
      <w:r w:rsidR="0075669C">
        <w:rPr>
          <w:szCs w:val="28"/>
        </w:rPr>
        <w:t>2</w:t>
      </w:r>
      <w:r w:rsidRPr="006240DD">
        <w:rPr>
          <w:szCs w:val="28"/>
        </w:rPr>
        <w:t xml:space="preserve">) </w:t>
      </w:r>
      <w:r w:rsidR="00FE611C">
        <w:rPr>
          <w:szCs w:val="28"/>
        </w:rPr>
        <w:t xml:space="preserve">Ja netiek </w:t>
      </w:r>
      <w:r w:rsidR="00B727AE">
        <w:rPr>
          <w:szCs w:val="28"/>
        </w:rPr>
        <w:t xml:space="preserve">pārkāpts </w:t>
      </w:r>
      <w:r w:rsidR="00FE611C">
        <w:rPr>
          <w:szCs w:val="28"/>
        </w:rPr>
        <w:t>pieļaujamais valsts konsolidētā budžeta finansiālās bilances līmenis, š</w:t>
      </w:r>
      <w:r w:rsidR="00FE611C" w:rsidRPr="006240DD">
        <w:rPr>
          <w:szCs w:val="28"/>
        </w:rPr>
        <w:t xml:space="preserve">ī </w:t>
      </w:r>
      <w:r w:rsidRPr="006240DD">
        <w:rPr>
          <w:szCs w:val="28"/>
        </w:rPr>
        <w:t xml:space="preserve">panta </w:t>
      </w:r>
      <w:r w:rsidR="005D7992">
        <w:rPr>
          <w:szCs w:val="28"/>
        </w:rPr>
        <w:t>pirmajā</w:t>
      </w:r>
      <w:r w:rsidR="001509FB" w:rsidRPr="006240DD">
        <w:rPr>
          <w:szCs w:val="28"/>
        </w:rPr>
        <w:t xml:space="preserve"> </w:t>
      </w:r>
      <w:r w:rsidRPr="006240DD">
        <w:rPr>
          <w:szCs w:val="28"/>
        </w:rPr>
        <w:t>daļā noteiktais ierobežojums neattiecas uz:</w:t>
      </w:r>
    </w:p>
    <w:p w:rsidR="00934027" w:rsidRPr="006240DD" w:rsidRDefault="000707C0" w:rsidP="000707C0">
      <w:pPr>
        <w:jc w:val="both"/>
        <w:rPr>
          <w:szCs w:val="28"/>
        </w:rPr>
      </w:pPr>
      <w:r w:rsidRPr="006240DD">
        <w:rPr>
          <w:szCs w:val="28"/>
        </w:rPr>
        <w:tab/>
        <w:t>1) sociālās apdrošināšanas speciālā budžeta izdevumu palielināšanu</w:t>
      </w:r>
      <w:r w:rsidR="0075669C">
        <w:rPr>
          <w:szCs w:val="28"/>
        </w:rPr>
        <w:t xml:space="preserve"> apjomā</w:t>
      </w:r>
      <w:r w:rsidRPr="006240DD">
        <w:rPr>
          <w:szCs w:val="28"/>
        </w:rPr>
        <w:t xml:space="preserve">, kas izriet no </w:t>
      </w:r>
      <w:r w:rsidR="001509FB">
        <w:rPr>
          <w:szCs w:val="28"/>
        </w:rPr>
        <w:t>prognozēto sociālās apdrošināšanas iemaksu palielināšanās</w:t>
      </w:r>
      <w:r w:rsidR="0075669C">
        <w:rPr>
          <w:szCs w:val="28"/>
        </w:rPr>
        <w:t>.</w:t>
      </w:r>
      <w:r w:rsidR="0075669C" w:rsidRPr="0075669C">
        <w:rPr>
          <w:szCs w:val="28"/>
        </w:rPr>
        <w:t xml:space="preserve"> </w:t>
      </w:r>
      <w:r w:rsidR="008110F6">
        <w:rPr>
          <w:szCs w:val="28"/>
        </w:rPr>
        <w:t xml:space="preserve">Šis nosacījums attiecas tikai uz tādu izdevumu palielināšanu, kas izriet no valsts saistībām, kas uzņemtas ar tādiem normatīvajiem aktiem, kas stājušies spēkā līdz </w:t>
      </w:r>
      <w:r w:rsidR="00150BC8">
        <w:rPr>
          <w:szCs w:val="28"/>
        </w:rPr>
        <w:t>vidēja termiņa budžeta ietvara pieņemšanas brīdim</w:t>
      </w:r>
      <w:r w:rsidR="008110F6" w:rsidRPr="006240DD">
        <w:rPr>
          <w:szCs w:val="28"/>
        </w:rPr>
        <w:t>;</w:t>
      </w:r>
    </w:p>
    <w:p w:rsidR="00EF7122" w:rsidRPr="006240DD" w:rsidRDefault="000707C0" w:rsidP="006D3E97">
      <w:pPr>
        <w:jc w:val="both"/>
        <w:rPr>
          <w:szCs w:val="28"/>
        </w:rPr>
      </w:pPr>
      <w:r w:rsidRPr="006240DD">
        <w:rPr>
          <w:szCs w:val="28"/>
        </w:rPr>
        <w:tab/>
      </w:r>
      <w:r w:rsidR="0075669C">
        <w:rPr>
          <w:szCs w:val="28"/>
        </w:rPr>
        <w:t>2</w:t>
      </w:r>
      <w:r w:rsidRPr="006240DD">
        <w:rPr>
          <w:szCs w:val="28"/>
        </w:rPr>
        <w:t>) izdevumu palielināšanu, kas izriet no prognozēto maksas pakalpojumu un citu pašu ieņēmumu palielināšanās</w:t>
      </w:r>
      <w:r w:rsidR="006D3E97">
        <w:rPr>
          <w:szCs w:val="28"/>
        </w:rPr>
        <w:t>.</w:t>
      </w:r>
    </w:p>
    <w:p w:rsidR="00CA47F7" w:rsidRDefault="005D7992" w:rsidP="006D3E97">
      <w:pPr>
        <w:ind w:firstLine="720"/>
        <w:jc w:val="both"/>
        <w:rPr>
          <w:szCs w:val="28"/>
        </w:rPr>
      </w:pPr>
      <w:r>
        <w:rPr>
          <w:szCs w:val="28"/>
        </w:rPr>
        <w:t>(</w:t>
      </w:r>
      <w:r w:rsidR="0075669C">
        <w:rPr>
          <w:szCs w:val="28"/>
        </w:rPr>
        <w:t>3</w:t>
      </w:r>
      <w:r w:rsidR="00B15F94">
        <w:rPr>
          <w:szCs w:val="28"/>
        </w:rPr>
        <w:t xml:space="preserve">) </w:t>
      </w:r>
      <w:r>
        <w:rPr>
          <w:szCs w:val="28"/>
        </w:rPr>
        <w:t>Š</w:t>
      </w:r>
      <w:r w:rsidRPr="006240DD">
        <w:rPr>
          <w:szCs w:val="28"/>
        </w:rPr>
        <w:t xml:space="preserve">ī panta </w:t>
      </w:r>
      <w:r>
        <w:rPr>
          <w:szCs w:val="28"/>
        </w:rPr>
        <w:t>pirmajā</w:t>
      </w:r>
      <w:r w:rsidRPr="006240DD">
        <w:rPr>
          <w:szCs w:val="28"/>
        </w:rPr>
        <w:t xml:space="preserve"> daļā noteiktais ierobežojums neattiecas</w:t>
      </w:r>
      <w:r w:rsidR="00CA47F7">
        <w:rPr>
          <w:szCs w:val="28"/>
        </w:rPr>
        <w:t xml:space="preserve"> uz:</w:t>
      </w:r>
    </w:p>
    <w:p w:rsidR="00301809" w:rsidRDefault="00CA47F7" w:rsidP="006D3E97">
      <w:pPr>
        <w:ind w:firstLine="720"/>
        <w:jc w:val="both"/>
        <w:rPr>
          <w:szCs w:val="28"/>
        </w:rPr>
      </w:pPr>
      <w:r>
        <w:rPr>
          <w:szCs w:val="28"/>
        </w:rPr>
        <w:t>1)</w:t>
      </w:r>
      <w:r w:rsidR="005D7992" w:rsidRPr="006240DD">
        <w:rPr>
          <w:szCs w:val="28"/>
        </w:rPr>
        <w:t xml:space="preserve"> uz</w:t>
      </w:r>
      <w:r w:rsidR="00B15F94">
        <w:rPr>
          <w:szCs w:val="28"/>
        </w:rPr>
        <w:t xml:space="preserve"> 1</w:t>
      </w:r>
      <w:r w:rsidR="00EF7122">
        <w:rPr>
          <w:szCs w:val="28"/>
        </w:rPr>
        <w:t>1</w:t>
      </w:r>
      <w:r w:rsidR="000707C0">
        <w:rPr>
          <w:szCs w:val="28"/>
        </w:rPr>
        <w:t>.</w:t>
      </w:r>
      <w:r w:rsidR="006D3E97">
        <w:rPr>
          <w:szCs w:val="28"/>
        </w:rPr>
        <w:t xml:space="preserve"> </w:t>
      </w:r>
      <w:r w:rsidR="00F30CFC">
        <w:rPr>
          <w:szCs w:val="28"/>
        </w:rPr>
        <w:t xml:space="preserve">panta pirmajā daļā </w:t>
      </w:r>
      <w:r w:rsidR="000707C0">
        <w:rPr>
          <w:szCs w:val="28"/>
        </w:rPr>
        <w:t>noteiktajiem gadījumiem</w:t>
      </w:r>
      <w:r w:rsidR="00301809">
        <w:rPr>
          <w:szCs w:val="28"/>
        </w:rPr>
        <w:t>;</w:t>
      </w:r>
    </w:p>
    <w:p w:rsidR="00301809" w:rsidRDefault="00301809" w:rsidP="006D3E97">
      <w:pPr>
        <w:ind w:firstLine="720"/>
        <w:jc w:val="both"/>
        <w:rPr>
          <w:szCs w:val="28"/>
        </w:rPr>
      </w:pPr>
      <w:r>
        <w:rPr>
          <w:szCs w:val="28"/>
        </w:rPr>
        <w:lastRenderedPageBreak/>
        <w:t xml:space="preserve">2) </w:t>
      </w:r>
      <w:r w:rsidRPr="006240DD">
        <w:rPr>
          <w:szCs w:val="28"/>
        </w:rPr>
        <w:t>izdevumu palielināšanu, kas izriet no maksas pakalpojumu un citu pašu ieņēmumu atlikumu kārtējā gada sākumā izmantošanas.</w:t>
      </w:r>
    </w:p>
    <w:p w:rsidR="000707C0" w:rsidRDefault="00301809" w:rsidP="006D3E97">
      <w:pPr>
        <w:ind w:firstLine="720"/>
        <w:jc w:val="both"/>
        <w:rPr>
          <w:szCs w:val="28"/>
        </w:rPr>
      </w:pPr>
      <w:r>
        <w:rPr>
          <w:szCs w:val="28"/>
        </w:rPr>
        <w:t xml:space="preserve">3) </w:t>
      </w:r>
      <w:r w:rsidRPr="006240DD" w:rsidDel="0001090C">
        <w:rPr>
          <w:szCs w:val="28"/>
        </w:rPr>
        <w:t xml:space="preserve"> </w:t>
      </w:r>
      <w:r>
        <w:rPr>
          <w:szCs w:val="28"/>
        </w:rPr>
        <w:t>Šī likuma 1</w:t>
      </w:r>
      <w:r w:rsidR="00EF7122">
        <w:rPr>
          <w:szCs w:val="28"/>
        </w:rPr>
        <w:t>4</w:t>
      </w:r>
      <w:r>
        <w:rPr>
          <w:szCs w:val="28"/>
        </w:rPr>
        <w:t>.</w:t>
      </w:r>
      <w:r w:rsidR="003D0C9C">
        <w:rPr>
          <w:szCs w:val="28"/>
        </w:rPr>
        <w:t xml:space="preserve"> </w:t>
      </w:r>
      <w:r>
        <w:rPr>
          <w:szCs w:val="28"/>
        </w:rPr>
        <w:t xml:space="preserve">panta sestajā daļā minēto </w:t>
      </w:r>
      <w:r w:rsidRPr="00CC6E1F">
        <w:rPr>
          <w:szCs w:val="28"/>
        </w:rPr>
        <w:t>Eiropas Savienības politiku instrumentu un cit</w:t>
      </w:r>
      <w:r>
        <w:rPr>
          <w:szCs w:val="28"/>
        </w:rPr>
        <w:t>ai</w:t>
      </w:r>
      <w:r w:rsidRPr="00CC6E1F">
        <w:rPr>
          <w:szCs w:val="28"/>
        </w:rPr>
        <w:t xml:space="preserve"> ārvalstu finanšu palīdzības</w:t>
      </w:r>
      <w:r>
        <w:rPr>
          <w:szCs w:val="28"/>
        </w:rPr>
        <w:t xml:space="preserve"> programmas</w:t>
      </w:r>
      <w:r w:rsidRPr="006240DD">
        <w:rPr>
          <w:szCs w:val="28"/>
        </w:rPr>
        <w:t xml:space="preserve"> projektu un pasākumu īstenošanai nepieciešamo</w:t>
      </w:r>
      <w:r>
        <w:rPr>
          <w:szCs w:val="28"/>
        </w:rPr>
        <w:t xml:space="preserve"> un no attiecīgās programmas atmaksājamo  </w:t>
      </w:r>
      <w:r w:rsidRPr="006240DD">
        <w:rPr>
          <w:szCs w:val="28"/>
        </w:rPr>
        <w:t xml:space="preserve"> izdevumu palielināšanu</w:t>
      </w:r>
      <w:r>
        <w:rPr>
          <w:szCs w:val="28"/>
        </w:rPr>
        <w:t>.</w:t>
      </w:r>
    </w:p>
    <w:p w:rsidR="000707C0" w:rsidRPr="006240DD" w:rsidRDefault="000707C0" w:rsidP="000707C0">
      <w:pPr>
        <w:jc w:val="both"/>
        <w:rPr>
          <w:szCs w:val="28"/>
        </w:rPr>
      </w:pPr>
    </w:p>
    <w:p w:rsidR="000C0A70" w:rsidRPr="006240DD" w:rsidRDefault="00B9351E" w:rsidP="00940C6D">
      <w:pPr>
        <w:ind w:firstLine="720"/>
        <w:jc w:val="both"/>
        <w:rPr>
          <w:b/>
          <w:szCs w:val="28"/>
        </w:rPr>
      </w:pPr>
      <w:r>
        <w:rPr>
          <w:b/>
          <w:szCs w:val="28"/>
        </w:rPr>
        <w:t>7</w:t>
      </w:r>
      <w:r w:rsidR="000A5B6C" w:rsidRPr="006240DD">
        <w:rPr>
          <w:b/>
          <w:szCs w:val="28"/>
        </w:rPr>
        <w:t>. pants. Gadskārtējā valsts budžeta likum</w:t>
      </w:r>
      <w:r w:rsidR="00AC1E3D" w:rsidRPr="006240DD">
        <w:rPr>
          <w:b/>
          <w:szCs w:val="28"/>
        </w:rPr>
        <w:t>a</w:t>
      </w:r>
      <w:r>
        <w:rPr>
          <w:b/>
          <w:szCs w:val="28"/>
        </w:rPr>
        <w:t xml:space="preserve"> </w:t>
      </w:r>
      <w:r w:rsidR="00AC1E3D" w:rsidRPr="006240DD">
        <w:rPr>
          <w:b/>
          <w:szCs w:val="28"/>
        </w:rPr>
        <w:t>sagatavošanas nosacījumi</w:t>
      </w:r>
    </w:p>
    <w:p w:rsidR="00560258" w:rsidRDefault="008F32D5" w:rsidP="0058360B">
      <w:pPr>
        <w:jc w:val="both"/>
        <w:rPr>
          <w:szCs w:val="28"/>
        </w:rPr>
      </w:pPr>
      <w:r w:rsidRPr="006240DD">
        <w:rPr>
          <w:szCs w:val="28"/>
        </w:rPr>
        <w:tab/>
      </w:r>
      <w:r w:rsidR="00635AE8" w:rsidRPr="006240DD">
        <w:rPr>
          <w:szCs w:val="28"/>
        </w:rPr>
        <w:t>(</w:t>
      </w:r>
      <w:r w:rsidR="00227230" w:rsidRPr="006240DD">
        <w:rPr>
          <w:szCs w:val="28"/>
        </w:rPr>
        <w:t>1</w:t>
      </w:r>
      <w:r w:rsidR="00635AE8" w:rsidRPr="006240DD">
        <w:rPr>
          <w:szCs w:val="28"/>
        </w:rPr>
        <w:t xml:space="preserve">) </w:t>
      </w:r>
      <w:r w:rsidR="0040051A" w:rsidRPr="006240DD">
        <w:rPr>
          <w:szCs w:val="28"/>
        </w:rPr>
        <w:t>Gadskārtē</w:t>
      </w:r>
      <w:r w:rsidR="00FD32A4" w:rsidRPr="006240DD">
        <w:rPr>
          <w:szCs w:val="28"/>
        </w:rPr>
        <w:t>jā valsts budžeta likumprojekts</w:t>
      </w:r>
      <w:r w:rsidR="0040051A" w:rsidRPr="006240DD">
        <w:rPr>
          <w:szCs w:val="28"/>
        </w:rPr>
        <w:t xml:space="preserve"> jāsagatavo saskaņā ar to vidēja termiņa budžeta ietvara likumu, kura pirmais gads sakrīt ar sagatavojamā budžeta gadu</w:t>
      </w:r>
      <w:r w:rsidR="0045614B" w:rsidRPr="006240DD">
        <w:rPr>
          <w:szCs w:val="28"/>
        </w:rPr>
        <w:t>.</w:t>
      </w:r>
    </w:p>
    <w:p w:rsidR="00952107" w:rsidRPr="006240DD" w:rsidRDefault="0075669C" w:rsidP="0075669C">
      <w:pPr>
        <w:ind w:firstLine="709"/>
        <w:jc w:val="both"/>
        <w:rPr>
          <w:szCs w:val="28"/>
        </w:rPr>
      </w:pPr>
      <w:r w:rsidRPr="006240DD">
        <w:rPr>
          <w:szCs w:val="28"/>
        </w:rPr>
        <w:t>(</w:t>
      </w:r>
      <w:r>
        <w:rPr>
          <w:szCs w:val="28"/>
        </w:rPr>
        <w:t>2</w:t>
      </w:r>
      <w:r w:rsidRPr="006240DD">
        <w:rPr>
          <w:szCs w:val="28"/>
        </w:rPr>
        <w:t>) Sagatavojot gadskārtējo valsts budžeta likumu, valsts konsolidētā budžeta izdevumu kopējo apjomu</w:t>
      </w:r>
      <w:r>
        <w:rPr>
          <w:szCs w:val="28"/>
        </w:rPr>
        <w:t xml:space="preserve">, no kura izslēgti izdevumi, kuriem tiek piemērots izdevumu izlīdzināšanas </w:t>
      </w:r>
      <w:r w:rsidRPr="005D7786">
        <w:rPr>
          <w:szCs w:val="28"/>
        </w:rPr>
        <w:t xml:space="preserve">mehānisms saskaņā ar </w:t>
      </w:r>
      <w:r w:rsidR="005D7786" w:rsidRPr="005D7786">
        <w:rPr>
          <w:szCs w:val="28"/>
        </w:rPr>
        <w:t>1</w:t>
      </w:r>
      <w:r w:rsidR="00EF7122">
        <w:rPr>
          <w:szCs w:val="28"/>
        </w:rPr>
        <w:t>4</w:t>
      </w:r>
      <w:r w:rsidRPr="005D7786">
        <w:rPr>
          <w:szCs w:val="28"/>
        </w:rPr>
        <w:t>.</w:t>
      </w:r>
      <w:r w:rsidR="00F6683F" w:rsidRPr="005D7786">
        <w:rPr>
          <w:szCs w:val="28"/>
        </w:rPr>
        <w:t xml:space="preserve"> </w:t>
      </w:r>
      <w:r w:rsidRPr="005D7786">
        <w:rPr>
          <w:szCs w:val="28"/>
        </w:rPr>
        <w:t>pantu,</w:t>
      </w:r>
      <w:r w:rsidRPr="006240DD">
        <w:rPr>
          <w:szCs w:val="28"/>
        </w:rPr>
        <w:t xml:space="preserve"> nosaka </w:t>
      </w:r>
      <w:r w:rsidR="006D58B1">
        <w:rPr>
          <w:szCs w:val="28"/>
        </w:rPr>
        <w:t>mazāku</w:t>
      </w:r>
      <w:r w:rsidR="006D58B1" w:rsidRPr="006240DD">
        <w:rPr>
          <w:szCs w:val="28"/>
        </w:rPr>
        <w:t xml:space="preserve"> </w:t>
      </w:r>
      <w:r w:rsidRPr="006240DD">
        <w:rPr>
          <w:szCs w:val="28"/>
        </w:rPr>
        <w:t xml:space="preserve">par vidēja termiņa budžeta ietvara likumā attiecīgajam gadam noteikto </w:t>
      </w:r>
      <w:r>
        <w:rPr>
          <w:szCs w:val="28"/>
        </w:rPr>
        <w:t xml:space="preserve">koriģēto </w:t>
      </w:r>
      <w:r w:rsidRPr="006240DD">
        <w:rPr>
          <w:szCs w:val="28"/>
        </w:rPr>
        <w:t xml:space="preserve">maksimāli pieļaujamo valsts konsolidētā budžeta izdevumu kopējo apjomu. </w:t>
      </w:r>
      <w:r w:rsidRPr="0075669C">
        <w:rPr>
          <w:szCs w:val="28"/>
        </w:rPr>
        <w:t xml:space="preserve">Šī starpība </w:t>
      </w:r>
      <w:r w:rsidRPr="006240DD">
        <w:rPr>
          <w:szCs w:val="28"/>
        </w:rPr>
        <w:t>nevar būt mazāka par 0</w:t>
      </w:r>
      <w:r w:rsidR="00EF7122">
        <w:rPr>
          <w:szCs w:val="28"/>
        </w:rPr>
        <w:t>,</w:t>
      </w:r>
      <w:r w:rsidRPr="006240DD">
        <w:rPr>
          <w:szCs w:val="28"/>
        </w:rPr>
        <w:t xml:space="preserve">5% no prognozētā iekšzemes kopprodukta </w:t>
      </w:r>
      <w:r w:rsidRPr="0075669C">
        <w:rPr>
          <w:szCs w:val="28"/>
        </w:rPr>
        <w:t xml:space="preserve">un </w:t>
      </w:r>
      <w:r w:rsidRPr="006240DD">
        <w:rPr>
          <w:szCs w:val="28"/>
        </w:rPr>
        <w:t>tā ir</w:t>
      </w:r>
      <w:r w:rsidRPr="0075669C">
        <w:rPr>
          <w:szCs w:val="28"/>
        </w:rPr>
        <w:t xml:space="preserve"> </w:t>
      </w:r>
      <w:r w:rsidR="00F30CFC" w:rsidRPr="006240DD">
        <w:rPr>
          <w:szCs w:val="28"/>
        </w:rPr>
        <w:t>fiskālā nodrošinājuma rezerve</w:t>
      </w:r>
      <w:r w:rsidR="00F30CFC">
        <w:rPr>
          <w:szCs w:val="28"/>
        </w:rPr>
        <w:t>, kuru var izmantot</w:t>
      </w:r>
      <w:r w:rsidR="00F30CFC" w:rsidRPr="006240DD">
        <w:rPr>
          <w:szCs w:val="28"/>
        </w:rPr>
        <w:t xml:space="preserve"> pēc gadskārtējā valsts budžeta likuma pieņemšanas</w:t>
      </w:r>
      <w:r w:rsidRPr="006240DD">
        <w:rPr>
          <w:szCs w:val="28"/>
        </w:rPr>
        <w:t>.</w:t>
      </w:r>
      <w:r w:rsidR="009D0FFE" w:rsidRPr="006240DD">
        <w:rPr>
          <w:szCs w:val="28"/>
        </w:rPr>
        <w:t xml:space="preserve">  </w:t>
      </w:r>
    </w:p>
    <w:p w:rsidR="005D7992" w:rsidRDefault="000707C0" w:rsidP="0050396D">
      <w:pPr>
        <w:ind w:firstLine="720"/>
        <w:jc w:val="both"/>
        <w:rPr>
          <w:szCs w:val="28"/>
        </w:rPr>
      </w:pPr>
      <w:r w:rsidRPr="006240DD" w:rsidDel="000707C0">
        <w:rPr>
          <w:szCs w:val="28"/>
        </w:rPr>
        <w:t xml:space="preserve"> </w:t>
      </w:r>
      <w:r w:rsidR="005D7992">
        <w:rPr>
          <w:szCs w:val="28"/>
        </w:rPr>
        <w:t>(</w:t>
      </w:r>
      <w:r w:rsidR="003D5D52">
        <w:rPr>
          <w:szCs w:val="28"/>
        </w:rPr>
        <w:t>3</w:t>
      </w:r>
      <w:r w:rsidR="005D7992">
        <w:rPr>
          <w:szCs w:val="28"/>
        </w:rPr>
        <w:t xml:space="preserve">) </w:t>
      </w:r>
      <w:r w:rsidR="00604628" w:rsidRPr="002D6868">
        <w:rPr>
          <w:szCs w:val="28"/>
        </w:rPr>
        <w:t>Ar</w:t>
      </w:r>
      <w:r w:rsidR="00604628">
        <w:rPr>
          <w:szCs w:val="28"/>
        </w:rPr>
        <w:t xml:space="preserve"> jauniem normatīvajiem aktiem, kuriem ir ietekme uz budžeta izpildes gaitu</w:t>
      </w:r>
      <w:r w:rsidR="005D7992">
        <w:rPr>
          <w:szCs w:val="28"/>
        </w:rPr>
        <w:t xml:space="preserve"> nedrīkst pasliktināt vidēja termiņa budžeta ietvara likumā attiecīgajam gadam noteikto valsts konsolidētā budžeta finansiālo bilanci un konsolidētā kopbudžeta finansiālo bilanci. </w:t>
      </w:r>
      <w:r w:rsidR="0075669C">
        <w:rPr>
          <w:szCs w:val="28"/>
        </w:rPr>
        <w:t xml:space="preserve">Šis nosacījums neattiecas uz izdevumiem tajās izdevumu pozīcijās, kurām tiek piemērots izdevumu izlīdzināšanas mehānisms saskaņā ar šī likuma </w:t>
      </w:r>
      <w:r w:rsidR="005D7786" w:rsidRPr="005D7786">
        <w:rPr>
          <w:szCs w:val="28"/>
        </w:rPr>
        <w:t>1</w:t>
      </w:r>
      <w:r w:rsidR="00EF7122">
        <w:rPr>
          <w:szCs w:val="28"/>
        </w:rPr>
        <w:t>4</w:t>
      </w:r>
      <w:r w:rsidR="0075669C" w:rsidRPr="005D7786">
        <w:rPr>
          <w:szCs w:val="28"/>
        </w:rPr>
        <w:t xml:space="preserve">. </w:t>
      </w:r>
      <w:r w:rsidR="00851438" w:rsidRPr="005D7786">
        <w:rPr>
          <w:szCs w:val="28"/>
        </w:rPr>
        <w:t>p</w:t>
      </w:r>
      <w:r w:rsidR="0075669C" w:rsidRPr="005D7786">
        <w:rPr>
          <w:szCs w:val="28"/>
        </w:rPr>
        <w:t>antu</w:t>
      </w:r>
      <w:r w:rsidR="00851438" w:rsidRPr="005D7786">
        <w:rPr>
          <w:szCs w:val="28"/>
        </w:rPr>
        <w:t xml:space="preserve">, </w:t>
      </w:r>
      <w:r w:rsidR="00301809">
        <w:rPr>
          <w:szCs w:val="28"/>
        </w:rPr>
        <w:t>izdevumiem saskaņā 1</w:t>
      </w:r>
      <w:r w:rsidR="00EF7122">
        <w:rPr>
          <w:szCs w:val="28"/>
        </w:rPr>
        <w:t>4</w:t>
      </w:r>
      <w:r w:rsidR="00301809">
        <w:rPr>
          <w:szCs w:val="28"/>
        </w:rPr>
        <w:t>.</w:t>
      </w:r>
      <w:r w:rsidR="003D0C9C">
        <w:rPr>
          <w:szCs w:val="28"/>
        </w:rPr>
        <w:t xml:space="preserve"> </w:t>
      </w:r>
      <w:r w:rsidR="00301809">
        <w:rPr>
          <w:szCs w:val="28"/>
        </w:rPr>
        <w:t xml:space="preserve">panta sesto daļu, </w:t>
      </w:r>
      <w:r w:rsidR="00851438" w:rsidRPr="005D7786">
        <w:rPr>
          <w:szCs w:val="28"/>
        </w:rPr>
        <w:t>kā arī uz izdevumu palielinājumu, kas tiek finansēts no maksas</w:t>
      </w:r>
      <w:r w:rsidR="00851438" w:rsidRPr="006240DD">
        <w:rPr>
          <w:szCs w:val="28"/>
        </w:rPr>
        <w:t xml:space="preserve"> pakalpojumu un citu pašu ieņēmumu atlikum</w:t>
      </w:r>
      <w:r w:rsidR="00851438">
        <w:rPr>
          <w:szCs w:val="28"/>
        </w:rPr>
        <w:t>iem</w:t>
      </w:r>
      <w:r w:rsidR="00851438" w:rsidRPr="006240DD">
        <w:rPr>
          <w:szCs w:val="28"/>
        </w:rPr>
        <w:t xml:space="preserve"> kārtējā gada sākumā</w:t>
      </w:r>
      <w:r w:rsidR="00851438">
        <w:rPr>
          <w:szCs w:val="28"/>
        </w:rPr>
        <w:t xml:space="preserve">.  </w:t>
      </w:r>
    </w:p>
    <w:p w:rsidR="00554BE0" w:rsidRPr="006240DD" w:rsidRDefault="00554BE0" w:rsidP="0050396D">
      <w:pPr>
        <w:ind w:firstLine="720"/>
        <w:jc w:val="both"/>
        <w:rPr>
          <w:szCs w:val="28"/>
        </w:rPr>
      </w:pPr>
      <w:r w:rsidRPr="006240DD">
        <w:rPr>
          <w:szCs w:val="28"/>
        </w:rPr>
        <w:t>(</w:t>
      </w:r>
      <w:r w:rsidR="003D5D52">
        <w:rPr>
          <w:szCs w:val="28"/>
        </w:rPr>
        <w:t>4</w:t>
      </w:r>
      <w:r w:rsidRPr="006240DD">
        <w:rPr>
          <w:szCs w:val="28"/>
        </w:rPr>
        <w:t>) Ar gadskārtējā valsts budžeta likum</w:t>
      </w:r>
      <w:r w:rsidR="0075669C">
        <w:rPr>
          <w:szCs w:val="28"/>
        </w:rPr>
        <w:t>a izpildi</w:t>
      </w:r>
      <w:r w:rsidRPr="006240DD">
        <w:rPr>
          <w:szCs w:val="28"/>
        </w:rPr>
        <w:t xml:space="preserve"> nedrīkst pārsniegt vidēja termiņa budžeta ietvara likumā attiecīgajam gadam noteikto</w:t>
      </w:r>
      <w:r w:rsidR="0075669C">
        <w:rPr>
          <w:szCs w:val="28"/>
        </w:rPr>
        <w:t xml:space="preserve"> koriģēto</w:t>
      </w:r>
      <w:r w:rsidRPr="006240DD">
        <w:rPr>
          <w:szCs w:val="28"/>
        </w:rPr>
        <w:t xml:space="preserve"> maksimāli pieļaujamo valsts konsolidētā budžeta izdevumu kopējo apjomu. Šis ierobežojums neattiecas uz:</w:t>
      </w:r>
    </w:p>
    <w:p w:rsidR="0075669C" w:rsidRPr="006240DD" w:rsidRDefault="00554BE0" w:rsidP="0075669C">
      <w:pPr>
        <w:jc w:val="both"/>
        <w:rPr>
          <w:szCs w:val="28"/>
        </w:rPr>
      </w:pPr>
      <w:r w:rsidRPr="006240DD">
        <w:rPr>
          <w:szCs w:val="28"/>
        </w:rPr>
        <w:tab/>
      </w:r>
      <w:r w:rsidR="0075669C" w:rsidRPr="006240DD">
        <w:rPr>
          <w:szCs w:val="28"/>
        </w:rPr>
        <w:t>1) sociālās apdrošināšanas speciālā budžeta izdevumu palielināšanu</w:t>
      </w:r>
      <w:r w:rsidR="0075669C">
        <w:rPr>
          <w:szCs w:val="28"/>
        </w:rPr>
        <w:t xml:space="preserve"> apjomā</w:t>
      </w:r>
      <w:r w:rsidR="0075669C" w:rsidRPr="006240DD">
        <w:rPr>
          <w:szCs w:val="28"/>
        </w:rPr>
        <w:t xml:space="preserve">, kas izriet no </w:t>
      </w:r>
      <w:r w:rsidR="0075669C">
        <w:rPr>
          <w:szCs w:val="28"/>
        </w:rPr>
        <w:t xml:space="preserve">prognozēto sociālās apdrošināšanas iemaksu palielināšanās. </w:t>
      </w:r>
      <w:r w:rsidR="006D58B1">
        <w:rPr>
          <w:szCs w:val="28"/>
        </w:rPr>
        <w:t xml:space="preserve">Šis nosacījums attiecas tikai uz tādu izdevumu palielināšanu, kas izriet no valsts saistībām, kas uzņemtas ar tādiem normatīvajiem aktiem, kas stājušies spēkā līdz </w:t>
      </w:r>
      <w:r w:rsidR="00150BC8">
        <w:rPr>
          <w:szCs w:val="28"/>
        </w:rPr>
        <w:t>vidēja termiņa budžeta ietvara pieņemšanas brīdim</w:t>
      </w:r>
      <w:r w:rsidR="006D58B1" w:rsidRPr="006240DD">
        <w:rPr>
          <w:szCs w:val="28"/>
        </w:rPr>
        <w:t>;</w:t>
      </w:r>
    </w:p>
    <w:p w:rsidR="0075669C" w:rsidRPr="006240DD" w:rsidRDefault="0075669C" w:rsidP="0075669C">
      <w:pPr>
        <w:jc w:val="both"/>
        <w:rPr>
          <w:szCs w:val="28"/>
        </w:rPr>
      </w:pPr>
      <w:r w:rsidRPr="006240DD">
        <w:rPr>
          <w:szCs w:val="28"/>
        </w:rPr>
        <w:tab/>
        <w:t>2) izdevumu palielināšanu, kas izriet no prognozēto maksas pakalpojumu un citu pašu ieņēmumu palielināšanās, kā arī maksas pakalpojumu un citu pašu ieņēmumu atlikumu kārtējā gada sākumā izmantošanas summu.</w:t>
      </w:r>
    </w:p>
    <w:p w:rsidR="00DD6FDF" w:rsidRDefault="0075669C" w:rsidP="0075669C">
      <w:pPr>
        <w:jc w:val="both"/>
        <w:rPr>
          <w:szCs w:val="28"/>
        </w:rPr>
      </w:pPr>
      <w:r w:rsidRPr="006240DD">
        <w:rPr>
          <w:szCs w:val="28"/>
        </w:rPr>
        <w:tab/>
        <w:t xml:space="preserve">3) </w:t>
      </w:r>
      <w:r>
        <w:rPr>
          <w:szCs w:val="28"/>
        </w:rPr>
        <w:t xml:space="preserve">izdevumu palielināšanu izdevumu pozīcijās, kurām tiek piemērots izdevumu izlīdzināšanas mehānisms saskaņā ar šī </w:t>
      </w:r>
      <w:r w:rsidRPr="005D7786">
        <w:rPr>
          <w:szCs w:val="28"/>
        </w:rPr>
        <w:t xml:space="preserve">likuma </w:t>
      </w:r>
      <w:r w:rsidR="005D7786" w:rsidRPr="005D7786">
        <w:rPr>
          <w:szCs w:val="28"/>
        </w:rPr>
        <w:t>1</w:t>
      </w:r>
      <w:r w:rsidR="00EF7122">
        <w:rPr>
          <w:szCs w:val="28"/>
        </w:rPr>
        <w:t>4</w:t>
      </w:r>
      <w:r w:rsidRPr="005D7786">
        <w:rPr>
          <w:szCs w:val="28"/>
        </w:rPr>
        <w:t>. pantu.</w:t>
      </w:r>
      <w:r>
        <w:rPr>
          <w:szCs w:val="28"/>
        </w:rPr>
        <w:t xml:space="preserve"> </w:t>
      </w:r>
      <w:r w:rsidR="00745167" w:rsidRPr="00604628">
        <w:rPr>
          <w:szCs w:val="28"/>
        </w:rPr>
        <w:t>Eiropas Savienības politiku instrumentu un citai ārvalstu finanšu palīdzības</w:t>
      </w:r>
      <w:r>
        <w:rPr>
          <w:szCs w:val="28"/>
        </w:rPr>
        <w:t xml:space="preserve"> programmas projektu un pasākumu izdevumiem šī punkta nosacījumi ir attiecināmi tikai ar </w:t>
      </w:r>
      <w:r>
        <w:rPr>
          <w:szCs w:val="28"/>
        </w:rPr>
        <w:lastRenderedPageBreak/>
        <w:t xml:space="preserve">nosacījumu, ka kopējais programmas projektu un pasākumu izdevumu apjoms nepārsniedz vidēja termiņa budžeta ietvara likumā attiecīgai programmai noteikto </w:t>
      </w:r>
      <w:r w:rsidR="00745167">
        <w:rPr>
          <w:szCs w:val="28"/>
        </w:rPr>
        <w:t xml:space="preserve">izlīdzināto </w:t>
      </w:r>
      <w:r>
        <w:rPr>
          <w:szCs w:val="28"/>
        </w:rPr>
        <w:t xml:space="preserve">izdevumu </w:t>
      </w:r>
      <w:r w:rsidR="00745167">
        <w:rPr>
          <w:szCs w:val="28"/>
        </w:rPr>
        <w:t>apjomu</w:t>
      </w:r>
      <w:r>
        <w:rPr>
          <w:szCs w:val="28"/>
        </w:rPr>
        <w:t>.</w:t>
      </w:r>
    </w:p>
    <w:p w:rsidR="0013509C" w:rsidRDefault="0013509C" w:rsidP="00C453AD">
      <w:pPr>
        <w:ind w:firstLine="709"/>
        <w:jc w:val="both"/>
        <w:rPr>
          <w:szCs w:val="28"/>
        </w:rPr>
      </w:pPr>
      <w:r>
        <w:rPr>
          <w:szCs w:val="28"/>
        </w:rPr>
        <w:t>4) izdevumu palielināšanu saskaņā ar šī likuma 1</w:t>
      </w:r>
      <w:r w:rsidR="00EF7122">
        <w:rPr>
          <w:szCs w:val="28"/>
        </w:rPr>
        <w:t>1</w:t>
      </w:r>
      <w:r>
        <w:rPr>
          <w:szCs w:val="28"/>
        </w:rPr>
        <w:t>.</w:t>
      </w:r>
      <w:r w:rsidR="00B478A4">
        <w:rPr>
          <w:szCs w:val="28"/>
        </w:rPr>
        <w:t xml:space="preserve"> </w:t>
      </w:r>
      <w:r w:rsidR="00604628">
        <w:rPr>
          <w:szCs w:val="28"/>
        </w:rPr>
        <w:t>panta pirmo daļu</w:t>
      </w:r>
      <w:r>
        <w:rPr>
          <w:szCs w:val="28"/>
        </w:rPr>
        <w:t>.</w:t>
      </w:r>
    </w:p>
    <w:p w:rsidR="00301809" w:rsidRDefault="00301809" w:rsidP="00C453AD">
      <w:pPr>
        <w:ind w:firstLine="709"/>
        <w:jc w:val="both"/>
        <w:rPr>
          <w:szCs w:val="28"/>
        </w:rPr>
      </w:pPr>
      <w:r>
        <w:rPr>
          <w:szCs w:val="28"/>
        </w:rPr>
        <w:t>5)</w:t>
      </w:r>
      <w:r w:rsidRPr="00301809">
        <w:rPr>
          <w:szCs w:val="28"/>
        </w:rPr>
        <w:t xml:space="preserve"> </w:t>
      </w:r>
      <w:r w:rsidR="003D0C9C">
        <w:rPr>
          <w:szCs w:val="28"/>
        </w:rPr>
        <w:t>š</w:t>
      </w:r>
      <w:r>
        <w:rPr>
          <w:szCs w:val="28"/>
        </w:rPr>
        <w:t>ī likuma 1</w:t>
      </w:r>
      <w:r w:rsidR="00EF7122">
        <w:rPr>
          <w:szCs w:val="28"/>
        </w:rPr>
        <w:t>4</w:t>
      </w:r>
      <w:r>
        <w:rPr>
          <w:szCs w:val="28"/>
        </w:rPr>
        <w:t>.</w:t>
      </w:r>
      <w:r w:rsidR="003D0C9C">
        <w:rPr>
          <w:szCs w:val="28"/>
        </w:rPr>
        <w:t xml:space="preserve"> </w:t>
      </w:r>
      <w:r>
        <w:rPr>
          <w:szCs w:val="28"/>
        </w:rPr>
        <w:t xml:space="preserve">panta sestajā daļā minēto </w:t>
      </w:r>
      <w:r w:rsidRPr="00CC6E1F">
        <w:rPr>
          <w:szCs w:val="28"/>
        </w:rPr>
        <w:t>Eiropas Savienības politiku instrumentu un cit</w:t>
      </w:r>
      <w:r>
        <w:rPr>
          <w:szCs w:val="28"/>
        </w:rPr>
        <w:t>ai</w:t>
      </w:r>
      <w:r w:rsidRPr="00CC6E1F">
        <w:rPr>
          <w:szCs w:val="28"/>
        </w:rPr>
        <w:t xml:space="preserve"> ārvalstu finanšu palīdzības</w:t>
      </w:r>
      <w:r>
        <w:rPr>
          <w:szCs w:val="28"/>
        </w:rPr>
        <w:t xml:space="preserve"> programmas</w:t>
      </w:r>
      <w:r w:rsidRPr="006240DD">
        <w:rPr>
          <w:szCs w:val="28"/>
        </w:rPr>
        <w:t xml:space="preserve"> projektu un pasākumu īstenošanai nepieciešamo</w:t>
      </w:r>
      <w:r>
        <w:rPr>
          <w:szCs w:val="28"/>
        </w:rPr>
        <w:t xml:space="preserve"> un no attiecīgās programmas atmaksājamo  </w:t>
      </w:r>
      <w:r w:rsidRPr="006240DD">
        <w:rPr>
          <w:szCs w:val="28"/>
        </w:rPr>
        <w:t xml:space="preserve"> izdevumu palielināšanu</w:t>
      </w:r>
      <w:r>
        <w:rPr>
          <w:szCs w:val="28"/>
        </w:rPr>
        <w:t>.</w:t>
      </w:r>
    </w:p>
    <w:p w:rsidR="0075669C" w:rsidRDefault="00554BE0" w:rsidP="003D5D52">
      <w:pPr>
        <w:jc w:val="both"/>
        <w:rPr>
          <w:szCs w:val="28"/>
        </w:rPr>
      </w:pPr>
      <w:r w:rsidRPr="006240DD">
        <w:rPr>
          <w:szCs w:val="28"/>
        </w:rPr>
        <w:tab/>
      </w:r>
    </w:p>
    <w:p w:rsidR="00B9351E" w:rsidRDefault="00B9351E" w:rsidP="00B478A4">
      <w:pPr>
        <w:ind w:firstLine="709"/>
        <w:jc w:val="both"/>
        <w:rPr>
          <w:b/>
          <w:szCs w:val="28"/>
        </w:rPr>
      </w:pPr>
      <w:r>
        <w:rPr>
          <w:b/>
          <w:szCs w:val="28"/>
        </w:rPr>
        <w:t>8</w:t>
      </w:r>
      <w:r w:rsidRPr="006240DD">
        <w:rPr>
          <w:b/>
          <w:szCs w:val="28"/>
        </w:rPr>
        <w:t xml:space="preserve">. pants. Gadskārtējā valsts budžeta likuma </w:t>
      </w:r>
      <w:r w:rsidR="00604628">
        <w:rPr>
          <w:b/>
          <w:szCs w:val="28"/>
        </w:rPr>
        <w:t xml:space="preserve">grozījumu izstrādāšanas </w:t>
      </w:r>
      <w:r w:rsidRPr="006240DD">
        <w:rPr>
          <w:b/>
          <w:szCs w:val="28"/>
        </w:rPr>
        <w:t>nosacījumi</w:t>
      </w:r>
    </w:p>
    <w:p w:rsidR="000707C0" w:rsidRDefault="000707C0" w:rsidP="000707C0">
      <w:pPr>
        <w:ind w:firstLine="709"/>
        <w:jc w:val="both"/>
      </w:pPr>
      <w:r w:rsidRPr="006240DD">
        <w:rPr>
          <w:szCs w:val="28"/>
        </w:rPr>
        <w:tab/>
        <w:t>(</w:t>
      </w:r>
      <w:r>
        <w:rPr>
          <w:szCs w:val="28"/>
        </w:rPr>
        <w:t>1</w:t>
      </w:r>
      <w:r w:rsidRPr="006240DD">
        <w:rPr>
          <w:szCs w:val="28"/>
        </w:rPr>
        <w:t xml:space="preserve">) </w:t>
      </w:r>
      <w:r w:rsidRPr="006240DD">
        <w:rPr>
          <w:lang w:eastAsia="lv-LV"/>
        </w:rPr>
        <w:t>Ar gadskārtējā valsts budžeta likum</w:t>
      </w:r>
      <w:r>
        <w:rPr>
          <w:lang w:eastAsia="lv-LV"/>
        </w:rPr>
        <w:t>a</w:t>
      </w:r>
      <w:r w:rsidRPr="006240DD">
        <w:rPr>
          <w:lang w:eastAsia="lv-LV"/>
        </w:rPr>
        <w:t xml:space="preserve"> grozījumiem nedrīkst uzsākt finansēt </w:t>
      </w:r>
      <w:r w:rsidR="00745167">
        <w:rPr>
          <w:lang w:eastAsia="lv-LV"/>
        </w:rPr>
        <w:t>gadskārtējā valsts budžetā likumā</w:t>
      </w:r>
      <w:r w:rsidRPr="006240DD">
        <w:rPr>
          <w:lang w:eastAsia="lv-LV"/>
        </w:rPr>
        <w:t xml:space="preserve"> neplānotus pasākumus ar negatīvu fiskālo ietekmi uz turpmāko gadu valsts konsolidētā kopbudžeta bilanci, kas noteikta spēkā esošajā</w:t>
      </w:r>
      <w:r w:rsidRPr="006240DD" w:rsidDel="0001090C">
        <w:rPr>
          <w:lang w:eastAsia="lv-LV"/>
        </w:rPr>
        <w:t xml:space="preserve"> </w:t>
      </w:r>
      <w:r w:rsidRPr="006240DD">
        <w:rPr>
          <w:lang w:eastAsia="lv-LV"/>
        </w:rPr>
        <w:t>vidēja ter</w:t>
      </w:r>
      <w:r w:rsidR="00B15F94">
        <w:rPr>
          <w:lang w:eastAsia="lv-LV"/>
        </w:rPr>
        <w:t>miņa ietvara likumā atbilstoši 1</w:t>
      </w:r>
      <w:r w:rsidR="00EF7122">
        <w:rPr>
          <w:lang w:eastAsia="lv-LV"/>
        </w:rPr>
        <w:t>0</w:t>
      </w:r>
      <w:r w:rsidRPr="006240DD">
        <w:rPr>
          <w:lang w:eastAsia="lv-LV"/>
        </w:rPr>
        <w:t>.</w:t>
      </w:r>
      <w:r w:rsidR="00DD6FDF">
        <w:rPr>
          <w:lang w:eastAsia="lv-LV"/>
        </w:rPr>
        <w:t xml:space="preserve"> </w:t>
      </w:r>
      <w:r w:rsidRPr="006240DD">
        <w:rPr>
          <w:lang w:eastAsia="lv-LV"/>
        </w:rPr>
        <w:t>pant</w:t>
      </w:r>
      <w:r>
        <w:rPr>
          <w:lang w:eastAsia="lv-LV"/>
        </w:rPr>
        <w:t>a</w:t>
      </w:r>
      <w:r w:rsidR="00DD6FDF">
        <w:rPr>
          <w:lang w:eastAsia="lv-LV"/>
        </w:rPr>
        <w:t xml:space="preserve"> otrajai </w:t>
      </w:r>
      <w:r w:rsidRPr="006240DD">
        <w:rPr>
          <w:lang w:eastAsia="lv-LV"/>
        </w:rPr>
        <w:t>daļ</w:t>
      </w:r>
      <w:r>
        <w:rPr>
          <w:lang w:eastAsia="lv-LV"/>
        </w:rPr>
        <w:t>ai</w:t>
      </w:r>
      <w:r w:rsidRPr="006240DD">
        <w:rPr>
          <w:lang w:eastAsia="lv-LV"/>
        </w:rPr>
        <w:t>. Šis nosacījums neattiecas uz</w:t>
      </w:r>
      <w:r w:rsidRPr="006240DD">
        <w:t xml:space="preserve"> pasākumiem</w:t>
      </w:r>
      <w:r w:rsidR="00B15F94">
        <w:t>, kas noteikti šī likuma 1</w:t>
      </w:r>
      <w:r w:rsidR="00EF7122">
        <w:t>1</w:t>
      </w:r>
      <w:r w:rsidRPr="006240DD">
        <w:t xml:space="preserve">. </w:t>
      </w:r>
      <w:r w:rsidR="00604628" w:rsidRPr="006240DD">
        <w:t>pant</w:t>
      </w:r>
      <w:r w:rsidR="00604628">
        <w:t>a pirmajā daļā</w:t>
      </w:r>
      <w:r w:rsidRPr="006240DD">
        <w:t>.</w:t>
      </w:r>
    </w:p>
    <w:p w:rsidR="001B4F4C" w:rsidRDefault="000707C0" w:rsidP="00D24BF6">
      <w:pPr>
        <w:ind w:firstLine="709"/>
        <w:jc w:val="both"/>
        <w:rPr>
          <w:szCs w:val="28"/>
        </w:rPr>
      </w:pPr>
      <w:r w:rsidRPr="006240DD">
        <w:rPr>
          <w:szCs w:val="28"/>
        </w:rPr>
        <w:t>(</w:t>
      </w:r>
      <w:r>
        <w:rPr>
          <w:szCs w:val="28"/>
        </w:rPr>
        <w:t>2</w:t>
      </w:r>
      <w:r w:rsidRPr="006240DD">
        <w:rPr>
          <w:szCs w:val="28"/>
        </w:rPr>
        <w:t xml:space="preserve">) </w:t>
      </w:r>
      <w:r w:rsidR="00E21A8E">
        <w:rPr>
          <w:szCs w:val="28"/>
        </w:rPr>
        <w:t>Gadījumos</w:t>
      </w:r>
      <w:r w:rsidR="00E21A8E" w:rsidRPr="00E21A8E">
        <w:rPr>
          <w:szCs w:val="28"/>
        </w:rPr>
        <w:t xml:space="preserve">, kad valsts konsolidētā budžeta izpilde liecina, ka netiek vai netiks ievēroti valsts konsolidētajam budžetam saistošie skaitliskie fiskālie rādītāji, </w:t>
      </w:r>
      <w:r w:rsidR="00E21A8E">
        <w:rPr>
          <w:szCs w:val="28"/>
        </w:rPr>
        <w:t xml:space="preserve">rīcību </w:t>
      </w:r>
      <w:r w:rsidR="00E21A8E" w:rsidRPr="00E21A8E">
        <w:rPr>
          <w:szCs w:val="28"/>
        </w:rPr>
        <w:t>nosaka likumā par budžetu un finanšu vadību.</w:t>
      </w:r>
    </w:p>
    <w:p w:rsidR="000707C0" w:rsidRDefault="001B4F4C" w:rsidP="00D24BF6">
      <w:pPr>
        <w:ind w:firstLine="709"/>
        <w:jc w:val="both"/>
        <w:rPr>
          <w:szCs w:val="28"/>
        </w:rPr>
      </w:pPr>
      <w:r>
        <w:rPr>
          <w:szCs w:val="28"/>
        </w:rPr>
        <w:t>(3) Izstrādājot gadskārtējā valsts budžeta likuma grozījumus ir jāievēro šī likuma 7.</w:t>
      </w:r>
      <w:r w:rsidR="00DD6FDF">
        <w:rPr>
          <w:szCs w:val="28"/>
        </w:rPr>
        <w:t xml:space="preserve"> </w:t>
      </w:r>
      <w:r>
        <w:rPr>
          <w:szCs w:val="28"/>
        </w:rPr>
        <w:t xml:space="preserve">panta </w:t>
      </w:r>
      <w:r w:rsidR="00DD6FDF">
        <w:rPr>
          <w:szCs w:val="28"/>
        </w:rPr>
        <w:t>trešās</w:t>
      </w:r>
      <w:r>
        <w:rPr>
          <w:szCs w:val="28"/>
        </w:rPr>
        <w:t xml:space="preserve"> un </w:t>
      </w:r>
      <w:r w:rsidR="00DD6FDF">
        <w:rPr>
          <w:szCs w:val="28"/>
        </w:rPr>
        <w:t xml:space="preserve">ceturtās </w:t>
      </w:r>
      <w:r>
        <w:rPr>
          <w:szCs w:val="28"/>
        </w:rPr>
        <w:t>daļas nosacījumi</w:t>
      </w:r>
      <w:r w:rsidR="000707C0" w:rsidRPr="006240DD">
        <w:rPr>
          <w:szCs w:val="28"/>
        </w:rPr>
        <w:t>.</w:t>
      </w:r>
    </w:p>
    <w:p w:rsidR="0013509C" w:rsidRPr="006240DD" w:rsidRDefault="0013509C" w:rsidP="00D24BF6">
      <w:pPr>
        <w:ind w:firstLine="709"/>
        <w:jc w:val="both"/>
        <w:rPr>
          <w:szCs w:val="28"/>
        </w:rPr>
      </w:pPr>
      <w:r>
        <w:rPr>
          <w:szCs w:val="28"/>
        </w:rPr>
        <w:t>(4) Izstrādājot gadskārtējā valsts budžeta likuma grozījumus</w:t>
      </w:r>
      <w:r w:rsidRPr="006240DD">
        <w:rPr>
          <w:szCs w:val="28"/>
        </w:rPr>
        <w:t>, valsts konsolidētā budžeta izdevumu kopējo apjomu</w:t>
      </w:r>
      <w:r>
        <w:rPr>
          <w:szCs w:val="28"/>
        </w:rPr>
        <w:t xml:space="preserve">, no kura izslēgti izdevumi, kuriem tiek piemērots izdevumu izlīdzināšanas mehānisms saskaņā ar </w:t>
      </w:r>
      <w:r w:rsidRPr="005D7786">
        <w:rPr>
          <w:szCs w:val="28"/>
        </w:rPr>
        <w:t>1</w:t>
      </w:r>
      <w:r w:rsidR="00EF7122">
        <w:rPr>
          <w:szCs w:val="28"/>
        </w:rPr>
        <w:t>4</w:t>
      </w:r>
      <w:r w:rsidRPr="005D7786">
        <w:rPr>
          <w:szCs w:val="28"/>
        </w:rPr>
        <w:t>.</w:t>
      </w:r>
      <w:r w:rsidR="00B478A4" w:rsidRPr="005D7786">
        <w:rPr>
          <w:szCs w:val="28"/>
        </w:rPr>
        <w:t xml:space="preserve"> </w:t>
      </w:r>
      <w:r w:rsidRPr="005D7786">
        <w:rPr>
          <w:szCs w:val="28"/>
        </w:rPr>
        <w:t>pantu</w:t>
      </w:r>
      <w:r>
        <w:rPr>
          <w:szCs w:val="28"/>
        </w:rPr>
        <w:t>,</w:t>
      </w:r>
      <w:r w:rsidR="00040DAE">
        <w:rPr>
          <w:szCs w:val="28"/>
        </w:rPr>
        <w:t xml:space="preserve"> un izslēdzot izdevumu palielinājumu, kas veikts saskaņā ar 7.</w:t>
      </w:r>
      <w:r w:rsidR="00B478A4">
        <w:rPr>
          <w:szCs w:val="28"/>
        </w:rPr>
        <w:t xml:space="preserve"> </w:t>
      </w:r>
      <w:r w:rsidR="00040DAE">
        <w:rPr>
          <w:szCs w:val="28"/>
        </w:rPr>
        <w:t xml:space="preserve">panta ceturtās daļas </w:t>
      </w:r>
      <w:r w:rsidR="00B478A4">
        <w:rPr>
          <w:szCs w:val="28"/>
        </w:rPr>
        <w:t>pirmo, otro</w:t>
      </w:r>
      <w:r w:rsidR="00040DAE">
        <w:rPr>
          <w:szCs w:val="28"/>
        </w:rPr>
        <w:t xml:space="preserve"> un </w:t>
      </w:r>
      <w:r w:rsidR="00B478A4">
        <w:rPr>
          <w:szCs w:val="28"/>
        </w:rPr>
        <w:t>ceturto</w:t>
      </w:r>
      <w:r w:rsidR="00040DAE">
        <w:rPr>
          <w:szCs w:val="28"/>
        </w:rPr>
        <w:t xml:space="preserve"> punktu</w:t>
      </w:r>
      <w:r w:rsidR="00B478A4">
        <w:rPr>
          <w:szCs w:val="28"/>
        </w:rPr>
        <w:t>,</w:t>
      </w:r>
      <w:r w:rsidR="00040DAE">
        <w:rPr>
          <w:szCs w:val="28"/>
        </w:rPr>
        <w:t xml:space="preserve"> </w:t>
      </w:r>
      <w:r w:rsidRPr="006240DD">
        <w:rPr>
          <w:szCs w:val="28"/>
        </w:rPr>
        <w:t xml:space="preserve">nosaka zemāku par vidēja termiņa budžeta ietvara likumā attiecīgajam gadam noteikto </w:t>
      </w:r>
      <w:r>
        <w:rPr>
          <w:szCs w:val="28"/>
        </w:rPr>
        <w:t xml:space="preserve">koriģēto </w:t>
      </w:r>
      <w:r w:rsidRPr="006240DD">
        <w:rPr>
          <w:szCs w:val="28"/>
        </w:rPr>
        <w:t xml:space="preserve">maksimāli pieļaujamo valsts konsolidētā budžeta izdevumu kopējo apjomu. </w:t>
      </w:r>
      <w:r w:rsidRPr="0075669C">
        <w:rPr>
          <w:szCs w:val="28"/>
        </w:rPr>
        <w:t>Šī</w:t>
      </w:r>
      <w:r>
        <w:rPr>
          <w:szCs w:val="28"/>
        </w:rPr>
        <w:t>s</w:t>
      </w:r>
      <w:r w:rsidRPr="0075669C">
        <w:rPr>
          <w:szCs w:val="28"/>
        </w:rPr>
        <w:t xml:space="preserve"> starpība</w:t>
      </w:r>
      <w:r>
        <w:rPr>
          <w:szCs w:val="28"/>
        </w:rPr>
        <w:t>s</w:t>
      </w:r>
      <w:r w:rsidR="00A739D7">
        <w:rPr>
          <w:szCs w:val="28"/>
        </w:rPr>
        <w:t xml:space="preserve"> minimālo</w:t>
      </w:r>
      <w:r w:rsidRPr="0075669C">
        <w:rPr>
          <w:szCs w:val="28"/>
        </w:rPr>
        <w:t xml:space="preserve"> </w:t>
      </w:r>
      <w:r>
        <w:rPr>
          <w:szCs w:val="28"/>
        </w:rPr>
        <w:t xml:space="preserve">lielumu nosaka šī likuma </w:t>
      </w:r>
      <w:r w:rsidR="00040DAE">
        <w:rPr>
          <w:szCs w:val="28"/>
        </w:rPr>
        <w:t>7.</w:t>
      </w:r>
      <w:r w:rsidR="00C22DBF">
        <w:rPr>
          <w:szCs w:val="28"/>
        </w:rPr>
        <w:t xml:space="preserve"> </w:t>
      </w:r>
      <w:r w:rsidR="00040DAE">
        <w:rPr>
          <w:szCs w:val="28"/>
        </w:rPr>
        <w:t>panta otrajā daļā noteikto starpību samazinot par jau veikto šī likuma 1</w:t>
      </w:r>
      <w:r w:rsidR="00EF7122">
        <w:rPr>
          <w:szCs w:val="28"/>
        </w:rPr>
        <w:t>3</w:t>
      </w:r>
      <w:r w:rsidR="00040DAE">
        <w:rPr>
          <w:szCs w:val="28"/>
        </w:rPr>
        <w:t>.</w:t>
      </w:r>
      <w:r w:rsidR="00C22DBF">
        <w:rPr>
          <w:szCs w:val="28"/>
        </w:rPr>
        <w:t xml:space="preserve"> </w:t>
      </w:r>
      <w:r w:rsidR="00040DAE">
        <w:rPr>
          <w:szCs w:val="28"/>
        </w:rPr>
        <w:t xml:space="preserve">panta mērķiem atbilstošo  izdevumu palielinājumu. </w:t>
      </w:r>
      <w:r w:rsidR="00A739D7">
        <w:rPr>
          <w:szCs w:val="28"/>
        </w:rPr>
        <w:t xml:space="preserve">Šī starpība </w:t>
      </w:r>
      <w:r w:rsidR="00A739D7" w:rsidRPr="006240DD">
        <w:rPr>
          <w:szCs w:val="28"/>
        </w:rPr>
        <w:t xml:space="preserve">izmantojama kā fiskālā nodrošinājuma rezerve pēc gadskārtējā valsts budžeta likuma </w:t>
      </w:r>
      <w:r w:rsidR="00A739D7">
        <w:rPr>
          <w:szCs w:val="28"/>
        </w:rPr>
        <w:t xml:space="preserve">grozījumu </w:t>
      </w:r>
      <w:r w:rsidR="00A739D7" w:rsidRPr="006240DD">
        <w:rPr>
          <w:szCs w:val="28"/>
        </w:rPr>
        <w:t>pieņemšanas.</w:t>
      </w:r>
    </w:p>
    <w:p w:rsidR="000707C0" w:rsidRPr="006240DD" w:rsidRDefault="000707C0" w:rsidP="000707C0">
      <w:pPr>
        <w:ind w:firstLine="709"/>
        <w:jc w:val="both"/>
      </w:pPr>
    </w:p>
    <w:p w:rsidR="005A1EC5" w:rsidRPr="006240DD" w:rsidRDefault="0067149A" w:rsidP="0058360B">
      <w:pPr>
        <w:jc w:val="both"/>
        <w:rPr>
          <w:b/>
          <w:szCs w:val="28"/>
        </w:rPr>
      </w:pPr>
      <w:r w:rsidRPr="006240DD">
        <w:rPr>
          <w:b/>
          <w:szCs w:val="28"/>
        </w:rPr>
        <w:tab/>
      </w:r>
      <w:r w:rsidR="00B9351E">
        <w:rPr>
          <w:b/>
          <w:szCs w:val="28"/>
        </w:rPr>
        <w:t>9</w:t>
      </w:r>
      <w:r w:rsidR="005A1EC5" w:rsidRPr="006240DD">
        <w:rPr>
          <w:b/>
          <w:szCs w:val="28"/>
        </w:rPr>
        <w:t>. pants. Tiesību aktu, kam ir iet</w:t>
      </w:r>
      <w:r w:rsidR="0065735E" w:rsidRPr="006240DD">
        <w:rPr>
          <w:b/>
          <w:szCs w:val="28"/>
        </w:rPr>
        <w:t>ekme uz budžetu, apstiprināšana</w:t>
      </w:r>
    </w:p>
    <w:p w:rsidR="002C0956" w:rsidRDefault="0067149A" w:rsidP="0058360B">
      <w:pPr>
        <w:jc w:val="both"/>
        <w:rPr>
          <w:szCs w:val="28"/>
        </w:rPr>
      </w:pPr>
      <w:r w:rsidRPr="006240DD">
        <w:rPr>
          <w:szCs w:val="28"/>
        </w:rPr>
        <w:tab/>
      </w:r>
      <w:r w:rsidR="00854E8F" w:rsidRPr="006240DD">
        <w:rPr>
          <w:szCs w:val="28"/>
        </w:rPr>
        <w:t xml:space="preserve">Pēc gadskārtējā budžeta likuma apstiprināšanas </w:t>
      </w:r>
      <w:r w:rsidR="00A43DEA" w:rsidRPr="006240DD">
        <w:rPr>
          <w:szCs w:val="28"/>
        </w:rPr>
        <w:t>Ministru kabinets</w:t>
      </w:r>
      <w:r w:rsidR="004B1595" w:rsidRPr="006240DD">
        <w:rPr>
          <w:szCs w:val="28"/>
        </w:rPr>
        <w:t xml:space="preserve"> apstiprina tikai tādus </w:t>
      </w:r>
      <w:r w:rsidR="00582B27" w:rsidRPr="006240DD">
        <w:rPr>
          <w:szCs w:val="28"/>
        </w:rPr>
        <w:t xml:space="preserve">tiesību aktus </w:t>
      </w:r>
      <w:r w:rsidR="00AF122A" w:rsidRPr="006240DD">
        <w:rPr>
          <w:szCs w:val="28"/>
        </w:rPr>
        <w:t>ar</w:t>
      </w:r>
      <w:r w:rsidR="00CD09F0">
        <w:rPr>
          <w:szCs w:val="28"/>
        </w:rPr>
        <w:t xml:space="preserve"> negatīvu fiskālo</w:t>
      </w:r>
      <w:r w:rsidR="00AF122A" w:rsidRPr="006240DD">
        <w:rPr>
          <w:szCs w:val="28"/>
        </w:rPr>
        <w:t xml:space="preserve"> </w:t>
      </w:r>
      <w:r w:rsidR="0030038D" w:rsidRPr="006240DD">
        <w:rPr>
          <w:szCs w:val="28"/>
        </w:rPr>
        <w:t xml:space="preserve">ietekmi uz </w:t>
      </w:r>
      <w:r w:rsidR="00AF122A" w:rsidRPr="006240DD">
        <w:rPr>
          <w:szCs w:val="28"/>
        </w:rPr>
        <w:t>budžetu</w:t>
      </w:r>
      <w:r w:rsidR="004B1595" w:rsidRPr="006240DD">
        <w:rPr>
          <w:szCs w:val="28"/>
        </w:rPr>
        <w:t xml:space="preserve">, </w:t>
      </w:r>
      <w:r w:rsidR="00A3359A" w:rsidRPr="006240DD">
        <w:rPr>
          <w:szCs w:val="28"/>
        </w:rPr>
        <w:t xml:space="preserve">kuru ietekme jau ir paredzēta gadskārtējā </w:t>
      </w:r>
      <w:r w:rsidR="002E3304" w:rsidRPr="006240DD">
        <w:rPr>
          <w:szCs w:val="28"/>
        </w:rPr>
        <w:t xml:space="preserve">valsts </w:t>
      </w:r>
      <w:r w:rsidR="00A3359A" w:rsidRPr="006240DD">
        <w:rPr>
          <w:szCs w:val="28"/>
        </w:rPr>
        <w:t>budžeta likumā</w:t>
      </w:r>
      <w:r w:rsidR="00392DC3" w:rsidRPr="006240DD">
        <w:rPr>
          <w:szCs w:val="28"/>
        </w:rPr>
        <w:t xml:space="preserve"> </w:t>
      </w:r>
      <w:r w:rsidR="002156AC" w:rsidRPr="006240DD">
        <w:rPr>
          <w:szCs w:val="28"/>
        </w:rPr>
        <w:t>vai</w:t>
      </w:r>
      <w:r w:rsidR="00392DC3" w:rsidRPr="006240DD">
        <w:rPr>
          <w:szCs w:val="28"/>
        </w:rPr>
        <w:t xml:space="preserve"> kas nav pretrunā ar apstiprināto vidēja termiņa </w:t>
      </w:r>
      <w:r w:rsidR="0066027C" w:rsidRPr="006240DD">
        <w:rPr>
          <w:szCs w:val="28"/>
        </w:rPr>
        <w:t>budžeta</w:t>
      </w:r>
      <w:r w:rsidR="00392DC3" w:rsidRPr="006240DD">
        <w:rPr>
          <w:szCs w:val="28"/>
        </w:rPr>
        <w:t xml:space="preserve"> ietvara likumu</w:t>
      </w:r>
      <w:r w:rsidR="002A5AD1" w:rsidRPr="006240DD">
        <w:rPr>
          <w:szCs w:val="28"/>
        </w:rPr>
        <w:t xml:space="preserve">, ņemot vērā </w:t>
      </w:r>
      <w:r w:rsidR="00B15F94">
        <w:rPr>
          <w:szCs w:val="28"/>
        </w:rPr>
        <w:t>7</w:t>
      </w:r>
      <w:r w:rsidR="002A5AD1" w:rsidRPr="006240DD">
        <w:rPr>
          <w:szCs w:val="28"/>
        </w:rPr>
        <w:t xml:space="preserve">. panta </w:t>
      </w:r>
      <w:r w:rsidR="00DD6FDF">
        <w:rPr>
          <w:szCs w:val="28"/>
        </w:rPr>
        <w:t>cetur</w:t>
      </w:r>
      <w:r w:rsidR="00B15F94">
        <w:rPr>
          <w:szCs w:val="28"/>
        </w:rPr>
        <w:t>tajā</w:t>
      </w:r>
      <w:r w:rsidR="00B15F94" w:rsidRPr="006240DD">
        <w:rPr>
          <w:szCs w:val="28"/>
        </w:rPr>
        <w:t xml:space="preserve"> </w:t>
      </w:r>
      <w:r w:rsidR="002A5AD1" w:rsidRPr="006240DD">
        <w:rPr>
          <w:szCs w:val="28"/>
        </w:rPr>
        <w:t>daļā paredzētos izņēmumus.</w:t>
      </w:r>
    </w:p>
    <w:p w:rsidR="003D0C9C" w:rsidRPr="006240DD" w:rsidRDefault="003D0C9C" w:rsidP="0058360B">
      <w:pPr>
        <w:jc w:val="both"/>
        <w:rPr>
          <w:szCs w:val="28"/>
        </w:rPr>
      </w:pPr>
    </w:p>
    <w:p w:rsidR="00154CAF" w:rsidRPr="006240DD" w:rsidRDefault="00D444B4" w:rsidP="00172D58">
      <w:pPr>
        <w:jc w:val="both"/>
        <w:rPr>
          <w:b/>
          <w:szCs w:val="28"/>
        </w:rPr>
      </w:pPr>
      <w:r w:rsidRPr="006240DD">
        <w:rPr>
          <w:b/>
          <w:szCs w:val="28"/>
        </w:rPr>
        <w:tab/>
      </w:r>
      <w:r w:rsidR="000707C0">
        <w:rPr>
          <w:b/>
          <w:szCs w:val="28"/>
        </w:rPr>
        <w:t>1</w:t>
      </w:r>
      <w:r w:rsidR="00E8191D">
        <w:rPr>
          <w:b/>
          <w:szCs w:val="28"/>
        </w:rPr>
        <w:t>0</w:t>
      </w:r>
      <w:r w:rsidR="00637C14" w:rsidRPr="006240DD">
        <w:rPr>
          <w:b/>
          <w:szCs w:val="28"/>
        </w:rPr>
        <w:t>.</w:t>
      </w:r>
      <w:r w:rsidR="00872AFB" w:rsidRPr="006240DD">
        <w:rPr>
          <w:b/>
          <w:szCs w:val="28"/>
        </w:rPr>
        <w:t xml:space="preserve"> </w:t>
      </w:r>
      <w:r w:rsidR="00637C14" w:rsidRPr="006240DD">
        <w:rPr>
          <w:b/>
          <w:szCs w:val="28"/>
        </w:rPr>
        <w:t>pants.</w:t>
      </w:r>
      <w:r w:rsidR="00972FA8" w:rsidRPr="006240DD">
        <w:rPr>
          <w:b/>
          <w:szCs w:val="28"/>
        </w:rPr>
        <w:t xml:space="preserve"> </w:t>
      </w:r>
      <w:r w:rsidR="004523CF" w:rsidRPr="006240DD">
        <w:rPr>
          <w:b/>
          <w:szCs w:val="28"/>
        </w:rPr>
        <w:t>B</w:t>
      </w:r>
      <w:r w:rsidR="00972FA8" w:rsidRPr="006240DD">
        <w:rPr>
          <w:b/>
          <w:szCs w:val="28"/>
        </w:rPr>
        <w:t xml:space="preserve">ilances </w:t>
      </w:r>
      <w:r w:rsidR="00E920B1">
        <w:rPr>
          <w:b/>
          <w:szCs w:val="28"/>
        </w:rPr>
        <w:t>aprēķināšana</w:t>
      </w:r>
      <w:r w:rsidR="00E920B1" w:rsidRPr="006240DD">
        <w:rPr>
          <w:b/>
          <w:szCs w:val="28"/>
        </w:rPr>
        <w:t xml:space="preserve"> </w:t>
      </w:r>
    </w:p>
    <w:p w:rsidR="00940C6D" w:rsidRPr="006240DD" w:rsidRDefault="00940C6D" w:rsidP="00940C6D">
      <w:pPr>
        <w:jc w:val="both"/>
        <w:rPr>
          <w:szCs w:val="28"/>
        </w:rPr>
      </w:pPr>
      <w:r w:rsidRPr="006240DD">
        <w:rPr>
          <w:szCs w:val="28"/>
        </w:rPr>
        <w:tab/>
        <w:t>(1) Konsolidētajam kopbudžetam ir jābūt sabalansētam ekonomi</w:t>
      </w:r>
      <w:r w:rsidR="00F61EFB">
        <w:rPr>
          <w:szCs w:val="28"/>
        </w:rPr>
        <w:t>s</w:t>
      </w:r>
      <w:r w:rsidRPr="006240DD">
        <w:rPr>
          <w:szCs w:val="28"/>
        </w:rPr>
        <w:t>k</w:t>
      </w:r>
      <w:r w:rsidR="00F61EFB">
        <w:rPr>
          <w:szCs w:val="28"/>
        </w:rPr>
        <w:t>ā</w:t>
      </w:r>
      <w:r w:rsidRPr="006240DD">
        <w:rPr>
          <w:szCs w:val="28"/>
        </w:rPr>
        <w:t xml:space="preserve"> cikla ietvaros.</w:t>
      </w:r>
    </w:p>
    <w:p w:rsidR="00940C6D" w:rsidRPr="006240DD" w:rsidRDefault="00940C6D" w:rsidP="00940C6D">
      <w:pPr>
        <w:ind w:firstLine="720"/>
        <w:jc w:val="both"/>
        <w:rPr>
          <w:szCs w:val="28"/>
        </w:rPr>
      </w:pPr>
      <w:r w:rsidRPr="006240DD">
        <w:rPr>
          <w:szCs w:val="28"/>
        </w:rPr>
        <w:lastRenderedPageBreak/>
        <w:t>(2) Konsolidētā kopbudžeta bilances sākotnējo līmeni</w:t>
      </w:r>
      <w:r w:rsidR="00B62A74">
        <w:rPr>
          <w:szCs w:val="28"/>
        </w:rPr>
        <w:t xml:space="preserve"> aprēķina</w:t>
      </w:r>
      <w:r w:rsidRPr="006240DD">
        <w:rPr>
          <w:szCs w:val="28"/>
        </w:rPr>
        <w:t xml:space="preserve"> pēc </w:t>
      </w:r>
      <w:r w:rsidR="00B434A8" w:rsidRPr="00B434A8">
        <w:rPr>
          <w:szCs w:val="28"/>
          <w:u w:val="single"/>
        </w:rPr>
        <w:t xml:space="preserve"> </w:t>
      </w:r>
      <w:r w:rsidR="00B434A8" w:rsidRPr="00801059">
        <w:rPr>
          <w:szCs w:val="28"/>
        </w:rPr>
        <w:t>Eiropas kontu sistēmas</w:t>
      </w:r>
      <w:r w:rsidRPr="006240DD">
        <w:rPr>
          <w:szCs w:val="28"/>
        </w:rPr>
        <w:t xml:space="preserve"> metodoloģijas</w:t>
      </w:r>
      <w:r w:rsidR="00AD1D4C">
        <w:rPr>
          <w:szCs w:val="28"/>
        </w:rPr>
        <w:t>. Minētās bilances</w:t>
      </w:r>
      <w:r w:rsidRPr="006240DD">
        <w:rPr>
          <w:szCs w:val="28"/>
        </w:rPr>
        <w:t xml:space="preserve"> aprēķin</w:t>
      </w:r>
      <w:r w:rsidR="00AD1D4C">
        <w:rPr>
          <w:szCs w:val="28"/>
        </w:rPr>
        <w:t xml:space="preserve">āšanai izmanto </w:t>
      </w:r>
      <w:r w:rsidRPr="006240DD">
        <w:rPr>
          <w:szCs w:val="28"/>
        </w:rPr>
        <w:t>šād</w:t>
      </w:r>
      <w:r w:rsidR="00AD1D4C">
        <w:rPr>
          <w:szCs w:val="28"/>
        </w:rPr>
        <w:t>u</w:t>
      </w:r>
      <w:r w:rsidRPr="006240DD">
        <w:rPr>
          <w:szCs w:val="28"/>
        </w:rPr>
        <w:t xml:space="preserve"> </w:t>
      </w:r>
      <w:r w:rsidR="00AD1D4C" w:rsidRPr="006240DD">
        <w:rPr>
          <w:szCs w:val="28"/>
        </w:rPr>
        <w:t>formul</w:t>
      </w:r>
      <w:r w:rsidR="00AD1D4C">
        <w:rPr>
          <w:szCs w:val="28"/>
        </w:rPr>
        <w:t>u</w:t>
      </w:r>
      <w:r w:rsidR="00AD1D4C" w:rsidRPr="006240DD">
        <w:rPr>
          <w:szCs w:val="28"/>
        </w:rPr>
        <w:t xml:space="preserve"> </w:t>
      </w:r>
      <w:r w:rsidRPr="006240DD">
        <w:rPr>
          <w:szCs w:val="28"/>
        </w:rPr>
        <w:t>(turpmāk – aprēķinātā bilance):</w:t>
      </w:r>
    </w:p>
    <w:p w:rsidR="00940C6D" w:rsidRPr="006240DD" w:rsidRDefault="00940C6D" w:rsidP="00940C6D">
      <w:pPr>
        <w:jc w:val="both"/>
        <w:rPr>
          <w:szCs w:val="28"/>
        </w:rPr>
      </w:pPr>
    </w:p>
    <w:p w:rsidR="00940C6D" w:rsidRPr="006240DD" w:rsidRDefault="00EC6D4F" w:rsidP="00940C6D">
      <w:pPr>
        <w:ind w:left="360"/>
        <w:jc w:val="center"/>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α</m:t>
            </m:r>
          </m:e>
          <m:sub>
            <m:r>
              <w:rPr>
                <w:rFonts w:ascii="Cambria Math" w:hAnsi="Cambria Math"/>
              </w:rPr>
              <m:t>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g</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g</m:t>
                    </m:r>
                  </m:e>
                  <m:sup>
                    <m:r>
                      <m:rPr>
                        <m:sty m:val="p"/>
                      </m:rPr>
                      <w:rPr>
                        <w:rFonts w:ascii="Cambria Math" w:hAnsi="Cambria Math"/>
                      </w:rPr>
                      <m:t>*</m:t>
                    </m:r>
                  </m:sup>
                </m:sSup>
              </m:e>
              <m:sub>
                <m:r>
                  <w:rPr>
                    <w:rFonts w:ascii="Cambria Math" w:hAnsi="Cambria Math"/>
                  </w:rPr>
                  <m:t>t</m:t>
                </m:r>
              </m:sub>
            </m:sSub>
          </m:e>
        </m:d>
        <m:r>
          <m:rPr>
            <m:sty m:val="p"/>
          </m:rPr>
          <w:rPr>
            <w:rFonts w:ascii="Cambria Math" w:hAnsi="Cambria Math"/>
          </w:rPr>
          <m:t>+0,5∙</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t-1</m:t>
            </m:r>
          </m:sub>
        </m:sSub>
      </m:oMath>
      <w:r w:rsidR="00940C6D" w:rsidRPr="006240DD">
        <w:t>, kur</w:t>
      </w:r>
    </w:p>
    <w:p w:rsidR="00940C6D" w:rsidRPr="006240DD" w:rsidRDefault="00EC6D4F" w:rsidP="00973A56">
      <w:pPr>
        <w:ind w:firstLine="709"/>
        <w:jc w:val="both"/>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α</m:t>
            </m:r>
          </m:e>
          <m:sub>
            <m:r>
              <w:rPr>
                <w:rFonts w:ascii="Cambria Math" w:hAnsi="Cambria Math"/>
                <w:color w:val="000000" w:themeColor="text1"/>
              </w:rPr>
              <m:t>t</m:t>
            </m:r>
          </m:sub>
        </m:sSub>
      </m:oMath>
      <w:r w:rsidR="00940C6D" w:rsidRPr="006240DD">
        <w:rPr>
          <w:color w:val="000000" w:themeColor="text1"/>
        </w:rPr>
        <w:t xml:space="preserve"> </w:t>
      </w:r>
      <w:r w:rsidR="00973A56">
        <w:rPr>
          <w:color w:val="000000" w:themeColor="text1"/>
        </w:rPr>
        <w:t>–</w:t>
      </w:r>
      <w:r w:rsidR="00B62A74">
        <w:rPr>
          <w:color w:val="000000" w:themeColor="text1"/>
        </w:rPr>
        <w:t xml:space="preserve"> </w:t>
      </w:r>
      <w:r w:rsidR="005231D9">
        <w:rPr>
          <w:color w:val="000000" w:themeColor="text1"/>
        </w:rPr>
        <w:t>v</w:t>
      </w:r>
      <w:r w:rsidR="001502DD">
        <w:rPr>
          <w:color w:val="000000" w:themeColor="text1"/>
        </w:rPr>
        <w:t>ispārējās valdības nodokļu ieņēmumu attiecība pret attiecīgā gada iekšzemes kopproduktu faktiskajās cenās</w:t>
      </w:r>
      <w:r w:rsidR="00940C6D" w:rsidRPr="006240DD">
        <w:rPr>
          <w:color w:val="000000" w:themeColor="text1"/>
        </w:rPr>
        <w:t>.</w:t>
      </w:r>
    </w:p>
    <w:p w:rsidR="00940C6D" w:rsidRPr="006240DD" w:rsidRDefault="00EC6D4F" w:rsidP="00973A56">
      <w:pPr>
        <w:ind w:firstLine="709"/>
        <w:jc w:val="both"/>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b</m:t>
            </m:r>
          </m:e>
          <m:sub>
            <m:r>
              <m:rPr>
                <m:sty m:val="p"/>
              </m:rPr>
              <w:rPr>
                <w:rFonts w:ascii="Cambria Math" w:hAnsi="Cambria Math"/>
                <w:color w:val="000000" w:themeColor="text1"/>
              </w:rPr>
              <m:t>t</m:t>
            </m:r>
          </m:sub>
        </m:sSub>
      </m:oMath>
      <w:r w:rsidR="00940C6D" w:rsidRPr="006240DD">
        <w:rPr>
          <w:color w:val="000000" w:themeColor="text1"/>
        </w:rPr>
        <w:t xml:space="preserve"> </w:t>
      </w:r>
      <w:r w:rsidR="00973A56">
        <w:rPr>
          <w:color w:val="000000" w:themeColor="text1"/>
        </w:rPr>
        <w:t xml:space="preserve">– </w:t>
      </w:r>
      <w:r w:rsidR="00940C6D" w:rsidRPr="006240DD">
        <w:rPr>
          <w:color w:val="000000" w:themeColor="text1"/>
        </w:rPr>
        <w:t xml:space="preserve">attiecīgā gada konsolidētā kopbudžeta bilance izteikta procentos pret attiecīgā gada iekšzemes kopproduktu </w:t>
      </w:r>
      <w:r w:rsidR="00F8428F">
        <w:rPr>
          <w:color w:val="000000" w:themeColor="text1"/>
        </w:rPr>
        <w:t>faktiskajās</w:t>
      </w:r>
      <w:r w:rsidR="00F8428F" w:rsidRPr="006240DD">
        <w:rPr>
          <w:color w:val="000000" w:themeColor="text1"/>
        </w:rPr>
        <w:t xml:space="preserve"> </w:t>
      </w:r>
      <w:r w:rsidR="00940C6D" w:rsidRPr="006240DD">
        <w:rPr>
          <w:color w:val="000000" w:themeColor="text1"/>
        </w:rPr>
        <w:t>cenās.</w:t>
      </w:r>
      <w:r w:rsidR="00973A56">
        <w:rPr>
          <w:color w:val="000000" w:themeColor="text1"/>
        </w:rPr>
        <w:t xml:space="preserve"> </w:t>
      </w:r>
    </w:p>
    <w:p w:rsidR="00940C6D" w:rsidRPr="006240DD" w:rsidRDefault="00EC6D4F" w:rsidP="00973A56">
      <w:pPr>
        <w:ind w:firstLine="709"/>
        <w:jc w:val="both"/>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g</m:t>
            </m:r>
          </m:e>
          <m:sub>
            <m:r>
              <m:rPr>
                <m:sty m:val="p"/>
              </m:rPr>
              <w:rPr>
                <w:rFonts w:ascii="Cambria Math" w:hAnsi="Cambria Math"/>
                <w:color w:val="000000" w:themeColor="text1"/>
              </w:rPr>
              <m:t>t</m:t>
            </m:r>
          </m:sub>
        </m:sSub>
      </m:oMath>
      <w:r w:rsidR="00940C6D" w:rsidRPr="006240DD">
        <w:rPr>
          <w:color w:val="000000" w:themeColor="text1"/>
        </w:rPr>
        <w:t xml:space="preserve"> </w:t>
      </w:r>
      <w:r w:rsidR="00973A56">
        <w:rPr>
          <w:color w:val="000000" w:themeColor="text1"/>
        </w:rPr>
        <w:t xml:space="preserve">– </w:t>
      </w:r>
      <w:r w:rsidR="00940C6D" w:rsidRPr="006240DD">
        <w:rPr>
          <w:color w:val="000000" w:themeColor="text1"/>
        </w:rPr>
        <w:t xml:space="preserve">attiecīgā gada iekšzemes kopprodukta pieauguma tempa </w:t>
      </w:r>
      <w:r w:rsidR="00F8428F" w:rsidRPr="006240DD">
        <w:rPr>
          <w:color w:val="000000" w:themeColor="text1"/>
        </w:rPr>
        <w:t xml:space="preserve">prognoze </w:t>
      </w:r>
      <w:r w:rsidR="00940C6D" w:rsidRPr="006240DD">
        <w:rPr>
          <w:color w:val="000000" w:themeColor="text1"/>
        </w:rPr>
        <w:t>salīdzināmajās cenās.</w:t>
      </w:r>
    </w:p>
    <w:p w:rsidR="00940C6D" w:rsidRDefault="00EC6D4F" w:rsidP="00973A56">
      <w:pPr>
        <w:ind w:firstLine="709"/>
        <w:jc w:val="both"/>
        <w:rPr>
          <w:color w:val="000000" w:themeColor="text1"/>
        </w:rPr>
      </w:pPr>
      <m:oMath>
        <m:sSub>
          <m:sSubPr>
            <m:ctrlPr>
              <w:rPr>
                <w:rFonts w:ascii="Cambria Math" w:hAnsi="Cambria Math"/>
                <w:color w:val="000000" w:themeColor="text1"/>
              </w:rPr>
            </m:ctrlPr>
          </m:sSubPr>
          <m:e>
            <m:sSup>
              <m:sSupPr>
                <m:ctrlPr>
                  <w:rPr>
                    <w:rFonts w:ascii="Cambria Math" w:hAnsi="Cambria Math"/>
                    <w:color w:val="000000" w:themeColor="text1"/>
                  </w:rPr>
                </m:ctrlPr>
              </m:sSupPr>
              <m:e>
                <m:r>
                  <m:rPr>
                    <m:sty m:val="p"/>
                  </m:rPr>
                  <w:rPr>
                    <w:rFonts w:ascii="Cambria Math" w:hAnsi="Cambria Math"/>
                    <w:color w:val="000000" w:themeColor="text1"/>
                  </w:rPr>
                  <m:t>g</m:t>
                </m:r>
              </m:e>
              <m:sup>
                <m:r>
                  <m:rPr>
                    <m:sty m:val="p"/>
                  </m:rPr>
                  <w:rPr>
                    <w:rFonts w:ascii="Cambria Math" w:hAnsi="Cambria Math"/>
                    <w:color w:val="000000" w:themeColor="text1"/>
                  </w:rPr>
                  <m:t>*</m:t>
                </m:r>
              </m:sup>
            </m:sSup>
          </m:e>
          <m:sub>
            <m:r>
              <w:rPr>
                <w:rFonts w:ascii="Cambria Math" w:hAnsi="Cambria Math"/>
                <w:color w:val="000000" w:themeColor="text1"/>
              </w:rPr>
              <m:t>t</m:t>
            </m:r>
          </m:sub>
        </m:sSub>
      </m:oMath>
      <w:r w:rsidR="00940C6D" w:rsidRPr="006240DD">
        <w:rPr>
          <w:color w:val="000000" w:themeColor="text1"/>
        </w:rPr>
        <w:t xml:space="preserve"> </w:t>
      </w:r>
      <w:r w:rsidR="00973A56">
        <w:rPr>
          <w:color w:val="000000" w:themeColor="text1"/>
        </w:rPr>
        <w:t xml:space="preserve">– </w:t>
      </w:r>
      <w:r w:rsidR="005129E0">
        <w:rPr>
          <w:color w:val="000000" w:themeColor="text1"/>
        </w:rPr>
        <w:t>attiecīgā gada un iepriekšējo deviņu gadu iekšzemes kopprodukta pieauguma tempa vidējā vērtība</w:t>
      </w:r>
      <w:r w:rsidR="005129E0" w:rsidRPr="006240DD">
        <w:rPr>
          <w:color w:val="000000" w:themeColor="text1"/>
        </w:rPr>
        <w:t>, izslēdzot zemāko un augstāko vērtību.</w:t>
      </w:r>
      <w:r w:rsidR="005129E0">
        <w:rPr>
          <w:color w:val="000000" w:themeColor="text1"/>
        </w:rPr>
        <w:t xml:space="preserve"> Gadiem,</w:t>
      </w:r>
      <w:r w:rsidR="005231D9">
        <w:rPr>
          <w:color w:val="000000" w:themeColor="text1"/>
        </w:rPr>
        <w:t xml:space="preserve"> </w:t>
      </w:r>
      <w:r w:rsidR="005129E0">
        <w:rPr>
          <w:color w:val="000000" w:themeColor="text1"/>
        </w:rPr>
        <w:t xml:space="preserve">kuros aprēķināšanas brīdī iekšzemes kopprodukta pieauguma tempa </w:t>
      </w:r>
      <w:r w:rsidR="00E8258F">
        <w:rPr>
          <w:color w:val="000000" w:themeColor="text1"/>
        </w:rPr>
        <w:t xml:space="preserve">faktiskā </w:t>
      </w:r>
      <w:r w:rsidR="005129E0">
        <w:rPr>
          <w:color w:val="000000" w:themeColor="text1"/>
        </w:rPr>
        <w:t>vērtība nav zināma, tiek izma</w:t>
      </w:r>
      <w:r w:rsidR="00E8258F">
        <w:rPr>
          <w:color w:val="000000" w:themeColor="text1"/>
        </w:rPr>
        <w:t>n</w:t>
      </w:r>
      <w:r w:rsidR="005129E0">
        <w:rPr>
          <w:color w:val="000000" w:themeColor="text1"/>
        </w:rPr>
        <w:t xml:space="preserve">tota iekšzemes kopprodukta </w:t>
      </w:r>
      <w:r w:rsidR="005231D9">
        <w:rPr>
          <w:color w:val="000000" w:themeColor="text1"/>
        </w:rPr>
        <w:t xml:space="preserve">pieauguma tempa </w:t>
      </w:r>
      <w:r w:rsidR="005129E0">
        <w:rPr>
          <w:color w:val="000000" w:themeColor="text1"/>
        </w:rPr>
        <w:t>prognoze.</w:t>
      </w:r>
      <w:r w:rsidR="00940C6D" w:rsidRPr="006240DD">
        <w:rPr>
          <w:color w:val="000000" w:themeColor="text1"/>
        </w:rPr>
        <w:t xml:space="preserve"> </w:t>
      </w:r>
    </w:p>
    <w:p w:rsidR="00604628" w:rsidRPr="006240DD" w:rsidRDefault="00EC6D4F" w:rsidP="00604628">
      <w:pPr>
        <w:ind w:firstLine="709"/>
        <w:jc w:val="both"/>
        <w:rPr>
          <w:color w:val="000000" w:themeColor="text1"/>
        </w:rPr>
      </w:pPr>
      <m:oMath>
        <m:sSub>
          <m:sSubPr>
            <m:ctrlPr>
              <w:rPr>
                <w:rFonts w:ascii="Cambria Math" w:hAnsi="Cambria Math"/>
                <w:color w:val="000000" w:themeColor="text1"/>
              </w:rPr>
            </m:ctrlPr>
          </m:sSubPr>
          <m:e>
            <m:r>
              <m:rPr>
                <m:sty m:val="p"/>
              </m:rPr>
              <w:rPr>
                <w:rFonts w:ascii="Cambria Math" w:hAnsi="Cambria Math"/>
                <w:color w:val="000000" w:themeColor="text1"/>
              </w:rPr>
              <m:t>b</m:t>
            </m:r>
          </m:e>
          <m:sub>
            <m:r>
              <m:rPr>
                <m:sty m:val="p"/>
              </m:rPr>
              <w:rPr>
                <w:rFonts w:ascii="Cambria Math" w:hAnsi="Cambria Math"/>
                <w:color w:val="000000" w:themeColor="text1"/>
              </w:rPr>
              <m:t>t-1</m:t>
            </m:r>
          </m:sub>
        </m:sSub>
      </m:oMath>
      <w:r w:rsidR="00604628" w:rsidRPr="006240DD">
        <w:rPr>
          <w:color w:val="000000" w:themeColor="text1"/>
        </w:rPr>
        <w:t xml:space="preserve"> </w:t>
      </w:r>
      <w:r w:rsidR="00604628">
        <w:rPr>
          <w:color w:val="000000" w:themeColor="text1"/>
        </w:rPr>
        <w:t>– iepriek</w:t>
      </w:r>
      <w:r w:rsidR="006D1735">
        <w:rPr>
          <w:color w:val="000000" w:themeColor="text1"/>
        </w:rPr>
        <w:t>šējā</w:t>
      </w:r>
      <w:r w:rsidR="00604628" w:rsidRPr="006240DD">
        <w:rPr>
          <w:color w:val="000000" w:themeColor="text1"/>
        </w:rPr>
        <w:t xml:space="preserve"> gada konsolidētā kopbudžeta bilance izteikta procentos pret attiecīgā gada iekšzemes kopproduktu </w:t>
      </w:r>
      <w:r w:rsidR="00604628">
        <w:rPr>
          <w:color w:val="000000" w:themeColor="text1"/>
        </w:rPr>
        <w:t>faktiskajās</w:t>
      </w:r>
      <w:r w:rsidR="00604628" w:rsidRPr="006240DD">
        <w:rPr>
          <w:color w:val="000000" w:themeColor="text1"/>
        </w:rPr>
        <w:t xml:space="preserve"> cenās.</w:t>
      </w:r>
      <w:r w:rsidR="00604628">
        <w:rPr>
          <w:color w:val="000000" w:themeColor="text1"/>
        </w:rPr>
        <w:t xml:space="preserve"> </w:t>
      </w:r>
    </w:p>
    <w:p w:rsidR="00604628" w:rsidRPr="006240DD" w:rsidRDefault="00604628" w:rsidP="00973A56">
      <w:pPr>
        <w:ind w:firstLine="709"/>
        <w:jc w:val="both"/>
        <w:rPr>
          <w:color w:val="000000" w:themeColor="text1"/>
        </w:rPr>
      </w:pPr>
    </w:p>
    <w:p w:rsidR="00940C6D" w:rsidRPr="006240DD" w:rsidRDefault="00940C6D" w:rsidP="00940C6D">
      <w:pPr>
        <w:ind w:firstLine="720"/>
        <w:jc w:val="both"/>
        <w:rPr>
          <w:szCs w:val="28"/>
        </w:rPr>
      </w:pPr>
      <w:r w:rsidRPr="006240DD">
        <w:rPr>
          <w:szCs w:val="28"/>
        </w:rPr>
        <w:t>(3) Pieļaujamais bilances līmenis norād</w:t>
      </w:r>
      <w:r w:rsidR="00C22DBF">
        <w:rPr>
          <w:szCs w:val="28"/>
        </w:rPr>
        <w:t>a maksimāli pieļaujamo deficītu</w:t>
      </w:r>
      <w:r w:rsidRPr="006240DD">
        <w:rPr>
          <w:szCs w:val="28"/>
        </w:rPr>
        <w:t xml:space="preserve"> vai minimālo pārpalikumu.</w:t>
      </w:r>
    </w:p>
    <w:p w:rsidR="00E8258F" w:rsidRDefault="00DA6FC3" w:rsidP="00E8258F">
      <w:r w:rsidRPr="006240DD">
        <w:rPr>
          <w:szCs w:val="28"/>
        </w:rPr>
        <w:tab/>
        <w:t>(4</w:t>
      </w:r>
      <w:r w:rsidR="00940C6D" w:rsidRPr="006240DD">
        <w:rPr>
          <w:szCs w:val="28"/>
        </w:rPr>
        <w:t xml:space="preserve">) </w:t>
      </w:r>
      <w:r w:rsidR="00E8258F">
        <w:t>Par šī panta otrajā daļā minētās formulas mainīgā lieluma</w:t>
      </w:r>
      <m:oMath>
        <m:r>
          <m:rPr>
            <m:sty m:val="p"/>
          </m:rPr>
          <w:rPr>
            <w:rFonts w:ascii="Cambria Math" w:hAnsi="Cambria Math"/>
          </w:rPr>
          <m:t xml:space="preserve"> </m:t>
        </m:r>
        <m:r>
          <w:rPr>
            <w:rFonts w:ascii="Cambria Math" w:hAnsi="Cambria Math"/>
            <w:color w:val="000000"/>
          </w:rPr>
          <m:t> </m:t>
        </m:r>
        <m:sSub>
          <m:sSubPr>
            <m:ctrlPr>
              <w:rPr>
                <w:rFonts w:ascii="Cambria Math" w:eastAsiaTheme="minorHAnsi" w:hAnsi="Cambria Math"/>
                <w:color w:val="000000"/>
                <w:sz w:val="24"/>
                <w:szCs w:val="24"/>
              </w:rPr>
            </m:ctrlPr>
          </m:sSubPr>
          <m:e>
            <m:r>
              <m:rPr>
                <m:sty m:val="p"/>
              </m:rPr>
              <w:rPr>
                <w:rFonts w:ascii="Cambria Math" w:hAnsi="Cambria Math"/>
                <w:color w:val="000000"/>
              </w:rPr>
              <m:t>g</m:t>
            </m:r>
          </m:e>
          <m:sub>
            <m:r>
              <m:rPr>
                <m:sty m:val="p"/>
              </m:rPr>
              <w:rPr>
                <w:rFonts w:ascii="Cambria Math" w:hAnsi="Cambria Math"/>
                <w:color w:val="000000"/>
              </w:rPr>
              <m:t>t</m:t>
            </m:r>
          </m:sub>
        </m:sSub>
        <m:r>
          <w:rPr>
            <w:rFonts w:ascii="Cambria Math" w:hAnsi="Cambria Math"/>
            <w:color w:val="000000"/>
          </w:rPr>
          <m:t xml:space="preserve"> </m:t>
        </m:r>
      </m:oMath>
      <w:r w:rsidR="00E8258F">
        <w:t xml:space="preserve">apmēru Finanšu ministrija konsultējas ar Ekonomikas ministriju un Latvijas Banku. </w:t>
      </w:r>
    </w:p>
    <w:p w:rsidR="00940C6D" w:rsidRPr="006240DD" w:rsidRDefault="00940C6D" w:rsidP="00940C6D">
      <w:pPr>
        <w:jc w:val="both"/>
        <w:rPr>
          <w:szCs w:val="28"/>
        </w:rPr>
      </w:pPr>
    </w:p>
    <w:p w:rsidR="00142C4D" w:rsidRPr="006240DD" w:rsidRDefault="00142C4D" w:rsidP="009A6BB1">
      <w:pPr>
        <w:tabs>
          <w:tab w:val="left" w:pos="3299"/>
        </w:tabs>
        <w:jc w:val="both"/>
        <w:rPr>
          <w:szCs w:val="28"/>
        </w:rPr>
      </w:pPr>
    </w:p>
    <w:p w:rsidR="00142C4D" w:rsidRPr="006240DD" w:rsidRDefault="00142C4D" w:rsidP="00142C4D">
      <w:pPr>
        <w:jc w:val="both"/>
        <w:rPr>
          <w:b/>
        </w:rPr>
      </w:pPr>
      <w:r w:rsidRPr="006240DD">
        <w:rPr>
          <w:b/>
          <w:szCs w:val="28"/>
        </w:rPr>
        <w:tab/>
      </w:r>
      <w:r w:rsidR="00554BE0" w:rsidRPr="006240DD">
        <w:rPr>
          <w:b/>
          <w:szCs w:val="28"/>
        </w:rPr>
        <w:t>1</w:t>
      </w:r>
      <w:r w:rsidR="00E8191D">
        <w:rPr>
          <w:b/>
          <w:szCs w:val="28"/>
        </w:rPr>
        <w:t>1</w:t>
      </w:r>
      <w:r w:rsidRPr="006240DD">
        <w:rPr>
          <w:b/>
          <w:szCs w:val="28"/>
        </w:rPr>
        <w:t xml:space="preserve">. pants. Atkāpes no </w:t>
      </w:r>
      <w:r w:rsidRPr="006240DD">
        <w:rPr>
          <w:b/>
        </w:rPr>
        <w:t xml:space="preserve">bilances nosacījuma </w:t>
      </w:r>
    </w:p>
    <w:p w:rsidR="00142C4D" w:rsidRDefault="00142C4D" w:rsidP="000850EA">
      <w:pPr>
        <w:jc w:val="both"/>
        <w:rPr>
          <w:szCs w:val="28"/>
        </w:rPr>
      </w:pPr>
      <w:r w:rsidRPr="006240DD">
        <w:rPr>
          <w:szCs w:val="28"/>
        </w:rPr>
        <w:tab/>
      </w:r>
      <w:r w:rsidR="001931AE" w:rsidRPr="006240DD">
        <w:rPr>
          <w:szCs w:val="28"/>
        </w:rPr>
        <w:t xml:space="preserve">(1) </w:t>
      </w:r>
      <w:r w:rsidRPr="006240DD">
        <w:rPr>
          <w:szCs w:val="28"/>
        </w:rPr>
        <w:t xml:space="preserve">Atkāpes no šī likuma </w:t>
      </w:r>
      <w:r w:rsidR="00B15F94">
        <w:rPr>
          <w:szCs w:val="28"/>
        </w:rPr>
        <w:t>1</w:t>
      </w:r>
      <w:r w:rsidR="00EF7122">
        <w:rPr>
          <w:szCs w:val="28"/>
        </w:rPr>
        <w:t>0</w:t>
      </w:r>
      <w:r w:rsidRPr="006240DD">
        <w:rPr>
          <w:szCs w:val="28"/>
        </w:rPr>
        <w:t>.</w:t>
      </w:r>
      <w:r w:rsidR="00E74CF9">
        <w:rPr>
          <w:szCs w:val="28"/>
        </w:rPr>
        <w:t xml:space="preserve"> </w:t>
      </w:r>
      <w:r w:rsidRPr="006240DD">
        <w:rPr>
          <w:szCs w:val="28"/>
        </w:rPr>
        <w:t xml:space="preserve">panta </w:t>
      </w:r>
      <w:r w:rsidR="00B15F94">
        <w:rPr>
          <w:szCs w:val="28"/>
        </w:rPr>
        <w:t>otrās</w:t>
      </w:r>
      <w:r w:rsidR="00B15F94" w:rsidRPr="006240DD">
        <w:rPr>
          <w:szCs w:val="28"/>
        </w:rPr>
        <w:t xml:space="preserve"> </w:t>
      </w:r>
      <w:r w:rsidRPr="006240DD">
        <w:rPr>
          <w:szCs w:val="28"/>
        </w:rPr>
        <w:t>daļas nosacījuma var būt gadījumos</w:t>
      </w:r>
      <w:r w:rsidR="0058395E">
        <w:rPr>
          <w:szCs w:val="28"/>
        </w:rPr>
        <w:t xml:space="preserve">, kad īstenojami </w:t>
      </w:r>
      <w:r w:rsidRPr="006240DD">
        <w:rPr>
          <w:szCs w:val="28"/>
        </w:rPr>
        <w:t xml:space="preserve">dabas katastrofu un avārijas seku novēršanas pasākumi ar </w:t>
      </w:r>
      <w:r w:rsidR="00DA6FC3" w:rsidRPr="006240DD">
        <w:rPr>
          <w:szCs w:val="28"/>
        </w:rPr>
        <w:t>fiskālo</w:t>
      </w:r>
      <w:r w:rsidRPr="006240DD">
        <w:rPr>
          <w:szCs w:val="28"/>
        </w:rPr>
        <w:t xml:space="preserve"> ietekmi, kuru prognozētās izmaksas vienā saimnieciskajā gadā pārsniedz 0,5% no iekšzemes kopprodukta.</w:t>
      </w:r>
    </w:p>
    <w:p w:rsidR="003945B0" w:rsidRPr="006240DD" w:rsidRDefault="00CF54DB" w:rsidP="001931AE">
      <w:pPr>
        <w:ind w:firstLine="709"/>
        <w:jc w:val="both"/>
        <w:rPr>
          <w:szCs w:val="28"/>
        </w:rPr>
      </w:pPr>
      <w:r>
        <w:rPr>
          <w:szCs w:val="28"/>
        </w:rPr>
        <w:tab/>
        <w:t>(</w:t>
      </w:r>
      <w:r w:rsidR="0070307D">
        <w:rPr>
          <w:szCs w:val="28"/>
        </w:rPr>
        <w:t>2</w:t>
      </w:r>
      <w:r>
        <w:rPr>
          <w:szCs w:val="28"/>
        </w:rPr>
        <w:t>) Iestājoties šī panta pirmajā</w:t>
      </w:r>
      <w:r w:rsidR="001931AE" w:rsidRPr="006240DD">
        <w:rPr>
          <w:szCs w:val="28"/>
        </w:rPr>
        <w:t xml:space="preserve"> daļ</w:t>
      </w:r>
      <w:r>
        <w:rPr>
          <w:szCs w:val="28"/>
        </w:rPr>
        <w:t>ā noteiktajiem</w:t>
      </w:r>
      <w:r w:rsidR="001931AE" w:rsidRPr="006240DD">
        <w:rPr>
          <w:szCs w:val="28"/>
        </w:rPr>
        <w:t xml:space="preserve"> gadījumiem</w:t>
      </w:r>
      <w:r>
        <w:rPr>
          <w:szCs w:val="28"/>
        </w:rPr>
        <w:t>,</w:t>
      </w:r>
      <w:r w:rsidR="001931AE" w:rsidRPr="006240DD">
        <w:rPr>
          <w:szCs w:val="28"/>
        </w:rPr>
        <w:t xml:space="preserve"> Ministru kabinets informē Saeimu par </w:t>
      </w:r>
      <w:r w:rsidR="00560050">
        <w:rPr>
          <w:szCs w:val="28"/>
        </w:rPr>
        <w:t xml:space="preserve">detalizētiem atkāpšanās no bilances nosacījuma </w:t>
      </w:r>
      <w:r w:rsidR="001931AE" w:rsidRPr="006240DD">
        <w:rPr>
          <w:szCs w:val="28"/>
        </w:rPr>
        <w:t>iemesliem</w:t>
      </w:r>
      <w:r w:rsidR="003945B0" w:rsidRPr="006240DD">
        <w:rPr>
          <w:szCs w:val="28"/>
        </w:rPr>
        <w:t>,</w:t>
      </w:r>
      <w:r w:rsidR="001931AE" w:rsidRPr="006240DD">
        <w:rPr>
          <w:szCs w:val="28"/>
        </w:rPr>
        <w:t xml:space="preserve">  par fiskālās politikas pasākumiem, kas tiks veikti, lai atgrieztos pie </w:t>
      </w:r>
      <w:r w:rsidR="003945B0" w:rsidRPr="006240DD">
        <w:rPr>
          <w:szCs w:val="28"/>
        </w:rPr>
        <w:t xml:space="preserve">šī likuma </w:t>
      </w:r>
      <w:r w:rsidR="00B15F94">
        <w:rPr>
          <w:szCs w:val="28"/>
        </w:rPr>
        <w:t>1</w:t>
      </w:r>
      <w:r w:rsidR="00EF7122">
        <w:rPr>
          <w:szCs w:val="28"/>
        </w:rPr>
        <w:t>0</w:t>
      </w:r>
      <w:r w:rsidR="001931AE" w:rsidRPr="006240DD">
        <w:rPr>
          <w:szCs w:val="28"/>
        </w:rPr>
        <w:t>.</w:t>
      </w:r>
      <w:r w:rsidR="00B15F94">
        <w:rPr>
          <w:szCs w:val="28"/>
        </w:rPr>
        <w:t> </w:t>
      </w:r>
      <w:r w:rsidR="001931AE" w:rsidRPr="006240DD">
        <w:rPr>
          <w:szCs w:val="28"/>
        </w:rPr>
        <w:t xml:space="preserve">panta </w:t>
      </w:r>
      <w:r>
        <w:rPr>
          <w:szCs w:val="28"/>
        </w:rPr>
        <w:t>otrajā</w:t>
      </w:r>
      <w:r w:rsidR="00B15F94" w:rsidRPr="006240DD">
        <w:rPr>
          <w:szCs w:val="28"/>
        </w:rPr>
        <w:t xml:space="preserve"> </w:t>
      </w:r>
      <w:r>
        <w:rPr>
          <w:szCs w:val="28"/>
        </w:rPr>
        <w:t>daļā noteiktā</w:t>
      </w:r>
      <w:r w:rsidR="001931AE" w:rsidRPr="006240DD">
        <w:rPr>
          <w:szCs w:val="28"/>
        </w:rPr>
        <w:t xml:space="preserve"> nosacījuma ievērošanas, kā arī par laika periodu</w:t>
      </w:r>
      <w:r w:rsidR="003945B0" w:rsidRPr="006240DD">
        <w:rPr>
          <w:szCs w:val="28"/>
        </w:rPr>
        <w:t>, kurā tas tiks nodrošināts.</w:t>
      </w:r>
    </w:p>
    <w:p w:rsidR="003945B0" w:rsidRPr="006240DD" w:rsidRDefault="003945B0" w:rsidP="001931AE">
      <w:pPr>
        <w:ind w:firstLine="709"/>
        <w:jc w:val="both"/>
        <w:rPr>
          <w:szCs w:val="28"/>
        </w:rPr>
      </w:pPr>
    </w:p>
    <w:p w:rsidR="00E472DC" w:rsidRPr="006240DD" w:rsidRDefault="00192F7D" w:rsidP="0058360B">
      <w:pPr>
        <w:jc w:val="both"/>
        <w:rPr>
          <w:b/>
          <w:szCs w:val="28"/>
        </w:rPr>
      </w:pPr>
      <w:r w:rsidRPr="006240DD">
        <w:rPr>
          <w:b/>
          <w:szCs w:val="28"/>
        </w:rPr>
        <w:tab/>
      </w:r>
      <w:r w:rsidR="00B20ABA" w:rsidRPr="006240DD">
        <w:rPr>
          <w:b/>
          <w:szCs w:val="28"/>
        </w:rPr>
        <w:t>1</w:t>
      </w:r>
      <w:r w:rsidR="00E8191D">
        <w:rPr>
          <w:b/>
          <w:szCs w:val="28"/>
        </w:rPr>
        <w:t>2</w:t>
      </w:r>
      <w:r w:rsidR="00183462" w:rsidRPr="006240DD">
        <w:rPr>
          <w:b/>
          <w:szCs w:val="28"/>
        </w:rPr>
        <w:t>.</w:t>
      </w:r>
      <w:r w:rsidR="00E472DC" w:rsidRPr="006240DD">
        <w:rPr>
          <w:b/>
          <w:szCs w:val="28"/>
        </w:rPr>
        <w:t xml:space="preserve"> pants. </w:t>
      </w:r>
      <w:r w:rsidR="004523CF" w:rsidRPr="006240DD">
        <w:rPr>
          <w:b/>
          <w:szCs w:val="28"/>
        </w:rPr>
        <w:t>P</w:t>
      </w:r>
      <w:r w:rsidR="00701AF3" w:rsidRPr="006240DD">
        <w:rPr>
          <w:b/>
          <w:szCs w:val="28"/>
        </w:rPr>
        <w:t>arāda nosacījums</w:t>
      </w:r>
      <w:r w:rsidR="005E4219" w:rsidRPr="006240DD">
        <w:rPr>
          <w:b/>
          <w:szCs w:val="28"/>
        </w:rPr>
        <w:tab/>
      </w:r>
    </w:p>
    <w:p w:rsidR="00E472DC" w:rsidRPr="006240DD" w:rsidRDefault="00192F7D" w:rsidP="0058360B">
      <w:pPr>
        <w:jc w:val="both"/>
        <w:rPr>
          <w:szCs w:val="28"/>
        </w:rPr>
      </w:pPr>
      <w:r w:rsidRPr="006240DD">
        <w:rPr>
          <w:szCs w:val="28"/>
        </w:rPr>
        <w:tab/>
      </w:r>
      <w:r w:rsidR="005E523F" w:rsidRPr="006240DD">
        <w:rPr>
          <w:szCs w:val="28"/>
        </w:rPr>
        <w:t xml:space="preserve">(1) </w:t>
      </w:r>
      <w:r w:rsidR="00E472DC" w:rsidRPr="006240DD">
        <w:rPr>
          <w:szCs w:val="28"/>
        </w:rPr>
        <w:t xml:space="preserve">Vispārējās valdības parāda maksimālais apjoms </w:t>
      </w:r>
      <w:r w:rsidR="008C542A" w:rsidRPr="006240DD">
        <w:rPr>
          <w:szCs w:val="28"/>
        </w:rPr>
        <w:t xml:space="preserve">gada beigās </w:t>
      </w:r>
      <w:r w:rsidR="00E472DC" w:rsidRPr="006240DD">
        <w:rPr>
          <w:szCs w:val="28"/>
        </w:rPr>
        <w:t xml:space="preserve">nedrīkst pārsniegt 60% no </w:t>
      </w:r>
      <w:r w:rsidR="00DB521E" w:rsidRPr="006240DD">
        <w:rPr>
          <w:szCs w:val="28"/>
        </w:rPr>
        <w:t>iekšzemes kopprodukta</w:t>
      </w:r>
      <w:r w:rsidR="00CA00E6" w:rsidRPr="006240DD">
        <w:rPr>
          <w:szCs w:val="28"/>
        </w:rPr>
        <w:t>.</w:t>
      </w:r>
      <w:r w:rsidR="00DB521E" w:rsidRPr="006240DD">
        <w:rPr>
          <w:szCs w:val="28"/>
        </w:rPr>
        <w:t xml:space="preserve"> </w:t>
      </w:r>
    </w:p>
    <w:p w:rsidR="005E523F" w:rsidRPr="006240DD" w:rsidRDefault="00282B74" w:rsidP="0058360B">
      <w:pPr>
        <w:jc w:val="both"/>
        <w:rPr>
          <w:szCs w:val="28"/>
        </w:rPr>
      </w:pPr>
      <w:r w:rsidRPr="006240DD">
        <w:rPr>
          <w:szCs w:val="28"/>
        </w:rPr>
        <w:tab/>
      </w:r>
      <w:r w:rsidR="005E523F" w:rsidRPr="006240DD">
        <w:rPr>
          <w:szCs w:val="28"/>
        </w:rPr>
        <w:t>(2) Vispārējās valdības parādu aprēķina</w:t>
      </w:r>
      <w:r w:rsidR="00EB4B9F" w:rsidRPr="006240DD">
        <w:rPr>
          <w:szCs w:val="28"/>
        </w:rPr>
        <w:t xml:space="preserve"> </w:t>
      </w:r>
      <w:r w:rsidR="00C173B8" w:rsidRPr="006240DD">
        <w:rPr>
          <w:szCs w:val="28"/>
        </w:rPr>
        <w:t xml:space="preserve">saskaņā ar </w:t>
      </w:r>
      <w:r w:rsidR="00B434A8" w:rsidRPr="005129E0">
        <w:rPr>
          <w:szCs w:val="28"/>
        </w:rPr>
        <w:t xml:space="preserve">Eiropas kontu sistēmas </w:t>
      </w:r>
      <w:r w:rsidR="00B434A8" w:rsidRPr="005129E0">
        <w:rPr>
          <w:rFonts w:asciiTheme="minorHAnsi" w:eastAsiaTheme="minorHAnsi" w:hAnsiTheme="minorHAnsi" w:cstheme="minorBidi"/>
          <w:sz w:val="22"/>
          <w:szCs w:val="28"/>
        </w:rPr>
        <w:t xml:space="preserve"> </w:t>
      </w:r>
      <w:r w:rsidR="00BB3254" w:rsidRPr="006240DD">
        <w:rPr>
          <w:szCs w:val="28"/>
        </w:rPr>
        <w:t xml:space="preserve">vispārējās valdības parāda aprēķināšanas </w:t>
      </w:r>
      <w:r w:rsidR="00C173B8" w:rsidRPr="006240DD">
        <w:rPr>
          <w:szCs w:val="28"/>
        </w:rPr>
        <w:t>metodoloģiju</w:t>
      </w:r>
      <w:r w:rsidR="00BB3254" w:rsidRPr="006240DD">
        <w:rPr>
          <w:szCs w:val="28"/>
        </w:rPr>
        <w:t>.</w:t>
      </w:r>
    </w:p>
    <w:p w:rsidR="0044337F" w:rsidRPr="006240DD" w:rsidRDefault="0044337F" w:rsidP="0058360B">
      <w:pPr>
        <w:jc w:val="both"/>
        <w:rPr>
          <w:b/>
          <w:bCs/>
          <w:szCs w:val="28"/>
        </w:rPr>
      </w:pPr>
    </w:p>
    <w:p w:rsidR="00CA4F24" w:rsidRPr="006240DD" w:rsidRDefault="00CA4F24" w:rsidP="00CA4F24">
      <w:pPr>
        <w:ind w:firstLine="720"/>
        <w:jc w:val="both"/>
        <w:rPr>
          <w:b/>
          <w:szCs w:val="28"/>
        </w:rPr>
      </w:pPr>
      <w:r w:rsidRPr="006240DD">
        <w:rPr>
          <w:b/>
          <w:szCs w:val="28"/>
        </w:rPr>
        <w:t>1</w:t>
      </w:r>
      <w:r w:rsidR="00E8191D">
        <w:rPr>
          <w:b/>
          <w:szCs w:val="28"/>
        </w:rPr>
        <w:t>3</w:t>
      </w:r>
      <w:r w:rsidRPr="006240DD">
        <w:rPr>
          <w:b/>
          <w:szCs w:val="28"/>
        </w:rPr>
        <w:t>.</w:t>
      </w:r>
      <w:r w:rsidR="00CF54DB">
        <w:rPr>
          <w:b/>
          <w:szCs w:val="28"/>
        </w:rPr>
        <w:t xml:space="preserve"> </w:t>
      </w:r>
      <w:r w:rsidRPr="006240DD">
        <w:rPr>
          <w:b/>
          <w:szCs w:val="28"/>
        </w:rPr>
        <w:t>pants. Fiskālā nodrošinājuma rezerve</w:t>
      </w:r>
    </w:p>
    <w:p w:rsidR="00CA4F24" w:rsidRPr="0013509C" w:rsidRDefault="00CA4F24" w:rsidP="00C22DBF">
      <w:pPr>
        <w:ind w:firstLine="720"/>
        <w:jc w:val="both"/>
        <w:rPr>
          <w:szCs w:val="24"/>
        </w:rPr>
      </w:pPr>
      <w:r w:rsidRPr="0013509C">
        <w:rPr>
          <w:szCs w:val="24"/>
        </w:rPr>
        <w:lastRenderedPageBreak/>
        <w:t>Fiskālā nodrošinājuma rezerves mērķis ir nodrošināt valsts konsolidētā kopbudžeta bilances plānoto līmeni</w:t>
      </w:r>
      <w:r w:rsidR="005D3915">
        <w:rPr>
          <w:szCs w:val="24"/>
        </w:rPr>
        <w:t xml:space="preserve"> attiecīgajā gadā</w:t>
      </w:r>
      <w:r w:rsidRPr="0013509C">
        <w:rPr>
          <w:szCs w:val="24"/>
        </w:rPr>
        <w:t xml:space="preserve"> nelielu makroekonomisko svārstību</w:t>
      </w:r>
      <w:r w:rsidR="00F10734">
        <w:rPr>
          <w:szCs w:val="24"/>
        </w:rPr>
        <w:t xml:space="preserve"> gadījumā</w:t>
      </w:r>
      <w:r w:rsidRPr="0013509C">
        <w:rPr>
          <w:szCs w:val="24"/>
        </w:rPr>
        <w:t xml:space="preserve"> un </w:t>
      </w:r>
      <w:r w:rsidR="00F10734">
        <w:rPr>
          <w:lang w:eastAsia="lv-LV"/>
        </w:rPr>
        <w:t>ar fiskāliem riskiem saistīto izdevumu segšanas gadījumā</w:t>
      </w:r>
      <w:r w:rsidR="00BE460C" w:rsidRPr="0013509C">
        <w:rPr>
          <w:szCs w:val="24"/>
        </w:rPr>
        <w:t>.</w:t>
      </w:r>
    </w:p>
    <w:p w:rsidR="0070307D" w:rsidRPr="0013509C" w:rsidRDefault="000618FB" w:rsidP="0013509C">
      <w:pPr>
        <w:ind w:left="720"/>
        <w:jc w:val="both"/>
        <w:rPr>
          <w:b/>
          <w:szCs w:val="28"/>
        </w:rPr>
      </w:pPr>
      <w:r w:rsidRPr="0013509C">
        <w:rPr>
          <w:szCs w:val="24"/>
        </w:rPr>
        <w:t xml:space="preserve"> </w:t>
      </w:r>
    </w:p>
    <w:p w:rsidR="0070307D" w:rsidRPr="006240DD" w:rsidRDefault="0070307D" w:rsidP="0070307D">
      <w:pPr>
        <w:ind w:firstLine="720"/>
        <w:jc w:val="both"/>
        <w:rPr>
          <w:b/>
          <w:szCs w:val="28"/>
        </w:rPr>
      </w:pPr>
      <w:r w:rsidRPr="006240DD">
        <w:rPr>
          <w:b/>
          <w:szCs w:val="28"/>
        </w:rPr>
        <w:t>1</w:t>
      </w:r>
      <w:r w:rsidR="00E8191D">
        <w:rPr>
          <w:b/>
          <w:szCs w:val="28"/>
        </w:rPr>
        <w:t>4</w:t>
      </w:r>
      <w:r w:rsidRPr="006240DD">
        <w:rPr>
          <w:b/>
          <w:szCs w:val="28"/>
        </w:rPr>
        <w:t xml:space="preserve">.pants. </w:t>
      </w:r>
      <w:r>
        <w:rPr>
          <w:b/>
          <w:szCs w:val="28"/>
        </w:rPr>
        <w:t>Izdevumu izlīdzināšanas mehānisms</w:t>
      </w:r>
    </w:p>
    <w:p w:rsidR="0070307D" w:rsidRDefault="0070307D" w:rsidP="0070307D">
      <w:pPr>
        <w:ind w:firstLine="720"/>
        <w:jc w:val="both"/>
        <w:rPr>
          <w:szCs w:val="24"/>
        </w:rPr>
      </w:pPr>
      <w:r>
        <w:rPr>
          <w:szCs w:val="24"/>
        </w:rPr>
        <w:t>(1)</w:t>
      </w:r>
      <w:r w:rsidR="00114109">
        <w:rPr>
          <w:szCs w:val="24"/>
        </w:rPr>
        <w:t xml:space="preserve"> </w:t>
      </w:r>
      <w:r>
        <w:rPr>
          <w:szCs w:val="24"/>
        </w:rPr>
        <w:t xml:space="preserve">Lai nodrošinātu </w:t>
      </w:r>
      <w:r w:rsidR="001176A7">
        <w:rPr>
          <w:szCs w:val="24"/>
        </w:rPr>
        <w:t>stabilu</w:t>
      </w:r>
      <w:r>
        <w:rPr>
          <w:szCs w:val="24"/>
        </w:rPr>
        <w:t xml:space="preserve"> izdevumu vidēja termiņa plānošanu un izslēgtu augsti svārstīgo izdevumu izsaukto</w:t>
      </w:r>
      <w:r w:rsidR="00114109">
        <w:rPr>
          <w:szCs w:val="24"/>
        </w:rPr>
        <w:t>,</w:t>
      </w:r>
      <w:r>
        <w:rPr>
          <w:szCs w:val="24"/>
        </w:rPr>
        <w:t xml:space="preserve"> pamatfunkciju izpildei pieejamo finanšu resursu svārstīgumu, atsevišķām izdevumu pozīcijām tiek piemērots izdevumu izlīdzināšanas mehānisms. </w:t>
      </w:r>
    </w:p>
    <w:p w:rsidR="0070307D" w:rsidRDefault="0070307D" w:rsidP="0070307D">
      <w:pPr>
        <w:ind w:firstLine="720"/>
        <w:jc w:val="both"/>
        <w:rPr>
          <w:szCs w:val="24"/>
        </w:rPr>
      </w:pPr>
      <w:r>
        <w:rPr>
          <w:szCs w:val="24"/>
        </w:rPr>
        <w:t>(2) Izdevumu izlīdzināšanas mehānisms tiek piemērots šādiem izdevumiem:</w:t>
      </w:r>
    </w:p>
    <w:p w:rsidR="0070307D" w:rsidRDefault="0070307D" w:rsidP="0070307D">
      <w:pPr>
        <w:ind w:firstLine="720"/>
        <w:jc w:val="both"/>
        <w:rPr>
          <w:szCs w:val="28"/>
        </w:rPr>
      </w:pPr>
      <w:r>
        <w:rPr>
          <w:szCs w:val="24"/>
        </w:rPr>
        <w:t xml:space="preserve">1) </w:t>
      </w:r>
      <w:r w:rsidR="00A074DB" w:rsidRPr="005129E0">
        <w:rPr>
          <w:szCs w:val="24"/>
        </w:rPr>
        <w:t>Eiropas Savienības politiku instrumentu un citas ārvalstu finanšu palīdzības</w:t>
      </w:r>
      <w:r w:rsidRPr="005129E0">
        <w:rPr>
          <w:szCs w:val="24"/>
        </w:rPr>
        <w:t xml:space="preserve"> programmu</w:t>
      </w:r>
      <w:r>
        <w:rPr>
          <w:szCs w:val="28"/>
        </w:rPr>
        <w:t xml:space="preserve"> finansēto projektu </w:t>
      </w:r>
      <w:r w:rsidR="00114109">
        <w:rPr>
          <w:szCs w:val="28"/>
        </w:rPr>
        <w:t>un pasākumu kopējiem izdevumiem</w:t>
      </w:r>
      <w:r w:rsidR="00783A62">
        <w:rPr>
          <w:szCs w:val="28"/>
        </w:rPr>
        <w:t>, izņemot šī panta sestajā daļā minētos gadījumus</w:t>
      </w:r>
      <w:r w:rsidR="00114109">
        <w:rPr>
          <w:szCs w:val="28"/>
        </w:rPr>
        <w:t>;</w:t>
      </w:r>
    </w:p>
    <w:p w:rsidR="0070307D" w:rsidRDefault="0070307D" w:rsidP="0070307D">
      <w:pPr>
        <w:ind w:firstLine="720"/>
        <w:jc w:val="both"/>
        <w:rPr>
          <w:szCs w:val="28"/>
        </w:rPr>
      </w:pPr>
      <w:r>
        <w:rPr>
          <w:szCs w:val="28"/>
        </w:rPr>
        <w:t>2) valsts parāda apkalpošanas izdevumiem</w:t>
      </w:r>
      <w:r w:rsidR="00783A62">
        <w:rPr>
          <w:szCs w:val="28"/>
        </w:rPr>
        <w:t>, kas atrodas Valsts kases kompetencē.</w:t>
      </w:r>
    </w:p>
    <w:p w:rsidR="0070307D" w:rsidRDefault="0070307D" w:rsidP="0070307D">
      <w:pPr>
        <w:ind w:firstLine="720"/>
        <w:jc w:val="both"/>
        <w:rPr>
          <w:szCs w:val="28"/>
        </w:rPr>
      </w:pPr>
      <w:r>
        <w:rPr>
          <w:szCs w:val="28"/>
        </w:rPr>
        <w:t xml:space="preserve">(3) </w:t>
      </w:r>
      <w:r w:rsidR="00765A42">
        <w:rPr>
          <w:szCs w:val="28"/>
        </w:rPr>
        <w:t xml:space="preserve">Attiecīgā </w:t>
      </w:r>
      <w:r>
        <w:rPr>
          <w:szCs w:val="28"/>
        </w:rPr>
        <w:t xml:space="preserve">gada kopējos izlīdzinātos izdevumus nosaka kā visu </w:t>
      </w:r>
      <w:r w:rsidR="00114109">
        <w:rPr>
          <w:szCs w:val="28"/>
        </w:rPr>
        <w:t xml:space="preserve">šī panta </w:t>
      </w:r>
      <w:r>
        <w:rPr>
          <w:szCs w:val="28"/>
        </w:rPr>
        <w:t>otrajā daļā minēto</w:t>
      </w:r>
      <w:r w:rsidR="007A1147">
        <w:rPr>
          <w:szCs w:val="28"/>
        </w:rPr>
        <w:t xml:space="preserve"> izdevumu</w:t>
      </w:r>
      <w:r>
        <w:rPr>
          <w:szCs w:val="28"/>
        </w:rPr>
        <w:t xml:space="preserve"> izlīdzināto izdevumu</w:t>
      </w:r>
      <w:r w:rsidR="007A1147">
        <w:rPr>
          <w:szCs w:val="28"/>
        </w:rPr>
        <w:t xml:space="preserve"> apjomu</w:t>
      </w:r>
      <w:r>
        <w:rPr>
          <w:szCs w:val="28"/>
        </w:rPr>
        <w:t xml:space="preserve"> summu</w:t>
      </w:r>
      <w:r w:rsidR="007A1147">
        <w:rPr>
          <w:szCs w:val="28"/>
        </w:rPr>
        <w:t>, kas tiek aprēķināta saskaņā ar šī panta ceturto un piekto daļu.</w:t>
      </w:r>
    </w:p>
    <w:p w:rsidR="00150BC8" w:rsidRDefault="00150BC8" w:rsidP="00150BC8">
      <w:pPr>
        <w:ind w:firstLine="720"/>
        <w:jc w:val="both"/>
        <w:rPr>
          <w:szCs w:val="28"/>
        </w:rPr>
      </w:pPr>
      <w:r w:rsidRPr="003D0C9C">
        <w:rPr>
          <w:szCs w:val="28"/>
        </w:rPr>
        <w:t xml:space="preserve">(4) Eiropas Savienības politiku instrumentu un citas ārvalstu finanšu palīdzības programmas projektu un pasākumu izlīdzināto izdevumu apjomu </w:t>
      </w:r>
      <w:r>
        <w:rPr>
          <w:szCs w:val="28"/>
        </w:rPr>
        <w:t>attiecīgai programmai nosaka:</w:t>
      </w:r>
    </w:p>
    <w:p w:rsidR="00150BC8" w:rsidRDefault="00150BC8" w:rsidP="00150BC8">
      <w:pPr>
        <w:ind w:firstLine="720"/>
        <w:jc w:val="both"/>
        <w:rPr>
          <w:szCs w:val="28"/>
        </w:rPr>
      </w:pPr>
      <w:r>
        <w:rPr>
          <w:szCs w:val="28"/>
        </w:rPr>
        <w:t>1)  gadā, kas ietilpst programmas periodā: attiecīgās programmas projektu kopējo ārvalstu finanšu palīdzības programmas neapmaksājamo izdevumu apjomu dalot ar programmas perioda gadu skaitu un</w:t>
      </w:r>
      <w:r w:rsidRPr="0050533B">
        <w:rPr>
          <w:szCs w:val="28"/>
        </w:rPr>
        <w:t xml:space="preserve"> </w:t>
      </w:r>
      <w:r>
        <w:rPr>
          <w:szCs w:val="28"/>
        </w:rPr>
        <w:t xml:space="preserve">pieskaitot no ārvalstu finanšu palīdzības programmas apmaksājamo attiecīgā gada izdevumu apjomu. </w:t>
      </w:r>
    </w:p>
    <w:p w:rsidR="00150BC8" w:rsidRDefault="00150BC8" w:rsidP="00150BC8">
      <w:pPr>
        <w:ind w:firstLine="720"/>
        <w:jc w:val="both"/>
        <w:rPr>
          <w:szCs w:val="28"/>
        </w:rPr>
      </w:pPr>
      <w:r>
        <w:rPr>
          <w:szCs w:val="28"/>
        </w:rPr>
        <w:t>2) gadā, kas neietilpst programmas periodā:</w:t>
      </w:r>
      <w:r w:rsidRPr="00B178E6">
        <w:rPr>
          <w:szCs w:val="28"/>
        </w:rPr>
        <w:t xml:space="preserve"> </w:t>
      </w:r>
      <w:r>
        <w:rPr>
          <w:szCs w:val="28"/>
        </w:rPr>
        <w:t>ārvalstu finanšu palīdzības programmas apmaksājamo attiecīgā gada izdevumu apjomā.</w:t>
      </w:r>
    </w:p>
    <w:p w:rsidR="0070307D" w:rsidRPr="00640563" w:rsidRDefault="00150BC8" w:rsidP="00150BC8">
      <w:pPr>
        <w:ind w:firstLine="720"/>
        <w:jc w:val="both"/>
        <w:rPr>
          <w:color w:val="1F497D"/>
          <w:szCs w:val="28"/>
        </w:rPr>
      </w:pPr>
      <w:r>
        <w:rPr>
          <w:szCs w:val="28"/>
        </w:rPr>
        <w:t xml:space="preserve">Programmas periods šī likuma izpratnē ir </w:t>
      </w:r>
      <w:r w:rsidR="002E4C38">
        <w:rPr>
          <w:szCs w:val="28"/>
        </w:rPr>
        <w:t xml:space="preserve">ārvalstu finanšu palīdzības programmas </w:t>
      </w:r>
      <w:r>
        <w:rPr>
          <w:szCs w:val="28"/>
        </w:rPr>
        <w:t>plānošanas periods</w:t>
      </w:r>
      <w:r>
        <w:rPr>
          <w:color w:val="1F497D"/>
          <w:szCs w:val="28"/>
        </w:rPr>
        <w:t>.</w:t>
      </w:r>
      <w:r w:rsidR="007C50CB">
        <w:rPr>
          <w:color w:val="1F497D"/>
          <w:szCs w:val="28"/>
        </w:rPr>
        <w:t xml:space="preserve"> </w:t>
      </w:r>
    </w:p>
    <w:p w:rsidR="007C50CB" w:rsidRDefault="0070307D" w:rsidP="0070307D">
      <w:pPr>
        <w:ind w:firstLine="720"/>
        <w:jc w:val="both"/>
        <w:rPr>
          <w:szCs w:val="28"/>
        </w:rPr>
      </w:pPr>
      <w:r>
        <w:rPr>
          <w:szCs w:val="28"/>
        </w:rPr>
        <w:t>(5) Valsts parāda apkalpošanas izlīdzināto izdevumu apjomu</w:t>
      </w:r>
      <w:r w:rsidR="00640563">
        <w:rPr>
          <w:szCs w:val="28"/>
        </w:rPr>
        <w:t xml:space="preserve"> katram vidēja termiņa budžeta ietvara gadam</w:t>
      </w:r>
      <w:r>
        <w:rPr>
          <w:szCs w:val="28"/>
        </w:rPr>
        <w:t xml:space="preserve"> nosaka</w:t>
      </w:r>
      <w:r w:rsidR="009D3982">
        <w:rPr>
          <w:szCs w:val="28"/>
        </w:rPr>
        <w:t xml:space="preserve"> </w:t>
      </w:r>
      <w:r w:rsidR="00640563">
        <w:rPr>
          <w:szCs w:val="28"/>
        </w:rPr>
        <w:t xml:space="preserve">saskaņā ar valsts parāda pieauguma </w:t>
      </w:r>
      <w:r w:rsidR="00EF7122">
        <w:rPr>
          <w:szCs w:val="28"/>
        </w:rPr>
        <w:t>tendenci</w:t>
      </w:r>
      <w:r w:rsidR="00640563">
        <w:rPr>
          <w:szCs w:val="28"/>
        </w:rPr>
        <w:t xml:space="preserve">, izslēdzot izdevumu svārstības, kas izriet no prognozētām procentu likmju svārstībām.  </w:t>
      </w:r>
    </w:p>
    <w:p w:rsidR="0070307D" w:rsidRDefault="007C50CB" w:rsidP="0070307D">
      <w:pPr>
        <w:ind w:firstLine="720"/>
        <w:jc w:val="both"/>
        <w:rPr>
          <w:szCs w:val="24"/>
        </w:rPr>
      </w:pPr>
      <w:r>
        <w:rPr>
          <w:szCs w:val="28"/>
        </w:rPr>
        <w:t>(6)</w:t>
      </w:r>
      <w:r w:rsidR="0070307D">
        <w:rPr>
          <w:szCs w:val="28"/>
        </w:rPr>
        <w:t xml:space="preserve">  </w:t>
      </w:r>
      <w:r w:rsidRPr="005129E0">
        <w:rPr>
          <w:szCs w:val="24"/>
        </w:rPr>
        <w:t xml:space="preserve">Tādām Eiropas Savienības politiku instrumentu un citas ārvalstu finanšu palīdzības programmām, kurām nav noteikts Latvijai pieejamais finansējuma apjoms un tādām  Eiropas Savienības politiku instrumentu un citas ārvalstu finanšu palīdzības programmām, kurām nav noteikts īstenošanas periods, šī panta nosacījumus nepiemēro un šo programmu projektus un pasākumus finansē </w:t>
      </w:r>
      <w:r w:rsidR="00CA47F7" w:rsidRPr="005129E0">
        <w:rPr>
          <w:szCs w:val="24"/>
        </w:rPr>
        <w:t>k</w:t>
      </w:r>
      <w:r w:rsidR="00CA47F7">
        <w:rPr>
          <w:szCs w:val="28"/>
        </w:rPr>
        <w:t xml:space="preserve">oriģētā maksimālā valsts konsolidētā budžeta izdevumu apjoma robežās, ievērojot šī likuma </w:t>
      </w:r>
      <w:r w:rsidR="00301809">
        <w:rPr>
          <w:szCs w:val="28"/>
        </w:rPr>
        <w:t>6.</w:t>
      </w:r>
      <w:r w:rsidR="003D0C9C">
        <w:rPr>
          <w:szCs w:val="28"/>
        </w:rPr>
        <w:t xml:space="preserve"> </w:t>
      </w:r>
      <w:r w:rsidR="00301809">
        <w:rPr>
          <w:szCs w:val="28"/>
        </w:rPr>
        <w:t>panta trešās daļas 3.</w:t>
      </w:r>
      <w:r w:rsidR="003D0C9C">
        <w:rPr>
          <w:szCs w:val="28"/>
        </w:rPr>
        <w:t xml:space="preserve"> </w:t>
      </w:r>
      <w:r w:rsidR="00301809">
        <w:rPr>
          <w:szCs w:val="28"/>
        </w:rPr>
        <w:t>punkta un 7.</w:t>
      </w:r>
      <w:r w:rsidR="003D0C9C">
        <w:rPr>
          <w:szCs w:val="28"/>
        </w:rPr>
        <w:t xml:space="preserve"> </w:t>
      </w:r>
      <w:r w:rsidR="00301809">
        <w:rPr>
          <w:szCs w:val="28"/>
        </w:rPr>
        <w:t>panta ceturtās daļas 5.</w:t>
      </w:r>
      <w:r w:rsidR="003D0C9C">
        <w:rPr>
          <w:szCs w:val="28"/>
        </w:rPr>
        <w:t xml:space="preserve"> </w:t>
      </w:r>
      <w:r w:rsidR="00301809">
        <w:rPr>
          <w:szCs w:val="28"/>
        </w:rPr>
        <w:t>punkta</w:t>
      </w:r>
      <w:r w:rsidR="00CA47F7">
        <w:rPr>
          <w:szCs w:val="28"/>
        </w:rPr>
        <w:t xml:space="preserve"> nosacījumus.</w:t>
      </w:r>
      <w:r w:rsidR="00CA47F7">
        <w:rPr>
          <w:color w:val="1F497D"/>
          <w:szCs w:val="28"/>
        </w:rPr>
        <w:t xml:space="preserve"> </w:t>
      </w:r>
      <w:r>
        <w:rPr>
          <w:color w:val="1F497D"/>
          <w:szCs w:val="28"/>
        </w:rPr>
        <w:t xml:space="preserve">  </w:t>
      </w:r>
      <w:r w:rsidR="0070307D">
        <w:rPr>
          <w:szCs w:val="28"/>
        </w:rPr>
        <w:t xml:space="preserve">   </w:t>
      </w:r>
    </w:p>
    <w:p w:rsidR="00CA4F24" w:rsidRDefault="00CA4F24" w:rsidP="008E282B">
      <w:pPr>
        <w:jc w:val="both"/>
        <w:rPr>
          <w:b/>
          <w:bCs/>
          <w:szCs w:val="28"/>
        </w:rPr>
      </w:pPr>
    </w:p>
    <w:p w:rsidR="001225E5" w:rsidRDefault="00B20ABA" w:rsidP="00142C4D">
      <w:pPr>
        <w:ind w:firstLine="720"/>
        <w:jc w:val="both"/>
        <w:rPr>
          <w:b/>
          <w:bCs/>
          <w:szCs w:val="28"/>
        </w:rPr>
      </w:pPr>
      <w:r w:rsidRPr="006240DD">
        <w:rPr>
          <w:b/>
          <w:bCs/>
          <w:szCs w:val="28"/>
        </w:rPr>
        <w:lastRenderedPageBreak/>
        <w:t>1</w:t>
      </w:r>
      <w:r w:rsidR="00E8191D">
        <w:rPr>
          <w:b/>
          <w:bCs/>
          <w:szCs w:val="28"/>
        </w:rPr>
        <w:t>5</w:t>
      </w:r>
      <w:r w:rsidR="001225E5" w:rsidRPr="006240DD">
        <w:rPr>
          <w:b/>
          <w:bCs/>
          <w:szCs w:val="28"/>
        </w:rPr>
        <w:t>.</w:t>
      </w:r>
      <w:r w:rsidR="00D66651" w:rsidRPr="006240DD">
        <w:rPr>
          <w:b/>
          <w:bCs/>
          <w:szCs w:val="28"/>
        </w:rPr>
        <w:t xml:space="preserve"> </w:t>
      </w:r>
      <w:r w:rsidR="001225E5" w:rsidRPr="006240DD">
        <w:rPr>
          <w:b/>
          <w:bCs/>
          <w:szCs w:val="28"/>
        </w:rPr>
        <w:t xml:space="preserve">pants. Valsts pamatbudžeta </w:t>
      </w:r>
      <w:r w:rsidR="00F408DD" w:rsidRPr="006240DD">
        <w:rPr>
          <w:b/>
          <w:bCs/>
          <w:szCs w:val="28"/>
        </w:rPr>
        <w:t>faktisko</w:t>
      </w:r>
      <w:r w:rsidR="00A7182F" w:rsidRPr="006240DD">
        <w:rPr>
          <w:b/>
          <w:bCs/>
          <w:szCs w:val="28"/>
        </w:rPr>
        <w:t xml:space="preserve"> ieņēmumu </w:t>
      </w:r>
      <w:r w:rsidR="007F6C3D" w:rsidRPr="006240DD">
        <w:rPr>
          <w:b/>
          <w:bCs/>
          <w:szCs w:val="28"/>
        </w:rPr>
        <w:t xml:space="preserve">pārsnieguma pār valsts </w:t>
      </w:r>
      <w:r w:rsidR="00F408DD" w:rsidRPr="006240DD">
        <w:rPr>
          <w:b/>
          <w:bCs/>
          <w:szCs w:val="28"/>
        </w:rPr>
        <w:t>pamat</w:t>
      </w:r>
      <w:r w:rsidR="007F6C3D" w:rsidRPr="006240DD">
        <w:rPr>
          <w:b/>
          <w:bCs/>
          <w:szCs w:val="28"/>
        </w:rPr>
        <w:t>budžeta</w:t>
      </w:r>
      <w:r w:rsidR="00F408DD" w:rsidRPr="006240DD">
        <w:rPr>
          <w:b/>
          <w:bCs/>
          <w:szCs w:val="28"/>
        </w:rPr>
        <w:t xml:space="preserve"> faktiskajiem</w:t>
      </w:r>
      <w:r w:rsidR="007F6C3D" w:rsidRPr="006240DD">
        <w:rPr>
          <w:b/>
          <w:bCs/>
          <w:szCs w:val="28"/>
        </w:rPr>
        <w:t xml:space="preserve"> </w:t>
      </w:r>
      <w:r w:rsidR="003064A8" w:rsidRPr="006240DD">
        <w:rPr>
          <w:b/>
          <w:bCs/>
          <w:szCs w:val="28"/>
        </w:rPr>
        <w:t xml:space="preserve">izdevumiem </w:t>
      </w:r>
      <w:r w:rsidR="00FD2BFD" w:rsidRPr="006240DD">
        <w:rPr>
          <w:b/>
          <w:bCs/>
          <w:szCs w:val="28"/>
        </w:rPr>
        <w:t>izmantošana</w:t>
      </w:r>
    </w:p>
    <w:p w:rsidR="005D3ADE" w:rsidRPr="006240DD" w:rsidRDefault="005736B9" w:rsidP="00A8681B">
      <w:pPr>
        <w:jc w:val="both"/>
        <w:rPr>
          <w:szCs w:val="28"/>
        </w:rPr>
      </w:pPr>
      <w:r w:rsidRPr="006240DD">
        <w:rPr>
          <w:szCs w:val="28"/>
        </w:rPr>
        <w:tab/>
      </w:r>
      <w:r w:rsidR="003979B2" w:rsidRPr="006240DD">
        <w:rPr>
          <w:szCs w:val="28"/>
        </w:rPr>
        <w:t xml:space="preserve">(1) </w:t>
      </w:r>
      <w:r w:rsidR="00F7400C" w:rsidRPr="006240DD">
        <w:rPr>
          <w:szCs w:val="28"/>
        </w:rPr>
        <w:t xml:space="preserve">Valsts </w:t>
      </w:r>
      <w:r w:rsidR="00F408DD" w:rsidRPr="006240DD">
        <w:rPr>
          <w:szCs w:val="28"/>
        </w:rPr>
        <w:t xml:space="preserve">pamatbudžeta </w:t>
      </w:r>
      <w:r w:rsidR="003064A8" w:rsidRPr="006240DD">
        <w:rPr>
          <w:szCs w:val="28"/>
        </w:rPr>
        <w:t xml:space="preserve">faktisko </w:t>
      </w:r>
      <w:r w:rsidR="00F7400C" w:rsidRPr="006240DD">
        <w:rPr>
          <w:szCs w:val="28"/>
        </w:rPr>
        <w:t xml:space="preserve">ieņēmumu pārsniegums pār valsts </w:t>
      </w:r>
      <w:r w:rsidR="00F408DD" w:rsidRPr="006240DD">
        <w:rPr>
          <w:szCs w:val="28"/>
        </w:rPr>
        <w:t>pamat</w:t>
      </w:r>
      <w:r w:rsidR="00F7400C" w:rsidRPr="006240DD">
        <w:rPr>
          <w:szCs w:val="28"/>
        </w:rPr>
        <w:t xml:space="preserve">budžeta </w:t>
      </w:r>
      <w:r w:rsidR="003064A8" w:rsidRPr="006240DD">
        <w:rPr>
          <w:szCs w:val="28"/>
        </w:rPr>
        <w:t>faktiskajiem izdevumiem</w:t>
      </w:r>
      <w:r w:rsidR="00881EEF" w:rsidRPr="006240DD">
        <w:rPr>
          <w:szCs w:val="28"/>
        </w:rPr>
        <w:t xml:space="preserve"> </w:t>
      </w:r>
      <w:r w:rsidR="003B539B" w:rsidRPr="006240DD">
        <w:rPr>
          <w:szCs w:val="28"/>
        </w:rPr>
        <w:t xml:space="preserve">tiek ieskaitīts </w:t>
      </w:r>
      <w:r w:rsidR="00080199" w:rsidRPr="006240DD">
        <w:rPr>
          <w:szCs w:val="28"/>
        </w:rPr>
        <w:t>ilgtermiņa stabilizācijas rezervē</w:t>
      </w:r>
      <w:r w:rsidR="00881EEF" w:rsidRPr="006240DD">
        <w:rPr>
          <w:szCs w:val="28"/>
        </w:rPr>
        <w:t xml:space="preserve"> vai </w:t>
      </w:r>
      <w:r w:rsidR="00881EEF" w:rsidRPr="006240DD">
        <w:rPr>
          <w:bCs/>
          <w:szCs w:val="28"/>
        </w:rPr>
        <w:t>novirzīts valdības parāda dzēšanai</w:t>
      </w:r>
      <w:r w:rsidR="00F408DD" w:rsidRPr="006240DD">
        <w:rPr>
          <w:szCs w:val="28"/>
        </w:rPr>
        <w:t>.</w:t>
      </w:r>
    </w:p>
    <w:p w:rsidR="003979B2" w:rsidRPr="006240DD" w:rsidRDefault="003979B2" w:rsidP="008E282B">
      <w:pPr>
        <w:jc w:val="both"/>
        <w:rPr>
          <w:lang w:eastAsia="lv-LV"/>
        </w:rPr>
      </w:pPr>
      <w:r w:rsidRPr="006240DD">
        <w:rPr>
          <w:szCs w:val="28"/>
        </w:rPr>
        <w:tab/>
        <w:t>(</w:t>
      </w:r>
      <w:r w:rsidR="003064A8" w:rsidRPr="006240DD">
        <w:rPr>
          <w:szCs w:val="28"/>
        </w:rPr>
        <w:t>2</w:t>
      </w:r>
      <w:r w:rsidRPr="006240DD">
        <w:rPr>
          <w:szCs w:val="28"/>
        </w:rPr>
        <w:t xml:space="preserve">) </w:t>
      </w:r>
      <w:r w:rsidRPr="006240DD">
        <w:rPr>
          <w:lang w:eastAsia="lv-LV"/>
        </w:rPr>
        <w:t xml:space="preserve">Šī panta pirmās daļas nosacījums neattiecas uz tādu valsts </w:t>
      </w:r>
      <w:r w:rsidR="00F408DD" w:rsidRPr="006240DD">
        <w:rPr>
          <w:szCs w:val="28"/>
        </w:rPr>
        <w:t xml:space="preserve">pamatbudžeta </w:t>
      </w:r>
      <w:r w:rsidR="00F408DD" w:rsidRPr="006240DD">
        <w:rPr>
          <w:lang w:eastAsia="lv-LV"/>
        </w:rPr>
        <w:t>faktisko</w:t>
      </w:r>
      <w:r w:rsidRPr="006240DD">
        <w:rPr>
          <w:lang w:eastAsia="lv-LV"/>
        </w:rPr>
        <w:t xml:space="preserve"> ieņēmumu pārsniegumu pār valsts </w:t>
      </w:r>
      <w:r w:rsidR="00F408DD" w:rsidRPr="006240DD">
        <w:rPr>
          <w:lang w:eastAsia="lv-LV"/>
        </w:rPr>
        <w:t>pamat</w:t>
      </w:r>
      <w:r w:rsidRPr="006240DD">
        <w:rPr>
          <w:lang w:eastAsia="lv-LV"/>
        </w:rPr>
        <w:t>budžeta</w:t>
      </w:r>
      <w:r w:rsidR="00F408DD" w:rsidRPr="006240DD">
        <w:rPr>
          <w:lang w:eastAsia="lv-LV"/>
        </w:rPr>
        <w:t xml:space="preserve"> </w:t>
      </w:r>
      <w:r w:rsidR="00F408DD" w:rsidRPr="006240DD">
        <w:rPr>
          <w:szCs w:val="28"/>
        </w:rPr>
        <w:t>faktiskajiem izdevumiem</w:t>
      </w:r>
      <w:r w:rsidRPr="006240DD">
        <w:rPr>
          <w:lang w:eastAsia="lv-LV"/>
        </w:rPr>
        <w:t>, kas izmantojams nākamajos plānošanas periodos</w:t>
      </w:r>
      <w:r w:rsidR="00DA0A45" w:rsidRPr="006240DD">
        <w:rPr>
          <w:lang w:eastAsia="lv-LV"/>
        </w:rPr>
        <w:t xml:space="preserve"> saskaņā ar citiem likumiem</w:t>
      </w:r>
      <w:r w:rsidRPr="006240DD">
        <w:rPr>
          <w:lang w:eastAsia="lv-LV"/>
        </w:rPr>
        <w:t>.</w:t>
      </w:r>
    </w:p>
    <w:p w:rsidR="003064A8" w:rsidRPr="006240DD" w:rsidRDefault="003064A8" w:rsidP="003064A8">
      <w:pPr>
        <w:ind w:firstLine="720"/>
        <w:jc w:val="both"/>
        <w:rPr>
          <w:bCs/>
          <w:szCs w:val="28"/>
        </w:rPr>
      </w:pPr>
      <w:r w:rsidRPr="006240DD">
        <w:rPr>
          <w:szCs w:val="28"/>
        </w:rPr>
        <w:t xml:space="preserve">(3) </w:t>
      </w:r>
      <w:r w:rsidR="00657D9A">
        <w:rPr>
          <w:szCs w:val="28"/>
        </w:rPr>
        <w:t xml:space="preserve">Pārsnieguma gadījumā </w:t>
      </w:r>
      <w:r w:rsidR="00657D9A" w:rsidRPr="006240DD">
        <w:rPr>
          <w:bCs/>
          <w:szCs w:val="28"/>
        </w:rPr>
        <w:t>Ministru kabinets</w:t>
      </w:r>
      <w:r w:rsidR="00657D9A">
        <w:rPr>
          <w:bCs/>
          <w:szCs w:val="28"/>
        </w:rPr>
        <w:t xml:space="preserve"> katru gadu lemj par pārsnieguma novirzīšanu parādam vai ieskaitīšanai Ilgtermiņa stabilizācijas rezervē.</w:t>
      </w:r>
      <w:r w:rsidR="00657D9A" w:rsidRPr="006240DD">
        <w:rPr>
          <w:bCs/>
          <w:szCs w:val="28"/>
        </w:rPr>
        <w:t xml:space="preserve"> </w:t>
      </w:r>
      <w:r w:rsidR="00F408DD" w:rsidRPr="006240DD">
        <w:rPr>
          <w:bCs/>
          <w:szCs w:val="28"/>
        </w:rPr>
        <w:t xml:space="preserve"> </w:t>
      </w:r>
    </w:p>
    <w:p w:rsidR="007D2B08" w:rsidRPr="006240DD" w:rsidRDefault="007D2B08" w:rsidP="008E282B">
      <w:pPr>
        <w:jc w:val="both"/>
      </w:pPr>
    </w:p>
    <w:p w:rsidR="00C419D6" w:rsidRPr="006240DD" w:rsidRDefault="005736B9" w:rsidP="0058360B">
      <w:pPr>
        <w:jc w:val="both"/>
        <w:rPr>
          <w:b/>
          <w:szCs w:val="28"/>
        </w:rPr>
      </w:pPr>
      <w:r w:rsidRPr="006240DD">
        <w:rPr>
          <w:b/>
          <w:szCs w:val="28"/>
        </w:rPr>
        <w:tab/>
      </w:r>
      <w:r w:rsidR="002E3AA8" w:rsidRPr="006240DD">
        <w:rPr>
          <w:b/>
          <w:szCs w:val="28"/>
        </w:rPr>
        <w:t>1</w:t>
      </w:r>
      <w:r w:rsidR="00E8191D">
        <w:rPr>
          <w:b/>
          <w:szCs w:val="28"/>
        </w:rPr>
        <w:t>6</w:t>
      </w:r>
      <w:r w:rsidR="00D4694D" w:rsidRPr="006240DD">
        <w:rPr>
          <w:b/>
          <w:szCs w:val="28"/>
        </w:rPr>
        <w:t xml:space="preserve">. pants. </w:t>
      </w:r>
      <w:r w:rsidR="00356935" w:rsidRPr="006240DD">
        <w:rPr>
          <w:b/>
          <w:szCs w:val="28"/>
        </w:rPr>
        <w:t xml:space="preserve">Fiskālās politikas </w:t>
      </w:r>
      <w:r w:rsidR="0072491A" w:rsidRPr="006240DD">
        <w:rPr>
          <w:b/>
          <w:szCs w:val="28"/>
        </w:rPr>
        <w:t>disciplīnas ievērošanas uzraudzība</w:t>
      </w:r>
    </w:p>
    <w:p w:rsidR="0072491A" w:rsidRDefault="005736B9" w:rsidP="003B7195">
      <w:pPr>
        <w:jc w:val="both"/>
        <w:rPr>
          <w:szCs w:val="28"/>
        </w:rPr>
      </w:pPr>
      <w:r w:rsidRPr="006240DD">
        <w:rPr>
          <w:szCs w:val="28"/>
        </w:rPr>
        <w:tab/>
      </w:r>
      <w:r w:rsidR="0072491A" w:rsidRPr="006240DD">
        <w:rPr>
          <w:szCs w:val="28"/>
        </w:rPr>
        <w:t xml:space="preserve">Ministru kabineta uzdevums ir regulāri sekot </w:t>
      </w:r>
      <w:r w:rsidR="00AA340F" w:rsidRPr="006240DD">
        <w:rPr>
          <w:szCs w:val="28"/>
        </w:rPr>
        <w:t>līdzi fiskālās disciplīnas ievērošanai</w:t>
      </w:r>
      <w:r w:rsidR="0072491A" w:rsidRPr="006240DD">
        <w:rPr>
          <w:szCs w:val="28"/>
        </w:rPr>
        <w:t xml:space="preserve"> un veikt visas nepieciešamās preventīv</w:t>
      </w:r>
      <w:r w:rsidR="008C0DA4" w:rsidRPr="006240DD">
        <w:rPr>
          <w:szCs w:val="28"/>
        </w:rPr>
        <w:t>ās</w:t>
      </w:r>
      <w:r w:rsidR="0072491A" w:rsidRPr="006240DD">
        <w:rPr>
          <w:szCs w:val="28"/>
        </w:rPr>
        <w:t xml:space="preserve"> darbības, lai novērstu </w:t>
      </w:r>
      <w:r w:rsidR="00B14BD7" w:rsidRPr="006240DD">
        <w:rPr>
          <w:szCs w:val="28"/>
        </w:rPr>
        <w:t xml:space="preserve">tādu situāciju iestāšanos, kas ir pretrunā ar </w:t>
      </w:r>
      <w:r w:rsidR="001C2A12" w:rsidRPr="006240DD">
        <w:rPr>
          <w:szCs w:val="28"/>
        </w:rPr>
        <w:t>šajā</w:t>
      </w:r>
      <w:r w:rsidR="00B14BD7" w:rsidRPr="006240DD">
        <w:rPr>
          <w:szCs w:val="28"/>
        </w:rPr>
        <w:t xml:space="preserve"> likumā noteikto.</w:t>
      </w:r>
    </w:p>
    <w:p w:rsidR="003B7195" w:rsidRDefault="003B7195" w:rsidP="003B7195">
      <w:pPr>
        <w:jc w:val="both"/>
        <w:rPr>
          <w:szCs w:val="28"/>
        </w:rPr>
      </w:pPr>
    </w:p>
    <w:p w:rsidR="00DA283A" w:rsidRPr="00DA283A" w:rsidRDefault="00DA283A" w:rsidP="003B7195">
      <w:pPr>
        <w:jc w:val="both"/>
        <w:rPr>
          <w:b/>
          <w:szCs w:val="28"/>
        </w:rPr>
      </w:pPr>
      <w:r w:rsidRPr="00DA283A">
        <w:rPr>
          <w:b/>
          <w:szCs w:val="28"/>
        </w:rPr>
        <w:tab/>
        <w:t>1</w:t>
      </w:r>
      <w:r w:rsidR="00E8191D">
        <w:rPr>
          <w:b/>
          <w:szCs w:val="28"/>
        </w:rPr>
        <w:t>7</w:t>
      </w:r>
      <w:r w:rsidRPr="00DA283A">
        <w:rPr>
          <w:b/>
          <w:szCs w:val="28"/>
        </w:rPr>
        <w:t xml:space="preserve">. pants. </w:t>
      </w:r>
      <w:r w:rsidRPr="00DA283A">
        <w:rPr>
          <w:b/>
          <w:szCs w:val="28"/>
        </w:rPr>
        <w:tab/>
        <w:t>Ziņojums par fiskālās disciplīnas ievērošanu</w:t>
      </w:r>
    </w:p>
    <w:p w:rsidR="00DA283A" w:rsidRPr="0058360B" w:rsidRDefault="00DA283A" w:rsidP="00DA283A">
      <w:pPr>
        <w:jc w:val="both"/>
        <w:rPr>
          <w:szCs w:val="28"/>
        </w:rPr>
      </w:pPr>
      <w:r>
        <w:rPr>
          <w:szCs w:val="28"/>
        </w:rPr>
        <w:tab/>
      </w:r>
      <w:r w:rsidRPr="0058360B">
        <w:rPr>
          <w:szCs w:val="28"/>
        </w:rPr>
        <w:t xml:space="preserve">(1) Ministru kabinets līdz katra gada </w:t>
      </w:r>
      <w:r w:rsidRPr="00624241">
        <w:rPr>
          <w:color w:val="000000"/>
          <w:szCs w:val="28"/>
        </w:rPr>
        <w:t>30. aprīlim</w:t>
      </w:r>
      <w:r w:rsidRPr="0058360B">
        <w:rPr>
          <w:szCs w:val="28"/>
        </w:rPr>
        <w:t xml:space="preserve"> </w:t>
      </w:r>
      <w:r w:rsidR="00846C7D">
        <w:rPr>
          <w:szCs w:val="28"/>
        </w:rPr>
        <w:t>iesniedz</w:t>
      </w:r>
      <w:r w:rsidR="00846C7D" w:rsidRPr="0058360B">
        <w:rPr>
          <w:szCs w:val="28"/>
        </w:rPr>
        <w:t xml:space="preserve"> </w:t>
      </w:r>
      <w:r w:rsidRPr="0058360B">
        <w:rPr>
          <w:szCs w:val="28"/>
        </w:rPr>
        <w:t xml:space="preserve">ziņojumu </w:t>
      </w:r>
      <w:r w:rsidR="00846C7D" w:rsidRPr="0058360B">
        <w:rPr>
          <w:szCs w:val="28"/>
        </w:rPr>
        <w:t>Saeim</w:t>
      </w:r>
      <w:r w:rsidR="00846C7D">
        <w:rPr>
          <w:szCs w:val="28"/>
        </w:rPr>
        <w:t>ā</w:t>
      </w:r>
      <w:r w:rsidR="00846C7D" w:rsidRPr="0058360B">
        <w:rPr>
          <w:szCs w:val="28"/>
        </w:rPr>
        <w:t xml:space="preserve"> </w:t>
      </w:r>
      <w:r w:rsidRPr="0058360B">
        <w:rPr>
          <w:szCs w:val="28"/>
        </w:rPr>
        <w:t xml:space="preserve">par valsts finansiālo stāvokli, tajā ietverot </w:t>
      </w:r>
      <w:r>
        <w:rPr>
          <w:szCs w:val="28"/>
        </w:rPr>
        <w:t>informāciju</w:t>
      </w:r>
      <w:r w:rsidRPr="0058360B">
        <w:rPr>
          <w:szCs w:val="28"/>
        </w:rPr>
        <w:t xml:space="preserve"> par fiskālās disciplīnas ievērošanu</w:t>
      </w:r>
      <w:r>
        <w:rPr>
          <w:szCs w:val="28"/>
        </w:rPr>
        <w:t>, kā arī makroekonomisko un fiskālo prognožu izpildes izvērtējumu.</w:t>
      </w:r>
    </w:p>
    <w:p w:rsidR="00DA283A" w:rsidRDefault="00DA283A" w:rsidP="00DA283A">
      <w:pPr>
        <w:jc w:val="both"/>
        <w:rPr>
          <w:szCs w:val="28"/>
        </w:rPr>
      </w:pPr>
      <w:r>
        <w:rPr>
          <w:szCs w:val="28"/>
        </w:rPr>
        <w:tab/>
      </w:r>
      <w:r w:rsidRPr="0058360B">
        <w:rPr>
          <w:szCs w:val="28"/>
        </w:rPr>
        <w:t xml:space="preserve">(2) </w:t>
      </w:r>
      <w:r>
        <w:rPr>
          <w:szCs w:val="28"/>
        </w:rPr>
        <w:t>Š</w:t>
      </w:r>
      <w:r w:rsidRPr="0058360B">
        <w:rPr>
          <w:szCs w:val="28"/>
        </w:rPr>
        <w:t>ī panta pirmajā daļā minēt</w:t>
      </w:r>
      <w:r>
        <w:rPr>
          <w:szCs w:val="28"/>
        </w:rPr>
        <w:t>o</w:t>
      </w:r>
      <w:r w:rsidRPr="0058360B">
        <w:rPr>
          <w:szCs w:val="28"/>
        </w:rPr>
        <w:t xml:space="preserve"> ziņojum</w:t>
      </w:r>
      <w:r>
        <w:rPr>
          <w:szCs w:val="28"/>
        </w:rPr>
        <w:t xml:space="preserve">u </w:t>
      </w:r>
      <w:r w:rsidRPr="0058360B">
        <w:rPr>
          <w:szCs w:val="28"/>
        </w:rPr>
        <w:t xml:space="preserve">Ministru kabinets iesniedz Saeimā </w:t>
      </w:r>
      <w:r>
        <w:rPr>
          <w:szCs w:val="28"/>
        </w:rPr>
        <w:t xml:space="preserve">vienlaicīgi ar </w:t>
      </w:r>
      <w:r w:rsidRPr="0058360B">
        <w:rPr>
          <w:szCs w:val="28"/>
        </w:rPr>
        <w:t xml:space="preserve">vidēja termiņa </w:t>
      </w:r>
      <w:r w:rsidRPr="002A7A34">
        <w:rPr>
          <w:szCs w:val="28"/>
        </w:rPr>
        <w:t>budžeta ietvara likumprojektu</w:t>
      </w:r>
      <w:r>
        <w:rPr>
          <w:szCs w:val="28"/>
        </w:rPr>
        <w:t>.</w:t>
      </w:r>
    </w:p>
    <w:p w:rsidR="00150BC8" w:rsidRDefault="00150BC8" w:rsidP="006F41A1">
      <w:pPr>
        <w:ind w:firstLine="720"/>
        <w:jc w:val="both"/>
        <w:rPr>
          <w:szCs w:val="28"/>
        </w:rPr>
      </w:pPr>
      <w:r>
        <w:rPr>
          <w:szCs w:val="28"/>
        </w:rPr>
        <w:t xml:space="preserve">(3) Ja tiek pārkāpts šis likums attiecībā uz </w:t>
      </w:r>
      <w:r w:rsidRPr="002E4C38">
        <w:rPr>
          <w:szCs w:val="28"/>
        </w:rPr>
        <w:t>fiskālo nosacījumu</w:t>
      </w:r>
      <w:r>
        <w:rPr>
          <w:szCs w:val="28"/>
        </w:rPr>
        <w:t xml:space="preserve"> ievērošanu, Ministru kabinets </w:t>
      </w:r>
      <w:r w:rsidR="00F542E1">
        <w:rPr>
          <w:szCs w:val="28"/>
        </w:rPr>
        <w:t>iesniedz</w:t>
      </w:r>
      <w:r>
        <w:rPr>
          <w:szCs w:val="28"/>
        </w:rPr>
        <w:t xml:space="preserve"> ziņojumu Saeim</w:t>
      </w:r>
      <w:r w:rsidR="00F542E1">
        <w:rPr>
          <w:szCs w:val="28"/>
        </w:rPr>
        <w:t>ā</w:t>
      </w:r>
      <w:r>
        <w:rPr>
          <w:szCs w:val="28"/>
        </w:rPr>
        <w:t xml:space="preserve"> par neatbilstīb</w:t>
      </w:r>
      <w:r w:rsidR="00D07F8F">
        <w:rPr>
          <w:szCs w:val="28"/>
        </w:rPr>
        <w:t>ām</w:t>
      </w:r>
      <w:r>
        <w:rPr>
          <w:szCs w:val="28"/>
        </w:rPr>
        <w:t>, kurā ietver pasākumus neatbilstīb</w:t>
      </w:r>
      <w:r w:rsidR="00F542E1">
        <w:rPr>
          <w:szCs w:val="28"/>
        </w:rPr>
        <w:t>u</w:t>
      </w:r>
      <w:r>
        <w:rPr>
          <w:szCs w:val="28"/>
        </w:rPr>
        <w:t xml:space="preserve"> novēršanai.   </w:t>
      </w:r>
    </w:p>
    <w:p w:rsidR="00150BC8" w:rsidRDefault="00150BC8" w:rsidP="00150BC8">
      <w:pPr>
        <w:ind w:firstLine="720"/>
        <w:jc w:val="both"/>
      </w:pPr>
      <w:r>
        <w:rPr>
          <w:szCs w:val="28"/>
        </w:rPr>
        <w:t>(4) Š</w:t>
      </w:r>
      <w:r w:rsidRPr="0058360B">
        <w:rPr>
          <w:szCs w:val="28"/>
        </w:rPr>
        <w:t xml:space="preserve">ī panta pirmajā </w:t>
      </w:r>
      <w:r>
        <w:rPr>
          <w:szCs w:val="28"/>
        </w:rPr>
        <w:t xml:space="preserve">un otrajā </w:t>
      </w:r>
      <w:r w:rsidRPr="0058360B">
        <w:rPr>
          <w:szCs w:val="28"/>
        </w:rPr>
        <w:t>daļā minēt</w:t>
      </w:r>
      <w:r>
        <w:rPr>
          <w:szCs w:val="28"/>
        </w:rPr>
        <w:t>ie</w:t>
      </w:r>
      <w:r w:rsidRPr="0058360B">
        <w:rPr>
          <w:szCs w:val="28"/>
        </w:rPr>
        <w:t xml:space="preserve"> ziņojum</w:t>
      </w:r>
      <w:r>
        <w:rPr>
          <w:szCs w:val="28"/>
        </w:rPr>
        <w:t xml:space="preserve">i tiek publiskoti Finanšu ministrijas </w:t>
      </w:r>
      <w:r w:rsidRPr="002A7A34">
        <w:t>mājas lapā internetā.</w:t>
      </w:r>
    </w:p>
    <w:p w:rsidR="00DA283A" w:rsidRDefault="00DA283A" w:rsidP="00DA283A">
      <w:pPr>
        <w:ind w:firstLine="720"/>
        <w:jc w:val="both"/>
      </w:pPr>
    </w:p>
    <w:p w:rsidR="003B7195" w:rsidRPr="002A7A34" w:rsidRDefault="003B7195" w:rsidP="00DA283A">
      <w:pPr>
        <w:ind w:firstLine="720"/>
        <w:jc w:val="both"/>
      </w:pPr>
    </w:p>
    <w:p w:rsidR="00D627D6" w:rsidRPr="006240DD" w:rsidRDefault="005736B9" w:rsidP="008E282B">
      <w:pPr>
        <w:jc w:val="center"/>
        <w:rPr>
          <w:b/>
          <w:szCs w:val="28"/>
        </w:rPr>
      </w:pPr>
      <w:r w:rsidRPr="006240DD">
        <w:rPr>
          <w:b/>
          <w:szCs w:val="28"/>
        </w:rPr>
        <w:tab/>
      </w:r>
      <w:r w:rsidR="00900C4E" w:rsidRPr="006240DD">
        <w:rPr>
          <w:b/>
          <w:szCs w:val="28"/>
        </w:rPr>
        <w:t>Pārejas noteikumi</w:t>
      </w:r>
    </w:p>
    <w:p w:rsidR="00B40CBA" w:rsidRPr="006240DD" w:rsidRDefault="00B40CBA" w:rsidP="0058360B">
      <w:pPr>
        <w:jc w:val="both"/>
        <w:rPr>
          <w:bCs/>
          <w:szCs w:val="28"/>
        </w:rPr>
      </w:pPr>
    </w:p>
    <w:p w:rsidR="00A53724" w:rsidRDefault="00844987" w:rsidP="00B25842">
      <w:pPr>
        <w:ind w:firstLine="720"/>
        <w:jc w:val="both"/>
        <w:rPr>
          <w:color w:val="000000"/>
          <w:szCs w:val="28"/>
        </w:rPr>
      </w:pPr>
      <w:r>
        <w:rPr>
          <w:color w:val="000000"/>
          <w:szCs w:val="28"/>
        </w:rPr>
        <w:t>1</w:t>
      </w:r>
      <w:r w:rsidR="00B25842" w:rsidRPr="00B25842">
        <w:rPr>
          <w:color w:val="000000"/>
          <w:szCs w:val="28"/>
        </w:rPr>
        <w:t xml:space="preserve">. </w:t>
      </w:r>
      <w:r w:rsidR="00A53724">
        <w:rPr>
          <w:color w:val="000000"/>
          <w:szCs w:val="28"/>
        </w:rPr>
        <w:t>Ministru kabinets sagatavo un iesniedz Saeimā pirmo Vidēja termiņa budžeta ietvara likumu sešu mēnešu laikā pēc Fiskālās disciplīnas likuma pieņemšanas, bet ne vēlāk kā 2014.</w:t>
      </w:r>
      <w:r w:rsidR="003D0C9C">
        <w:rPr>
          <w:color w:val="000000"/>
          <w:szCs w:val="28"/>
        </w:rPr>
        <w:t xml:space="preserve"> </w:t>
      </w:r>
      <w:r w:rsidR="00A53724">
        <w:rPr>
          <w:color w:val="000000"/>
          <w:szCs w:val="28"/>
        </w:rPr>
        <w:t>gada valsts budžeta likuma projekta iesniegšanas Saeimā brīd</w:t>
      </w:r>
      <w:r w:rsidR="00601F2A">
        <w:rPr>
          <w:color w:val="000000"/>
          <w:szCs w:val="28"/>
        </w:rPr>
        <w:t>ī</w:t>
      </w:r>
      <w:r w:rsidR="00A53724">
        <w:rPr>
          <w:color w:val="000000"/>
          <w:szCs w:val="28"/>
        </w:rPr>
        <w:t>.</w:t>
      </w:r>
      <w:r w:rsidR="00BD28DB">
        <w:rPr>
          <w:color w:val="000000"/>
          <w:szCs w:val="28"/>
        </w:rPr>
        <w:t xml:space="preserve">  </w:t>
      </w:r>
      <w:r w:rsidR="00DE08EA">
        <w:rPr>
          <w:color w:val="000000"/>
          <w:szCs w:val="28"/>
        </w:rPr>
        <w:t xml:space="preserve">    </w:t>
      </w:r>
      <w:r w:rsidR="006B0ADD">
        <w:rPr>
          <w:color w:val="000000"/>
          <w:szCs w:val="28"/>
        </w:rPr>
        <w:t xml:space="preserve"> </w:t>
      </w:r>
    </w:p>
    <w:p w:rsidR="006B0ADD" w:rsidRPr="00E11240" w:rsidRDefault="006B0ADD" w:rsidP="006B0ADD">
      <w:pPr>
        <w:ind w:firstLine="720"/>
        <w:jc w:val="both"/>
      </w:pPr>
      <w:r>
        <w:rPr>
          <w:color w:val="000000"/>
          <w:szCs w:val="28"/>
        </w:rPr>
        <w:t>2</w:t>
      </w:r>
      <w:r w:rsidRPr="00E11240">
        <w:rPr>
          <w:szCs w:val="28"/>
        </w:rPr>
        <w:t xml:space="preserve">. </w:t>
      </w:r>
      <w:r w:rsidRPr="00E11240">
        <w:t xml:space="preserve">Fiskālās disciplīnas likuma normas, izņemot normas, kas minētas Pārejas noteikumu </w:t>
      </w:r>
      <w:r w:rsidR="00E11240">
        <w:t>trešajā</w:t>
      </w:r>
      <w:r w:rsidRPr="00E11240">
        <w:t xml:space="preserve"> un </w:t>
      </w:r>
      <w:r w:rsidR="00E11240">
        <w:t xml:space="preserve">ceturtajā </w:t>
      </w:r>
      <w:proofErr w:type="spellStart"/>
      <w:r w:rsidR="00E11240">
        <w:t>punktā,</w:t>
      </w:r>
      <w:r w:rsidRPr="00E11240">
        <w:t> tiek</w:t>
      </w:r>
      <w:proofErr w:type="spellEnd"/>
      <w:r w:rsidRPr="00E11240">
        <w:t xml:space="preserve"> piemērotas, sākot ar pirmā Vidēja termiņa budžeta ietvara likuma iesniegšanas Saeimā brīdi.</w:t>
      </w:r>
    </w:p>
    <w:p w:rsidR="00601F2A" w:rsidRDefault="006B0ADD" w:rsidP="00601F2A">
      <w:pPr>
        <w:ind w:firstLine="720"/>
        <w:jc w:val="both"/>
        <w:rPr>
          <w:color w:val="000000"/>
          <w:szCs w:val="28"/>
        </w:rPr>
      </w:pPr>
      <w:r>
        <w:rPr>
          <w:color w:val="000000"/>
          <w:szCs w:val="28"/>
        </w:rPr>
        <w:t>3</w:t>
      </w:r>
      <w:r w:rsidR="00601F2A" w:rsidRPr="00B25842">
        <w:rPr>
          <w:color w:val="000000"/>
          <w:szCs w:val="28"/>
        </w:rPr>
        <w:t>.</w:t>
      </w:r>
      <w:r w:rsidR="00601F2A">
        <w:rPr>
          <w:color w:val="000000"/>
          <w:szCs w:val="28"/>
        </w:rPr>
        <w:t xml:space="preserve"> Ja  pirmā Vidēja termiņa budžeta i</w:t>
      </w:r>
      <w:r w:rsidR="003D0C9C">
        <w:rPr>
          <w:color w:val="000000"/>
          <w:szCs w:val="28"/>
        </w:rPr>
        <w:t xml:space="preserve">etvara likuma periods ir 2013. – </w:t>
      </w:r>
      <w:r w:rsidR="00601F2A">
        <w:rPr>
          <w:color w:val="000000"/>
          <w:szCs w:val="28"/>
        </w:rPr>
        <w:t>2015. gads, Vidēja termiņa budžeta ietvara likuma 2013. – 2015. gadam perioda pirmajam un otrajam gadam un</w:t>
      </w:r>
      <w:r w:rsidR="00601F2A" w:rsidRPr="00DE08EA">
        <w:rPr>
          <w:color w:val="000000"/>
          <w:szCs w:val="28"/>
        </w:rPr>
        <w:t xml:space="preserve"> </w:t>
      </w:r>
      <w:r w:rsidR="00601F2A">
        <w:rPr>
          <w:color w:val="000000"/>
          <w:szCs w:val="28"/>
        </w:rPr>
        <w:t xml:space="preserve">Vidēja termiņa budžeta ietvara likuma 2014. – </w:t>
      </w:r>
      <w:r w:rsidR="00601F2A">
        <w:rPr>
          <w:color w:val="000000"/>
          <w:szCs w:val="28"/>
        </w:rPr>
        <w:lastRenderedPageBreak/>
        <w:t>2016. gadam perioda pirmajam gadam  nepiemēro 10. panta otrās daļas nosacījumus, bet</w:t>
      </w:r>
      <w:r w:rsidR="00601F2A" w:rsidRPr="00707583">
        <w:rPr>
          <w:color w:val="000000"/>
          <w:szCs w:val="28"/>
        </w:rPr>
        <w:t xml:space="preserve"> konsolidētā kopbudžeta bilances līmeni nosaka atbilstoši Latvijas Konverģences programmā attiecīgajam gadam noteiktai vērtībai</w:t>
      </w:r>
      <w:r w:rsidR="00601F2A">
        <w:rPr>
          <w:color w:val="000000"/>
          <w:szCs w:val="28"/>
        </w:rPr>
        <w:t xml:space="preserve">.  </w:t>
      </w:r>
    </w:p>
    <w:p w:rsidR="00601F2A" w:rsidRDefault="006B0ADD" w:rsidP="00601F2A">
      <w:pPr>
        <w:ind w:firstLine="720"/>
        <w:jc w:val="both"/>
        <w:rPr>
          <w:color w:val="000000"/>
          <w:szCs w:val="28"/>
        </w:rPr>
      </w:pPr>
      <w:r>
        <w:rPr>
          <w:color w:val="000000"/>
          <w:szCs w:val="28"/>
        </w:rPr>
        <w:t>4</w:t>
      </w:r>
      <w:r w:rsidR="00601F2A">
        <w:rPr>
          <w:color w:val="000000"/>
          <w:szCs w:val="28"/>
        </w:rPr>
        <w:t>. Ja pirmā Vidēja termiņa budžeta i</w:t>
      </w:r>
      <w:r w:rsidR="003D0C9C">
        <w:rPr>
          <w:color w:val="000000"/>
          <w:szCs w:val="28"/>
        </w:rPr>
        <w:t xml:space="preserve">etvara likuma periods ir 2014. – </w:t>
      </w:r>
      <w:r w:rsidR="00601F2A">
        <w:rPr>
          <w:color w:val="000000"/>
          <w:szCs w:val="28"/>
        </w:rPr>
        <w:t>2016. gads,</w:t>
      </w:r>
      <w:r w:rsidR="00601F2A" w:rsidRPr="00DE08EA">
        <w:rPr>
          <w:color w:val="000000"/>
          <w:szCs w:val="28"/>
        </w:rPr>
        <w:t xml:space="preserve"> </w:t>
      </w:r>
      <w:r w:rsidR="00601F2A">
        <w:rPr>
          <w:color w:val="000000"/>
          <w:szCs w:val="28"/>
        </w:rPr>
        <w:t>Vidēja termiņa budžeta ietvara likuma 2014. – 2016. gadam perioda pirmajam gadam  nepiemēro 10. panta otrās daļas nosacījumus, bet konsolidētā kopbudžeta bilances līmeni nosaka atbilstoši Latvijas Konverģences programmā attiecīgajam gadam noteiktai vērtībai.</w:t>
      </w:r>
    </w:p>
    <w:p w:rsidR="00FD403B" w:rsidRDefault="00FD403B" w:rsidP="00B25842">
      <w:pPr>
        <w:ind w:firstLine="720"/>
        <w:jc w:val="both"/>
        <w:rPr>
          <w:color w:val="000000"/>
          <w:szCs w:val="28"/>
        </w:rPr>
      </w:pPr>
    </w:p>
    <w:p w:rsidR="00376DC1" w:rsidRDefault="00376DC1" w:rsidP="0058360B">
      <w:pPr>
        <w:jc w:val="both"/>
        <w:rPr>
          <w:color w:val="000000"/>
          <w:szCs w:val="28"/>
        </w:rPr>
      </w:pPr>
    </w:p>
    <w:p w:rsidR="003D0C9C" w:rsidRPr="006240DD" w:rsidRDefault="003D0C9C" w:rsidP="0058360B">
      <w:pPr>
        <w:jc w:val="both"/>
        <w:rPr>
          <w:color w:val="000000"/>
          <w:szCs w:val="28"/>
        </w:rPr>
      </w:pPr>
    </w:p>
    <w:p w:rsidR="00CF5993" w:rsidRDefault="00CF5993" w:rsidP="00CF5993">
      <w:pPr>
        <w:pStyle w:val="naisf"/>
        <w:spacing w:before="0" w:beforeAutospacing="0" w:after="0" w:afterAutospacing="0"/>
        <w:rPr>
          <w:sz w:val="28"/>
          <w:szCs w:val="28"/>
        </w:rPr>
      </w:pPr>
      <w:r>
        <w:rPr>
          <w:sz w:val="28"/>
          <w:szCs w:val="28"/>
        </w:rPr>
        <w:t>F</w:t>
      </w:r>
      <w:r>
        <w:rPr>
          <w:sz w:val="28"/>
          <w:szCs w:val="28"/>
        </w:rPr>
        <w:t xml:space="preserve">inanšu ministra vietā – </w:t>
      </w:r>
    </w:p>
    <w:p w:rsidR="00CF5993" w:rsidRDefault="00CF5993" w:rsidP="00CF5993">
      <w:pPr>
        <w:pStyle w:val="naisf"/>
        <w:spacing w:before="0" w:beforeAutospacing="0" w:after="0" w:afterAutospacing="0"/>
        <w:rPr>
          <w:sz w:val="28"/>
          <w:szCs w:val="28"/>
        </w:rPr>
      </w:pPr>
      <w:r>
        <w:rPr>
          <w:sz w:val="28"/>
          <w:szCs w:val="28"/>
        </w:rPr>
        <w:t>tieslietu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 Bērziņš</w:t>
      </w:r>
    </w:p>
    <w:p w:rsidR="00CF5993" w:rsidRDefault="00CF5993" w:rsidP="00CF5993">
      <w:pPr>
        <w:pStyle w:val="Header"/>
        <w:tabs>
          <w:tab w:val="left" w:pos="6804"/>
        </w:tabs>
        <w:rPr>
          <w:sz w:val="20"/>
          <w:szCs w:val="20"/>
        </w:rPr>
      </w:pPr>
    </w:p>
    <w:p w:rsidR="00CF5993" w:rsidRDefault="00CF5993" w:rsidP="00CF5993">
      <w:pPr>
        <w:pStyle w:val="Header"/>
        <w:tabs>
          <w:tab w:val="left" w:pos="6804"/>
        </w:tabs>
        <w:rPr>
          <w:sz w:val="20"/>
          <w:szCs w:val="20"/>
        </w:rPr>
      </w:pPr>
    </w:p>
    <w:p w:rsidR="00CF5993" w:rsidRDefault="00CF5993" w:rsidP="00CF5993">
      <w:pPr>
        <w:pStyle w:val="Header"/>
        <w:tabs>
          <w:tab w:val="left" w:pos="6804"/>
        </w:tabs>
        <w:rPr>
          <w:sz w:val="20"/>
          <w:szCs w:val="20"/>
        </w:rPr>
      </w:pPr>
    </w:p>
    <w:p w:rsidR="00CF5993" w:rsidRDefault="00CF5993" w:rsidP="00CF5993">
      <w:pPr>
        <w:pStyle w:val="Header"/>
        <w:tabs>
          <w:tab w:val="left" w:pos="6804"/>
        </w:tabs>
        <w:rPr>
          <w:sz w:val="20"/>
          <w:szCs w:val="20"/>
        </w:rPr>
      </w:pPr>
    </w:p>
    <w:p w:rsidR="00CF5993" w:rsidRDefault="00CF5993" w:rsidP="00CF5993">
      <w:pPr>
        <w:pStyle w:val="Header"/>
        <w:tabs>
          <w:tab w:val="left" w:pos="6804"/>
        </w:tabs>
        <w:rPr>
          <w:sz w:val="20"/>
          <w:szCs w:val="20"/>
        </w:rPr>
      </w:pPr>
    </w:p>
    <w:p w:rsidR="00B4188D" w:rsidRPr="006240DD" w:rsidRDefault="00B4188D" w:rsidP="00B4188D">
      <w:pPr>
        <w:rPr>
          <w:szCs w:val="28"/>
          <w:lang w:eastAsia="lv-LV"/>
        </w:rPr>
      </w:pPr>
    </w:p>
    <w:p w:rsidR="003D0C9C" w:rsidRPr="008315EC" w:rsidRDefault="002738C0" w:rsidP="003D0C9C">
      <w:pPr>
        <w:jc w:val="both"/>
        <w:rPr>
          <w:sz w:val="18"/>
          <w:szCs w:val="18"/>
        </w:rPr>
      </w:pPr>
      <w:r>
        <w:rPr>
          <w:sz w:val="18"/>
          <w:szCs w:val="18"/>
        </w:rPr>
        <w:t>25</w:t>
      </w:r>
      <w:r w:rsidR="003A5C79">
        <w:rPr>
          <w:sz w:val="18"/>
          <w:szCs w:val="18"/>
        </w:rPr>
        <w:t>.11.2011.</w:t>
      </w:r>
      <w:r w:rsidR="003A5C79">
        <w:rPr>
          <w:sz w:val="18"/>
          <w:szCs w:val="18"/>
        </w:rPr>
        <w:tab/>
      </w:r>
      <w:r w:rsidR="00623002">
        <w:rPr>
          <w:sz w:val="18"/>
          <w:szCs w:val="18"/>
        </w:rPr>
        <w:t>13:05</w:t>
      </w:r>
      <w:bookmarkStart w:id="2" w:name="_GoBack"/>
      <w:bookmarkEnd w:id="2"/>
    </w:p>
    <w:p w:rsidR="003D0C9C" w:rsidRPr="0021117C" w:rsidRDefault="006B0ADD" w:rsidP="003D0C9C">
      <w:pPr>
        <w:jc w:val="both"/>
        <w:rPr>
          <w:sz w:val="18"/>
          <w:szCs w:val="18"/>
        </w:rPr>
      </w:pPr>
      <w:r>
        <w:rPr>
          <w:sz w:val="18"/>
          <w:szCs w:val="18"/>
        </w:rPr>
        <w:t>2</w:t>
      </w:r>
      <w:r w:rsidR="00623002">
        <w:rPr>
          <w:sz w:val="18"/>
          <w:szCs w:val="18"/>
        </w:rPr>
        <w:t>610</w:t>
      </w:r>
    </w:p>
    <w:p w:rsidR="003D0C9C" w:rsidRPr="0021117C" w:rsidRDefault="003D0C9C" w:rsidP="003D0C9C">
      <w:pPr>
        <w:jc w:val="both"/>
        <w:rPr>
          <w:sz w:val="18"/>
          <w:szCs w:val="18"/>
        </w:rPr>
      </w:pPr>
      <w:bookmarkStart w:id="3" w:name="OLE_LINK3"/>
      <w:bookmarkStart w:id="4" w:name="OLE_LINK4"/>
      <w:r w:rsidRPr="0021117C">
        <w:rPr>
          <w:sz w:val="18"/>
          <w:szCs w:val="18"/>
        </w:rPr>
        <w:t>I.Jermacāne</w:t>
      </w:r>
    </w:p>
    <w:p w:rsidR="003D0C9C" w:rsidRPr="0021117C" w:rsidRDefault="003D0C9C" w:rsidP="003D0C9C">
      <w:pPr>
        <w:rPr>
          <w:sz w:val="18"/>
          <w:szCs w:val="18"/>
        </w:rPr>
      </w:pPr>
      <w:r w:rsidRPr="0021117C">
        <w:rPr>
          <w:sz w:val="18"/>
          <w:szCs w:val="18"/>
        </w:rPr>
        <w:t>67095429,</w:t>
      </w:r>
      <w:r>
        <w:rPr>
          <w:sz w:val="18"/>
          <w:szCs w:val="18"/>
        </w:rPr>
        <w:t xml:space="preserve">  </w:t>
      </w:r>
      <w:hyperlink r:id="rId10" w:history="1">
        <w:r w:rsidRPr="0021117C">
          <w:rPr>
            <w:rStyle w:val="Hyperlink"/>
            <w:sz w:val="18"/>
            <w:szCs w:val="18"/>
          </w:rPr>
          <w:t>Ilga.Jermacane@fm.gov.lv</w:t>
        </w:r>
      </w:hyperlink>
    </w:p>
    <w:bookmarkEnd w:id="3"/>
    <w:bookmarkEnd w:id="4"/>
    <w:p w:rsidR="008B6FBD" w:rsidRDefault="008B6FBD" w:rsidP="00251689">
      <w:pPr>
        <w:spacing w:after="240"/>
        <w:jc w:val="both"/>
        <w:rPr>
          <w:color w:val="000000"/>
        </w:rPr>
      </w:pPr>
    </w:p>
    <w:sectPr w:rsidR="008B6FBD" w:rsidSect="00F22533">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4F" w:rsidRDefault="00EC6D4F" w:rsidP="000D3E51">
      <w:r>
        <w:separator/>
      </w:r>
    </w:p>
  </w:endnote>
  <w:endnote w:type="continuationSeparator" w:id="0">
    <w:p w:rsidR="00EC6D4F" w:rsidRDefault="00EC6D4F" w:rsidP="000D3E51">
      <w:r>
        <w:continuationSeparator/>
      </w:r>
    </w:p>
  </w:endnote>
  <w:endnote w:type="continuationNotice" w:id="1">
    <w:p w:rsidR="00EC6D4F" w:rsidRDefault="00EC6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2A" w:rsidRDefault="00601F2A" w:rsidP="001A5B69">
    <w:pPr>
      <w:pStyle w:val="Footer"/>
      <w:rPr>
        <w:sz w:val="20"/>
        <w:szCs w:val="20"/>
      </w:rPr>
    </w:pPr>
  </w:p>
  <w:p w:rsidR="00601F2A" w:rsidRPr="00DC7AFF" w:rsidRDefault="00601F2A" w:rsidP="001A5B6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356B2">
      <w:rPr>
        <w:noProof/>
        <w:sz w:val="20"/>
        <w:szCs w:val="20"/>
      </w:rPr>
      <w:t>FMLik_251111_FDL</w:t>
    </w:r>
    <w:r>
      <w:rPr>
        <w:sz w:val="20"/>
        <w:szCs w:val="20"/>
      </w:rPr>
      <w:fldChar w:fldCharType="end"/>
    </w:r>
    <w:r>
      <w:rPr>
        <w:sz w:val="20"/>
        <w:szCs w:val="20"/>
      </w:rPr>
      <w:t>; Fiskālās disciplīnas likum</w:t>
    </w:r>
    <w:r w:rsidR="003D0C9C">
      <w:rPr>
        <w:sz w:val="20"/>
        <w:szCs w:val="20"/>
      </w:rPr>
      <w:t xml:space="preserve">a </w:t>
    </w:r>
    <w:r>
      <w:rPr>
        <w:sz w:val="20"/>
        <w:szCs w:val="20"/>
      </w:rPr>
      <w:t>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9C" w:rsidRPr="00DC7AFF" w:rsidRDefault="003D0C9C" w:rsidP="003D0C9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5356B2">
      <w:rPr>
        <w:noProof/>
        <w:sz w:val="20"/>
        <w:szCs w:val="20"/>
      </w:rPr>
      <w:t>FMLik_251111_FDL</w:t>
    </w:r>
    <w:r>
      <w:rPr>
        <w:sz w:val="20"/>
        <w:szCs w:val="20"/>
      </w:rPr>
      <w:fldChar w:fldCharType="end"/>
    </w:r>
    <w:r>
      <w:rPr>
        <w:sz w:val="20"/>
        <w:szCs w:val="20"/>
      </w:rPr>
      <w:t>; Fiskālās disciplīnas likuma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4F" w:rsidRDefault="00EC6D4F" w:rsidP="000D3E51">
      <w:r>
        <w:separator/>
      </w:r>
    </w:p>
  </w:footnote>
  <w:footnote w:type="continuationSeparator" w:id="0">
    <w:p w:rsidR="00EC6D4F" w:rsidRDefault="00EC6D4F" w:rsidP="000D3E51">
      <w:r>
        <w:continuationSeparator/>
      </w:r>
    </w:p>
  </w:footnote>
  <w:footnote w:type="continuationNotice" w:id="1">
    <w:p w:rsidR="00EC6D4F" w:rsidRDefault="00EC6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2A" w:rsidRPr="00276A15" w:rsidRDefault="00601F2A">
    <w:pPr>
      <w:pStyle w:val="Header"/>
      <w:jc w:val="center"/>
      <w:rPr>
        <w:sz w:val="24"/>
        <w:szCs w:val="24"/>
      </w:rPr>
    </w:pPr>
    <w:r w:rsidRPr="00276A15">
      <w:rPr>
        <w:sz w:val="24"/>
        <w:szCs w:val="24"/>
      </w:rPr>
      <w:fldChar w:fldCharType="begin"/>
    </w:r>
    <w:r w:rsidRPr="00276A15">
      <w:rPr>
        <w:sz w:val="24"/>
        <w:szCs w:val="24"/>
      </w:rPr>
      <w:instrText xml:space="preserve"> PAGE   \* MERGEFORMAT </w:instrText>
    </w:r>
    <w:r w:rsidRPr="00276A15">
      <w:rPr>
        <w:sz w:val="24"/>
        <w:szCs w:val="24"/>
      </w:rPr>
      <w:fldChar w:fldCharType="separate"/>
    </w:r>
    <w:r>
      <w:rPr>
        <w:noProof/>
        <w:sz w:val="24"/>
        <w:szCs w:val="24"/>
      </w:rPr>
      <w:t>2</w:t>
    </w:r>
    <w:r w:rsidRPr="00276A15">
      <w:rPr>
        <w:sz w:val="24"/>
        <w:szCs w:val="24"/>
      </w:rPr>
      <w:fldChar w:fldCharType="end"/>
    </w:r>
  </w:p>
  <w:p w:rsidR="00601F2A" w:rsidRDefault="00601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2A" w:rsidRPr="000B6740" w:rsidRDefault="00601F2A">
    <w:pPr>
      <w:pStyle w:val="Header"/>
      <w:jc w:val="center"/>
      <w:rPr>
        <w:sz w:val="24"/>
        <w:szCs w:val="24"/>
      </w:rPr>
    </w:pPr>
    <w:r w:rsidRPr="000B6740">
      <w:rPr>
        <w:sz w:val="24"/>
        <w:szCs w:val="24"/>
      </w:rPr>
      <w:fldChar w:fldCharType="begin"/>
    </w:r>
    <w:r w:rsidRPr="000B6740">
      <w:rPr>
        <w:sz w:val="24"/>
        <w:szCs w:val="24"/>
      </w:rPr>
      <w:instrText xml:space="preserve"> PAGE   \* MERGEFORMAT </w:instrText>
    </w:r>
    <w:r w:rsidRPr="000B6740">
      <w:rPr>
        <w:sz w:val="24"/>
        <w:szCs w:val="24"/>
      </w:rPr>
      <w:fldChar w:fldCharType="separate"/>
    </w:r>
    <w:r w:rsidR="005356B2">
      <w:rPr>
        <w:noProof/>
        <w:sz w:val="24"/>
        <w:szCs w:val="24"/>
      </w:rPr>
      <w:t>2</w:t>
    </w:r>
    <w:r w:rsidRPr="000B6740">
      <w:rPr>
        <w:sz w:val="24"/>
        <w:szCs w:val="24"/>
      </w:rPr>
      <w:fldChar w:fldCharType="end"/>
    </w:r>
  </w:p>
  <w:p w:rsidR="00601F2A" w:rsidRPr="002D6B26" w:rsidRDefault="00601F2A" w:rsidP="000D3E51">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7B6"/>
    <w:multiLevelType w:val="hybridMultilevel"/>
    <w:tmpl w:val="1F78C0EC"/>
    <w:lvl w:ilvl="0" w:tplc="C9A40C2A">
      <w:start w:val="1"/>
      <w:numFmt w:val="decimal"/>
      <w:lvlText w:val="%1)"/>
      <w:lvlJc w:val="left"/>
      <w:pPr>
        <w:ind w:left="795" w:hanging="360"/>
      </w:pPr>
      <w:rPr>
        <w:rFonts w:ascii="Times New Roman" w:eastAsia="Calibri" w:hAnsi="Times New Roman" w:cs="Times New Roman"/>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
    <w:nsid w:val="0BA203B1"/>
    <w:multiLevelType w:val="hybridMultilevel"/>
    <w:tmpl w:val="74F8C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963959"/>
    <w:multiLevelType w:val="hybridMultilevel"/>
    <w:tmpl w:val="A7CE25B4"/>
    <w:lvl w:ilvl="0" w:tplc="C3F8B0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3E1CB1"/>
    <w:multiLevelType w:val="hybridMultilevel"/>
    <w:tmpl w:val="3A7862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BF62D5"/>
    <w:multiLevelType w:val="hybridMultilevel"/>
    <w:tmpl w:val="96C68F1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D4F1A90"/>
    <w:multiLevelType w:val="hybridMultilevel"/>
    <w:tmpl w:val="5DB674B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18B6B31"/>
    <w:multiLevelType w:val="hybridMultilevel"/>
    <w:tmpl w:val="5A083D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1349C1"/>
    <w:multiLevelType w:val="hybridMultilevel"/>
    <w:tmpl w:val="365E33AA"/>
    <w:lvl w:ilvl="0" w:tplc="2446E12E">
      <w:numFmt w:val="bullet"/>
      <w:lvlText w:val="-"/>
      <w:lvlJc w:val="left"/>
      <w:pPr>
        <w:ind w:left="1516" w:hanging="360"/>
      </w:pPr>
      <w:rPr>
        <w:rFonts w:ascii="Times New Roman" w:eastAsia="Times New Roman" w:hAnsi="Times New Roman" w:cs="Times New Roman" w:hint="default"/>
      </w:rPr>
    </w:lvl>
    <w:lvl w:ilvl="1" w:tplc="04260003" w:tentative="1">
      <w:start w:val="1"/>
      <w:numFmt w:val="bullet"/>
      <w:lvlText w:val="o"/>
      <w:lvlJc w:val="left"/>
      <w:pPr>
        <w:ind w:left="2236" w:hanging="360"/>
      </w:pPr>
      <w:rPr>
        <w:rFonts w:ascii="Courier New" w:hAnsi="Courier New" w:cs="Courier New" w:hint="default"/>
      </w:rPr>
    </w:lvl>
    <w:lvl w:ilvl="2" w:tplc="04260005" w:tentative="1">
      <w:start w:val="1"/>
      <w:numFmt w:val="bullet"/>
      <w:lvlText w:val=""/>
      <w:lvlJc w:val="left"/>
      <w:pPr>
        <w:ind w:left="2956" w:hanging="360"/>
      </w:pPr>
      <w:rPr>
        <w:rFonts w:ascii="Wingdings" w:hAnsi="Wingdings" w:hint="default"/>
      </w:rPr>
    </w:lvl>
    <w:lvl w:ilvl="3" w:tplc="04260001" w:tentative="1">
      <w:start w:val="1"/>
      <w:numFmt w:val="bullet"/>
      <w:lvlText w:val=""/>
      <w:lvlJc w:val="left"/>
      <w:pPr>
        <w:ind w:left="3676" w:hanging="360"/>
      </w:pPr>
      <w:rPr>
        <w:rFonts w:ascii="Symbol" w:hAnsi="Symbol" w:hint="default"/>
      </w:rPr>
    </w:lvl>
    <w:lvl w:ilvl="4" w:tplc="04260003" w:tentative="1">
      <w:start w:val="1"/>
      <w:numFmt w:val="bullet"/>
      <w:lvlText w:val="o"/>
      <w:lvlJc w:val="left"/>
      <w:pPr>
        <w:ind w:left="4396" w:hanging="360"/>
      </w:pPr>
      <w:rPr>
        <w:rFonts w:ascii="Courier New" w:hAnsi="Courier New" w:cs="Courier New" w:hint="default"/>
      </w:rPr>
    </w:lvl>
    <w:lvl w:ilvl="5" w:tplc="04260005" w:tentative="1">
      <w:start w:val="1"/>
      <w:numFmt w:val="bullet"/>
      <w:lvlText w:val=""/>
      <w:lvlJc w:val="left"/>
      <w:pPr>
        <w:ind w:left="5116" w:hanging="360"/>
      </w:pPr>
      <w:rPr>
        <w:rFonts w:ascii="Wingdings" w:hAnsi="Wingdings" w:hint="default"/>
      </w:rPr>
    </w:lvl>
    <w:lvl w:ilvl="6" w:tplc="04260001" w:tentative="1">
      <w:start w:val="1"/>
      <w:numFmt w:val="bullet"/>
      <w:lvlText w:val=""/>
      <w:lvlJc w:val="left"/>
      <w:pPr>
        <w:ind w:left="5836" w:hanging="360"/>
      </w:pPr>
      <w:rPr>
        <w:rFonts w:ascii="Symbol" w:hAnsi="Symbol" w:hint="default"/>
      </w:rPr>
    </w:lvl>
    <w:lvl w:ilvl="7" w:tplc="04260003" w:tentative="1">
      <w:start w:val="1"/>
      <w:numFmt w:val="bullet"/>
      <w:lvlText w:val="o"/>
      <w:lvlJc w:val="left"/>
      <w:pPr>
        <w:ind w:left="6556" w:hanging="360"/>
      </w:pPr>
      <w:rPr>
        <w:rFonts w:ascii="Courier New" w:hAnsi="Courier New" w:cs="Courier New" w:hint="default"/>
      </w:rPr>
    </w:lvl>
    <w:lvl w:ilvl="8" w:tplc="04260005" w:tentative="1">
      <w:start w:val="1"/>
      <w:numFmt w:val="bullet"/>
      <w:lvlText w:val=""/>
      <w:lvlJc w:val="left"/>
      <w:pPr>
        <w:ind w:left="7276" w:hanging="360"/>
      </w:pPr>
      <w:rPr>
        <w:rFonts w:ascii="Wingdings" w:hAnsi="Wingdings" w:hint="default"/>
      </w:rPr>
    </w:lvl>
  </w:abstractNum>
  <w:abstractNum w:abstractNumId="8">
    <w:nsid w:val="382E0C83"/>
    <w:multiLevelType w:val="hybridMultilevel"/>
    <w:tmpl w:val="824ACFD6"/>
    <w:lvl w:ilvl="0" w:tplc="015ECA42">
      <w:start w:val="1"/>
      <w:numFmt w:val="decimal"/>
      <w:lvlText w:val="%1."/>
      <w:lvlJc w:val="left"/>
      <w:pPr>
        <w:tabs>
          <w:tab w:val="num" w:pos="720"/>
        </w:tabs>
        <w:ind w:left="720" w:hanging="360"/>
      </w:pPr>
    </w:lvl>
    <w:lvl w:ilvl="1" w:tplc="E2405936">
      <w:start w:val="1"/>
      <w:numFmt w:val="decimal"/>
      <w:lvlText w:val="%2."/>
      <w:lvlJc w:val="left"/>
      <w:pPr>
        <w:tabs>
          <w:tab w:val="num" w:pos="1440"/>
        </w:tabs>
        <w:ind w:left="1440" w:hanging="360"/>
      </w:pPr>
    </w:lvl>
    <w:lvl w:ilvl="2" w:tplc="D4EE2DAE" w:tentative="1">
      <w:start w:val="1"/>
      <w:numFmt w:val="decimal"/>
      <w:lvlText w:val="%3."/>
      <w:lvlJc w:val="left"/>
      <w:pPr>
        <w:tabs>
          <w:tab w:val="num" w:pos="2160"/>
        </w:tabs>
        <w:ind w:left="2160" w:hanging="360"/>
      </w:pPr>
    </w:lvl>
    <w:lvl w:ilvl="3" w:tplc="EEB8D2E8" w:tentative="1">
      <w:start w:val="1"/>
      <w:numFmt w:val="decimal"/>
      <w:lvlText w:val="%4."/>
      <w:lvlJc w:val="left"/>
      <w:pPr>
        <w:tabs>
          <w:tab w:val="num" w:pos="2880"/>
        </w:tabs>
        <w:ind w:left="2880" w:hanging="360"/>
      </w:pPr>
    </w:lvl>
    <w:lvl w:ilvl="4" w:tplc="CE7AB4C6" w:tentative="1">
      <w:start w:val="1"/>
      <w:numFmt w:val="decimal"/>
      <w:lvlText w:val="%5."/>
      <w:lvlJc w:val="left"/>
      <w:pPr>
        <w:tabs>
          <w:tab w:val="num" w:pos="3600"/>
        </w:tabs>
        <w:ind w:left="3600" w:hanging="360"/>
      </w:pPr>
    </w:lvl>
    <w:lvl w:ilvl="5" w:tplc="A616135C" w:tentative="1">
      <w:start w:val="1"/>
      <w:numFmt w:val="decimal"/>
      <w:lvlText w:val="%6."/>
      <w:lvlJc w:val="left"/>
      <w:pPr>
        <w:tabs>
          <w:tab w:val="num" w:pos="4320"/>
        </w:tabs>
        <w:ind w:left="4320" w:hanging="360"/>
      </w:pPr>
    </w:lvl>
    <w:lvl w:ilvl="6" w:tplc="F8B84184" w:tentative="1">
      <w:start w:val="1"/>
      <w:numFmt w:val="decimal"/>
      <w:lvlText w:val="%7."/>
      <w:lvlJc w:val="left"/>
      <w:pPr>
        <w:tabs>
          <w:tab w:val="num" w:pos="5040"/>
        </w:tabs>
        <w:ind w:left="5040" w:hanging="360"/>
      </w:pPr>
    </w:lvl>
    <w:lvl w:ilvl="7" w:tplc="C8E0C9F6" w:tentative="1">
      <w:start w:val="1"/>
      <w:numFmt w:val="decimal"/>
      <w:lvlText w:val="%8."/>
      <w:lvlJc w:val="left"/>
      <w:pPr>
        <w:tabs>
          <w:tab w:val="num" w:pos="5760"/>
        </w:tabs>
        <w:ind w:left="5760" w:hanging="360"/>
      </w:pPr>
    </w:lvl>
    <w:lvl w:ilvl="8" w:tplc="6DFCF928" w:tentative="1">
      <w:start w:val="1"/>
      <w:numFmt w:val="decimal"/>
      <w:lvlText w:val="%9."/>
      <w:lvlJc w:val="left"/>
      <w:pPr>
        <w:tabs>
          <w:tab w:val="num" w:pos="6480"/>
        </w:tabs>
        <w:ind w:left="6480" w:hanging="360"/>
      </w:pPr>
    </w:lvl>
  </w:abstractNum>
  <w:abstractNum w:abstractNumId="9">
    <w:nsid w:val="45673797"/>
    <w:multiLevelType w:val="hybridMultilevel"/>
    <w:tmpl w:val="CA06D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C02956"/>
    <w:multiLevelType w:val="hybridMultilevel"/>
    <w:tmpl w:val="160A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D018B"/>
    <w:multiLevelType w:val="hybridMultilevel"/>
    <w:tmpl w:val="3A7862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C7C5550"/>
    <w:multiLevelType w:val="hybridMultilevel"/>
    <w:tmpl w:val="FF1EE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B61713"/>
    <w:multiLevelType w:val="hybridMultilevel"/>
    <w:tmpl w:val="1D9416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C47E38"/>
    <w:multiLevelType w:val="hybridMultilevel"/>
    <w:tmpl w:val="08924B3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1A40D80"/>
    <w:multiLevelType w:val="hybridMultilevel"/>
    <w:tmpl w:val="EDE2B4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3325C0"/>
    <w:multiLevelType w:val="hybridMultilevel"/>
    <w:tmpl w:val="79B46E3E"/>
    <w:lvl w:ilvl="0" w:tplc="52A6F938">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72B72A4F"/>
    <w:multiLevelType w:val="hybridMultilevel"/>
    <w:tmpl w:val="FFECCF20"/>
    <w:lvl w:ilvl="0" w:tplc="593EF400">
      <w:start w:val="1"/>
      <w:numFmt w:val="decimal"/>
      <w:lvlText w:val="(%1)"/>
      <w:lvlJc w:val="left"/>
      <w:pPr>
        <w:ind w:left="1080" w:hanging="360"/>
      </w:pPr>
      <w:rPr>
        <w:rFonts w:hint="default"/>
      </w:rPr>
    </w:lvl>
    <w:lvl w:ilvl="1" w:tplc="868E743A">
      <w:start w:val="1"/>
      <w:numFmt w:val="decimal"/>
      <w:lvlText w:val="%2)"/>
      <w:lvlJc w:val="left"/>
      <w:pPr>
        <w:ind w:left="1800" w:hanging="360"/>
      </w:pPr>
      <w:rPr>
        <w:rFonts w:ascii="Times New Roman" w:eastAsia="Calibri"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78C31960"/>
    <w:multiLevelType w:val="hybridMultilevel"/>
    <w:tmpl w:val="F46C7760"/>
    <w:lvl w:ilvl="0" w:tplc="32D811C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B3159A4"/>
    <w:multiLevelType w:val="hybridMultilevel"/>
    <w:tmpl w:val="0BC621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E460A8F"/>
    <w:multiLevelType w:val="hybridMultilevel"/>
    <w:tmpl w:val="48929C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5"/>
  </w:num>
  <w:num w:numId="5">
    <w:abstractNumId w:val="20"/>
  </w:num>
  <w:num w:numId="6">
    <w:abstractNumId w:val="13"/>
  </w:num>
  <w:num w:numId="7">
    <w:abstractNumId w:val="11"/>
  </w:num>
  <w:num w:numId="8">
    <w:abstractNumId w:val="3"/>
  </w:num>
  <w:num w:numId="9">
    <w:abstractNumId w:val="5"/>
  </w:num>
  <w:num w:numId="10">
    <w:abstractNumId w:val="4"/>
  </w:num>
  <w:num w:numId="11">
    <w:abstractNumId w:val="14"/>
  </w:num>
  <w:num w:numId="12">
    <w:abstractNumId w:val="9"/>
  </w:num>
  <w:num w:numId="13">
    <w:abstractNumId w:val="10"/>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12"/>
  </w:num>
  <w:num w:numId="19">
    <w:abstractNumId w:val="19"/>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AF"/>
    <w:rsid w:val="00001306"/>
    <w:rsid w:val="00001CEB"/>
    <w:rsid w:val="00002092"/>
    <w:rsid w:val="00004DC4"/>
    <w:rsid w:val="00007AFC"/>
    <w:rsid w:val="00007B3C"/>
    <w:rsid w:val="00010181"/>
    <w:rsid w:val="0001090C"/>
    <w:rsid w:val="000129E6"/>
    <w:rsid w:val="00012ABF"/>
    <w:rsid w:val="00013464"/>
    <w:rsid w:val="00014A18"/>
    <w:rsid w:val="0001533E"/>
    <w:rsid w:val="0001572C"/>
    <w:rsid w:val="000160CF"/>
    <w:rsid w:val="000166F8"/>
    <w:rsid w:val="00020A8D"/>
    <w:rsid w:val="00022749"/>
    <w:rsid w:val="00023186"/>
    <w:rsid w:val="000237AB"/>
    <w:rsid w:val="00024389"/>
    <w:rsid w:val="0002483C"/>
    <w:rsid w:val="00024F4A"/>
    <w:rsid w:val="0002565C"/>
    <w:rsid w:val="00025B32"/>
    <w:rsid w:val="00026FD9"/>
    <w:rsid w:val="000301F2"/>
    <w:rsid w:val="00030951"/>
    <w:rsid w:val="000315F7"/>
    <w:rsid w:val="0003205E"/>
    <w:rsid w:val="0003219A"/>
    <w:rsid w:val="000322B7"/>
    <w:rsid w:val="0003267F"/>
    <w:rsid w:val="00032BC7"/>
    <w:rsid w:val="00032C4D"/>
    <w:rsid w:val="00032E6B"/>
    <w:rsid w:val="0003348B"/>
    <w:rsid w:val="000360B2"/>
    <w:rsid w:val="000376E7"/>
    <w:rsid w:val="00037CBA"/>
    <w:rsid w:val="00040DAE"/>
    <w:rsid w:val="000410B1"/>
    <w:rsid w:val="00042B6B"/>
    <w:rsid w:val="00043651"/>
    <w:rsid w:val="000444FD"/>
    <w:rsid w:val="00045225"/>
    <w:rsid w:val="00055DAF"/>
    <w:rsid w:val="00056065"/>
    <w:rsid w:val="00056309"/>
    <w:rsid w:val="00056A19"/>
    <w:rsid w:val="00056B21"/>
    <w:rsid w:val="0005797C"/>
    <w:rsid w:val="00057C81"/>
    <w:rsid w:val="00060949"/>
    <w:rsid w:val="0006139B"/>
    <w:rsid w:val="000613CE"/>
    <w:rsid w:val="000618FB"/>
    <w:rsid w:val="000646DA"/>
    <w:rsid w:val="00064A00"/>
    <w:rsid w:val="0006558E"/>
    <w:rsid w:val="00066515"/>
    <w:rsid w:val="000674FE"/>
    <w:rsid w:val="00067642"/>
    <w:rsid w:val="00067F10"/>
    <w:rsid w:val="000707C0"/>
    <w:rsid w:val="00070806"/>
    <w:rsid w:val="00070B69"/>
    <w:rsid w:val="00071062"/>
    <w:rsid w:val="00073179"/>
    <w:rsid w:val="00073F1D"/>
    <w:rsid w:val="00074764"/>
    <w:rsid w:val="00075B1A"/>
    <w:rsid w:val="00076016"/>
    <w:rsid w:val="00076093"/>
    <w:rsid w:val="00076C3D"/>
    <w:rsid w:val="00076FA4"/>
    <w:rsid w:val="0007776D"/>
    <w:rsid w:val="00077FD0"/>
    <w:rsid w:val="00080199"/>
    <w:rsid w:val="000801F5"/>
    <w:rsid w:val="0008120B"/>
    <w:rsid w:val="00081970"/>
    <w:rsid w:val="00081AC2"/>
    <w:rsid w:val="00083B39"/>
    <w:rsid w:val="000850EA"/>
    <w:rsid w:val="00085B81"/>
    <w:rsid w:val="00085D34"/>
    <w:rsid w:val="00085F60"/>
    <w:rsid w:val="00086130"/>
    <w:rsid w:val="000868E0"/>
    <w:rsid w:val="00090353"/>
    <w:rsid w:val="00090C9A"/>
    <w:rsid w:val="00090F8B"/>
    <w:rsid w:val="000911A1"/>
    <w:rsid w:val="00091D99"/>
    <w:rsid w:val="00091EC8"/>
    <w:rsid w:val="00092B81"/>
    <w:rsid w:val="00096BF9"/>
    <w:rsid w:val="0009718F"/>
    <w:rsid w:val="00097E96"/>
    <w:rsid w:val="000A1271"/>
    <w:rsid w:val="000A1DE2"/>
    <w:rsid w:val="000A1FB4"/>
    <w:rsid w:val="000A22B4"/>
    <w:rsid w:val="000A3BA7"/>
    <w:rsid w:val="000A3C4E"/>
    <w:rsid w:val="000A4993"/>
    <w:rsid w:val="000A5065"/>
    <w:rsid w:val="000A5322"/>
    <w:rsid w:val="000A55B8"/>
    <w:rsid w:val="000A5B6C"/>
    <w:rsid w:val="000B0C6A"/>
    <w:rsid w:val="000B2BDE"/>
    <w:rsid w:val="000B55FE"/>
    <w:rsid w:val="000B6740"/>
    <w:rsid w:val="000B6D25"/>
    <w:rsid w:val="000B7529"/>
    <w:rsid w:val="000C0A70"/>
    <w:rsid w:val="000C3346"/>
    <w:rsid w:val="000C4844"/>
    <w:rsid w:val="000C6BFE"/>
    <w:rsid w:val="000C6C36"/>
    <w:rsid w:val="000C6FD2"/>
    <w:rsid w:val="000C79F4"/>
    <w:rsid w:val="000C7D5B"/>
    <w:rsid w:val="000D022C"/>
    <w:rsid w:val="000D09D8"/>
    <w:rsid w:val="000D0C1A"/>
    <w:rsid w:val="000D165B"/>
    <w:rsid w:val="000D1740"/>
    <w:rsid w:val="000D2AF1"/>
    <w:rsid w:val="000D2E5D"/>
    <w:rsid w:val="000D30D9"/>
    <w:rsid w:val="000D3D50"/>
    <w:rsid w:val="000D3E51"/>
    <w:rsid w:val="000D6EDE"/>
    <w:rsid w:val="000D7556"/>
    <w:rsid w:val="000D7D73"/>
    <w:rsid w:val="000E07D9"/>
    <w:rsid w:val="000E0A09"/>
    <w:rsid w:val="000E1783"/>
    <w:rsid w:val="000E2EAC"/>
    <w:rsid w:val="000E4445"/>
    <w:rsid w:val="000E4636"/>
    <w:rsid w:val="000E4F0B"/>
    <w:rsid w:val="000E5949"/>
    <w:rsid w:val="000E6A6B"/>
    <w:rsid w:val="000E787E"/>
    <w:rsid w:val="000F019F"/>
    <w:rsid w:val="000F0E8D"/>
    <w:rsid w:val="000F3249"/>
    <w:rsid w:val="000F412E"/>
    <w:rsid w:val="000F4422"/>
    <w:rsid w:val="000F49A4"/>
    <w:rsid w:val="000F63E2"/>
    <w:rsid w:val="000F6830"/>
    <w:rsid w:val="00100072"/>
    <w:rsid w:val="00100522"/>
    <w:rsid w:val="00101355"/>
    <w:rsid w:val="00101C70"/>
    <w:rsid w:val="00102706"/>
    <w:rsid w:val="00102848"/>
    <w:rsid w:val="00102AEC"/>
    <w:rsid w:val="00102C1C"/>
    <w:rsid w:val="00103DCD"/>
    <w:rsid w:val="0010466E"/>
    <w:rsid w:val="00106D41"/>
    <w:rsid w:val="00107150"/>
    <w:rsid w:val="00107774"/>
    <w:rsid w:val="001079B8"/>
    <w:rsid w:val="00107A3F"/>
    <w:rsid w:val="00110A59"/>
    <w:rsid w:val="00110E30"/>
    <w:rsid w:val="0011197C"/>
    <w:rsid w:val="00114109"/>
    <w:rsid w:val="00114964"/>
    <w:rsid w:val="001165A7"/>
    <w:rsid w:val="00116C56"/>
    <w:rsid w:val="001173C6"/>
    <w:rsid w:val="001176A7"/>
    <w:rsid w:val="00117A3E"/>
    <w:rsid w:val="001222D0"/>
    <w:rsid w:val="001225E5"/>
    <w:rsid w:val="00125472"/>
    <w:rsid w:val="00125C0A"/>
    <w:rsid w:val="0012709F"/>
    <w:rsid w:val="001335D8"/>
    <w:rsid w:val="00133682"/>
    <w:rsid w:val="001342C6"/>
    <w:rsid w:val="0013509C"/>
    <w:rsid w:val="00135313"/>
    <w:rsid w:val="00135E8A"/>
    <w:rsid w:val="0013603D"/>
    <w:rsid w:val="00136267"/>
    <w:rsid w:val="0013673D"/>
    <w:rsid w:val="00137B6A"/>
    <w:rsid w:val="00140A7E"/>
    <w:rsid w:val="0014142C"/>
    <w:rsid w:val="00141EF7"/>
    <w:rsid w:val="00142C4D"/>
    <w:rsid w:val="0014315D"/>
    <w:rsid w:val="00143D35"/>
    <w:rsid w:val="00146107"/>
    <w:rsid w:val="00146AE9"/>
    <w:rsid w:val="00146EAC"/>
    <w:rsid w:val="001502DD"/>
    <w:rsid w:val="001509FB"/>
    <w:rsid w:val="00150BC8"/>
    <w:rsid w:val="00150D77"/>
    <w:rsid w:val="00150EA4"/>
    <w:rsid w:val="00150EB1"/>
    <w:rsid w:val="001515CF"/>
    <w:rsid w:val="00154408"/>
    <w:rsid w:val="00154CAF"/>
    <w:rsid w:val="00154CD6"/>
    <w:rsid w:val="001577E2"/>
    <w:rsid w:val="00161AF5"/>
    <w:rsid w:val="00161D9C"/>
    <w:rsid w:val="00162294"/>
    <w:rsid w:val="001636CB"/>
    <w:rsid w:val="00164343"/>
    <w:rsid w:val="001646FB"/>
    <w:rsid w:val="00167575"/>
    <w:rsid w:val="001676D0"/>
    <w:rsid w:val="00167DE9"/>
    <w:rsid w:val="00171E70"/>
    <w:rsid w:val="00172D58"/>
    <w:rsid w:val="00173603"/>
    <w:rsid w:val="00174706"/>
    <w:rsid w:val="00175281"/>
    <w:rsid w:val="00176011"/>
    <w:rsid w:val="00176734"/>
    <w:rsid w:val="00177631"/>
    <w:rsid w:val="00177F7B"/>
    <w:rsid w:val="00181416"/>
    <w:rsid w:val="0018298E"/>
    <w:rsid w:val="00183462"/>
    <w:rsid w:val="001855EA"/>
    <w:rsid w:val="001856E2"/>
    <w:rsid w:val="00186D66"/>
    <w:rsid w:val="00187452"/>
    <w:rsid w:val="0019053E"/>
    <w:rsid w:val="0019111E"/>
    <w:rsid w:val="001917A9"/>
    <w:rsid w:val="001922EC"/>
    <w:rsid w:val="00192E69"/>
    <w:rsid w:val="00192F7D"/>
    <w:rsid w:val="001931AE"/>
    <w:rsid w:val="00193293"/>
    <w:rsid w:val="00193DE5"/>
    <w:rsid w:val="00196AA2"/>
    <w:rsid w:val="00196B2E"/>
    <w:rsid w:val="001A04DC"/>
    <w:rsid w:val="001A064D"/>
    <w:rsid w:val="001A1D74"/>
    <w:rsid w:val="001A1E24"/>
    <w:rsid w:val="001A2AAE"/>
    <w:rsid w:val="001A2FE7"/>
    <w:rsid w:val="001A3DB9"/>
    <w:rsid w:val="001A5B69"/>
    <w:rsid w:val="001A7395"/>
    <w:rsid w:val="001A75A0"/>
    <w:rsid w:val="001B225E"/>
    <w:rsid w:val="001B4634"/>
    <w:rsid w:val="001B4A1B"/>
    <w:rsid w:val="001B4F4C"/>
    <w:rsid w:val="001B65C0"/>
    <w:rsid w:val="001B7DE9"/>
    <w:rsid w:val="001C0B39"/>
    <w:rsid w:val="001C24C5"/>
    <w:rsid w:val="001C2711"/>
    <w:rsid w:val="001C2A12"/>
    <w:rsid w:val="001C30C0"/>
    <w:rsid w:val="001C40BB"/>
    <w:rsid w:val="001C43E9"/>
    <w:rsid w:val="001C60AB"/>
    <w:rsid w:val="001C661B"/>
    <w:rsid w:val="001D0593"/>
    <w:rsid w:val="001D09E5"/>
    <w:rsid w:val="001D1D9B"/>
    <w:rsid w:val="001D202E"/>
    <w:rsid w:val="001D4398"/>
    <w:rsid w:val="001D461E"/>
    <w:rsid w:val="001D519C"/>
    <w:rsid w:val="001D54EA"/>
    <w:rsid w:val="001D5DCE"/>
    <w:rsid w:val="001D671B"/>
    <w:rsid w:val="001D67F6"/>
    <w:rsid w:val="001E0D3F"/>
    <w:rsid w:val="001E13B5"/>
    <w:rsid w:val="001E1D05"/>
    <w:rsid w:val="001E2329"/>
    <w:rsid w:val="001E45C9"/>
    <w:rsid w:val="001E4D7F"/>
    <w:rsid w:val="001E7107"/>
    <w:rsid w:val="001E782A"/>
    <w:rsid w:val="001F07FB"/>
    <w:rsid w:val="001F0A73"/>
    <w:rsid w:val="001F203E"/>
    <w:rsid w:val="001F2346"/>
    <w:rsid w:val="001F473C"/>
    <w:rsid w:val="001F50AD"/>
    <w:rsid w:val="001F53EE"/>
    <w:rsid w:val="001F55BB"/>
    <w:rsid w:val="001F5A08"/>
    <w:rsid w:val="001F7241"/>
    <w:rsid w:val="001F7825"/>
    <w:rsid w:val="00200181"/>
    <w:rsid w:val="00200396"/>
    <w:rsid w:val="0020045C"/>
    <w:rsid w:val="002015DC"/>
    <w:rsid w:val="00202020"/>
    <w:rsid w:val="0020244D"/>
    <w:rsid w:val="002050B2"/>
    <w:rsid w:val="00206A9B"/>
    <w:rsid w:val="00210A7C"/>
    <w:rsid w:val="002139FF"/>
    <w:rsid w:val="00214A82"/>
    <w:rsid w:val="002156AC"/>
    <w:rsid w:val="0021644E"/>
    <w:rsid w:val="00217917"/>
    <w:rsid w:val="00221895"/>
    <w:rsid w:val="00221A79"/>
    <w:rsid w:val="002223C0"/>
    <w:rsid w:val="0022246D"/>
    <w:rsid w:val="002225A5"/>
    <w:rsid w:val="00224D42"/>
    <w:rsid w:val="00225CD4"/>
    <w:rsid w:val="00225EBE"/>
    <w:rsid w:val="00225EDC"/>
    <w:rsid w:val="00226144"/>
    <w:rsid w:val="00227230"/>
    <w:rsid w:val="00230DFA"/>
    <w:rsid w:val="00231989"/>
    <w:rsid w:val="00234B00"/>
    <w:rsid w:val="002361BB"/>
    <w:rsid w:val="00236420"/>
    <w:rsid w:val="00237347"/>
    <w:rsid w:val="00237C24"/>
    <w:rsid w:val="00240C25"/>
    <w:rsid w:val="00240E31"/>
    <w:rsid w:val="00240F40"/>
    <w:rsid w:val="00242091"/>
    <w:rsid w:val="0024275E"/>
    <w:rsid w:val="002436F5"/>
    <w:rsid w:val="0024392A"/>
    <w:rsid w:val="00244BD8"/>
    <w:rsid w:val="00245495"/>
    <w:rsid w:val="00246C5D"/>
    <w:rsid w:val="002470DF"/>
    <w:rsid w:val="00251409"/>
    <w:rsid w:val="00251689"/>
    <w:rsid w:val="00251DC3"/>
    <w:rsid w:val="00253612"/>
    <w:rsid w:val="00253D27"/>
    <w:rsid w:val="00253FCE"/>
    <w:rsid w:val="00254148"/>
    <w:rsid w:val="00254977"/>
    <w:rsid w:val="00254AD6"/>
    <w:rsid w:val="00255036"/>
    <w:rsid w:val="00255602"/>
    <w:rsid w:val="0025570B"/>
    <w:rsid w:val="002578CA"/>
    <w:rsid w:val="00257A5F"/>
    <w:rsid w:val="0026060E"/>
    <w:rsid w:val="00260614"/>
    <w:rsid w:val="00260B59"/>
    <w:rsid w:val="002616C9"/>
    <w:rsid w:val="00261DDE"/>
    <w:rsid w:val="0026272F"/>
    <w:rsid w:val="00263C14"/>
    <w:rsid w:val="0026531A"/>
    <w:rsid w:val="00265FB3"/>
    <w:rsid w:val="002660C6"/>
    <w:rsid w:val="00266B70"/>
    <w:rsid w:val="00266EC0"/>
    <w:rsid w:val="00267B57"/>
    <w:rsid w:val="002722DE"/>
    <w:rsid w:val="00272E19"/>
    <w:rsid w:val="002738C0"/>
    <w:rsid w:val="0027422F"/>
    <w:rsid w:val="002750D4"/>
    <w:rsid w:val="00275880"/>
    <w:rsid w:val="00276A15"/>
    <w:rsid w:val="0028097A"/>
    <w:rsid w:val="002810CA"/>
    <w:rsid w:val="0028186C"/>
    <w:rsid w:val="0028189A"/>
    <w:rsid w:val="00282B74"/>
    <w:rsid w:val="00285105"/>
    <w:rsid w:val="00285910"/>
    <w:rsid w:val="00285F1E"/>
    <w:rsid w:val="0028618D"/>
    <w:rsid w:val="002865D5"/>
    <w:rsid w:val="00287323"/>
    <w:rsid w:val="002877E4"/>
    <w:rsid w:val="00287F86"/>
    <w:rsid w:val="00290297"/>
    <w:rsid w:val="0029099A"/>
    <w:rsid w:val="002940E2"/>
    <w:rsid w:val="00295FBA"/>
    <w:rsid w:val="002967C4"/>
    <w:rsid w:val="002969BE"/>
    <w:rsid w:val="00296AAB"/>
    <w:rsid w:val="00296BF8"/>
    <w:rsid w:val="002A2C0A"/>
    <w:rsid w:val="002A355D"/>
    <w:rsid w:val="002A38A3"/>
    <w:rsid w:val="002A5617"/>
    <w:rsid w:val="002A59EB"/>
    <w:rsid w:val="002A5AD1"/>
    <w:rsid w:val="002A5F6E"/>
    <w:rsid w:val="002A6721"/>
    <w:rsid w:val="002A6A34"/>
    <w:rsid w:val="002A76ED"/>
    <w:rsid w:val="002A7A34"/>
    <w:rsid w:val="002B0591"/>
    <w:rsid w:val="002B0B52"/>
    <w:rsid w:val="002B0BC6"/>
    <w:rsid w:val="002B0FF8"/>
    <w:rsid w:val="002B2B60"/>
    <w:rsid w:val="002B3B4E"/>
    <w:rsid w:val="002B418B"/>
    <w:rsid w:val="002B6091"/>
    <w:rsid w:val="002B78F0"/>
    <w:rsid w:val="002C0065"/>
    <w:rsid w:val="002C045E"/>
    <w:rsid w:val="002C0643"/>
    <w:rsid w:val="002C0956"/>
    <w:rsid w:val="002C1C90"/>
    <w:rsid w:val="002C31CB"/>
    <w:rsid w:val="002C4C86"/>
    <w:rsid w:val="002C530E"/>
    <w:rsid w:val="002C5DFD"/>
    <w:rsid w:val="002C72A0"/>
    <w:rsid w:val="002C76C4"/>
    <w:rsid w:val="002C7889"/>
    <w:rsid w:val="002D0EEF"/>
    <w:rsid w:val="002D1CB4"/>
    <w:rsid w:val="002D2EFF"/>
    <w:rsid w:val="002D47BF"/>
    <w:rsid w:val="002D589F"/>
    <w:rsid w:val="002D697C"/>
    <w:rsid w:val="002D6B26"/>
    <w:rsid w:val="002D6BC0"/>
    <w:rsid w:val="002D6DC2"/>
    <w:rsid w:val="002D7879"/>
    <w:rsid w:val="002E06FE"/>
    <w:rsid w:val="002E17CC"/>
    <w:rsid w:val="002E18AC"/>
    <w:rsid w:val="002E2AE6"/>
    <w:rsid w:val="002E2FDA"/>
    <w:rsid w:val="002E3304"/>
    <w:rsid w:val="002E3AA8"/>
    <w:rsid w:val="002E3D6E"/>
    <w:rsid w:val="002E4C38"/>
    <w:rsid w:val="002E58FF"/>
    <w:rsid w:val="002E5E80"/>
    <w:rsid w:val="002E7123"/>
    <w:rsid w:val="002E7869"/>
    <w:rsid w:val="002F03E4"/>
    <w:rsid w:val="002F0D25"/>
    <w:rsid w:val="002F1DA9"/>
    <w:rsid w:val="002F1F7D"/>
    <w:rsid w:val="002F355A"/>
    <w:rsid w:val="002F381E"/>
    <w:rsid w:val="002F3DE4"/>
    <w:rsid w:val="002F3E90"/>
    <w:rsid w:val="002F4452"/>
    <w:rsid w:val="002F7F22"/>
    <w:rsid w:val="00300209"/>
    <w:rsid w:val="0030038D"/>
    <w:rsid w:val="00300B90"/>
    <w:rsid w:val="00301809"/>
    <w:rsid w:val="003019B8"/>
    <w:rsid w:val="00302B67"/>
    <w:rsid w:val="00304938"/>
    <w:rsid w:val="00304EB5"/>
    <w:rsid w:val="00306032"/>
    <w:rsid w:val="003064A8"/>
    <w:rsid w:val="00306772"/>
    <w:rsid w:val="00307787"/>
    <w:rsid w:val="003079A2"/>
    <w:rsid w:val="003105F6"/>
    <w:rsid w:val="00310B55"/>
    <w:rsid w:val="00310C76"/>
    <w:rsid w:val="0031147F"/>
    <w:rsid w:val="0031230B"/>
    <w:rsid w:val="0031371E"/>
    <w:rsid w:val="00314400"/>
    <w:rsid w:val="0031455A"/>
    <w:rsid w:val="00315F09"/>
    <w:rsid w:val="003207B2"/>
    <w:rsid w:val="0032167D"/>
    <w:rsid w:val="00321988"/>
    <w:rsid w:val="00322014"/>
    <w:rsid w:val="003220C9"/>
    <w:rsid w:val="00322829"/>
    <w:rsid w:val="00324855"/>
    <w:rsid w:val="0032502E"/>
    <w:rsid w:val="003268C5"/>
    <w:rsid w:val="0032738E"/>
    <w:rsid w:val="003279D1"/>
    <w:rsid w:val="003307B3"/>
    <w:rsid w:val="00330F59"/>
    <w:rsid w:val="00331540"/>
    <w:rsid w:val="003315DE"/>
    <w:rsid w:val="00331D2D"/>
    <w:rsid w:val="003402DC"/>
    <w:rsid w:val="003407C5"/>
    <w:rsid w:val="00341867"/>
    <w:rsid w:val="00341DE7"/>
    <w:rsid w:val="003431C8"/>
    <w:rsid w:val="003431E8"/>
    <w:rsid w:val="00344091"/>
    <w:rsid w:val="00344B4E"/>
    <w:rsid w:val="00346086"/>
    <w:rsid w:val="00346195"/>
    <w:rsid w:val="00347B2A"/>
    <w:rsid w:val="00347B2C"/>
    <w:rsid w:val="00347BD2"/>
    <w:rsid w:val="00351265"/>
    <w:rsid w:val="00352BE2"/>
    <w:rsid w:val="00353786"/>
    <w:rsid w:val="003538D3"/>
    <w:rsid w:val="00354276"/>
    <w:rsid w:val="0035610E"/>
    <w:rsid w:val="00356935"/>
    <w:rsid w:val="00356AB9"/>
    <w:rsid w:val="00356CE4"/>
    <w:rsid w:val="0035740C"/>
    <w:rsid w:val="00357C06"/>
    <w:rsid w:val="00360C2C"/>
    <w:rsid w:val="0036533F"/>
    <w:rsid w:val="00365F15"/>
    <w:rsid w:val="00366449"/>
    <w:rsid w:val="00366F0B"/>
    <w:rsid w:val="0037014D"/>
    <w:rsid w:val="0037100E"/>
    <w:rsid w:val="003714E4"/>
    <w:rsid w:val="00371915"/>
    <w:rsid w:val="00371C5E"/>
    <w:rsid w:val="00371FC9"/>
    <w:rsid w:val="0037201A"/>
    <w:rsid w:val="00372C62"/>
    <w:rsid w:val="00373B89"/>
    <w:rsid w:val="0037430A"/>
    <w:rsid w:val="003768B5"/>
    <w:rsid w:val="00376DC1"/>
    <w:rsid w:val="00377D12"/>
    <w:rsid w:val="00377D90"/>
    <w:rsid w:val="00380053"/>
    <w:rsid w:val="00380E40"/>
    <w:rsid w:val="00381279"/>
    <w:rsid w:val="003812CB"/>
    <w:rsid w:val="003818F4"/>
    <w:rsid w:val="00381EF1"/>
    <w:rsid w:val="00381F9A"/>
    <w:rsid w:val="003821CA"/>
    <w:rsid w:val="003829A9"/>
    <w:rsid w:val="00385AA6"/>
    <w:rsid w:val="003910AF"/>
    <w:rsid w:val="00391B41"/>
    <w:rsid w:val="00391EE5"/>
    <w:rsid w:val="00392DC3"/>
    <w:rsid w:val="003945B0"/>
    <w:rsid w:val="00394EC0"/>
    <w:rsid w:val="003961D2"/>
    <w:rsid w:val="00397185"/>
    <w:rsid w:val="003979B2"/>
    <w:rsid w:val="003A0A06"/>
    <w:rsid w:val="003A0B70"/>
    <w:rsid w:val="003A265F"/>
    <w:rsid w:val="003A314C"/>
    <w:rsid w:val="003A3ED4"/>
    <w:rsid w:val="003A48D2"/>
    <w:rsid w:val="003A49D2"/>
    <w:rsid w:val="003A4F3A"/>
    <w:rsid w:val="003A5C79"/>
    <w:rsid w:val="003A6147"/>
    <w:rsid w:val="003A62C3"/>
    <w:rsid w:val="003A6419"/>
    <w:rsid w:val="003A6F8D"/>
    <w:rsid w:val="003A79B1"/>
    <w:rsid w:val="003B032E"/>
    <w:rsid w:val="003B0CAB"/>
    <w:rsid w:val="003B3CED"/>
    <w:rsid w:val="003B3E48"/>
    <w:rsid w:val="003B539B"/>
    <w:rsid w:val="003B7195"/>
    <w:rsid w:val="003B7F77"/>
    <w:rsid w:val="003B7F78"/>
    <w:rsid w:val="003C0FAE"/>
    <w:rsid w:val="003C13EE"/>
    <w:rsid w:val="003C4580"/>
    <w:rsid w:val="003C4BFD"/>
    <w:rsid w:val="003C4C42"/>
    <w:rsid w:val="003C4CB4"/>
    <w:rsid w:val="003C5831"/>
    <w:rsid w:val="003C5872"/>
    <w:rsid w:val="003C6280"/>
    <w:rsid w:val="003C62A4"/>
    <w:rsid w:val="003C7063"/>
    <w:rsid w:val="003C76E7"/>
    <w:rsid w:val="003D064F"/>
    <w:rsid w:val="003D090D"/>
    <w:rsid w:val="003D0C9C"/>
    <w:rsid w:val="003D18E3"/>
    <w:rsid w:val="003D2A87"/>
    <w:rsid w:val="003D53C1"/>
    <w:rsid w:val="003D5D52"/>
    <w:rsid w:val="003D66C3"/>
    <w:rsid w:val="003D6CE6"/>
    <w:rsid w:val="003D6F9D"/>
    <w:rsid w:val="003D7048"/>
    <w:rsid w:val="003D7B13"/>
    <w:rsid w:val="003E0567"/>
    <w:rsid w:val="003E1DBE"/>
    <w:rsid w:val="003E26FA"/>
    <w:rsid w:val="003E3A5F"/>
    <w:rsid w:val="003E3AE5"/>
    <w:rsid w:val="003E3C06"/>
    <w:rsid w:val="003E4E4F"/>
    <w:rsid w:val="003E623E"/>
    <w:rsid w:val="003E6D67"/>
    <w:rsid w:val="003F0035"/>
    <w:rsid w:val="003F0A72"/>
    <w:rsid w:val="003F203F"/>
    <w:rsid w:val="003F2D3A"/>
    <w:rsid w:val="003F2D85"/>
    <w:rsid w:val="003F492B"/>
    <w:rsid w:val="003F5DC4"/>
    <w:rsid w:val="003F76DE"/>
    <w:rsid w:val="0040051A"/>
    <w:rsid w:val="004005A0"/>
    <w:rsid w:val="00400F1A"/>
    <w:rsid w:val="00401A65"/>
    <w:rsid w:val="00401A78"/>
    <w:rsid w:val="00401F24"/>
    <w:rsid w:val="00401FBB"/>
    <w:rsid w:val="00403481"/>
    <w:rsid w:val="0040355B"/>
    <w:rsid w:val="00404327"/>
    <w:rsid w:val="0040450D"/>
    <w:rsid w:val="00405191"/>
    <w:rsid w:val="004057E9"/>
    <w:rsid w:val="00405940"/>
    <w:rsid w:val="0040635F"/>
    <w:rsid w:val="0040672C"/>
    <w:rsid w:val="00406A1D"/>
    <w:rsid w:val="00410D39"/>
    <w:rsid w:val="00410EF8"/>
    <w:rsid w:val="004113BF"/>
    <w:rsid w:val="0041332C"/>
    <w:rsid w:val="00413D96"/>
    <w:rsid w:val="00413F98"/>
    <w:rsid w:val="004141CE"/>
    <w:rsid w:val="0041437F"/>
    <w:rsid w:val="00414649"/>
    <w:rsid w:val="00414AFB"/>
    <w:rsid w:val="00414CAB"/>
    <w:rsid w:val="00415041"/>
    <w:rsid w:val="00417541"/>
    <w:rsid w:val="0041795F"/>
    <w:rsid w:val="004202F4"/>
    <w:rsid w:val="004206BF"/>
    <w:rsid w:val="00421484"/>
    <w:rsid w:val="00423341"/>
    <w:rsid w:val="00423724"/>
    <w:rsid w:val="0042372B"/>
    <w:rsid w:val="00423CF1"/>
    <w:rsid w:val="0042487B"/>
    <w:rsid w:val="00425108"/>
    <w:rsid w:val="00426743"/>
    <w:rsid w:val="00427086"/>
    <w:rsid w:val="004276B4"/>
    <w:rsid w:val="00431787"/>
    <w:rsid w:val="00431913"/>
    <w:rsid w:val="0043330C"/>
    <w:rsid w:val="004336B6"/>
    <w:rsid w:val="00434AF0"/>
    <w:rsid w:val="0043727F"/>
    <w:rsid w:val="00442AC7"/>
    <w:rsid w:val="0044337F"/>
    <w:rsid w:val="00443BF7"/>
    <w:rsid w:val="00445035"/>
    <w:rsid w:val="00447953"/>
    <w:rsid w:val="00447DCE"/>
    <w:rsid w:val="00447E78"/>
    <w:rsid w:val="004511F4"/>
    <w:rsid w:val="0045125E"/>
    <w:rsid w:val="004523CF"/>
    <w:rsid w:val="00453D71"/>
    <w:rsid w:val="00453F6E"/>
    <w:rsid w:val="00454438"/>
    <w:rsid w:val="0045614B"/>
    <w:rsid w:val="004569CA"/>
    <w:rsid w:val="004576FD"/>
    <w:rsid w:val="00457A65"/>
    <w:rsid w:val="00457D5F"/>
    <w:rsid w:val="00460CAA"/>
    <w:rsid w:val="0046129A"/>
    <w:rsid w:val="00461EB5"/>
    <w:rsid w:val="00462C50"/>
    <w:rsid w:val="00463AF2"/>
    <w:rsid w:val="00465383"/>
    <w:rsid w:val="00465FA5"/>
    <w:rsid w:val="00470E81"/>
    <w:rsid w:val="00472AF2"/>
    <w:rsid w:val="0047417C"/>
    <w:rsid w:val="0047590A"/>
    <w:rsid w:val="00475951"/>
    <w:rsid w:val="004765A3"/>
    <w:rsid w:val="00477552"/>
    <w:rsid w:val="00477853"/>
    <w:rsid w:val="0048069B"/>
    <w:rsid w:val="00481296"/>
    <w:rsid w:val="00482014"/>
    <w:rsid w:val="00482234"/>
    <w:rsid w:val="004845A2"/>
    <w:rsid w:val="00484E22"/>
    <w:rsid w:val="0048516A"/>
    <w:rsid w:val="004853FC"/>
    <w:rsid w:val="00485C88"/>
    <w:rsid w:val="0048621C"/>
    <w:rsid w:val="00490408"/>
    <w:rsid w:val="004921AC"/>
    <w:rsid w:val="004925CC"/>
    <w:rsid w:val="00493A52"/>
    <w:rsid w:val="00495620"/>
    <w:rsid w:val="00495763"/>
    <w:rsid w:val="0049610B"/>
    <w:rsid w:val="00496293"/>
    <w:rsid w:val="004964A2"/>
    <w:rsid w:val="004966BA"/>
    <w:rsid w:val="004A5BA2"/>
    <w:rsid w:val="004A5EDA"/>
    <w:rsid w:val="004A72F8"/>
    <w:rsid w:val="004A75EE"/>
    <w:rsid w:val="004A7C07"/>
    <w:rsid w:val="004A7E06"/>
    <w:rsid w:val="004B02C6"/>
    <w:rsid w:val="004B0617"/>
    <w:rsid w:val="004B0704"/>
    <w:rsid w:val="004B1220"/>
    <w:rsid w:val="004B1595"/>
    <w:rsid w:val="004B1E6E"/>
    <w:rsid w:val="004B252F"/>
    <w:rsid w:val="004B3760"/>
    <w:rsid w:val="004B52EA"/>
    <w:rsid w:val="004B5E21"/>
    <w:rsid w:val="004B6077"/>
    <w:rsid w:val="004B6E69"/>
    <w:rsid w:val="004B7298"/>
    <w:rsid w:val="004B7403"/>
    <w:rsid w:val="004C08CB"/>
    <w:rsid w:val="004C0A80"/>
    <w:rsid w:val="004C0B2E"/>
    <w:rsid w:val="004C1CDE"/>
    <w:rsid w:val="004C4D4F"/>
    <w:rsid w:val="004C6272"/>
    <w:rsid w:val="004C7977"/>
    <w:rsid w:val="004D0214"/>
    <w:rsid w:val="004D1F43"/>
    <w:rsid w:val="004D3101"/>
    <w:rsid w:val="004D328C"/>
    <w:rsid w:val="004D3A85"/>
    <w:rsid w:val="004D3AD9"/>
    <w:rsid w:val="004D517B"/>
    <w:rsid w:val="004D7652"/>
    <w:rsid w:val="004D7F0D"/>
    <w:rsid w:val="004E0490"/>
    <w:rsid w:val="004E1AAE"/>
    <w:rsid w:val="004E2972"/>
    <w:rsid w:val="004E37D9"/>
    <w:rsid w:val="004E3ECE"/>
    <w:rsid w:val="004E4842"/>
    <w:rsid w:val="004E593C"/>
    <w:rsid w:val="004E5EE9"/>
    <w:rsid w:val="004E71F9"/>
    <w:rsid w:val="004F386B"/>
    <w:rsid w:val="004F3C2D"/>
    <w:rsid w:val="004F40D9"/>
    <w:rsid w:val="004F4A2C"/>
    <w:rsid w:val="004F5AD3"/>
    <w:rsid w:val="004F5B4B"/>
    <w:rsid w:val="004F5CC8"/>
    <w:rsid w:val="004F7380"/>
    <w:rsid w:val="00500A64"/>
    <w:rsid w:val="005016D1"/>
    <w:rsid w:val="00503326"/>
    <w:rsid w:val="0050396D"/>
    <w:rsid w:val="00504613"/>
    <w:rsid w:val="005049B9"/>
    <w:rsid w:val="0050533B"/>
    <w:rsid w:val="00505EE5"/>
    <w:rsid w:val="00506E16"/>
    <w:rsid w:val="00507287"/>
    <w:rsid w:val="00507F58"/>
    <w:rsid w:val="00510BFD"/>
    <w:rsid w:val="00511D61"/>
    <w:rsid w:val="005129E0"/>
    <w:rsid w:val="00512AA1"/>
    <w:rsid w:val="00514475"/>
    <w:rsid w:val="00514C3A"/>
    <w:rsid w:val="0051618A"/>
    <w:rsid w:val="00517219"/>
    <w:rsid w:val="00517651"/>
    <w:rsid w:val="00517D8C"/>
    <w:rsid w:val="00520702"/>
    <w:rsid w:val="0052130E"/>
    <w:rsid w:val="00523166"/>
    <w:rsid w:val="005231D9"/>
    <w:rsid w:val="00523435"/>
    <w:rsid w:val="00523DBE"/>
    <w:rsid w:val="005242A4"/>
    <w:rsid w:val="00526258"/>
    <w:rsid w:val="00526584"/>
    <w:rsid w:val="00526D8C"/>
    <w:rsid w:val="00527115"/>
    <w:rsid w:val="00527D31"/>
    <w:rsid w:val="00531780"/>
    <w:rsid w:val="00531F83"/>
    <w:rsid w:val="00533B9D"/>
    <w:rsid w:val="0053442A"/>
    <w:rsid w:val="00535246"/>
    <w:rsid w:val="00535584"/>
    <w:rsid w:val="005356B2"/>
    <w:rsid w:val="00535F2A"/>
    <w:rsid w:val="0053717B"/>
    <w:rsid w:val="0054097F"/>
    <w:rsid w:val="00540FE3"/>
    <w:rsid w:val="005419D6"/>
    <w:rsid w:val="00541EBC"/>
    <w:rsid w:val="005428A2"/>
    <w:rsid w:val="0054327D"/>
    <w:rsid w:val="0054417F"/>
    <w:rsid w:val="005449E7"/>
    <w:rsid w:val="005452C7"/>
    <w:rsid w:val="00545E44"/>
    <w:rsid w:val="005465B0"/>
    <w:rsid w:val="0054761A"/>
    <w:rsid w:val="005512A6"/>
    <w:rsid w:val="00554BE0"/>
    <w:rsid w:val="00554C3D"/>
    <w:rsid w:val="00555B3E"/>
    <w:rsid w:val="005566DE"/>
    <w:rsid w:val="005578EE"/>
    <w:rsid w:val="00557F41"/>
    <w:rsid w:val="00560050"/>
    <w:rsid w:val="00560258"/>
    <w:rsid w:val="00562268"/>
    <w:rsid w:val="005626EE"/>
    <w:rsid w:val="00562EDC"/>
    <w:rsid w:val="00563364"/>
    <w:rsid w:val="005636DE"/>
    <w:rsid w:val="00563EF1"/>
    <w:rsid w:val="00564C89"/>
    <w:rsid w:val="0056573C"/>
    <w:rsid w:val="00566104"/>
    <w:rsid w:val="00566BBC"/>
    <w:rsid w:val="00566E2C"/>
    <w:rsid w:val="00567F68"/>
    <w:rsid w:val="00570416"/>
    <w:rsid w:val="0057044C"/>
    <w:rsid w:val="005709B8"/>
    <w:rsid w:val="00571441"/>
    <w:rsid w:val="00571AFD"/>
    <w:rsid w:val="00571C0C"/>
    <w:rsid w:val="005721D0"/>
    <w:rsid w:val="00572E38"/>
    <w:rsid w:val="005736B9"/>
    <w:rsid w:val="005740A0"/>
    <w:rsid w:val="00574455"/>
    <w:rsid w:val="0057478B"/>
    <w:rsid w:val="00575371"/>
    <w:rsid w:val="005755B5"/>
    <w:rsid w:val="005760B3"/>
    <w:rsid w:val="00576496"/>
    <w:rsid w:val="00577353"/>
    <w:rsid w:val="00577E6A"/>
    <w:rsid w:val="0058156A"/>
    <w:rsid w:val="00582B27"/>
    <w:rsid w:val="0058360B"/>
    <w:rsid w:val="0058370D"/>
    <w:rsid w:val="0058395E"/>
    <w:rsid w:val="00586AE3"/>
    <w:rsid w:val="00586F74"/>
    <w:rsid w:val="00591FE9"/>
    <w:rsid w:val="00592D80"/>
    <w:rsid w:val="00593F98"/>
    <w:rsid w:val="005953C1"/>
    <w:rsid w:val="00595EEC"/>
    <w:rsid w:val="00596A4A"/>
    <w:rsid w:val="005A0634"/>
    <w:rsid w:val="005A0DED"/>
    <w:rsid w:val="005A1EC5"/>
    <w:rsid w:val="005A1F84"/>
    <w:rsid w:val="005A295D"/>
    <w:rsid w:val="005A3805"/>
    <w:rsid w:val="005A683E"/>
    <w:rsid w:val="005A7877"/>
    <w:rsid w:val="005B0F5E"/>
    <w:rsid w:val="005B2438"/>
    <w:rsid w:val="005B415D"/>
    <w:rsid w:val="005B5E3A"/>
    <w:rsid w:val="005B60E7"/>
    <w:rsid w:val="005B645D"/>
    <w:rsid w:val="005B6A80"/>
    <w:rsid w:val="005C04A7"/>
    <w:rsid w:val="005C08FF"/>
    <w:rsid w:val="005C1169"/>
    <w:rsid w:val="005C19F8"/>
    <w:rsid w:val="005C1C53"/>
    <w:rsid w:val="005C2B35"/>
    <w:rsid w:val="005C2F69"/>
    <w:rsid w:val="005C4432"/>
    <w:rsid w:val="005C6276"/>
    <w:rsid w:val="005C7EB3"/>
    <w:rsid w:val="005D0C40"/>
    <w:rsid w:val="005D16D5"/>
    <w:rsid w:val="005D1DFC"/>
    <w:rsid w:val="005D3915"/>
    <w:rsid w:val="005D3ADE"/>
    <w:rsid w:val="005D4DA1"/>
    <w:rsid w:val="005D4E54"/>
    <w:rsid w:val="005D500C"/>
    <w:rsid w:val="005D5A4E"/>
    <w:rsid w:val="005D5B5D"/>
    <w:rsid w:val="005D5D5B"/>
    <w:rsid w:val="005D6892"/>
    <w:rsid w:val="005D6DCD"/>
    <w:rsid w:val="005D7786"/>
    <w:rsid w:val="005D7992"/>
    <w:rsid w:val="005E1425"/>
    <w:rsid w:val="005E4061"/>
    <w:rsid w:val="005E41D0"/>
    <w:rsid w:val="005E4219"/>
    <w:rsid w:val="005E487C"/>
    <w:rsid w:val="005E523F"/>
    <w:rsid w:val="005E61D9"/>
    <w:rsid w:val="005E73F6"/>
    <w:rsid w:val="005F0892"/>
    <w:rsid w:val="005F1A4B"/>
    <w:rsid w:val="005F1DA9"/>
    <w:rsid w:val="005F3128"/>
    <w:rsid w:val="005F3524"/>
    <w:rsid w:val="005F48FF"/>
    <w:rsid w:val="005F4F7A"/>
    <w:rsid w:val="005F5811"/>
    <w:rsid w:val="005F6590"/>
    <w:rsid w:val="005F7E13"/>
    <w:rsid w:val="005F7F1E"/>
    <w:rsid w:val="006007BF"/>
    <w:rsid w:val="006010BF"/>
    <w:rsid w:val="00601F2A"/>
    <w:rsid w:val="006032FB"/>
    <w:rsid w:val="00603D53"/>
    <w:rsid w:val="00604628"/>
    <w:rsid w:val="006058DB"/>
    <w:rsid w:val="0060687B"/>
    <w:rsid w:val="0060710C"/>
    <w:rsid w:val="00613F8F"/>
    <w:rsid w:val="006163D7"/>
    <w:rsid w:val="00616464"/>
    <w:rsid w:val="00616F96"/>
    <w:rsid w:val="006174DF"/>
    <w:rsid w:val="006178FD"/>
    <w:rsid w:val="006217F3"/>
    <w:rsid w:val="00621813"/>
    <w:rsid w:val="00622136"/>
    <w:rsid w:val="00623002"/>
    <w:rsid w:val="00623EB2"/>
    <w:rsid w:val="006240DD"/>
    <w:rsid w:val="00624241"/>
    <w:rsid w:val="00627383"/>
    <w:rsid w:val="00630863"/>
    <w:rsid w:val="00630BB4"/>
    <w:rsid w:val="00631195"/>
    <w:rsid w:val="00631AEB"/>
    <w:rsid w:val="00631CF4"/>
    <w:rsid w:val="00631E79"/>
    <w:rsid w:val="00632255"/>
    <w:rsid w:val="00633194"/>
    <w:rsid w:val="006332D6"/>
    <w:rsid w:val="00634FD8"/>
    <w:rsid w:val="00635AE8"/>
    <w:rsid w:val="00636240"/>
    <w:rsid w:val="006375CE"/>
    <w:rsid w:val="00637C14"/>
    <w:rsid w:val="00637F46"/>
    <w:rsid w:val="00640563"/>
    <w:rsid w:val="00640799"/>
    <w:rsid w:val="00640866"/>
    <w:rsid w:val="00641B2E"/>
    <w:rsid w:val="006427AF"/>
    <w:rsid w:val="0064295E"/>
    <w:rsid w:val="00642A47"/>
    <w:rsid w:val="00643567"/>
    <w:rsid w:val="006437AE"/>
    <w:rsid w:val="006456B3"/>
    <w:rsid w:val="00645985"/>
    <w:rsid w:val="00647709"/>
    <w:rsid w:val="0065017F"/>
    <w:rsid w:val="006506F4"/>
    <w:rsid w:val="00652850"/>
    <w:rsid w:val="006533E1"/>
    <w:rsid w:val="0065340B"/>
    <w:rsid w:val="006541AA"/>
    <w:rsid w:val="00655804"/>
    <w:rsid w:val="00655FDC"/>
    <w:rsid w:val="0065735E"/>
    <w:rsid w:val="00657D9A"/>
    <w:rsid w:val="00660146"/>
    <w:rsid w:val="0066027C"/>
    <w:rsid w:val="00660BC2"/>
    <w:rsid w:val="006613D4"/>
    <w:rsid w:val="00662E52"/>
    <w:rsid w:val="00663A85"/>
    <w:rsid w:val="00664733"/>
    <w:rsid w:val="00664919"/>
    <w:rsid w:val="00665639"/>
    <w:rsid w:val="00666C90"/>
    <w:rsid w:val="00666E1A"/>
    <w:rsid w:val="00667272"/>
    <w:rsid w:val="006709FD"/>
    <w:rsid w:val="00670AA6"/>
    <w:rsid w:val="006710E2"/>
    <w:rsid w:val="0067149A"/>
    <w:rsid w:val="006717C5"/>
    <w:rsid w:val="00672385"/>
    <w:rsid w:val="00672DB5"/>
    <w:rsid w:val="006739C8"/>
    <w:rsid w:val="0067487F"/>
    <w:rsid w:val="00677A5E"/>
    <w:rsid w:val="0068001A"/>
    <w:rsid w:val="0068137E"/>
    <w:rsid w:val="00681C6D"/>
    <w:rsid w:val="006826AA"/>
    <w:rsid w:val="00682882"/>
    <w:rsid w:val="0068343D"/>
    <w:rsid w:val="00690A8A"/>
    <w:rsid w:val="00691637"/>
    <w:rsid w:val="006917F9"/>
    <w:rsid w:val="006929E1"/>
    <w:rsid w:val="00693D4C"/>
    <w:rsid w:val="006943D3"/>
    <w:rsid w:val="00695E38"/>
    <w:rsid w:val="00696394"/>
    <w:rsid w:val="006A1611"/>
    <w:rsid w:val="006A2EC7"/>
    <w:rsid w:val="006A33AF"/>
    <w:rsid w:val="006A3A62"/>
    <w:rsid w:val="006A3D0D"/>
    <w:rsid w:val="006A56FD"/>
    <w:rsid w:val="006A683C"/>
    <w:rsid w:val="006A6A30"/>
    <w:rsid w:val="006A6E90"/>
    <w:rsid w:val="006A6FEC"/>
    <w:rsid w:val="006A7ABE"/>
    <w:rsid w:val="006B03F8"/>
    <w:rsid w:val="006B0426"/>
    <w:rsid w:val="006B0ADD"/>
    <w:rsid w:val="006B17F4"/>
    <w:rsid w:val="006B2097"/>
    <w:rsid w:val="006B27BB"/>
    <w:rsid w:val="006B2A08"/>
    <w:rsid w:val="006B2A9D"/>
    <w:rsid w:val="006B3434"/>
    <w:rsid w:val="006B39FD"/>
    <w:rsid w:val="006C240A"/>
    <w:rsid w:val="006C2864"/>
    <w:rsid w:val="006C5BEB"/>
    <w:rsid w:val="006C61AB"/>
    <w:rsid w:val="006C742C"/>
    <w:rsid w:val="006C764D"/>
    <w:rsid w:val="006D1735"/>
    <w:rsid w:val="006D1869"/>
    <w:rsid w:val="006D1C98"/>
    <w:rsid w:val="006D2AED"/>
    <w:rsid w:val="006D3E97"/>
    <w:rsid w:val="006D4DE2"/>
    <w:rsid w:val="006D58B1"/>
    <w:rsid w:val="006D6423"/>
    <w:rsid w:val="006D6729"/>
    <w:rsid w:val="006D72C7"/>
    <w:rsid w:val="006E095E"/>
    <w:rsid w:val="006E23C2"/>
    <w:rsid w:val="006E25E0"/>
    <w:rsid w:val="006E2D03"/>
    <w:rsid w:val="006E356D"/>
    <w:rsid w:val="006E3660"/>
    <w:rsid w:val="006E55CD"/>
    <w:rsid w:val="006E58BE"/>
    <w:rsid w:val="006E681E"/>
    <w:rsid w:val="006F041B"/>
    <w:rsid w:val="006F0A4E"/>
    <w:rsid w:val="006F155C"/>
    <w:rsid w:val="006F197C"/>
    <w:rsid w:val="006F29B1"/>
    <w:rsid w:val="006F41A1"/>
    <w:rsid w:val="006F5BF6"/>
    <w:rsid w:val="006F6DEC"/>
    <w:rsid w:val="006F778C"/>
    <w:rsid w:val="006F7B94"/>
    <w:rsid w:val="007005A7"/>
    <w:rsid w:val="00701AF3"/>
    <w:rsid w:val="00701CBF"/>
    <w:rsid w:val="0070307D"/>
    <w:rsid w:val="007044B8"/>
    <w:rsid w:val="007045BC"/>
    <w:rsid w:val="0070618E"/>
    <w:rsid w:val="0070643D"/>
    <w:rsid w:val="00707189"/>
    <w:rsid w:val="0070734B"/>
    <w:rsid w:val="007073F4"/>
    <w:rsid w:val="0070768F"/>
    <w:rsid w:val="00707979"/>
    <w:rsid w:val="00707F64"/>
    <w:rsid w:val="00710E6B"/>
    <w:rsid w:val="00710F00"/>
    <w:rsid w:val="00711D41"/>
    <w:rsid w:val="00711D97"/>
    <w:rsid w:val="00712ABA"/>
    <w:rsid w:val="00713488"/>
    <w:rsid w:val="00716B89"/>
    <w:rsid w:val="00716CA9"/>
    <w:rsid w:val="007170C2"/>
    <w:rsid w:val="007175D5"/>
    <w:rsid w:val="00720122"/>
    <w:rsid w:val="0072098B"/>
    <w:rsid w:val="00721407"/>
    <w:rsid w:val="0072171C"/>
    <w:rsid w:val="00722864"/>
    <w:rsid w:val="00723E39"/>
    <w:rsid w:val="0072491A"/>
    <w:rsid w:val="00724AEA"/>
    <w:rsid w:val="00725087"/>
    <w:rsid w:val="00726C6F"/>
    <w:rsid w:val="00727D8D"/>
    <w:rsid w:val="00730578"/>
    <w:rsid w:val="00732A92"/>
    <w:rsid w:val="0073324A"/>
    <w:rsid w:val="007332CA"/>
    <w:rsid w:val="00733618"/>
    <w:rsid w:val="00733B00"/>
    <w:rsid w:val="00734CC6"/>
    <w:rsid w:val="00735CCC"/>
    <w:rsid w:val="00735F87"/>
    <w:rsid w:val="00736174"/>
    <w:rsid w:val="007361E4"/>
    <w:rsid w:val="0073760C"/>
    <w:rsid w:val="00737BFE"/>
    <w:rsid w:val="0074147C"/>
    <w:rsid w:val="0074168A"/>
    <w:rsid w:val="00745167"/>
    <w:rsid w:val="0074598A"/>
    <w:rsid w:val="00746535"/>
    <w:rsid w:val="0074779B"/>
    <w:rsid w:val="0075071F"/>
    <w:rsid w:val="00750CFB"/>
    <w:rsid w:val="00751127"/>
    <w:rsid w:val="0075298A"/>
    <w:rsid w:val="00752B39"/>
    <w:rsid w:val="007548A1"/>
    <w:rsid w:val="00754A85"/>
    <w:rsid w:val="00755890"/>
    <w:rsid w:val="00756554"/>
    <w:rsid w:val="0075669C"/>
    <w:rsid w:val="00757639"/>
    <w:rsid w:val="00757717"/>
    <w:rsid w:val="007604C6"/>
    <w:rsid w:val="00760D5C"/>
    <w:rsid w:val="0076103E"/>
    <w:rsid w:val="007610A5"/>
    <w:rsid w:val="0076244D"/>
    <w:rsid w:val="00764A97"/>
    <w:rsid w:val="00765A42"/>
    <w:rsid w:val="007666CD"/>
    <w:rsid w:val="00767009"/>
    <w:rsid w:val="00767F50"/>
    <w:rsid w:val="00770BF6"/>
    <w:rsid w:val="00770C63"/>
    <w:rsid w:val="00770E45"/>
    <w:rsid w:val="00772A97"/>
    <w:rsid w:val="00774693"/>
    <w:rsid w:val="00775199"/>
    <w:rsid w:val="007757A4"/>
    <w:rsid w:val="00777DA5"/>
    <w:rsid w:val="00780376"/>
    <w:rsid w:val="00780DAE"/>
    <w:rsid w:val="00783A62"/>
    <w:rsid w:val="00785D6B"/>
    <w:rsid w:val="007868A2"/>
    <w:rsid w:val="007871DA"/>
    <w:rsid w:val="0079044D"/>
    <w:rsid w:val="00791B0B"/>
    <w:rsid w:val="00791CC5"/>
    <w:rsid w:val="00794615"/>
    <w:rsid w:val="00794C70"/>
    <w:rsid w:val="00795A7A"/>
    <w:rsid w:val="00796A7F"/>
    <w:rsid w:val="00797FF0"/>
    <w:rsid w:val="007A1147"/>
    <w:rsid w:val="007A1AB4"/>
    <w:rsid w:val="007A318F"/>
    <w:rsid w:val="007A319C"/>
    <w:rsid w:val="007A4F1D"/>
    <w:rsid w:val="007A503A"/>
    <w:rsid w:val="007A5051"/>
    <w:rsid w:val="007A6CB8"/>
    <w:rsid w:val="007A6E83"/>
    <w:rsid w:val="007A70C2"/>
    <w:rsid w:val="007B1CEB"/>
    <w:rsid w:val="007B1F62"/>
    <w:rsid w:val="007B2D81"/>
    <w:rsid w:val="007B2E4C"/>
    <w:rsid w:val="007B36DD"/>
    <w:rsid w:val="007B3890"/>
    <w:rsid w:val="007B3FED"/>
    <w:rsid w:val="007B4566"/>
    <w:rsid w:val="007B57AE"/>
    <w:rsid w:val="007B5A3C"/>
    <w:rsid w:val="007B6799"/>
    <w:rsid w:val="007B799E"/>
    <w:rsid w:val="007C0160"/>
    <w:rsid w:val="007C025C"/>
    <w:rsid w:val="007C0B80"/>
    <w:rsid w:val="007C1ACB"/>
    <w:rsid w:val="007C2EFA"/>
    <w:rsid w:val="007C36C3"/>
    <w:rsid w:val="007C50A5"/>
    <w:rsid w:val="007C50CB"/>
    <w:rsid w:val="007C52FC"/>
    <w:rsid w:val="007C7FAA"/>
    <w:rsid w:val="007D00F8"/>
    <w:rsid w:val="007D0522"/>
    <w:rsid w:val="007D060D"/>
    <w:rsid w:val="007D077D"/>
    <w:rsid w:val="007D086A"/>
    <w:rsid w:val="007D2B08"/>
    <w:rsid w:val="007D2CAE"/>
    <w:rsid w:val="007D349E"/>
    <w:rsid w:val="007D6E2B"/>
    <w:rsid w:val="007E18D2"/>
    <w:rsid w:val="007E1B14"/>
    <w:rsid w:val="007E1BA7"/>
    <w:rsid w:val="007E1FEC"/>
    <w:rsid w:val="007E3185"/>
    <w:rsid w:val="007E4D2C"/>
    <w:rsid w:val="007E5351"/>
    <w:rsid w:val="007E625B"/>
    <w:rsid w:val="007E7711"/>
    <w:rsid w:val="007E7828"/>
    <w:rsid w:val="007F3AB4"/>
    <w:rsid w:val="007F5FED"/>
    <w:rsid w:val="007F6C3D"/>
    <w:rsid w:val="007F7887"/>
    <w:rsid w:val="00800CF1"/>
    <w:rsid w:val="00801059"/>
    <w:rsid w:val="00801147"/>
    <w:rsid w:val="008024D0"/>
    <w:rsid w:val="00802812"/>
    <w:rsid w:val="00803E5D"/>
    <w:rsid w:val="008043F2"/>
    <w:rsid w:val="008054EA"/>
    <w:rsid w:val="00805BD9"/>
    <w:rsid w:val="00805C99"/>
    <w:rsid w:val="00805E6D"/>
    <w:rsid w:val="00806019"/>
    <w:rsid w:val="008062FF"/>
    <w:rsid w:val="00806712"/>
    <w:rsid w:val="008071C4"/>
    <w:rsid w:val="008106C6"/>
    <w:rsid w:val="008110F6"/>
    <w:rsid w:val="008122D1"/>
    <w:rsid w:val="008125FB"/>
    <w:rsid w:val="00813A8D"/>
    <w:rsid w:val="00814450"/>
    <w:rsid w:val="00814F7E"/>
    <w:rsid w:val="008152B5"/>
    <w:rsid w:val="00817E04"/>
    <w:rsid w:val="00820AD8"/>
    <w:rsid w:val="00820CE5"/>
    <w:rsid w:val="00821565"/>
    <w:rsid w:val="00822722"/>
    <w:rsid w:val="008232B7"/>
    <w:rsid w:val="00823BB7"/>
    <w:rsid w:val="00830061"/>
    <w:rsid w:val="0083012E"/>
    <w:rsid w:val="00830A57"/>
    <w:rsid w:val="008329D6"/>
    <w:rsid w:val="008339B7"/>
    <w:rsid w:val="00834847"/>
    <w:rsid w:val="008369FA"/>
    <w:rsid w:val="008432C3"/>
    <w:rsid w:val="00843CDA"/>
    <w:rsid w:val="00844486"/>
    <w:rsid w:val="008445CC"/>
    <w:rsid w:val="0084475D"/>
    <w:rsid w:val="00844987"/>
    <w:rsid w:val="00844C0F"/>
    <w:rsid w:val="00844C9E"/>
    <w:rsid w:val="00844DDE"/>
    <w:rsid w:val="00844FB9"/>
    <w:rsid w:val="00845305"/>
    <w:rsid w:val="00845700"/>
    <w:rsid w:val="00845C39"/>
    <w:rsid w:val="00846C7D"/>
    <w:rsid w:val="0084700D"/>
    <w:rsid w:val="0084736C"/>
    <w:rsid w:val="0084770C"/>
    <w:rsid w:val="00847A4B"/>
    <w:rsid w:val="008503BA"/>
    <w:rsid w:val="008506CE"/>
    <w:rsid w:val="00851438"/>
    <w:rsid w:val="00852513"/>
    <w:rsid w:val="00852FE1"/>
    <w:rsid w:val="00853CA5"/>
    <w:rsid w:val="008542FE"/>
    <w:rsid w:val="00854E8F"/>
    <w:rsid w:val="0085581D"/>
    <w:rsid w:val="00856FAD"/>
    <w:rsid w:val="008570AB"/>
    <w:rsid w:val="0085724A"/>
    <w:rsid w:val="008607A5"/>
    <w:rsid w:val="00860B5E"/>
    <w:rsid w:val="00860DC1"/>
    <w:rsid w:val="00861583"/>
    <w:rsid w:val="00862D95"/>
    <w:rsid w:val="008632D3"/>
    <w:rsid w:val="00863415"/>
    <w:rsid w:val="00864ED7"/>
    <w:rsid w:val="0086504E"/>
    <w:rsid w:val="00871800"/>
    <w:rsid w:val="00872AFB"/>
    <w:rsid w:val="0087332D"/>
    <w:rsid w:val="008751BF"/>
    <w:rsid w:val="00875218"/>
    <w:rsid w:val="008761C0"/>
    <w:rsid w:val="008762F5"/>
    <w:rsid w:val="008764D8"/>
    <w:rsid w:val="0087781B"/>
    <w:rsid w:val="00880383"/>
    <w:rsid w:val="008810C0"/>
    <w:rsid w:val="00881523"/>
    <w:rsid w:val="00881EEF"/>
    <w:rsid w:val="00881F28"/>
    <w:rsid w:val="00882248"/>
    <w:rsid w:val="0088468B"/>
    <w:rsid w:val="00884A65"/>
    <w:rsid w:val="0088562D"/>
    <w:rsid w:val="0088736F"/>
    <w:rsid w:val="00887493"/>
    <w:rsid w:val="00887784"/>
    <w:rsid w:val="00890AF4"/>
    <w:rsid w:val="0089216E"/>
    <w:rsid w:val="00893529"/>
    <w:rsid w:val="0089492A"/>
    <w:rsid w:val="00894F36"/>
    <w:rsid w:val="00895C24"/>
    <w:rsid w:val="00896109"/>
    <w:rsid w:val="00896566"/>
    <w:rsid w:val="00897EB1"/>
    <w:rsid w:val="008A0476"/>
    <w:rsid w:val="008A06F0"/>
    <w:rsid w:val="008A12DE"/>
    <w:rsid w:val="008A2DC2"/>
    <w:rsid w:val="008A30F0"/>
    <w:rsid w:val="008A3A55"/>
    <w:rsid w:val="008A4D99"/>
    <w:rsid w:val="008A733F"/>
    <w:rsid w:val="008A7F8F"/>
    <w:rsid w:val="008B1D92"/>
    <w:rsid w:val="008B2446"/>
    <w:rsid w:val="008B3152"/>
    <w:rsid w:val="008B35F9"/>
    <w:rsid w:val="008B35FF"/>
    <w:rsid w:val="008B380D"/>
    <w:rsid w:val="008B56A8"/>
    <w:rsid w:val="008B5B75"/>
    <w:rsid w:val="008B6811"/>
    <w:rsid w:val="008B6998"/>
    <w:rsid w:val="008B6E7D"/>
    <w:rsid w:val="008B6FBD"/>
    <w:rsid w:val="008B7F49"/>
    <w:rsid w:val="008C00F2"/>
    <w:rsid w:val="008C02FE"/>
    <w:rsid w:val="008C0DA4"/>
    <w:rsid w:val="008C19B4"/>
    <w:rsid w:val="008C2779"/>
    <w:rsid w:val="008C2E83"/>
    <w:rsid w:val="008C4F2D"/>
    <w:rsid w:val="008C529A"/>
    <w:rsid w:val="008C542A"/>
    <w:rsid w:val="008C71D7"/>
    <w:rsid w:val="008C734B"/>
    <w:rsid w:val="008C78B2"/>
    <w:rsid w:val="008D2123"/>
    <w:rsid w:val="008D5168"/>
    <w:rsid w:val="008D7122"/>
    <w:rsid w:val="008E0044"/>
    <w:rsid w:val="008E05FD"/>
    <w:rsid w:val="008E089E"/>
    <w:rsid w:val="008E0950"/>
    <w:rsid w:val="008E118E"/>
    <w:rsid w:val="008E183D"/>
    <w:rsid w:val="008E1F93"/>
    <w:rsid w:val="008E1FAE"/>
    <w:rsid w:val="008E282B"/>
    <w:rsid w:val="008E4261"/>
    <w:rsid w:val="008E4349"/>
    <w:rsid w:val="008E5ED4"/>
    <w:rsid w:val="008E693D"/>
    <w:rsid w:val="008E7B02"/>
    <w:rsid w:val="008F1579"/>
    <w:rsid w:val="008F2084"/>
    <w:rsid w:val="008F32D5"/>
    <w:rsid w:val="008F69F9"/>
    <w:rsid w:val="008F6C08"/>
    <w:rsid w:val="008F6D92"/>
    <w:rsid w:val="008F7343"/>
    <w:rsid w:val="008F7BAD"/>
    <w:rsid w:val="00900C4E"/>
    <w:rsid w:val="00900DB2"/>
    <w:rsid w:val="00902F1C"/>
    <w:rsid w:val="00904037"/>
    <w:rsid w:val="00905F4D"/>
    <w:rsid w:val="0090769B"/>
    <w:rsid w:val="009132AC"/>
    <w:rsid w:val="0091342F"/>
    <w:rsid w:val="009158C5"/>
    <w:rsid w:val="0091670B"/>
    <w:rsid w:val="00917A17"/>
    <w:rsid w:val="009206DB"/>
    <w:rsid w:val="00921F4A"/>
    <w:rsid w:val="00924B61"/>
    <w:rsid w:val="00925901"/>
    <w:rsid w:val="0092599D"/>
    <w:rsid w:val="00925A7B"/>
    <w:rsid w:val="00925F04"/>
    <w:rsid w:val="009270D4"/>
    <w:rsid w:val="00927143"/>
    <w:rsid w:val="00927A5E"/>
    <w:rsid w:val="00930DCF"/>
    <w:rsid w:val="009315B7"/>
    <w:rsid w:val="009337C1"/>
    <w:rsid w:val="00934027"/>
    <w:rsid w:val="00934D54"/>
    <w:rsid w:val="0093581B"/>
    <w:rsid w:val="00937482"/>
    <w:rsid w:val="009377EC"/>
    <w:rsid w:val="0094088A"/>
    <w:rsid w:val="00940C6D"/>
    <w:rsid w:val="00945070"/>
    <w:rsid w:val="00945751"/>
    <w:rsid w:val="00945A32"/>
    <w:rsid w:val="00946457"/>
    <w:rsid w:val="00947505"/>
    <w:rsid w:val="00947781"/>
    <w:rsid w:val="009477EC"/>
    <w:rsid w:val="00947A7E"/>
    <w:rsid w:val="009501D0"/>
    <w:rsid w:val="00951BB0"/>
    <w:rsid w:val="00952107"/>
    <w:rsid w:val="00952E6A"/>
    <w:rsid w:val="009531B4"/>
    <w:rsid w:val="00953B3D"/>
    <w:rsid w:val="00953E37"/>
    <w:rsid w:val="0095452B"/>
    <w:rsid w:val="00954AC2"/>
    <w:rsid w:val="00960012"/>
    <w:rsid w:val="00960264"/>
    <w:rsid w:val="0096039D"/>
    <w:rsid w:val="0096066F"/>
    <w:rsid w:val="00960FAD"/>
    <w:rsid w:val="00961580"/>
    <w:rsid w:val="009630E1"/>
    <w:rsid w:val="00965204"/>
    <w:rsid w:val="009657BA"/>
    <w:rsid w:val="00970527"/>
    <w:rsid w:val="00971BDA"/>
    <w:rsid w:val="00972FA8"/>
    <w:rsid w:val="00973923"/>
    <w:rsid w:val="00973A56"/>
    <w:rsid w:val="009752CA"/>
    <w:rsid w:val="0097547F"/>
    <w:rsid w:val="009800C8"/>
    <w:rsid w:val="00980A26"/>
    <w:rsid w:val="00981392"/>
    <w:rsid w:val="00981955"/>
    <w:rsid w:val="00981D2A"/>
    <w:rsid w:val="00981EF1"/>
    <w:rsid w:val="00982512"/>
    <w:rsid w:val="00982703"/>
    <w:rsid w:val="0098298F"/>
    <w:rsid w:val="00982A62"/>
    <w:rsid w:val="0098344A"/>
    <w:rsid w:val="00985CA1"/>
    <w:rsid w:val="00985E0E"/>
    <w:rsid w:val="00985EFF"/>
    <w:rsid w:val="009872D4"/>
    <w:rsid w:val="00987811"/>
    <w:rsid w:val="00987F36"/>
    <w:rsid w:val="00991113"/>
    <w:rsid w:val="009924D4"/>
    <w:rsid w:val="009941DD"/>
    <w:rsid w:val="0099454D"/>
    <w:rsid w:val="00994611"/>
    <w:rsid w:val="0099535C"/>
    <w:rsid w:val="00995716"/>
    <w:rsid w:val="00996573"/>
    <w:rsid w:val="0099779E"/>
    <w:rsid w:val="009A05A2"/>
    <w:rsid w:val="009A077B"/>
    <w:rsid w:val="009A1733"/>
    <w:rsid w:val="009A6427"/>
    <w:rsid w:val="009A6BB1"/>
    <w:rsid w:val="009A7730"/>
    <w:rsid w:val="009B007B"/>
    <w:rsid w:val="009B0292"/>
    <w:rsid w:val="009B2581"/>
    <w:rsid w:val="009B4E14"/>
    <w:rsid w:val="009B71FD"/>
    <w:rsid w:val="009B7D52"/>
    <w:rsid w:val="009C03E5"/>
    <w:rsid w:val="009C0E3E"/>
    <w:rsid w:val="009C14BF"/>
    <w:rsid w:val="009C2908"/>
    <w:rsid w:val="009C2D55"/>
    <w:rsid w:val="009C30D9"/>
    <w:rsid w:val="009C3921"/>
    <w:rsid w:val="009C492E"/>
    <w:rsid w:val="009C60E3"/>
    <w:rsid w:val="009C67E7"/>
    <w:rsid w:val="009C6878"/>
    <w:rsid w:val="009D0939"/>
    <w:rsid w:val="009D09A8"/>
    <w:rsid w:val="009D0FFE"/>
    <w:rsid w:val="009D187E"/>
    <w:rsid w:val="009D19C3"/>
    <w:rsid w:val="009D2139"/>
    <w:rsid w:val="009D305C"/>
    <w:rsid w:val="009D3982"/>
    <w:rsid w:val="009D3A7F"/>
    <w:rsid w:val="009D4AB8"/>
    <w:rsid w:val="009D557B"/>
    <w:rsid w:val="009D704D"/>
    <w:rsid w:val="009D742A"/>
    <w:rsid w:val="009E1D48"/>
    <w:rsid w:val="009E1EB2"/>
    <w:rsid w:val="009E2107"/>
    <w:rsid w:val="009E275B"/>
    <w:rsid w:val="009E296B"/>
    <w:rsid w:val="009E2DA7"/>
    <w:rsid w:val="009E4153"/>
    <w:rsid w:val="009E428C"/>
    <w:rsid w:val="009E549D"/>
    <w:rsid w:val="009E5F55"/>
    <w:rsid w:val="009E7887"/>
    <w:rsid w:val="009E7E6F"/>
    <w:rsid w:val="009F12F2"/>
    <w:rsid w:val="009F2DF6"/>
    <w:rsid w:val="009F365D"/>
    <w:rsid w:val="009F7094"/>
    <w:rsid w:val="009F776B"/>
    <w:rsid w:val="00A006FA"/>
    <w:rsid w:val="00A0111F"/>
    <w:rsid w:val="00A0149A"/>
    <w:rsid w:val="00A02F3B"/>
    <w:rsid w:val="00A0564F"/>
    <w:rsid w:val="00A06456"/>
    <w:rsid w:val="00A074DB"/>
    <w:rsid w:val="00A100B4"/>
    <w:rsid w:val="00A100F9"/>
    <w:rsid w:val="00A103BD"/>
    <w:rsid w:val="00A12DD7"/>
    <w:rsid w:val="00A137A8"/>
    <w:rsid w:val="00A138A2"/>
    <w:rsid w:val="00A20012"/>
    <w:rsid w:val="00A20445"/>
    <w:rsid w:val="00A219B1"/>
    <w:rsid w:val="00A223F0"/>
    <w:rsid w:val="00A25FDC"/>
    <w:rsid w:val="00A271A9"/>
    <w:rsid w:val="00A301E4"/>
    <w:rsid w:val="00A31FAC"/>
    <w:rsid w:val="00A32F40"/>
    <w:rsid w:val="00A3359A"/>
    <w:rsid w:val="00A33AA3"/>
    <w:rsid w:val="00A34B6A"/>
    <w:rsid w:val="00A3690E"/>
    <w:rsid w:val="00A36CD3"/>
    <w:rsid w:val="00A41839"/>
    <w:rsid w:val="00A4276C"/>
    <w:rsid w:val="00A430A3"/>
    <w:rsid w:val="00A436BB"/>
    <w:rsid w:val="00A438B4"/>
    <w:rsid w:val="00A439F4"/>
    <w:rsid w:val="00A43DEA"/>
    <w:rsid w:val="00A46C8F"/>
    <w:rsid w:val="00A47500"/>
    <w:rsid w:val="00A53198"/>
    <w:rsid w:val="00A53724"/>
    <w:rsid w:val="00A53828"/>
    <w:rsid w:val="00A571D5"/>
    <w:rsid w:val="00A601DD"/>
    <w:rsid w:val="00A607D2"/>
    <w:rsid w:val="00A60A62"/>
    <w:rsid w:val="00A61CDF"/>
    <w:rsid w:val="00A632DE"/>
    <w:rsid w:val="00A63D01"/>
    <w:rsid w:val="00A640D9"/>
    <w:rsid w:val="00A641F6"/>
    <w:rsid w:val="00A64A17"/>
    <w:rsid w:val="00A65C2D"/>
    <w:rsid w:val="00A6602E"/>
    <w:rsid w:val="00A66146"/>
    <w:rsid w:val="00A66699"/>
    <w:rsid w:val="00A66FE7"/>
    <w:rsid w:val="00A67F1A"/>
    <w:rsid w:val="00A70FE7"/>
    <w:rsid w:val="00A71621"/>
    <w:rsid w:val="00A7182F"/>
    <w:rsid w:val="00A721A0"/>
    <w:rsid w:val="00A7395B"/>
    <w:rsid w:val="00A739D7"/>
    <w:rsid w:val="00A74245"/>
    <w:rsid w:val="00A74A34"/>
    <w:rsid w:val="00A7525A"/>
    <w:rsid w:val="00A75A87"/>
    <w:rsid w:val="00A81639"/>
    <w:rsid w:val="00A8189C"/>
    <w:rsid w:val="00A81A3A"/>
    <w:rsid w:val="00A81C6C"/>
    <w:rsid w:val="00A835B0"/>
    <w:rsid w:val="00A83D84"/>
    <w:rsid w:val="00A83F26"/>
    <w:rsid w:val="00A842D3"/>
    <w:rsid w:val="00A8529B"/>
    <w:rsid w:val="00A8681B"/>
    <w:rsid w:val="00A87A17"/>
    <w:rsid w:val="00A87C30"/>
    <w:rsid w:val="00A9110A"/>
    <w:rsid w:val="00A9153B"/>
    <w:rsid w:val="00A9355F"/>
    <w:rsid w:val="00A93849"/>
    <w:rsid w:val="00A93AF1"/>
    <w:rsid w:val="00A958D7"/>
    <w:rsid w:val="00A97390"/>
    <w:rsid w:val="00A97A48"/>
    <w:rsid w:val="00AA0502"/>
    <w:rsid w:val="00AA08CE"/>
    <w:rsid w:val="00AA0A48"/>
    <w:rsid w:val="00AA2BD6"/>
    <w:rsid w:val="00AA340F"/>
    <w:rsid w:val="00AA44A2"/>
    <w:rsid w:val="00AA471E"/>
    <w:rsid w:val="00AA5EF6"/>
    <w:rsid w:val="00AA66BB"/>
    <w:rsid w:val="00AA742D"/>
    <w:rsid w:val="00AB115E"/>
    <w:rsid w:val="00AB1463"/>
    <w:rsid w:val="00AB1686"/>
    <w:rsid w:val="00AB2A04"/>
    <w:rsid w:val="00AB538C"/>
    <w:rsid w:val="00AB56EB"/>
    <w:rsid w:val="00AB71B6"/>
    <w:rsid w:val="00AB73DB"/>
    <w:rsid w:val="00AB7AB2"/>
    <w:rsid w:val="00AC1E3D"/>
    <w:rsid w:val="00AC41A0"/>
    <w:rsid w:val="00AD1D4C"/>
    <w:rsid w:val="00AD2D73"/>
    <w:rsid w:val="00AD3AC9"/>
    <w:rsid w:val="00AD3C00"/>
    <w:rsid w:val="00AD44ED"/>
    <w:rsid w:val="00AD4699"/>
    <w:rsid w:val="00AD4F80"/>
    <w:rsid w:val="00AD6647"/>
    <w:rsid w:val="00AD6E54"/>
    <w:rsid w:val="00AE51B1"/>
    <w:rsid w:val="00AE5236"/>
    <w:rsid w:val="00AE7813"/>
    <w:rsid w:val="00AF1046"/>
    <w:rsid w:val="00AF1118"/>
    <w:rsid w:val="00AF122A"/>
    <w:rsid w:val="00AF19BE"/>
    <w:rsid w:val="00AF1BF0"/>
    <w:rsid w:val="00AF2ACF"/>
    <w:rsid w:val="00AF3464"/>
    <w:rsid w:val="00AF4B25"/>
    <w:rsid w:val="00AF4CED"/>
    <w:rsid w:val="00AF5330"/>
    <w:rsid w:val="00AF5928"/>
    <w:rsid w:val="00AF599C"/>
    <w:rsid w:val="00AF5E9C"/>
    <w:rsid w:val="00AF6E22"/>
    <w:rsid w:val="00B00D01"/>
    <w:rsid w:val="00B01DF8"/>
    <w:rsid w:val="00B02DBB"/>
    <w:rsid w:val="00B03627"/>
    <w:rsid w:val="00B03CDC"/>
    <w:rsid w:val="00B03F82"/>
    <w:rsid w:val="00B043B1"/>
    <w:rsid w:val="00B0495D"/>
    <w:rsid w:val="00B05A85"/>
    <w:rsid w:val="00B06EAC"/>
    <w:rsid w:val="00B109A5"/>
    <w:rsid w:val="00B1101C"/>
    <w:rsid w:val="00B11279"/>
    <w:rsid w:val="00B12389"/>
    <w:rsid w:val="00B1293A"/>
    <w:rsid w:val="00B13216"/>
    <w:rsid w:val="00B14478"/>
    <w:rsid w:val="00B14BD7"/>
    <w:rsid w:val="00B14D4F"/>
    <w:rsid w:val="00B150E3"/>
    <w:rsid w:val="00B15F94"/>
    <w:rsid w:val="00B1637A"/>
    <w:rsid w:val="00B16DAB"/>
    <w:rsid w:val="00B16E1D"/>
    <w:rsid w:val="00B209CB"/>
    <w:rsid w:val="00B20ABA"/>
    <w:rsid w:val="00B21541"/>
    <w:rsid w:val="00B2365B"/>
    <w:rsid w:val="00B246BC"/>
    <w:rsid w:val="00B24A13"/>
    <w:rsid w:val="00B2555E"/>
    <w:rsid w:val="00B25842"/>
    <w:rsid w:val="00B26298"/>
    <w:rsid w:val="00B2676D"/>
    <w:rsid w:val="00B26B39"/>
    <w:rsid w:val="00B27050"/>
    <w:rsid w:val="00B27CAA"/>
    <w:rsid w:val="00B34400"/>
    <w:rsid w:val="00B3557A"/>
    <w:rsid w:val="00B37AD0"/>
    <w:rsid w:val="00B409B1"/>
    <w:rsid w:val="00B40A53"/>
    <w:rsid w:val="00B40CBA"/>
    <w:rsid w:val="00B414EA"/>
    <w:rsid w:val="00B41739"/>
    <w:rsid w:val="00B4188D"/>
    <w:rsid w:val="00B41B19"/>
    <w:rsid w:val="00B42F25"/>
    <w:rsid w:val="00B434A8"/>
    <w:rsid w:val="00B4414A"/>
    <w:rsid w:val="00B4653A"/>
    <w:rsid w:val="00B46711"/>
    <w:rsid w:val="00B478A4"/>
    <w:rsid w:val="00B503D1"/>
    <w:rsid w:val="00B52034"/>
    <w:rsid w:val="00B527B9"/>
    <w:rsid w:val="00B53250"/>
    <w:rsid w:val="00B57270"/>
    <w:rsid w:val="00B600C2"/>
    <w:rsid w:val="00B60242"/>
    <w:rsid w:val="00B609FF"/>
    <w:rsid w:val="00B61AD2"/>
    <w:rsid w:val="00B625E3"/>
    <w:rsid w:val="00B62A74"/>
    <w:rsid w:val="00B637E6"/>
    <w:rsid w:val="00B644E8"/>
    <w:rsid w:val="00B65CDA"/>
    <w:rsid w:val="00B72111"/>
    <w:rsid w:val="00B723EE"/>
    <w:rsid w:val="00B726F6"/>
    <w:rsid w:val="00B727AE"/>
    <w:rsid w:val="00B739A3"/>
    <w:rsid w:val="00B75D21"/>
    <w:rsid w:val="00B76DAA"/>
    <w:rsid w:val="00B77692"/>
    <w:rsid w:val="00B779B7"/>
    <w:rsid w:val="00B80523"/>
    <w:rsid w:val="00B80C21"/>
    <w:rsid w:val="00B80F08"/>
    <w:rsid w:val="00B8123C"/>
    <w:rsid w:val="00B8211D"/>
    <w:rsid w:val="00B82CEE"/>
    <w:rsid w:val="00B837D0"/>
    <w:rsid w:val="00B83B1B"/>
    <w:rsid w:val="00B841F7"/>
    <w:rsid w:val="00B849D5"/>
    <w:rsid w:val="00B84A3A"/>
    <w:rsid w:val="00B84C26"/>
    <w:rsid w:val="00B86387"/>
    <w:rsid w:val="00B876E4"/>
    <w:rsid w:val="00B87B7E"/>
    <w:rsid w:val="00B903F4"/>
    <w:rsid w:val="00B9074D"/>
    <w:rsid w:val="00B91E1A"/>
    <w:rsid w:val="00B91FA7"/>
    <w:rsid w:val="00B92C78"/>
    <w:rsid w:val="00B9351E"/>
    <w:rsid w:val="00B93C42"/>
    <w:rsid w:val="00B95138"/>
    <w:rsid w:val="00B95614"/>
    <w:rsid w:val="00B95EE5"/>
    <w:rsid w:val="00B968F5"/>
    <w:rsid w:val="00B97D90"/>
    <w:rsid w:val="00BA0DD5"/>
    <w:rsid w:val="00BA1AE7"/>
    <w:rsid w:val="00BA1FE2"/>
    <w:rsid w:val="00BA2433"/>
    <w:rsid w:val="00BA3007"/>
    <w:rsid w:val="00BA333C"/>
    <w:rsid w:val="00BA427F"/>
    <w:rsid w:val="00BA47F4"/>
    <w:rsid w:val="00BA4E64"/>
    <w:rsid w:val="00BA546F"/>
    <w:rsid w:val="00BA5E16"/>
    <w:rsid w:val="00BA6497"/>
    <w:rsid w:val="00BA7F29"/>
    <w:rsid w:val="00BB0978"/>
    <w:rsid w:val="00BB1DA9"/>
    <w:rsid w:val="00BB1EB7"/>
    <w:rsid w:val="00BB2B16"/>
    <w:rsid w:val="00BB3254"/>
    <w:rsid w:val="00BB42E3"/>
    <w:rsid w:val="00BB538F"/>
    <w:rsid w:val="00BB55B5"/>
    <w:rsid w:val="00BB5E6C"/>
    <w:rsid w:val="00BB6108"/>
    <w:rsid w:val="00BB6982"/>
    <w:rsid w:val="00BB6C64"/>
    <w:rsid w:val="00BC30A2"/>
    <w:rsid w:val="00BC35EB"/>
    <w:rsid w:val="00BC40FE"/>
    <w:rsid w:val="00BC499A"/>
    <w:rsid w:val="00BC5683"/>
    <w:rsid w:val="00BC617A"/>
    <w:rsid w:val="00BC6651"/>
    <w:rsid w:val="00BC6AFE"/>
    <w:rsid w:val="00BC77CA"/>
    <w:rsid w:val="00BC782C"/>
    <w:rsid w:val="00BD0771"/>
    <w:rsid w:val="00BD0CAB"/>
    <w:rsid w:val="00BD0DD0"/>
    <w:rsid w:val="00BD0FE8"/>
    <w:rsid w:val="00BD1DD7"/>
    <w:rsid w:val="00BD28DB"/>
    <w:rsid w:val="00BD309C"/>
    <w:rsid w:val="00BD3105"/>
    <w:rsid w:val="00BD3F23"/>
    <w:rsid w:val="00BD5E23"/>
    <w:rsid w:val="00BD6393"/>
    <w:rsid w:val="00BD68C1"/>
    <w:rsid w:val="00BE0081"/>
    <w:rsid w:val="00BE11D7"/>
    <w:rsid w:val="00BE17E9"/>
    <w:rsid w:val="00BE1CD2"/>
    <w:rsid w:val="00BE30BB"/>
    <w:rsid w:val="00BE37EF"/>
    <w:rsid w:val="00BE460C"/>
    <w:rsid w:val="00BE4D88"/>
    <w:rsid w:val="00BE514D"/>
    <w:rsid w:val="00BE5224"/>
    <w:rsid w:val="00BE5F08"/>
    <w:rsid w:val="00BE6924"/>
    <w:rsid w:val="00BE6E5C"/>
    <w:rsid w:val="00BE6FB2"/>
    <w:rsid w:val="00BE7C95"/>
    <w:rsid w:val="00BF0B0C"/>
    <w:rsid w:val="00BF1110"/>
    <w:rsid w:val="00BF1DA4"/>
    <w:rsid w:val="00BF4920"/>
    <w:rsid w:val="00BF64EB"/>
    <w:rsid w:val="00BF73B6"/>
    <w:rsid w:val="00C00E31"/>
    <w:rsid w:val="00C02048"/>
    <w:rsid w:val="00C0395B"/>
    <w:rsid w:val="00C05119"/>
    <w:rsid w:val="00C05F2C"/>
    <w:rsid w:val="00C06081"/>
    <w:rsid w:val="00C07577"/>
    <w:rsid w:val="00C07B3F"/>
    <w:rsid w:val="00C07C57"/>
    <w:rsid w:val="00C11A3E"/>
    <w:rsid w:val="00C12E25"/>
    <w:rsid w:val="00C134DC"/>
    <w:rsid w:val="00C156CF"/>
    <w:rsid w:val="00C16551"/>
    <w:rsid w:val="00C16A53"/>
    <w:rsid w:val="00C173B8"/>
    <w:rsid w:val="00C17807"/>
    <w:rsid w:val="00C17BE3"/>
    <w:rsid w:val="00C21231"/>
    <w:rsid w:val="00C2198F"/>
    <w:rsid w:val="00C221D9"/>
    <w:rsid w:val="00C226E0"/>
    <w:rsid w:val="00C226FC"/>
    <w:rsid w:val="00C22DBF"/>
    <w:rsid w:val="00C22F50"/>
    <w:rsid w:val="00C23E3A"/>
    <w:rsid w:val="00C24B7B"/>
    <w:rsid w:val="00C2503B"/>
    <w:rsid w:val="00C25841"/>
    <w:rsid w:val="00C25DFB"/>
    <w:rsid w:val="00C27BCB"/>
    <w:rsid w:val="00C30DBF"/>
    <w:rsid w:val="00C345C5"/>
    <w:rsid w:val="00C352D0"/>
    <w:rsid w:val="00C374EA"/>
    <w:rsid w:val="00C410F0"/>
    <w:rsid w:val="00C41821"/>
    <w:rsid w:val="00C419D6"/>
    <w:rsid w:val="00C43053"/>
    <w:rsid w:val="00C453AD"/>
    <w:rsid w:val="00C4541D"/>
    <w:rsid w:val="00C4621C"/>
    <w:rsid w:val="00C46CF7"/>
    <w:rsid w:val="00C470E5"/>
    <w:rsid w:val="00C505A0"/>
    <w:rsid w:val="00C50C43"/>
    <w:rsid w:val="00C51E0D"/>
    <w:rsid w:val="00C5269A"/>
    <w:rsid w:val="00C52750"/>
    <w:rsid w:val="00C52B4B"/>
    <w:rsid w:val="00C52BDB"/>
    <w:rsid w:val="00C5321A"/>
    <w:rsid w:val="00C54961"/>
    <w:rsid w:val="00C54A94"/>
    <w:rsid w:val="00C550A8"/>
    <w:rsid w:val="00C57DC2"/>
    <w:rsid w:val="00C619A1"/>
    <w:rsid w:val="00C61E0E"/>
    <w:rsid w:val="00C6243D"/>
    <w:rsid w:val="00C6317A"/>
    <w:rsid w:val="00C631B2"/>
    <w:rsid w:val="00C632F3"/>
    <w:rsid w:val="00C6373E"/>
    <w:rsid w:val="00C65DC4"/>
    <w:rsid w:val="00C666A6"/>
    <w:rsid w:val="00C666E9"/>
    <w:rsid w:val="00C66C09"/>
    <w:rsid w:val="00C701D5"/>
    <w:rsid w:val="00C716DC"/>
    <w:rsid w:val="00C7353E"/>
    <w:rsid w:val="00C7364D"/>
    <w:rsid w:val="00C74D5F"/>
    <w:rsid w:val="00C7542A"/>
    <w:rsid w:val="00C7573F"/>
    <w:rsid w:val="00C75DD4"/>
    <w:rsid w:val="00C761BE"/>
    <w:rsid w:val="00C7656B"/>
    <w:rsid w:val="00C76DE1"/>
    <w:rsid w:val="00C80F5D"/>
    <w:rsid w:val="00C8107E"/>
    <w:rsid w:val="00C8193C"/>
    <w:rsid w:val="00C81BF6"/>
    <w:rsid w:val="00C82CC2"/>
    <w:rsid w:val="00C83C02"/>
    <w:rsid w:val="00C83CD4"/>
    <w:rsid w:val="00C84641"/>
    <w:rsid w:val="00C84C40"/>
    <w:rsid w:val="00C876A9"/>
    <w:rsid w:val="00C87AA2"/>
    <w:rsid w:val="00C902BD"/>
    <w:rsid w:val="00C902CD"/>
    <w:rsid w:val="00C90E61"/>
    <w:rsid w:val="00C94915"/>
    <w:rsid w:val="00C94FEB"/>
    <w:rsid w:val="00C9571A"/>
    <w:rsid w:val="00C960E2"/>
    <w:rsid w:val="00C972AD"/>
    <w:rsid w:val="00C97432"/>
    <w:rsid w:val="00C97FB4"/>
    <w:rsid w:val="00CA00E6"/>
    <w:rsid w:val="00CA0C7F"/>
    <w:rsid w:val="00CA1F64"/>
    <w:rsid w:val="00CA3D8E"/>
    <w:rsid w:val="00CA47F7"/>
    <w:rsid w:val="00CA4F24"/>
    <w:rsid w:val="00CA5B3C"/>
    <w:rsid w:val="00CA7A02"/>
    <w:rsid w:val="00CB081A"/>
    <w:rsid w:val="00CB221A"/>
    <w:rsid w:val="00CB36AE"/>
    <w:rsid w:val="00CB4B12"/>
    <w:rsid w:val="00CB4E56"/>
    <w:rsid w:val="00CB51AE"/>
    <w:rsid w:val="00CB53E2"/>
    <w:rsid w:val="00CB6559"/>
    <w:rsid w:val="00CB7D82"/>
    <w:rsid w:val="00CB7FE3"/>
    <w:rsid w:val="00CC1866"/>
    <w:rsid w:val="00CC1A48"/>
    <w:rsid w:val="00CC22FA"/>
    <w:rsid w:val="00CC4E00"/>
    <w:rsid w:val="00CC50CC"/>
    <w:rsid w:val="00CC7093"/>
    <w:rsid w:val="00CC7DB3"/>
    <w:rsid w:val="00CD0689"/>
    <w:rsid w:val="00CD09F0"/>
    <w:rsid w:val="00CD136F"/>
    <w:rsid w:val="00CD1573"/>
    <w:rsid w:val="00CD160C"/>
    <w:rsid w:val="00CD377E"/>
    <w:rsid w:val="00CD506E"/>
    <w:rsid w:val="00CD5445"/>
    <w:rsid w:val="00CD56C6"/>
    <w:rsid w:val="00CD597C"/>
    <w:rsid w:val="00CE1E16"/>
    <w:rsid w:val="00CE27D8"/>
    <w:rsid w:val="00CE3D36"/>
    <w:rsid w:val="00CE3FF6"/>
    <w:rsid w:val="00CE5DD3"/>
    <w:rsid w:val="00CE67BF"/>
    <w:rsid w:val="00CE723F"/>
    <w:rsid w:val="00CF046D"/>
    <w:rsid w:val="00CF0D85"/>
    <w:rsid w:val="00CF2A66"/>
    <w:rsid w:val="00CF39A8"/>
    <w:rsid w:val="00CF3AD0"/>
    <w:rsid w:val="00CF4F33"/>
    <w:rsid w:val="00CF54DB"/>
    <w:rsid w:val="00CF5764"/>
    <w:rsid w:val="00CF5831"/>
    <w:rsid w:val="00CF5993"/>
    <w:rsid w:val="00CF5AAC"/>
    <w:rsid w:val="00CF6058"/>
    <w:rsid w:val="00CF6383"/>
    <w:rsid w:val="00CF7944"/>
    <w:rsid w:val="00D019A7"/>
    <w:rsid w:val="00D02B95"/>
    <w:rsid w:val="00D02F43"/>
    <w:rsid w:val="00D03DD9"/>
    <w:rsid w:val="00D04DFE"/>
    <w:rsid w:val="00D05DEE"/>
    <w:rsid w:val="00D063F7"/>
    <w:rsid w:val="00D06CDA"/>
    <w:rsid w:val="00D07880"/>
    <w:rsid w:val="00D07F8F"/>
    <w:rsid w:val="00D103E7"/>
    <w:rsid w:val="00D10877"/>
    <w:rsid w:val="00D11AA3"/>
    <w:rsid w:val="00D12BFE"/>
    <w:rsid w:val="00D15468"/>
    <w:rsid w:val="00D15752"/>
    <w:rsid w:val="00D15816"/>
    <w:rsid w:val="00D15C60"/>
    <w:rsid w:val="00D16563"/>
    <w:rsid w:val="00D16E1D"/>
    <w:rsid w:val="00D17DCB"/>
    <w:rsid w:val="00D17FF7"/>
    <w:rsid w:val="00D2046C"/>
    <w:rsid w:val="00D20BCB"/>
    <w:rsid w:val="00D2148A"/>
    <w:rsid w:val="00D2350D"/>
    <w:rsid w:val="00D238DD"/>
    <w:rsid w:val="00D249B3"/>
    <w:rsid w:val="00D24BF6"/>
    <w:rsid w:val="00D25831"/>
    <w:rsid w:val="00D25C01"/>
    <w:rsid w:val="00D25CA2"/>
    <w:rsid w:val="00D310C7"/>
    <w:rsid w:val="00D3328F"/>
    <w:rsid w:val="00D332E6"/>
    <w:rsid w:val="00D348F8"/>
    <w:rsid w:val="00D3542E"/>
    <w:rsid w:val="00D3580B"/>
    <w:rsid w:val="00D35C59"/>
    <w:rsid w:val="00D376A3"/>
    <w:rsid w:val="00D3788E"/>
    <w:rsid w:val="00D4032F"/>
    <w:rsid w:val="00D41219"/>
    <w:rsid w:val="00D4165B"/>
    <w:rsid w:val="00D41B54"/>
    <w:rsid w:val="00D4336F"/>
    <w:rsid w:val="00D439C6"/>
    <w:rsid w:val="00D444B4"/>
    <w:rsid w:val="00D4454D"/>
    <w:rsid w:val="00D445EB"/>
    <w:rsid w:val="00D45225"/>
    <w:rsid w:val="00D459FD"/>
    <w:rsid w:val="00D45D10"/>
    <w:rsid w:val="00D466FE"/>
    <w:rsid w:val="00D4694D"/>
    <w:rsid w:val="00D478F6"/>
    <w:rsid w:val="00D50B32"/>
    <w:rsid w:val="00D51275"/>
    <w:rsid w:val="00D51A4B"/>
    <w:rsid w:val="00D5252E"/>
    <w:rsid w:val="00D53E59"/>
    <w:rsid w:val="00D543EE"/>
    <w:rsid w:val="00D549DF"/>
    <w:rsid w:val="00D55FC5"/>
    <w:rsid w:val="00D5610A"/>
    <w:rsid w:val="00D57769"/>
    <w:rsid w:val="00D57E97"/>
    <w:rsid w:val="00D60640"/>
    <w:rsid w:val="00D60696"/>
    <w:rsid w:val="00D6171A"/>
    <w:rsid w:val="00D62571"/>
    <w:rsid w:val="00D62772"/>
    <w:rsid w:val="00D627D6"/>
    <w:rsid w:val="00D63243"/>
    <w:rsid w:val="00D6369B"/>
    <w:rsid w:val="00D64BCA"/>
    <w:rsid w:val="00D64E02"/>
    <w:rsid w:val="00D65D8F"/>
    <w:rsid w:val="00D661C1"/>
    <w:rsid w:val="00D66213"/>
    <w:rsid w:val="00D66651"/>
    <w:rsid w:val="00D6666C"/>
    <w:rsid w:val="00D6687A"/>
    <w:rsid w:val="00D70AD7"/>
    <w:rsid w:val="00D747DD"/>
    <w:rsid w:val="00D74CB9"/>
    <w:rsid w:val="00D74F45"/>
    <w:rsid w:val="00D75966"/>
    <w:rsid w:val="00D7609D"/>
    <w:rsid w:val="00D77325"/>
    <w:rsid w:val="00D77E4B"/>
    <w:rsid w:val="00D829EA"/>
    <w:rsid w:val="00D837D8"/>
    <w:rsid w:val="00D83DC3"/>
    <w:rsid w:val="00D86121"/>
    <w:rsid w:val="00D864E7"/>
    <w:rsid w:val="00D90774"/>
    <w:rsid w:val="00D91640"/>
    <w:rsid w:val="00D93A00"/>
    <w:rsid w:val="00D963B9"/>
    <w:rsid w:val="00D965C9"/>
    <w:rsid w:val="00D976C8"/>
    <w:rsid w:val="00D97C25"/>
    <w:rsid w:val="00DA00C7"/>
    <w:rsid w:val="00DA076A"/>
    <w:rsid w:val="00DA0778"/>
    <w:rsid w:val="00DA0A45"/>
    <w:rsid w:val="00DA1322"/>
    <w:rsid w:val="00DA2042"/>
    <w:rsid w:val="00DA2460"/>
    <w:rsid w:val="00DA283A"/>
    <w:rsid w:val="00DA3058"/>
    <w:rsid w:val="00DA3648"/>
    <w:rsid w:val="00DA3800"/>
    <w:rsid w:val="00DA6FC3"/>
    <w:rsid w:val="00DA7837"/>
    <w:rsid w:val="00DA7B12"/>
    <w:rsid w:val="00DA7D32"/>
    <w:rsid w:val="00DB0929"/>
    <w:rsid w:val="00DB129A"/>
    <w:rsid w:val="00DB1B9A"/>
    <w:rsid w:val="00DB2707"/>
    <w:rsid w:val="00DB37F9"/>
    <w:rsid w:val="00DB3D2D"/>
    <w:rsid w:val="00DB43F7"/>
    <w:rsid w:val="00DB521E"/>
    <w:rsid w:val="00DB6189"/>
    <w:rsid w:val="00DB72CB"/>
    <w:rsid w:val="00DB7475"/>
    <w:rsid w:val="00DC00E0"/>
    <w:rsid w:val="00DC0531"/>
    <w:rsid w:val="00DC08E5"/>
    <w:rsid w:val="00DC0EF4"/>
    <w:rsid w:val="00DC1678"/>
    <w:rsid w:val="00DC2372"/>
    <w:rsid w:val="00DC23F8"/>
    <w:rsid w:val="00DC3DA8"/>
    <w:rsid w:val="00DC4132"/>
    <w:rsid w:val="00DC49D9"/>
    <w:rsid w:val="00DC4D2B"/>
    <w:rsid w:val="00DC57E2"/>
    <w:rsid w:val="00DC70AF"/>
    <w:rsid w:val="00DC747B"/>
    <w:rsid w:val="00DC7518"/>
    <w:rsid w:val="00DC7AFF"/>
    <w:rsid w:val="00DC7BDB"/>
    <w:rsid w:val="00DD0406"/>
    <w:rsid w:val="00DD0A99"/>
    <w:rsid w:val="00DD1FDB"/>
    <w:rsid w:val="00DD297E"/>
    <w:rsid w:val="00DD4221"/>
    <w:rsid w:val="00DD5728"/>
    <w:rsid w:val="00DD5BC9"/>
    <w:rsid w:val="00DD6FDF"/>
    <w:rsid w:val="00DE08EA"/>
    <w:rsid w:val="00DE1DE2"/>
    <w:rsid w:val="00DE265E"/>
    <w:rsid w:val="00DE2C80"/>
    <w:rsid w:val="00DE43F6"/>
    <w:rsid w:val="00DE4872"/>
    <w:rsid w:val="00DE4FD5"/>
    <w:rsid w:val="00DE5AE1"/>
    <w:rsid w:val="00DE6E02"/>
    <w:rsid w:val="00DE72A2"/>
    <w:rsid w:val="00DE7882"/>
    <w:rsid w:val="00DE7A53"/>
    <w:rsid w:val="00DE7B01"/>
    <w:rsid w:val="00DF0866"/>
    <w:rsid w:val="00DF0D1D"/>
    <w:rsid w:val="00DF0D4D"/>
    <w:rsid w:val="00DF13D3"/>
    <w:rsid w:val="00DF3709"/>
    <w:rsid w:val="00DF3F21"/>
    <w:rsid w:val="00DF4A4E"/>
    <w:rsid w:val="00DF4BE6"/>
    <w:rsid w:val="00DF52CA"/>
    <w:rsid w:val="00DF5E94"/>
    <w:rsid w:val="00DF68FD"/>
    <w:rsid w:val="00DF780E"/>
    <w:rsid w:val="00E00B98"/>
    <w:rsid w:val="00E0163F"/>
    <w:rsid w:val="00E0364D"/>
    <w:rsid w:val="00E0496D"/>
    <w:rsid w:val="00E058A4"/>
    <w:rsid w:val="00E05B75"/>
    <w:rsid w:val="00E06175"/>
    <w:rsid w:val="00E0622F"/>
    <w:rsid w:val="00E07535"/>
    <w:rsid w:val="00E07EF5"/>
    <w:rsid w:val="00E10721"/>
    <w:rsid w:val="00E11240"/>
    <w:rsid w:val="00E113B8"/>
    <w:rsid w:val="00E113C8"/>
    <w:rsid w:val="00E12916"/>
    <w:rsid w:val="00E13C52"/>
    <w:rsid w:val="00E13EA2"/>
    <w:rsid w:val="00E15525"/>
    <w:rsid w:val="00E1563A"/>
    <w:rsid w:val="00E1615C"/>
    <w:rsid w:val="00E16E90"/>
    <w:rsid w:val="00E17BB7"/>
    <w:rsid w:val="00E203DC"/>
    <w:rsid w:val="00E216B7"/>
    <w:rsid w:val="00E21A8E"/>
    <w:rsid w:val="00E22BDB"/>
    <w:rsid w:val="00E25206"/>
    <w:rsid w:val="00E255FE"/>
    <w:rsid w:val="00E25CC3"/>
    <w:rsid w:val="00E2712D"/>
    <w:rsid w:val="00E278B7"/>
    <w:rsid w:val="00E27E50"/>
    <w:rsid w:val="00E30E35"/>
    <w:rsid w:val="00E313E7"/>
    <w:rsid w:val="00E315DD"/>
    <w:rsid w:val="00E33193"/>
    <w:rsid w:val="00E343DE"/>
    <w:rsid w:val="00E35900"/>
    <w:rsid w:val="00E3624B"/>
    <w:rsid w:val="00E3708E"/>
    <w:rsid w:val="00E41085"/>
    <w:rsid w:val="00E41B66"/>
    <w:rsid w:val="00E41BCF"/>
    <w:rsid w:val="00E42C1A"/>
    <w:rsid w:val="00E44530"/>
    <w:rsid w:val="00E449F4"/>
    <w:rsid w:val="00E45F6F"/>
    <w:rsid w:val="00E4627D"/>
    <w:rsid w:val="00E4697F"/>
    <w:rsid w:val="00E472DC"/>
    <w:rsid w:val="00E47E67"/>
    <w:rsid w:val="00E503B2"/>
    <w:rsid w:val="00E507ED"/>
    <w:rsid w:val="00E5109A"/>
    <w:rsid w:val="00E51642"/>
    <w:rsid w:val="00E54302"/>
    <w:rsid w:val="00E55F37"/>
    <w:rsid w:val="00E5612A"/>
    <w:rsid w:val="00E568CD"/>
    <w:rsid w:val="00E5723D"/>
    <w:rsid w:val="00E57E34"/>
    <w:rsid w:val="00E6101A"/>
    <w:rsid w:val="00E61B30"/>
    <w:rsid w:val="00E6235B"/>
    <w:rsid w:val="00E62FA9"/>
    <w:rsid w:val="00E63429"/>
    <w:rsid w:val="00E6433D"/>
    <w:rsid w:val="00E66146"/>
    <w:rsid w:val="00E670BA"/>
    <w:rsid w:val="00E71AA6"/>
    <w:rsid w:val="00E72861"/>
    <w:rsid w:val="00E73839"/>
    <w:rsid w:val="00E73FDF"/>
    <w:rsid w:val="00E742B2"/>
    <w:rsid w:val="00E748A5"/>
    <w:rsid w:val="00E74CF9"/>
    <w:rsid w:val="00E76186"/>
    <w:rsid w:val="00E7624B"/>
    <w:rsid w:val="00E76A40"/>
    <w:rsid w:val="00E774B7"/>
    <w:rsid w:val="00E80DEE"/>
    <w:rsid w:val="00E8191D"/>
    <w:rsid w:val="00E8258F"/>
    <w:rsid w:val="00E83857"/>
    <w:rsid w:val="00E86E93"/>
    <w:rsid w:val="00E86EDB"/>
    <w:rsid w:val="00E8719E"/>
    <w:rsid w:val="00E87558"/>
    <w:rsid w:val="00E920B1"/>
    <w:rsid w:val="00E921CF"/>
    <w:rsid w:val="00E92950"/>
    <w:rsid w:val="00E93B47"/>
    <w:rsid w:val="00E95E72"/>
    <w:rsid w:val="00E97A6D"/>
    <w:rsid w:val="00EA178B"/>
    <w:rsid w:val="00EA189B"/>
    <w:rsid w:val="00EA1C8E"/>
    <w:rsid w:val="00EA2082"/>
    <w:rsid w:val="00EA2867"/>
    <w:rsid w:val="00EA2B02"/>
    <w:rsid w:val="00EA434F"/>
    <w:rsid w:val="00EA6110"/>
    <w:rsid w:val="00EA6304"/>
    <w:rsid w:val="00EA793C"/>
    <w:rsid w:val="00EA7CA3"/>
    <w:rsid w:val="00EA7EB3"/>
    <w:rsid w:val="00EB02E0"/>
    <w:rsid w:val="00EB33DD"/>
    <w:rsid w:val="00EB4B66"/>
    <w:rsid w:val="00EB4B9F"/>
    <w:rsid w:val="00EB5585"/>
    <w:rsid w:val="00EB56A2"/>
    <w:rsid w:val="00EB5A5D"/>
    <w:rsid w:val="00EB7CDC"/>
    <w:rsid w:val="00EC24C2"/>
    <w:rsid w:val="00EC3CC7"/>
    <w:rsid w:val="00EC4DFD"/>
    <w:rsid w:val="00EC5554"/>
    <w:rsid w:val="00EC61CF"/>
    <w:rsid w:val="00EC6D4F"/>
    <w:rsid w:val="00ED2357"/>
    <w:rsid w:val="00ED2F30"/>
    <w:rsid w:val="00ED32E4"/>
    <w:rsid w:val="00ED3874"/>
    <w:rsid w:val="00ED3879"/>
    <w:rsid w:val="00ED560B"/>
    <w:rsid w:val="00ED6E20"/>
    <w:rsid w:val="00ED7330"/>
    <w:rsid w:val="00ED7AC2"/>
    <w:rsid w:val="00ED7ADD"/>
    <w:rsid w:val="00EE0B9F"/>
    <w:rsid w:val="00EE1530"/>
    <w:rsid w:val="00EE2358"/>
    <w:rsid w:val="00EE25CD"/>
    <w:rsid w:val="00EE3E36"/>
    <w:rsid w:val="00EE484D"/>
    <w:rsid w:val="00EE4883"/>
    <w:rsid w:val="00EE55C9"/>
    <w:rsid w:val="00EE64FA"/>
    <w:rsid w:val="00EE6690"/>
    <w:rsid w:val="00EE72AA"/>
    <w:rsid w:val="00EE7A65"/>
    <w:rsid w:val="00EF0694"/>
    <w:rsid w:val="00EF13DE"/>
    <w:rsid w:val="00EF28A2"/>
    <w:rsid w:val="00EF3167"/>
    <w:rsid w:val="00EF3225"/>
    <w:rsid w:val="00EF3435"/>
    <w:rsid w:val="00EF4289"/>
    <w:rsid w:val="00EF48CA"/>
    <w:rsid w:val="00EF6ACF"/>
    <w:rsid w:val="00EF6AF4"/>
    <w:rsid w:val="00EF7122"/>
    <w:rsid w:val="00F00F9F"/>
    <w:rsid w:val="00F010E6"/>
    <w:rsid w:val="00F01733"/>
    <w:rsid w:val="00F01F51"/>
    <w:rsid w:val="00F02F5C"/>
    <w:rsid w:val="00F030C1"/>
    <w:rsid w:val="00F043B7"/>
    <w:rsid w:val="00F05E04"/>
    <w:rsid w:val="00F06B20"/>
    <w:rsid w:val="00F10734"/>
    <w:rsid w:val="00F11E75"/>
    <w:rsid w:val="00F1207B"/>
    <w:rsid w:val="00F133D3"/>
    <w:rsid w:val="00F1447F"/>
    <w:rsid w:val="00F1554C"/>
    <w:rsid w:val="00F15ABF"/>
    <w:rsid w:val="00F175F2"/>
    <w:rsid w:val="00F17756"/>
    <w:rsid w:val="00F20787"/>
    <w:rsid w:val="00F20C45"/>
    <w:rsid w:val="00F20D04"/>
    <w:rsid w:val="00F21423"/>
    <w:rsid w:val="00F2192E"/>
    <w:rsid w:val="00F21D45"/>
    <w:rsid w:val="00F22533"/>
    <w:rsid w:val="00F22926"/>
    <w:rsid w:val="00F234D0"/>
    <w:rsid w:val="00F23F25"/>
    <w:rsid w:val="00F23FA9"/>
    <w:rsid w:val="00F26D61"/>
    <w:rsid w:val="00F3092B"/>
    <w:rsid w:val="00F30CFC"/>
    <w:rsid w:val="00F30E58"/>
    <w:rsid w:val="00F3376D"/>
    <w:rsid w:val="00F33900"/>
    <w:rsid w:val="00F33BB5"/>
    <w:rsid w:val="00F33FA7"/>
    <w:rsid w:val="00F34994"/>
    <w:rsid w:val="00F34A52"/>
    <w:rsid w:val="00F37EC2"/>
    <w:rsid w:val="00F40124"/>
    <w:rsid w:val="00F401CD"/>
    <w:rsid w:val="00F408DD"/>
    <w:rsid w:val="00F40E46"/>
    <w:rsid w:val="00F415E0"/>
    <w:rsid w:val="00F4187F"/>
    <w:rsid w:val="00F4474D"/>
    <w:rsid w:val="00F45C4F"/>
    <w:rsid w:val="00F46FE8"/>
    <w:rsid w:val="00F47D00"/>
    <w:rsid w:val="00F542E1"/>
    <w:rsid w:val="00F5473E"/>
    <w:rsid w:val="00F54BE3"/>
    <w:rsid w:val="00F55007"/>
    <w:rsid w:val="00F56A74"/>
    <w:rsid w:val="00F572F5"/>
    <w:rsid w:val="00F57ACA"/>
    <w:rsid w:val="00F6003A"/>
    <w:rsid w:val="00F60510"/>
    <w:rsid w:val="00F611CD"/>
    <w:rsid w:val="00F61A58"/>
    <w:rsid w:val="00F61EFB"/>
    <w:rsid w:val="00F61F48"/>
    <w:rsid w:val="00F62224"/>
    <w:rsid w:val="00F62AC4"/>
    <w:rsid w:val="00F65B80"/>
    <w:rsid w:val="00F6683F"/>
    <w:rsid w:val="00F673DF"/>
    <w:rsid w:val="00F7066E"/>
    <w:rsid w:val="00F718AE"/>
    <w:rsid w:val="00F7400C"/>
    <w:rsid w:val="00F740C3"/>
    <w:rsid w:val="00F745DC"/>
    <w:rsid w:val="00F75C5B"/>
    <w:rsid w:val="00F76651"/>
    <w:rsid w:val="00F7707A"/>
    <w:rsid w:val="00F80605"/>
    <w:rsid w:val="00F8156D"/>
    <w:rsid w:val="00F816A9"/>
    <w:rsid w:val="00F81803"/>
    <w:rsid w:val="00F819A8"/>
    <w:rsid w:val="00F821F7"/>
    <w:rsid w:val="00F8265B"/>
    <w:rsid w:val="00F835F7"/>
    <w:rsid w:val="00F8387C"/>
    <w:rsid w:val="00F84028"/>
    <w:rsid w:val="00F8428F"/>
    <w:rsid w:val="00F849FB"/>
    <w:rsid w:val="00F86026"/>
    <w:rsid w:val="00F86F99"/>
    <w:rsid w:val="00F87CED"/>
    <w:rsid w:val="00F905AB"/>
    <w:rsid w:val="00F91320"/>
    <w:rsid w:val="00F91343"/>
    <w:rsid w:val="00F92CE9"/>
    <w:rsid w:val="00F92E19"/>
    <w:rsid w:val="00F93660"/>
    <w:rsid w:val="00F93996"/>
    <w:rsid w:val="00F93F95"/>
    <w:rsid w:val="00F948C1"/>
    <w:rsid w:val="00F94ADD"/>
    <w:rsid w:val="00F954BC"/>
    <w:rsid w:val="00F972A0"/>
    <w:rsid w:val="00F972E3"/>
    <w:rsid w:val="00F97351"/>
    <w:rsid w:val="00F979A4"/>
    <w:rsid w:val="00F97A08"/>
    <w:rsid w:val="00FA0818"/>
    <w:rsid w:val="00FA0FDF"/>
    <w:rsid w:val="00FA1245"/>
    <w:rsid w:val="00FA4732"/>
    <w:rsid w:val="00FA5DDC"/>
    <w:rsid w:val="00FA6604"/>
    <w:rsid w:val="00FB108F"/>
    <w:rsid w:val="00FB16ED"/>
    <w:rsid w:val="00FB2332"/>
    <w:rsid w:val="00FB3E8C"/>
    <w:rsid w:val="00FB599A"/>
    <w:rsid w:val="00FB7CF4"/>
    <w:rsid w:val="00FC1101"/>
    <w:rsid w:val="00FC3D7D"/>
    <w:rsid w:val="00FC474F"/>
    <w:rsid w:val="00FC68C3"/>
    <w:rsid w:val="00FC6B53"/>
    <w:rsid w:val="00FC6C88"/>
    <w:rsid w:val="00FC701D"/>
    <w:rsid w:val="00FD186A"/>
    <w:rsid w:val="00FD2BFD"/>
    <w:rsid w:val="00FD32A4"/>
    <w:rsid w:val="00FD403B"/>
    <w:rsid w:val="00FD47CD"/>
    <w:rsid w:val="00FD7572"/>
    <w:rsid w:val="00FE2C56"/>
    <w:rsid w:val="00FE30F7"/>
    <w:rsid w:val="00FE3470"/>
    <w:rsid w:val="00FE4E75"/>
    <w:rsid w:val="00FE57FE"/>
    <w:rsid w:val="00FE611C"/>
    <w:rsid w:val="00FE7315"/>
    <w:rsid w:val="00FE74F5"/>
    <w:rsid w:val="00FF154C"/>
    <w:rsid w:val="00FF172B"/>
    <w:rsid w:val="00FF3444"/>
    <w:rsid w:val="00FF4658"/>
    <w:rsid w:val="00FF6D51"/>
    <w:rsid w:val="00FF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52"/>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E51"/>
    <w:pPr>
      <w:tabs>
        <w:tab w:val="center" w:pos="4153"/>
        <w:tab w:val="right" w:pos="8306"/>
      </w:tabs>
    </w:pPr>
  </w:style>
  <w:style w:type="character" w:customStyle="1" w:styleId="HeaderChar">
    <w:name w:val="Header Char"/>
    <w:basedOn w:val="DefaultParagraphFont"/>
    <w:link w:val="Header"/>
    <w:rsid w:val="000D3E51"/>
  </w:style>
  <w:style w:type="paragraph" w:styleId="Footer">
    <w:name w:val="footer"/>
    <w:basedOn w:val="Normal"/>
    <w:link w:val="FooterChar"/>
    <w:uiPriority w:val="99"/>
    <w:unhideWhenUsed/>
    <w:rsid w:val="000D3E51"/>
    <w:pPr>
      <w:tabs>
        <w:tab w:val="center" w:pos="4153"/>
        <w:tab w:val="right" w:pos="8306"/>
      </w:tabs>
    </w:pPr>
  </w:style>
  <w:style w:type="character" w:customStyle="1" w:styleId="FooterChar">
    <w:name w:val="Footer Char"/>
    <w:basedOn w:val="DefaultParagraphFont"/>
    <w:link w:val="Footer"/>
    <w:uiPriority w:val="99"/>
    <w:rsid w:val="000D3E51"/>
  </w:style>
  <w:style w:type="paragraph" w:customStyle="1" w:styleId="Default">
    <w:name w:val="Default"/>
    <w:rsid w:val="00F30E58"/>
    <w:pPr>
      <w:autoSpaceDE w:val="0"/>
      <w:autoSpaceDN w:val="0"/>
      <w:adjustRightInd w:val="0"/>
    </w:pPr>
    <w:rPr>
      <w:rFonts w:ascii="Cambria" w:eastAsia="Times New Roman" w:hAnsi="Cambria" w:cs="Cambria"/>
      <w:color w:val="000000"/>
      <w:sz w:val="24"/>
      <w:szCs w:val="24"/>
      <w:lang w:eastAsia="en-US"/>
    </w:rPr>
  </w:style>
  <w:style w:type="paragraph" w:styleId="ListParagraph">
    <w:name w:val="List Paragraph"/>
    <w:basedOn w:val="Normal"/>
    <w:uiPriority w:val="34"/>
    <w:qFormat/>
    <w:rsid w:val="00527D31"/>
    <w:pPr>
      <w:ind w:left="720"/>
      <w:contextualSpacing/>
    </w:pPr>
  </w:style>
  <w:style w:type="paragraph" w:styleId="BalloonText">
    <w:name w:val="Balloon Text"/>
    <w:basedOn w:val="Normal"/>
    <w:link w:val="BalloonTextChar"/>
    <w:uiPriority w:val="99"/>
    <w:semiHidden/>
    <w:unhideWhenUsed/>
    <w:rsid w:val="00735F87"/>
    <w:rPr>
      <w:rFonts w:ascii="Tahoma" w:hAnsi="Tahoma"/>
      <w:sz w:val="16"/>
      <w:szCs w:val="16"/>
      <w:lang w:val="x-none" w:eastAsia="x-none"/>
    </w:rPr>
  </w:style>
  <w:style w:type="character" w:customStyle="1" w:styleId="BalloonTextChar">
    <w:name w:val="Balloon Text Char"/>
    <w:link w:val="BalloonText"/>
    <w:uiPriority w:val="99"/>
    <w:semiHidden/>
    <w:rsid w:val="00735F87"/>
    <w:rPr>
      <w:rFonts w:ascii="Tahoma" w:hAnsi="Tahoma" w:cs="Tahoma"/>
      <w:sz w:val="16"/>
      <w:szCs w:val="16"/>
    </w:rPr>
  </w:style>
  <w:style w:type="character" w:styleId="CommentReference">
    <w:name w:val="annotation reference"/>
    <w:uiPriority w:val="99"/>
    <w:semiHidden/>
    <w:unhideWhenUsed/>
    <w:rsid w:val="00CE5DD3"/>
    <w:rPr>
      <w:sz w:val="16"/>
      <w:szCs w:val="16"/>
    </w:rPr>
  </w:style>
  <w:style w:type="paragraph" w:styleId="CommentText">
    <w:name w:val="annotation text"/>
    <w:basedOn w:val="Normal"/>
    <w:link w:val="CommentTextChar"/>
    <w:uiPriority w:val="99"/>
    <w:unhideWhenUsed/>
    <w:rsid w:val="00CE5DD3"/>
    <w:rPr>
      <w:sz w:val="20"/>
      <w:szCs w:val="20"/>
      <w:lang w:val="x-none" w:eastAsia="x-none"/>
    </w:rPr>
  </w:style>
  <w:style w:type="character" w:customStyle="1" w:styleId="CommentTextChar">
    <w:name w:val="Comment Text Char"/>
    <w:link w:val="CommentText"/>
    <w:uiPriority w:val="99"/>
    <w:rsid w:val="00CE5DD3"/>
    <w:rPr>
      <w:sz w:val="20"/>
      <w:szCs w:val="20"/>
    </w:rPr>
  </w:style>
  <w:style w:type="paragraph" w:styleId="CommentSubject">
    <w:name w:val="annotation subject"/>
    <w:basedOn w:val="CommentText"/>
    <w:next w:val="CommentText"/>
    <w:link w:val="CommentSubjectChar"/>
    <w:uiPriority w:val="99"/>
    <w:semiHidden/>
    <w:unhideWhenUsed/>
    <w:rsid w:val="00CE5DD3"/>
    <w:rPr>
      <w:b/>
      <w:bCs/>
    </w:rPr>
  </w:style>
  <w:style w:type="character" w:customStyle="1" w:styleId="CommentSubjectChar">
    <w:name w:val="Comment Subject Char"/>
    <w:link w:val="CommentSubject"/>
    <w:uiPriority w:val="99"/>
    <w:semiHidden/>
    <w:rsid w:val="00CE5DD3"/>
    <w:rPr>
      <w:b/>
      <w:bCs/>
      <w:sz w:val="20"/>
      <w:szCs w:val="20"/>
    </w:rPr>
  </w:style>
  <w:style w:type="paragraph" w:styleId="Revision">
    <w:name w:val="Revision"/>
    <w:hidden/>
    <w:uiPriority w:val="99"/>
    <w:semiHidden/>
    <w:rsid w:val="00CF2A66"/>
    <w:rPr>
      <w:sz w:val="28"/>
      <w:szCs w:val="22"/>
      <w:lang w:eastAsia="en-US"/>
    </w:rPr>
  </w:style>
  <w:style w:type="paragraph" w:customStyle="1" w:styleId="naisf">
    <w:name w:val="naisf"/>
    <w:basedOn w:val="Normal"/>
    <w:rsid w:val="00073179"/>
    <w:pPr>
      <w:spacing w:before="100" w:beforeAutospacing="1" w:after="100" w:afterAutospacing="1"/>
    </w:pPr>
    <w:rPr>
      <w:rFonts w:eastAsia="Times New Roman"/>
      <w:sz w:val="24"/>
      <w:szCs w:val="24"/>
      <w:lang w:eastAsia="lv-LV"/>
    </w:rPr>
  </w:style>
  <w:style w:type="character" w:styleId="Emphasis">
    <w:name w:val="Emphasis"/>
    <w:uiPriority w:val="20"/>
    <w:qFormat/>
    <w:rsid w:val="002E18AC"/>
    <w:rPr>
      <w:i/>
      <w:iCs/>
    </w:rPr>
  </w:style>
  <w:style w:type="character" w:styleId="Hyperlink">
    <w:name w:val="Hyperlink"/>
    <w:rsid w:val="008B6E7D"/>
    <w:rPr>
      <w:rFonts w:cs="Times New Roman"/>
      <w:color w:val="0000FF"/>
      <w:u w:val="single"/>
    </w:rPr>
  </w:style>
  <w:style w:type="character" w:customStyle="1" w:styleId="apple-style-span">
    <w:name w:val="apple-style-span"/>
    <w:basedOn w:val="DefaultParagraphFont"/>
    <w:rsid w:val="00693D4C"/>
  </w:style>
  <w:style w:type="character" w:styleId="PlaceholderText">
    <w:name w:val="Placeholder Text"/>
    <w:basedOn w:val="DefaultParagraphFont"/>
    <w:uiPriority w:val="99"/>
    <w:semiHidden/>
    <w:rsid w:val="002B6091"/>
    <w:rPr>
      <w:color w:val="808080"/>
    </w:rPr>
  </w:style>
  <w:style w:type="paragraph" w:styleId="NoSpacing">
    <w:name w:val="No Spacing"/>
    <w:uiPriority w:val="1"/>
    <w:qFormat/>
    <w:rsid w:val="00A9110A"/>
    <w:rPr>
      <w:sz w:val="28"/>
      <w:szCs w:val="22"/>
      <w:lang w:eastAsia="en-US"/>
    </w:rPr>
  </w:style>
  <w:style w:type="character" w:customStyle="1" w:styleId="fontsize21">
    <w:name w:val="fontsize21"/>
    <w:basedOn w:val="DefaultParagraphFont"/>
    <w:rsid w:val="00CF39A8"/>
    <w:rPr>
      <w:i/>
      <w:iCs/>
      <w:sz w:val="15"/>
      <w:szCs w:val="15"/>
    </w:rPr>
  </w:style>
  <w:style w:type="paragraph" w:styleId="FootnoteText">
    <w:name w:val="footnote text"/>
    <w:basedOn w:val="Normal"/>
    <w:link w:val="FootnoteTextChar"/>
    <w:uiPriority w:val="99"/>
    <w:semiHidden/>
    <w:unhideWhenUsed/>
    <w:rsid w:val="0001572C"/>
    <w:rPr>
      <w:sz w:val="20"/>
      <w:szCs w:val="20"/>
    </w:rPr>
  </w:style>
  <w:style w:type="character" w:customStyle="1" w:styleId="FootnoteTextChar">
    <w:name w:val="Footnote Text Char"/>
    <w:basedOn w:val="DefaultParagraphFont"/>
    <w:link w:val="FootnoteText"/>
    <w:uiPriority w:val="99"/>
    <w:semiHidden/>
    <w:rsid w:val="0001572C"/>
    <w:rPr>
      <w:lang w:eastAsia="en-US"/>
    </w:rPr>
  </w:style>
  <w:style w:type="character" w:styleId="FootnoteReference">
    <w:name w:val="footnote reference"/>
    <w:basedOn w:val="DefaultParagraphFont"/>
    <w:uiPriority w:val="99"/>
    <w:semiHidden/>
    <w:unhideWhenUsed/>
    <w:rsid w:val="000157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52"/>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E51"/>
    <w:pPr>
      <w:tabs>
        <w:tab w:val="center" w:pos="4153"/>
        <w:tab w:val="right" w:pos="8306"/>
      </w:tabs>
    </w:pPr>
  </w:style>
  <w:style w:type="character" w:customStyle="1" w:styleId="HeaderChar">
    <w:name w:val="Header Char"/>
    <w:basedOn w:val="DefaultParagraphFont"/>
    <w:link w:val="Header"/>
    <w:rsid w:val="000D3E51"/>
  </w:style>
  <w:style w:type="paragraph" w:styleId="Footer">
    <w:name w:val="footer"/>
    <w:basedOn w:val="Normal"/>
    <w:link w:val="FooterChar"/>
    <w:uiPriority w:val="99"/>
    <w:unhideWhenUsed/>
    <w:rsid w:val="000D3E51"/>
    <w:pPr>
      <w:tabs>
        <w:tab w:val="center" w:pos="4153"/>
        <w:tab w:val="right" w:pos="8306"/>
      </w:tabs>
    </w:pPr>
  </w:style>
  <w:style w:type="character" w:customStyle="1" w:styleId="FooterChar">
    <w:name w:val="Footer Char"/>
    <w:basedOn w:val="DefaultParagraphFont"/>
    <w:link w:val="Footer"/>
    <w:uiPriority w:val="99"/>
    <w:rsid w:val="000D3E51"/>
  </w:style>
  <w:style w:type="paragraph" w:customStyle="1" w:styleId="Default">
    <w:name w:val="Default"/>
    <w:rsid w:val="00F30E58"/>
    <w:pPr>
      <w:autoSpaceDE w:val="0"/>
      <w:autoSpaceDN w:val="0"/>
      <w:adjustRightInd w:val="0"/>
    </w:pPr>
    <w:rPr>
      <w:rFonts w:ascii="Cambria" w:eastAsia="Times New Roman" w:hAnsi="Cambria" w:cs="Cambria"/>
      <w:color w:val="000000"/>
      <w:sz w:val="24"/>
      <w:szCs w:val="24"/>
      <w:lang w:eastAsia="en-US"/>
    </w:rPr>
  </w:style>
  <w:style w:type="paragraph" w:styleId="ListParagraph">
    <w:name w:val="List Paragraph"/>
    <w:basedOn w:val="Normal"/>
    <w:uiPriority w:val="34"/>
    <w:qFormat/>
    <w:rsid w:val="00527D31"/>
    <w:pPr>
      <w:ind w:left="720"/>
      <w:contextualSpacing/>
    </w:pPr>
  </w:style>
  <w:style w:type="paragraph" w:styleId="BalloonText">
    <w:name w:val="Balloon Text"/>
    <w:basedOn w:val="Normal"/>
    <w:link w:val="BalloonTextChar"/>
    <w:uiPriority w:val="99"/>
    <w:semiHidden/>
    <w:unhideWhenUsed/>
    <w:rsid w:val="00735F87"/>
    <w:rPr>
      <w:rFonts w:ascii="Tahoma" w:hAnsi="Tahoma"/>
      <w:sz w:val="16"/>
      <w:szCs w:val="16"/>
      <w:lang w:val="x-none" w:eastAsia="x-none"/>
    </w:rPr>
  </w:style>
  <w:style w:type="character" w:customStyle="1" w:styleId="BalloonTextChar">
    <w:name w:val="Balloon Text Char"/>
    <w:link w:val="BalloonText"/>
    <w:uiPriority w:val="99"/>
    <w:semiHidden/>
    <w:rsid w:val="00735F87"/>
    <w:rPr>
      <w:rFonts w:ascii="Tahoma" w:hAnsi="Tahoma" w:cs="Tahoma"/>
      <w:sz w:val="16"/>
      <w:szCs w:val="16"/>
    </w:rPr>
  </w:style>
  <w:style w:type="character" w:styleId="CommentReference">
    <w:name w:val="annotation reference"/>
    <w:uiPriority w:val="99"/>
    <w:semiHidden/>
    <w:unhideWhenUsed/>
    <w:rsid w:val="00CE5DD3"/>
    <w:rPr>
      <w:sz w:val="16"/>
      <w:szCs w:val="16"/>
    </w:rPr>
  </w:style>
  <w:style w:type="paragraph" w:styleId="CommentText">
    <w:name w:val="annotation text"/>
    <w:basedOn w:val="Normal"/>
    <w:link w:val="CommentTextChar"/>
    <w:uiPriority w:val="99"/>
    <w:unhideWhenUsed/>
    <w:rsid w:val="00CE5DD3"/>
    <w:rPr>
      <w:sz w:val="20"/>
      <w:szCs w:val="20"/>
      <w:lang w:val="x-none" w:eastAsia="x-none"/>
    </w:rPr>
  </w:style>
  <w:style w:type="character" w:customStyle="1" w:styleId="CommentTextChar">
    <w:name w:val="Comment Text Char"/>
    <w:link w:val="CommentText"/>
    <w:uiPriority w:val="99"/>
    <w:rsid w:val="00CE5DD3"/>
    <w:rPr>
      <w:sz w:val="20"/>
      <w:szCs w:val="20"/>
    </w:rPr>
  </w:style>
  <w:style w:type="paragraph" w:styleId="CommentSubject">
    <w:name w:val="annotation subject"/>
    <w:basedOn w:val="CommentText"/>
    <w:next w:val="CommentText"/>
    <w:link w:val="CommentSubjectChar"/>
    <w:uiPriority w:val="99"/>
    <w:semiHidden/>
    <w:unhideWhenUsed/>
    <w:rsid w:val="00CE5DD3"/>
    <w:rPr>
      <w:b/>
      <w:bCs/>
    </w:rPr>
  </w:style>
  <w:style w:type="character" w:customStyle="1" w:styleId="CommentSubjectChar">
    <w:name w:val="Comment Subject Char"/>
    <w:link w:val="CommentSubject"/>
    <w:uiPriority w:val="99"/>
    <w:semiHidden/>
    <w:rsid w:val="00CE5DD3"/>
    <w:rPr>
      <w:b/>
      <w:bCs/>
      <w:sz w:val="20"/>
      <w:szCs w:val="20"/>
    </w:rPr>
  </w:style>
  <w:style w:type="paragraph" w:styleId="Revision">
    <w:name w:val="Revision"/>
    <w:hidden/>
    <w:uiPriority w:val="99"/>
    <w:semiHidden/>
    <w:rsid w:val="00CF2A66"/>
    <w:rPr>
      <w:sz w:val="28"/>
      <w:szCs w:val="22"/>
      <w:lang w:eastAsia="en-US"/>
    </w:rPr>
  </w:style>
  <w:style w:type="paragraph" w:customStyle="1" w:styleId="naisf">
    <w:name w:val="naisf"/>
    <w:basedOn w:val="Normal"/>
    <w:rsid w:val="00073179"/>
    <w:pPr>
      <w:spacing w:before="100" w:beforeAutospacing="1" w:after="100" w:afterAutospacing="1"/>
    </w:pPr>
    <w:rPr>
      <w:rFonts w:eastAsia="Times New Roman"/>
      <w:sz w:val="24"/>
      <w:szCs w:val="24"/>
      <w:lang w:eastAsia="lv-LV"/>
    </w:rPr>
  </w:style>
  <w:style w:type="character" w:styleId="Emphasis">
    <w:name w:val="Emphasis"/>
    <w:uiPriority w:val="20"/>
    <w:qFormat/>
    <w:rsid w:val="002E18AC"/>
    <w:rPr>
      <w:i/>
      <w:iCs/>
    </w:rPr>
  </w:style>
  <w:style w:type="character" w:styleId="Hyperlink">
    <w:name w:val="Hyperlink"/>
    <w:rsid w:val="008B6E7D"/>
    <w:rPr>
      <w:rFonts w:cs="Times New Roman"/>
      <w:color w:val="0000FF"/>
      <w:u w:val="single"/>
    </w:rPr>
  </w:style>
  <w:style w:type="character" w:customStyle="1" w:styleId="apple-style-span">
    <w:name w:val="apple-style-span"/>
    <w:basedOn w:val="DefaultParagraphFont"/>
    <w:rsid w:val="00693D4C"/>
  </w:style>
  <w:style w:type="character" w:styleId="PlaceholderText">
    <w:name w:val="Placeholder Text"/>
    <w:basedOn w:val="DefaultParagraphFont"/>
    <w:uiPriority w:val="99"/>
    <w:semiHidden/>
    <w:rsid w:val="002B6091"/>
    <w:rPr>
      <w:color w:val="808080"/>
    </w:rPr>
  </w:style>
  <w:style w:type="paragraph" w:styleId="NoSpacing">
    <w:name w:val="No Spacing"/>
    <w:uiPriority w:val="1"/>
    <w:qFormat/>
    <w:rsid w:val="00A9110A"/>
    <w:rPr>
      <w:sz w:val="28"/>
      <w:szCs w:val="22"/>
      <w:lang w:eastAsia="en-US"/>
    </w:rPr>
  </w:style>
  <w:style w:type="character" w:customStyle="1" w:styleId="fontsize21">
    <w:name w:val="fontsize21"/>
    <w:basedOn w:val="DefaultParagraphFont"/>
    <w:rsid w:val="00CF39A8"/>
    <w:rPr>
      <w:i/>
      <w:iCs/>
      <w:sz w:val="15"/>
      <w:szCs w:val="15"/>
    </w:rPr>
  </w:style>
  <w:style w:type="paragraph" w:styleId="FootnoteText">
    <w:name w:val="footnote text"/>
    <w:basedOn w:val="Normal"/>
    <w:link w:val="FootnoteTextChar"/>
    <w:uiPriority w:val="99"/>
    <w:semiHidden/>
    <w:unhideWhenUsed/>
    <w:rsid w:val="0001572C"/>
    <w:rPr>
      <w:sz w:val="20"/>
      <w:szCs w:val="20"/>
    </w:rPr>
  </w:style>
  <w:style w:type="character" w:customStyle="1" w:styleId="FootnoteTextChar">
    <w:name w:val="Footnote Text Char"/>
    <w:basedOn w:val="DefaultParagraphFont"/>
    <w:link w:val="FootnoteText"/>
    <w:uiPriority w:val="99"/>
    <w:semiHidden/>
    <w:rsid w:val="0001572C"/>
    <w:rPr>
      <w:lang w:eastAsia="en-US"/>
    </w:rPr>
  </w:style>
  <w:style w:type="character" w:styleId="FootnoteReference">
    <w:name w:val="footnote reference"/>
    <w:basedOn w:val="DefaultParagraphFont"/>
    <w:uiPriority w:val="99"/>
    <w:semiHidden/>
    <w:unhideWhenUsed/>
    <w:rsid w:val="000157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121">
      <w:bodyDiv w:val="1"/>
      <w:marLeft w:val="0"/>
      <w:marRight w:val="0"/>
      <w:marTop w:val="0"/>
      <w:marBottom w:val="0"/>
      <w:divBdr>
        <w:top w:val="none" w:sz="0" w:space="0" w:color="auto"/>
        <w:left w:val="none" w:sz="0" w:space="0" w:color="auto"/>
        <w:bottom w:val="none" w:sz="0" w:space="0" w:color="auto"/>
        <w:right w:val="none" w:sz="0" w:space="0" w:color="auto"/>
      </w:divBdr>
    </w:div>
    <w:div w:id="212808904">
      <w:bodyDiv w:val="1"/>
      <w:marLeft w:val="0"/>
      <w:marRight w:val="0"/>
      <w:marTop w:val="0"/>
      <w:marBottom w:val="0"/>
      <w:divBdr>
        <w:top w:val="none" w:sz="0" w:space="0" w:color="auto"/>
        <w:left w:val="none" w:sz="0" w:space="0" w:color="auto"/>
        <w:bottom w:val="none" w:sz="0" w:space="0" w:color="auto"/>
        <w:right w:val="none" w:sz="0" w:space="0" w:color="auto"/>
      </w:divBdr>
    </w:div>
    <w:div w:id="472215323">
      <w:bodyDiv w:val="1"/>
      <w:marLeft w:val="0"/>
      <w:marRight w:val="0"/>
      <w:marTop w:val="0"/>
      <w:marBottom w:val="0"/>
      <w:divBdr>
        <w:top w:val="none" w:sz="0" w:space="0" w:color="auto"/>
        <w:left w:val="none" w:sz="0" w:space="0" w:color="auto"/>
        <w:bottom w:val="none" w:sz="0" w:space="0" w:color="auto"/>
        <w:right w:val="none" w:sz="0" w:space="0" w:color="auto"/>
      </w:divBdr>
    </w:div>
    <w:div w:id="636647194">
      <w:bodyDiv w:val="1"/>
      <w:marLeft w:val="0"/>
      <w:marRight w:val="0"/>
      <w:marTop w:val="0"/>
      <w:marBottom w:val="0"/>
      <w:divBdr>
        <w:top w:val="none" w:sz="0" w:space="0" w:color="auto"/>
        <w:left w:val="none" w:sz="0" w:space="0" w:color="auto"/>
        <w:bottom w:val="none" w:sz="0" w:space="0" w:color="auto"/>
        <w:right w:val="none" w:sz="0" w:space="0" w:color="auto"/>
      </w:divBdr>
    </w:div>
    <w:div w:id="819731467">
      <w:bodyDiv w:val="1"/>
      <w:marLeft w:val="0"/>
      <w:marRight w:val="0"/>
      <w:marTop w:val="0"/>
      <w:marBottom w:val="0"/>
      <w:divBdr>
        <w:top w:val="none" w:sz="0" w:space="0" w:color="auto"/>
        <w:left w:val="none" w:sz="0" w:space="0" w:color="auto"/>
        <w:bottom w:val="none" w:sz="0" w:space="0" w:color="auto"/>
        <w:right w:val="none" w:sz="0" w:space="0" w:color="auto"/>
      </w:divBdr>
    </w:div>
    <w:div w:id="854535498">
      <w:bodyDiv w:val="1"/>
      <w:marLeft w:val="0"/>
      <w:marRight w:val="0"/>
      <w:marTop w:val="0"/>
      <w:marBottom w:val="0"/>
      <w:divBdr>
        <w:top w:val="none" w:sz="0" w:space="0" w:color="auto"/>
        <w:left w:val="none" w:sz="0" w:space="0" w:color="auto"/>
        <w:bottom w:val="none" w:sz="0" w:space="0" w:color="auto"/>
        <w:right w:val="none" w:sz="0" w:space="0" w:color="auto"/>
      </w:divBdr>
    </w:div>
    <w:div w:id="864294437">
      <w:bodyDiv w:val="1"/>
      <w:marLeft w:val="0"/>
      <w:marRight w:val="0"/>
      <w:marTop w:val="0"/>
      <w:marBottom w:val="0"/>
      <w:divBdr>
        <w:top w:val="none" w:sz="0" w:space="0" w:color="auto"/>
        <w:left w:val="none" w:sz="0" w:space="0" w:color="auto"/>
        <w:bottom w:val="none" w:sz="0" w:space="0" w:color="auto"/>
        <w:right w:val="none" w:sz="0" w:space="0" w:color="auto"/>
      </w:divBdr>
    </w:div>
    <w:div w:id="885869594">
      <w:bodyDiv w:val="1"/>
      <w:marLeft w:val="0"/>
      <w:marRight w:val="0"/>
      <w:marTop w:val="0"/>
      <w:marBottom w:val="0"/>
      <w:divBdr>
        <w:top w:val="none" w:sz="0" w:space="0" w:color="auto"/>
        <w:left w:val="none" w:sz="0" w:space="0" w:color="auto"/>
        <w:bottom w:val="none" w:sz="0" w:space="0" w:color="auto"/>
        <w:right w:val="none" w:sz="0" w:space="0" w:color="auto"/>
      </w:divBdr>
    </w:div>
    <w:div w:id="889927358">
      <w:bodyDiv w:val="1"/>
      <w:marLeft w:val="0"/>
      <w:marRight w:val="0"/>
      <w:marTop w:val="0"/>
      <w:marBottom w:val="0"/>
      <w:divBdr>
        <w:top w:val="none" w:sz="0" w:space="0" w:color="auto"/>
        <w:left w:val="none" w:sz="0" w:space="0" w:color="auto"/>
        <w:bottom w:val="none" w:sz="0" w:space="0" w:color="auto"/>
        <w:right w:val="none" w:sz="0" w:space="0" w:color="auto"/>
      </w:divBdr>
      <w:divsChild>
        <w:div w:id="201988820">
          <w:marLeft w:val="1267"/>
          <w:marRight w:val="0"/>
          <w:marTop w:val="115"/>
          <w:marBottom w:val="0"/>
          <w:divBdr>
            <w:top w:val="none" w:sz="0" w:space="0" w:color="auto"/>
            <w:left w:val="none" w:sz="0" w:space="0" w:color="auto"/>
            <w:bottom w:val="none" w:sz="0" w:space="0" w:color="auto"/>
            <w:right w:val="none" w:sz="0" w:space="0" w:color="auto"/>
          </w:divBdr>
        </w:div>
        <w:div w:id="367919568">
          <w:marLeft w:val="1267"/>
          <w:marRight w:val="0"/>
          <w:marTop w:val="115"/>
          <w:marBottom w:val="0"/>
          <w:divBdr>
            <w:top w:val="none" w:sz="0" w:space="0" w:color="auto"/>
            <w:left w:val="none" w:sz="0" w:space="0" w:color="auto"/>
            <w:bottom w:val="none" w:sz="0" w:space="0" w:color="auto"/>
            <w:right w:val="none" w:sz="0" w:space="0" w:color="auto"/>
          </w:divBdr>
        </w:div>
        <w:div w:id="441652046">
          <w:marLeft w:val="1267"/>
          <w:marRight w:val="0"/>
          <w:marTop w:val="115"/>
          <w:marBottom w:val="0"/>
          <w:divBdr>
            <w:top w:val="none" w:sz="0" w:space="0" w:color="auto"/>
            <w:left w:val="none" w:sz="0" w:space="0" w:color="auto"/>
            <w:bottom w:val="none" w:sz="0" w:space="0" w:color="auto"/>
            <w:right w:val="none" w:sz="0" w:space="0" w:color="auto"/>
          </w:divBdr>
        </w:div>
      </w:divsChild>
    </w:div>
    <w:div w:id="1033770038">
      <w:bodyDiv w:val="1"/>
      <w:marLeft w:val="0"/>
      <w:marRight w:val="0"/>
      <w:marTop w:val="0"/>
      <w:marBottom w:val="0"/>
      <w:divBdr>
        <w:top w:val="none" w:sz="0" w:space="0" w:color="auto"/>
        <w:left w:val="none" w:sz="0" w:space="0" w:color="auto"/>
        <w:bottom w:val="none" w:sz="0" w:space="0" w:color="auto"/>
        <w:right w:val="none" w:sz="0" w:space="0" w:color="auto"/>
      </w:divBdr>
    </w:div>
    <w:div w:id="1041368451">
      <w:bodyDiv w:val="1"/>
      <w:marLeft w:val="0"/>
      <w:marRight w:val="0"/>
      <w:marTop w:val="0"/>
      <w:marBottom w:val="0"/>
      <w:divBdr>
        <w:top w:val="none" w:sz="0" w:space="0" w:color="auto"/>
        <w:left w:val="none" w:sz="0" w:space="0" w:color="auto"/>
        <w:bottom w:val="none" w:sz="0" w:space="0" w:color="auto"/>
        <w:right w:val="none" w:sz="0" w:space="0" w:color="auto"/>
      </w:divBdr>
    </w:div>
    <w:div w:id="1256670291">
      <w:bodyDiv w:val="1"/>
      <w:marLeft w:val="0"/>
      <w:marRight w:val="0"/>
      <w:marTop w:val="0"/>
      <w:marBottom w:val="0"/>
      <w:divBdr>
        <w:top w:val="none" w:sz="0" w:space="0" w:color="auto"/>
        <w:left w:val="none" w:sz="0" w:space="0" w:color="auto"/>
        <w:bottom w:val="none" w:sz="0" w:space="0" w:color="auto"/>
        <w:right w:val="none" w:sz="0" w:space="0" w:color="auto"/>
      </w:divBdr>
    </w:div>
    <w:div w:id="1259217992">
      <w:bodyDiv w:val="1"/>
      <w:marLeft w:val="0"/>
      <w:marRight w:val="0"/>
      <w:marTop w:val="0"/>
      <w:marBottom w:val="0"/>
      <w:divBdr>
        <w:top w:val="none" w:sz="0" w:space="0" w:color="auto"/>
        <w:left w:val="none" w:sz="0" w:space="0" w:color="auto"/>
        <w:bottom w:val="none" w:sz="0" w:space="0" w:color="auto"/>
        <w:right w:val="none" w:sz="0" w:space="0" w:color="auto"/>
      </w:divBdr>
    </w:div>
    <w:div w:id="1510677471">
      <w:bodyDiv w:val="1"/>
      <w:marLeft w:val="0"/>
      <w:marRight w:val="0"/>
      <w:marTop w:val="0"/>
      <w:marBottom w:val="0"/>
      <w:divBdr>
        <w:top w:val="none" w:sz="0" w:space="0" w:color="auto"/>
        <w:left w:val="none" w:sz="0" w:space="0" w:color="auto"/>
        <w:bottom w:val="none" w:sz="0" w:space="0" w:color="auto"/>
        <w:right w:val="none" w:sz="0" w:space="0" w:color="auto"/>
      </w:divBdr>
    </w:div>
    <w:div w:id="1520777818">
      <w:bodyDiv w:val="1"/>
      <w:marLeft w:val="0"/>
      <w:marRight w:val="0"/>
      <w:marTop w:val="0"/>
      <w:marBottom w:val="0"/>
      <w:divBdr>
        <w:top w:val="none" w:sz="0" w:space="0" w:color="auto"/>
        <w:left w:val="none" w:sz="0" w:space="0" w:color="auto"/>
        <w:bottom w:val="none" w:sz="0" w:space="0" w:color="auto"/>
        <w:right w:val="none" w:sz="0" w:space="0" w:color="auto"/>
      </w:divBdr>
    </w:div>
    <w:div w:id="1614634354">
      <w:bodyDiv w:val="1"/>
      <w:marLeft w:val="0"/>
      <w:marRight w:val="0"/>
      <w:marTop w:val="0"/>
      <w:marBottom w:val="0"/>
      <w:divBdr>
        <w:top w:val="none" w:sz="0" w:space="0" w:color="auto"/>
        <w:left w:val="none" w:sz="0" w:space="0" w:color="auto"/>
        <w:bottom w:val="none" w:sz="0" w:space="0" w:color="auto"/>
        <w:right w:val="none" w:sz="0" w:space="0" w:color="auto"/>
      </w:divBdr>
    </w:div>
    <w:div w:id="1615596054">
      <w:bodyDiv w:val="1"/>
      <w:marLeft w:val="0"/>
      <w:marRight w:val="0"/>
      <w:marTop w:val="0"/>
      <w:marBottom w:val="0"/>
      <w:divBdr>
        <w:top w:val="none" w:sz="0" w:space="0" w:color="auto"/>
        <w:left w:val="none" w:sz="0" w:space="0" w:color="auto"/>
        <w:bottom w:val="none" w:sz="0" w:space="0" w:color="auto"/>
        <w:right w:val="none" w:sz="0" w:space="0" w:color="auto"/>
      </w:divBdr>
    </w:div>
    <w:div w:id="1696928954">
      <w:bodyDiv w:val="1"/>
      <w:marLeft w:val="0"/>
      <w:marRight w:val="0"/>
      <w:marTop w:val="0"/>
      <w:marBottom w:val="0"/>
      <w:divBdr>
        <w:top w:val="none" w:sz="0" w:space="0" w:color="auto"/>
        <w:left w:val="none" w:sz="0" w:space="0" w:color="auto"/>
        <w:bottom w:val="none" w:sz="0" w:space="0" w:color="auto"/>
        <w:right w:val="none" w:sz="0" w:space="0" w:color="auto"/>
      </w:divBdr>
      <w:divsChild>
        <w:div w:id="1413819441">
          <w:marLeft w:val="0"/>
          <w:marRight w:val="0"/>
          <w:marTop w:val="0"/>
          <w:marBottom w:val="0"/>
          <w:divBdr>
            <w:top w:val="none" w:sz="0" w:space="0" w:color="auto"/>
            <w:left w:val="none" w:sz="0" w:space="0" w:color="auto"/>
            <w:bottom w:val="none" w:sz="0" w:space="0" w:color="auto"/>
            <w:right w:val="none" w:sz="0" w:space="0" w:color="auto"/>
          </w:divBdr>
          <w:divsChild>
            <w:div w:id="10022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1198">
      <w:bodyDiv w:val="1"/>
      <w:marLeft w:val="0"/>
      <w:marRight w:val="0"/>
      <w:marTop w:val="0"/>
      <w:marBottom w:val="0"/>
      <w:divBdr>
        <w:top w:val="none" w:sz="0" w:space="0" w:color="auto"/>
        <w:left w:val="none" w:sz="0" w:space="0" w:color="auto"/>
        <w:bottom w:val="none" w:sz="0" w:space="0" w:color="auto"/>
        <w:right w:val="none" w:sz="0" w:space="0" w:color="auto"/>
      </w:divBdr>
    </w:div>
    <w:div w:id="1781728803">
      <w:bodyDiv w:val="1"/>
      <w:marLeft w:val="0"/>
      <w:marRight w:val="0"/>
      <w:marTop w:val="0"/>
      <w:marBottom w:val="0"/>
      <w:divBdr>
        <w:top w:val="none" w:sz="0" w:space="0" w:color="auto"/>
        <w:left w:val="none" w:sz="0" w:space="0" w:color="auto"/>
        <w:bottom w:val="none" w:sz="0" w:space="0" w:color="auto"/>
        <w:right w:val="none" w:sz="0" w:space="0" w:color="auto"/>
      </w:divBdr>
    </w:div>
    <w:div w:id="18995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Ilga.Jermacane@f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8518-D046-4AD8-960E-DBA96F4B7837}">
  <ds:schemaRefs>
    <ds:schemaRef ds:uri="http://schemas.openxmlformats.org/officeDocument/2006/bibliography"/>
  </ds:schemaRefs>
</ds:datastoreItem>
</file>

<file path=customXml/itemProps2.xml><?xml version="1.0" encoding="utf-8"?>
<ds:datastoreItem xmlns:ds="http://schemas.openxmlformats.org/officeDocument/2006/customXml" ds:itemID="{18D35AE3-8D19-4234-9395-E3498006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13309</Words>
  <Characters>7587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Fiskālās disciplīnas likums</vt:lpstr>
    </vt:vector>
  </TitlesOfParts>
  <Company>Finanšu ministrija</Company>
  <LinksUpToDate>false</LinksUpToDate>
  <CharactersWithSpaces>20855</CharactersWithSpaces>
  <SharedDoc>false</SharedDoc>
  <HLinks>
    <vt:vector size="6" baseType="variant">
      <vt:variant>
        <vt:i4>1507379</vt:i4>
      </vt:variant>
      <vt:variant>
        <vt:i4>3</vt:i4>
      </vt:variant>
      <vt:variant>
        <vt:i4>0</vt:i4>
      </vt:variant>
      <vt:variant>
        <vt:i4>5</vt:i4>
      </vt:variant>
      <vt:variant>
        <vt:lpwstr>mailto:Ilga.Jermacane@fm.gov.lv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Fiskālās disciplīnas likums</dc:title>
  <dc:subject>Fiskālā disciplīna</dc:subject>
  <dc:creator>Ilga Jermacāne</dc:creator>
  <dc:description>67095429;
Ilga.Jermacane@fm.gov.lv</dc:description>
  <cp:lastModifiedBy>FPD</cp:lastModifiedBy>
  <cp:revision>23</cp:revision>
  <cp:lastPrinted>2011-11-25T11:05:00Z</cp:lastPrinted>
  <dcterms:created xsi:type="dcterms:W3CDTF">2011-11-21T17:08:00Z</dcterms:created>
  <dcterms:modified xsi:type="dcterms:W3CDTF">2011-11-25T11:06:00Z</dcterms:modified>
</cp:coreProperties>
</file>