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26" w:rsidRDefault="003B1C26" w:rsidP="007E3EE7">
      <w:pPr>
        <w:tabs>
          <w:tab w:val="left" w:pos="6840"/>
          <w:tab w:val="right" w:pos="9000"/>
        </w:tabs>
        <w:rPr>
          <w:sz w:val="28"/>
          <w:szCs w:val="28"/>
        </w:rPr>
      </w:pPr>
    </w:p>
    <w:p w:rsidR="003B1C26" w:rsidRDefault="003B1C26" w:rsidP="007E3EE7">
      <w:pPr>
        <w:tabs>
          <w:tab w:val="left" w:pos="6840"/>
          <w:tab w:val="right" w:pos="9000"/>
        </w:tabs>
        <w:rPr>
          <w:sz w:val="28"/>
          <w:szCs w:val="28"/>
        </w:rPr>
      </w:pPr>
    </w:p>
    <w:p w:rsidR="003B1C26" w:rsidRDefault="003B1C26" w:rsidP="007E3EE7">
      <w:pPr>
        <w:tabs>
          <w:tab w:val="left" w:pos="6840"/>
          <w:tab w:val="right" w:pos="9000"/>
        </w:tabs>
        <w:rPr>
          <w:sz w:val="28"/>
          <w:szCs w:val="28"/>
        </w:rPr>
      </w:pPr>
    </w:p>
    <w:p w:rsidR="003B1C26" w:rsidRPr="001579B5" w:rsidRDefault="003B1C26" w:rsidP="007E3EE7">
      <w:pPr>
        <w:tabs>
          <w:tab w:val="left" w:pos="6840"/>
          <w:tab w:val="right" w:pos="9000"/>
        </w:tabs>
        <w:rPr>
          <w:sz w:val="28"/>
          <w:szCs w:val="28"/>
        </w:rPr>
      </w:pPr>
      <w:r w:rsidRPr="001579B5">
        <w:rPr>
          <w:sz w:val="28"/>
          <w:szCs w:val="28"/>
        </w:rPr>
        <w:t>20</w:t>
      </w:r>
      <w:r>
        <w:rPr>
          <w:sz w:val="28"/>
          <w:szCs w:val="28"/>
        </w:rPr>
        <w:t>11</w:t>
      </w:r>
      <w:r w:rsidRPr="001579B5">
        <w:rPr>
          <w:sz w:val="28"/>
          <w:szCs w:val="28"/>
        </w:rPr>
        <w:t>.gada</w:t>
      </w:r>
      <w:r>
        <w:rPr>
          <w:sz w:val="28"/>
          <w:szCs w:val="28"/>
        </w:rPr>
        <w:t xml:space="preserve"> 18. janvārī</w:t>
      </w:r>
      <w:r>
        <w:rPr>
          <w:sz w:val="28"/>
          <w:szCs w:val="28"/>
        </w:rPr>
        <w:tab/>
      </w:r>
      <w:r w:rsidRPr="001579B5">
        <w:rPr>
          <w:sz w:val="28"/>
          <w:szCs w:val="28"/>
        </w:rPr>
        <w:t>Noteikumi Nr.</w:t>
      </w:r>
      <w:r>
        <w:rPr>
          <w:sz w:val="28"/>
          <w:szCs w:val="28"/>
        </w:rPr>
        <w:t xml:space="preserve"> 46</w:t>
      </w:r>
    </w:p>
    <w:p w:rsidR="003B1C26" w:rsidRDefault="003B1C26" w:rsidP="007E3EE7">
      <w:pPr>
        <w:tabs>
          <w:tab w:val="left" w:pos="6840"/>
        </w:tabs>
        <w:rPr>
          <w:sz w:val="28"/>
          <w:szCs w:val="28"/>
        </w:rPr>
      </w:pPr>
      <w:r>
        <w:rPr>
          <w:sz w:val="28"/>
          <w:szCs w:val="28"/>
        </w:rPr>
        <w:t>Rīgā</w:t>
      </w:r>
      <w:r>
        <w:rPr>
          <w:sz w:val="28"/>
          <w:szCs w:val="28"/>
        </w:rPr>
        <w:tab/>
      </w:r>
      <w:r w:rsidRPr="001579B5">
        <w:rPr>
          <w:sz w:val="28"/>
          <w:szCs w:val="28"/>
        </w:rPr>
        <w:t>(prot. Nr.</w:t>
      </w:r>
      <w:r>
        <w:rPr>
          <w:sz w:val="28"/>
          <w:szCs w:val="28"/>
        </w:rPr>
        <w:t xml:space="preserve"> 5 20</w:t>
      </w:r>
      <w:r w:rsidRPr="001579B5">
        <w:rPr>
          <w:sz w:val="28"/>
          <w:szCs w:val="28"/>
        </w:rPr>
        <w:t>.§)</w:t>
      </w:r>
    </w:p>
    <w:p w:rsidR="003B1C26" w:rsidRPr="003944A1" w:rsidRDefault="003B1C26" w:rsidP="003944A1">
      <w:pPr>
        <w:tabs>
          <w:tab w:val="left" w:pos="1701"/>
        </w:tabs>
        <w:ind w:firstLine="709"/>
        <w:jc w:val="both"/>
      </w:pPr>
    </w:p>
    <w:p w:rsidR="003B1C26" w:rsidRDefault="003B1C26" w:rsidP="00486994">
      <w:pPr>
        <w:jc w:val="center"/>
        <w:rPr>
          <w:sz w:val="28"/>
          <w:szCs w:val="28"/>
        </w:rPr>
      </w:pPr>
      <w:r>
        <w:rPr>
          <w:b/>
          <w:bCs/>
          <w:sz w:val="28"/>
          <w:szCs w:val="28"/>
        </w:rPr>
        <w:t>Grozījumi Ministru kabineta 2009.gada 22.decembra noteikumos Nr.1639 "Kārtība, kādā ar pievienotās vērtības nodokli apliekamā persona iesniedz pieteikumu pievienotās vērtības nodokļa atmaksas saņemšanai citā Eiropas Savienības dalībvalstī, un kārtība, kādā atmaksā pievienotās vērtības nodokli citas Eiropas Savienības dalībvalsts apliekamai personai"</w:t>
      </w:r>
    </w:p>
    <w:p w:rsidR="003B1C26" w:rsidRPr="003944A1" w:rsidRDefault="003B1C26" w:rsidP="003944A1">
      <w:pPr>
        <w:tabs>
          <w:tab w:val="left" w:pos="1701"/>
        </w:tabs>
        <w:ind w:firstLine="709"/>
        <w:jc w:val="both"/>
      </w:pPr>
    </w:p>
    <w:p w:rsidR="003B1C26" w:rsidRDefault="003B1C26" w:rsidP="007E3EE7">
      <w:pPr>
        <w:pStyle w:val="naislab"/>
        <w:spacing w:before="0" w:beforeAutospacing="0" w:after="0" w:afterAutospacing="0"/>
        <w:ind w:firstLine="4962"/>
        <w:rPr>
          <w:sz w:val="28"/>
          <w:szCs w:val="28"/>
          <w:lang w:val="lv-LV" w:eastAsia="lv-LV"/>
        </w:rPr>
      </w:pPr>
      <w:r>
        <w:rPr>
          <w:sz w:val="28"/>
          <w:szCs w:val="28"/>
          <w:lang w:val="lv-LV" w:eastAsia="lv-LV"/>
        </w:rPr>
        <w:t>Izdoti saskaņā ar likuma</w:t>
      </w:r>
    </w:p>
    <w:p w:rsidR="003B1C26" w:rsidRDefault="003B1C26" w:rsidP="007E3EE7">
      <w:pPr>
        <w:ind w:firstLine="4962"/>
        <w:jc w:val="right"/>
        <w:rPr>
          <w:sz w:val="28"/>
          <w:szCs w:val="28"/>
          <w:lang w:eastAsia="lv-LV"/>
        </w:rPr>
      </w:pPr>
      <w:r>
        <w:rPr>
          <w:sz w:val="28"/>
          <w:szCs w:val="28"/>
          <w:lang w:eastAsia="lv-LV"/>
        </w:rPr>
        <w:t>"</w:t>
      </w:r>
      <w:hyperlink r:id="rId7" w:tgtFrame="_top" w:tooltip="Par pievienotās vērtības nodokli" w:history="1">
        <w:r>
          <w:rPr>
            <w:rStyle w:val="Hyperlink"/>
            <w:color w:val="auto"/>
            <w:sz w:val="28"/>
            <w:szCs w:val="28"/>
            <w:u w:val="none"/>
            <w:lang w:eastAsia="lv-LV"/>
          </w:rPr>
          <w:t>Par pievienotās vērtības nodokli</w:t>
        </w:r>
      </w:hyperlink>
      <w:r>
        <w:rPr>
          <w:sz w:val="28"/>
          <w:szCs w:val="28"/>
          <w:lang w:eastAsia="lv-LV"/>
        </w:rPr>
        <w:t>"</w:t>
      </w:r>
    </w:p>
    <w:p w:rsidR="003B1C26" w:rsidRDefault="003B1C26" w:rsidP="007E3EE7">
      <w:pPr>
        <w:ind w:left="4962"/>
        <w:jc w:val="right"/>
        <w:rPr>
          <w:sz w:val="28"/>
          <w:szCs w:val="28"/>
          <w:lang w:eastAsia="lv-LV"/>
        </w:rPr>
      </w:pPr>
      <w:r w:rsidRPr="007E3EE7">
        <w:rPr>
          <w:sz w:val="28"/>
          <w:szCs w:val="28"/>
          <w:lang w:eastAsia="lv-LV"/>
        </w:rPr>
        <w:t>12.</w:t>
      </w:r>
      <w:r w:rsidRPr="007E3EE7">
        <w:rPr>
          <w:sz w:val="28"/>
          <w:szCs w:val="28"/>
          <w:vertAlign w:val="superscript"/>
          <w:lang w:eastAsia="lv-LV"/>
        </w:rPr>
        <w:t>4 </w:t>
      </w:r>
      <w:r w:rsidRPr="007E3EE7">
        <w:rPr>
          <w:sz w:val="28"/>
          <w:szCs w:val="28"/>
          <w:lang w:eastAsia="lv-LV"/>
        </w:rPr>
        <w:t>panta otro daļu</w:t>
      </w:r>
      <w:r>
        <w:rPr>
          <w:sz w:val="28"/>
          <w:szCs w:val="28"/>
          <w:lang w:eastAsia="lv-LV"/>
        </w:rPr>
        <w:t xml:space="preserve"> un </w:t>
      </w:r>
    </w:p>
    <w:p w:rsidR="003B1C26" w:rsidRDefault="003B1C26" w:rsidP="007E3EE7">
      <w:pPr>
        <w:ind w:left="4962"/>
        <w:jc w:val="right"/>
        <w:rPr>
          <w:sz w:val="28"/>
          <w:szCs w:val="28"/>
          <w:lang w:eastAsia="lv-LV"/>
        </w:rPr>
      </w:pPr>
      <w:r w:rsidRPr="007E3EE7">
        <w:rPr>
          <w:sz w:val="28"/>
          <w:szCs w:val="28"/>
          <w:lang w:eastAsia="lv-LV"/>
        </w:rPr>
        <w:t>12.</w:t>
      </w:r>
      <w:r w:rsidRPr="007E3EE7">
        <w:rPr>
          <w:sz w:val="28"/>
          <w:szCs w:val="28"/>
          <w:vertAlign w:val="superscript"/>
          <w:lang w:eastAsia="lv-LV"/>
        </w:rPr>
        <w:t>5</w:t>
      </w:r>
      <w:r>
        <w:rPr>
          <w:sz w:val="28"/>
          <w:szCs w:val="28"/>
          <w:vertAlign w:val="superscript"/>
          <w:lang w:eastAsia="lv-LV"/>
        </w:rPr>
        <w:t> </w:t>
      </w:r>
      <w:r w:rsidRPr="007E3EE7">
        <w:rPr>
          <w:sz w:val="28"/>
          <w:szCs w:val="28"/>
          <w:lang w:eastAsia="lv-LV"/>
        </w:rPr>
        <w:t>panta</w:t>
      </w:r>
      <w:r>
        <w:rPr>
          <w:sz w:val="28"/>
          <w:szCs w:val="28"/>
          <w:lang w:eastAsia="lv-LV"/>
        </w:rPr>
        <w:t xml:space="preserve"> </w:t>
      </w:r>
      <w:r w:rsidRPr="007E3EE7">
        <w:rPr>
          <w:sz w:val="28"/>
          <w:szCs w:val="28"/>
          <w:lang w:eastAsia="lv-LV"/>
        </w:rPr>
        <w:t>otro daļu</w:t>
      </w:r>
    </w:p>
    <w:p w:rsidR="003B1C26" w:rsidRPr="003944A1" w:rsidRDefault="003B1C26" w:rsidP="003944A1">
      <w:pPr>
        <w:tabs>
          <w:tab w:val="left" w:pos="1701"/>
        </w:tabs>
        <w:ind w:firstLine="709"/>
        <w:jc w:val="both"/>
      </w:pPr>
    </w:p>
    <w:p w:rsidR="003B1C26" w:rsidRDefault="003B1C26" w:rsidP="007E3EE7">
      <w:pPr>
        <w:ind w:firstLine="709"/>
        <w:jc w:val="both"/>
        <w:rPr>
          <w:rStyle w:val="Hyperlink"/>
          <w:color w:val="auto"/>
          <w:u w:val="none"/>
        </w:rPr>
      </w:pPr>
      <w:r w:rsidRPr="007E3EE7">
        <w:rPr>
          <w:sz w:val="28"/>
          <w:szCs w:val="28"/>
        </w:rPr>
        <w:t>Izdarīt Ministru kabineta 2009.gada 22.decembra noteikumos Nr.1639 "Kārtība, kādā ar pievienotās vērtības nodokli apliekamā persona iesniedz pieteikumu pievienotās vērtības nodokļa atmaksas saņemšanai citā Eiropas Savienības dalībvalstī, un kārtība, kādā atmaksā pievienotās vērtības nodokli citas Eiropas Savienības dalībvalsts apliekamai personai" (Latvijas Vēstnesis, 2009, 206.nr.) šādus grozījumus:</w:t>
      </w:r>
    </w:p>
    <w:p w:rsidR="003B1C26" w:rsidRPr="003944A1" w:rsidRDefault="003B1C26" w:rsidP="003944A1">
      <w:pPr>
        <w:tabs>
          <w:tab w:val="left" w:pos="1701"/>
        </w:tabs>
        <w:ind w:firstLine="709"/>
        <w:jc w:val="both"/>
      </w:pPr>
    </w:p>
    <w:p w:rsidR="003B1C26" w:rsidRDefault="003B1C26" w:rsidP="00486994">
      <w:pPr>
        <w:tabs>
          <w:tab w:val="left" w:pos="1701"/>
        </w:tabs>
        <w:ind w:firstLine="709"/>
        <w:jc w:val="both"/>
        <w:rPr>
          <w:sz w:val="28"/>
          <w:szCs w:val="28"/>
        </w:rPr>
      </w:pPr>
      <w:hyperlink r:id="rId8" w:anchor="1" w:tgtFrame="_top" w:tooltip="Par pievienotās vērtības nodokli" w:history="1">
        <w:r>
          <w:rPr>
            <w:rStyle w:val="Hyperlink"/>
            <w:color w:val="auto"/>
            <w:sz w:val="28"/>
            <w:szCs w:val="28"/>
            <w:u w:val="none"/>
          </w:rPr>
          <w:t>1.</w:t>
        </w:r>
      </w:hyperlink>
      <w:r>
        <w:rPr>
          <w:rStyle w:val="Hyperlink"/>
          <w:color w:val="auto"/>
          <w:sz w:val="28"/>
          <w:szCs w:val="28"/>
          <w:u w:val="none"/>
        </w:rPr>
        <w:t xml:space="preserve"> P</w:t>
      </w:r>
      <w:r>
        <w:rPr>
          <w:sz w:val="28"/>
          <w:szCs w:val="28"/>
        </w:rPr>
        <w:t xml:space="preserve">apildināt </w:t>
      </w:r>
      <w:r w:rsidRPr="003F2411">
        <w:rPr>
          <w:sz w:val="28"/>
          <w:szCs w:val="28"/>
        </w:rPr>
        <w:t>noteikumus ar 5.</w:t>
      </w:r>
      <w:r w:rsidRPr="003F2411">
        <w:rPr>
          <w:sz w:val="28"/>
          <w:szCs w:val="28"/>
          <w:vertAlign w:val="superscript"/>
        </w:rPr>
        <w:t>1</w:t>
      </w:r>
      <w:r>
        <w:rPr>
          <w:sz w:val="28"/>
          <w:szCs w:val="28"/>
        </w:rPr>
        <w:t xml:space="preserve"> u</w:t>
      </w:r>
      <w:r w:rsidRPr="003F2411">
        <w:rPr>
          <w:sz w:val="28"/>
          <w:szCs w:val="28"/>
        </w:rPr>
        <w:t>n 5.</w:t>
      </w:r>
      <w:r w:rsidRPr="003F2411">
        <w:rPr>
          <w:sz w:val="28"/>
          <w:szCs w:val="28"/>
          <w:vertAlign w:val="superscript"/>
        </w:rPr>
        <w:t>2</w:t>
      </w:r>
      <w:r>
        <w:rPr>
          <w:sz w:val="28"/>
          <w:szCs w:val="28"/>
          <w:vertAlign w:val="superscript"/>
        </w:rPr>
        <w:t> </w:t>
      </w:r>
      <w:r w:rsidRPr="003F2411">
        <w:rPr>
          <w:sz w:val="28"/>
          <w:szCs w:val="28"/>
        </w:rPr>
        <w:t>punktu šādā redakcijā:</w:t>
      </w:r>
    </w:p>
    <w:p w:rsidR="003B1C26" w:rsidRPr="003944A1" w:rsidRDefault="003B1C26" w:rsidP="003944A1">
      <w:pPr>
        <w:tabs>
          <w:tab w:val="left" w:pos="1701"/>
        </w:tabs>
        <w:ind w:firstLine="709"/>
        <w:jc w:val="both"/>
      </w:pPr>
    </w:p>
    <w:p w:rsidR="003B1C26" w:rsidRPr="003F2411" w:rsidRDefault="003B1C26" w:rsidP="00486994">
      <w:pPr>
        <w:tabs>
          <w:tab w:val="left" w:pos="1701"/>
        </w:tabs>
        <w:ind w:firstLine="709"/>
        <w:jc w:val="both"/>
        <w:rPr>
          <w:sz w:val="28"/>
          <w:szCs w:val="28"/>
        </w:rPr>
      </w:pPr>
      <w:r>
        <w:rPr>
          <w:sz w:val="28"/>
          <w:szCs w:val="28"/>
        </w:rPr>
        <w:t>"</w:t>
      </w:r>
      <w:r w:rsidRPr="003F2411">
        <w:rPr>
          <w:sz w:val="28"/>
          <w:szCs w:val="28"/>
        </w:rPr>
        <w:t>5.</w:t>
      </w:r>
      <w:r>
        <w:rPr>
          <w:sz w:val="28"/>
          <w:szCs w:val="28"/>
          <w:vertAlign w:val="superscript"/>
        </w:rPr>
        <w:t>1</w:t>
      </w:r>
      <w:r w:rsidRPr="00D937CF">
        <w:rPr>
          <w:sz w:val="28"/>
          <w:szCs w:val="28"/>
        </w:rPr>
        <w:t> </w:t>
      </w:r>
      <w:r w:rsidRPr="003F2411">
        <w:rPr>
          <w:sz w:val="28"/>
          <w:szCs w:val="28"/>
        </w:rPr>
        <w:t>Atmaksas pieteikumus par atmaksas periodiem 2009.gadā iesniedz Valsts ieņēmumu dienestā ne vēlāk kā līdz 2011.gada 31.martam.</w:t>
      </w:r>
    </w:p>
    <w:p w:rsidR="003B1C26" w:rsidRPr="003944A1" w:rsidRDefault="003B1C26" w:rsidP="003944A1">
      <w:pPr>
        <w:tabs>
          <w:tab w:val="left" w:pos="1701"/>
        </w:tabs>
        <w:ind w:firstLine="709"/>
        <w:jc w:val="both"/>
      </w:pPr>
    </w:p>
    <w:p w:rsidR="003B1C26" w:rsidRPr="003F2411" w:rsidRDefault="003B1C26" w:rsidP="009A70AE">
      <w:pPr>
        <w:tabs>
          <w:tab w:val="left" w:pos="709"/>
          <w:tab w:val="left" w:pos="1701"/>
        </w:tabs>
        <w:ind w:firstLine="709"/>
        <w:jc w:val="both"/>
        <w:rPr>
          <w:sz w:val="28"/>
          <w:szCs w:val="28"/>
        </w:rPr>
      </w:pPr>
      <w:r w:rsidRPr="00A01AB5">
        <w:rPr>
          <w:spacing w:val="-2"/>
          <w:sz w:val="28"/>
          <w:szCs w:val="28"/>
        </w:rPr>
        <w:t>5.</w:t>
      </w:r>
      <w:r w:rsidRPr="00A01AB5">
        <w:rPr>
          <w:spacing w:val="-2"/>
          <w:sz w:val="28"/>
          <w:szCs w:val="28"/>
          <w:vertAlign w:val="superscript"/>
        </w:rPr>
        <w:t>2</w:t>
      </w:r>
      <w:r w:rsidRPr="00A01AB5">
        <w:rPr>
          <w:spacing w:val="-2"/>
          <w:sz w:val="28"/>
          <w:szCs w:val="28"/>
        </w:rPr>
        <w:t xml:space="preserve"> Atmaksas pieteikumus par atmaksas periodiem 2009.gadā, kas iesniegti Valsts ieņēmumu dienestā laikposmā no 2010.gada 1.oktobra līdz </w:t>
      </w:r>
      <w:r w:rsidRPr="00541582">
        <w:rPr>
          <w:sz w:val="28"/>
          <w:szCs w:val="28"/>
        </w:rPr>
        <w:t>20</w:t>
      </w:r>
      <w:r>
        <w:rPr>
          <w:sz w:val="28"/>
          <w:szCs w:val="28"/>
        </w:rPr>
        <w:t>11</w:t>
      </w:r>
      <w:r w:rsidRPr="00541582">
        <w:rPr>
          <w:sz w:val="28"/>
          <w:szCs w:val="28"/>
        </w:rPr>
        <w:t xml:space="preserve">.gada </w:t>
      </w:r>
      <w:r>
        <w:rPr>
          <w:sz w:val="28"/>
          <w:szCs w:val="28"/>
        </w:rPr>
        <w:t>3</w:t>
      </w:r>
      <w:r w:rsidRPr="00541582">
        <w:rPr>
          <w:sz w:val="28"/>
          <w:szCs w:val="28"/>
        </w:rPr>
        <w:t>1.</w:t>
      </w:r>
      <w:r>
        <w:rPr>
          <w:sz w:val="28"/>
          <w:szCs w:val="28"/>
        </w:rPr>
        <w:t>janv</w:t>
      </w:r>
      <w:r w:rsidRPr="00541582">
        <w:rPr>
          <w:sz w:val="28"/>
          <w:szCs w:val="28"/>
        </w:rPr>
        <w:t>ār</w:t>
      </w:r>
      <w:r>
        <w:rPr>
          <w:sz w:val="28"/>
          <w:szCs w:val="28"/>
        </w:rPr>
        <w:t>im</w:t>
      </w:r>
      <w:r w:rsidRPr="00A01AB5">
        <w:rPr>
          <w:spacing w:val="-2"/>
          <w:sz w:val="28"/>
          <w:szCs w:val="28"/>
        </w:rPr>
        <w:t>, izskata saskaņā ar kārtību, kāda bija</w:t>
      </w:r>
      <w:r w:rsidRPr="003F2411">
        <w:rPr>
          <w:sz w:val="28"/>
          <w:szCs w:val="28"/>
        </w:rPr>
        <w:t xml:space="preserve"> piemērojama līdz 2010.gada 30.septembrim.</w:t>
      </w:r>
      <w:r>
        <w:rPr>
          <w:sz w:val="28"/>
          <w:szCs w:val="28"/>
        </w:rPr>
        <w:t>"</w:t>
      </w:r>
    </w:p>
    <w:p w:rsidR="003B1C26" w:rsidRPr="003944A1" w:rsidRDefault="003B1C26" w:rsidP="003944A1">
      <w:pPr>
        <w:tabs>
          <w:tab w:val="left" w:pos="1701"/>
        </w:tabs>
        <w:ind w:firstLine="709"/>
        <w:jc w:val="both"/>
      </w:pPr>
    </w:p>
    <w:p w:rsidR="003B1C26" w:rsidRDefault="003B1C26" w:rsidP="00486994">
      <w:pPr>
        <w:tabs>
          <w:tab w:val="left" w:pos="1701"/>
        </w:tabs>
        <w:ind w:firstLine="709"/>
        <w:jc w:val="both"/>
        <w:rPr>
          <w:sz w:val="28"/>
          <w:szCs w:val="28"/>
        </w:rPr>
      </w:pPr>
      <w:r>
        <w:rPr>
          <w:sz w:val="28"/>
          <w:szCs w:val="28"/>
        </w:rPr>
        <w:t>2. Svītrot 26.punkta trešo teikumu.</w:t>
      </w:r>
    </w:p>
    <w:p w:rsidR="003B1C26" w:rsidRPr="003944A1" w:rsidRDefault="003B1C26" w:rsidP="003944A1">
      <w:pPr>
        <w:tabs>
          <w:tab w:val="left" w:pos="1701"/>
        </w:tabs>
        <w:ind w:firstLine="709"/>
        <w:jc w:val="both"/>
      </w:pPr>
    </w:p>
    <w:p w:rsidR="003B1C26" w:rsidRDefault="003B1C26" w:rsidP="00486994">
      <w:pPr>
        <w:tabs>
          <w:tab w:val="left" w:pos="1701"/>
        </w:tabs>
        <w:ind w:firstLine="709"/>
        <w:jc w:val="both"/>
        <w:rPr>
          <w:sz w:val="28"/>
          <w:szCs w:val="28"/>
        </w:rPr>
      </w:pPr>
      <w:r>
        <w:rPr>
          <w:sz w:val="28"/>
          <w:szCs w:val="28"/>
        </w:rPr>
        <w:t>3. Papildināt noteikumus ar 26.</w:t>
      </w:r>
      <w:r>
        <w:rPr>
          <w:sz w:val="28"/>
          <w:szCs w:val="28"/>
          <w:vertAlign w:val="superscript"/>
        </w:rPr>
        <w:t>1 </w:t>
      </w:r>
      <w:r>
        <w:rPr>
          <w:sz w:val="28"/>
          <w:szCs w:val="28"/>
        </w:rPr>
        <w:t>punktu šādā redakcijā:</w:t>
      </w:r>
    </w:p>
    <w:p w:rsidR="003B1C26" w:rsidRPr="003944A1" w:rsidRDefault="003B1C26" w:rsidP="003944A1">
      <w:pPr>
        <w:tabs>
          <w:tab w:val="left" w:pos="1701"/>
        </w:tabs>
        <w:ind w:firstLine="709"/>
        <w:jc w:val="both"/>
      </w:pPr>
    </w:p>
    <w:p w:rsidR="003B1C26" w:rsidRDefault="003B1C26" w:rsidP="00486994">
      <w:pPr>
        <w:tabs>
          <w:tab w:val="left" w:pos="1701"/>
        </w:tabs>
        <w:ind w:firstLine="709"/>
        <w:jc w:val="both"/>
        <w:rPr>
          <w:sz w:val="28"/>
          <w:szCs w:val="28"/>
        </w:rPr>
      </w:pPr>
      <w:r w:rsidRPr="00C81838">
        <w:rPr>
          <w:spacing w:val="-2"/>
          <w:sz w:val="28"/>
          <w:szCs w:val="28"/>
        </w:rPr>
        <w:t>"26.</w:t>
      </w:r>
      <w:r w:rsidRPr="00C81838">
        <w:rPr>
          <w:spacing w:val="-2"/>
          <w:sz w:val="28"/>
          <w:szCs w:val="28"/>
          <w:vertAlign w:val="superscript"/>
        </w:rPr>
        <w:t>1</w:t>
      </w:r>
      <w:r w:rsidRPr="00C81838">
        <w:rPr>
          <w:spacing w:val="-2"/>
          <w:sz w:val="28"/>
          <w:szCs w:val="28"/>
        </w:rPr>
        <w:t> Elektroniskās deklarēšanas sistēma (EDS) noraida precizēto atmaksas pieteikumu</w:t>
      </w:r>
      <w:r>
        <w:rPr>
          <w:sz w:val="28"/>
          <w:szCs w:val="28"/>
        </w:rPr>
        <w:t>, ja to iesniedz</w:t>
      </w:r>
      <w:r w:rsidRPr="002A78A4">
        <w:rPr>
          <w:sz w:val="28"/>
          <w:szCs w:val="28"/>
        </w:rPr>
        <w:t xml:space="preserve"> </w:t>
      </w:r>
      <w:r>
        <w:rPr>
          <w:sz w:val="28"/>
          <w:szCs w:val="28"/>
        </w:rPr>
        <w:t>vēlāk nekā piecu kalendāra dienu laikā:</w:t>
      </w:r>
    </w:p>
    <w:p w:rsidR="003B1C26" w:rsidRDefault="003B1C26" w:rsidP="00D937CF">
      <w:pPr>
        <w:tabs>
          <w:tab w:val="left" w:pos="1701"/>
        </w:tabs>
        <w:ind w:firstLine="709"/>
        <w:jc w:val="both"/>
        <w:rPr>
          <w:sz w:val="28"/>
          <w:szCs w:val="28"/>
        </w:rPr>
      </w:pPr>
      <w:r>
        <w:rPr>
          <w:sz w:val="28"/>
          <w:szCs w:val="28"/>
        </w:rPr>
        <w:t>26.</w:t>
      </w:r>
      <w:r>
        <w:rPr>
          <w:sz w:val="28"/>
          <w:szCs w:val="28"/>
          <w:vertAlign w:val="superscript"/>
        </w:rPr>
        <w:t>1 </w:t>
      </w:r>
      <w:r>
        <w:rPr>
          <w:sz w:val="28"/>
          <w:szCs w:val="28"/>
        </w:rPr>
        <w:t>1. pēc tā kalendāra gada 30.septembra, kas seko atmaksas periodam;</w:t>
      </w:r>
    </w:p>
    <w:p w:rsidR="003B1C26" w:rsidRDefault="003B1C26" w:rsidP="00D937CF">
      <w:pPr>
        <w:tabs>
          <w:tab w:val="left" w:pos="1701"/>
        </w:tabs>
        <w:ind w:firstLine="709"/>
        <w:jc w:val="both"/>
        <w:rPr>
          <w:sz w:val="28"/>
          <w:szCs w:val="28"/>
        </w:rPr>
      </w:pPr>
      <w:r>
        <w:rPr>
          <w:sz w:val="28"/>
          <w:szCs w:val="28"/>
        </w:rPr>
        <w:t>26.</w:t>
      </w:r>
      <w:r>
        <w:rPr>
          <w:sz w:val="28"/>
          <w:szCs w:val="28"/>
          <w:vertAlign w:val="superscript"/>
        </w:rPr>
        <w:t>1 </w:t>
      </w:r>
      <w:r>
        <w:rPr>
          <w:sz w:val="28"/>
          <w:szCs w:val="28"/>
        </w:rPr>
        <w:t>2. pēc 2011.gada 31.marta, ja pieteikums iesniegts par atmaksas periodiem 2009.gadā."</w:t>
      </w:r>
    </w:p>
    <w:p w:rsidR="003B1C26" w:rsidRPr="003944A1" w:rsidRDefault="003B1C26" w:rsidP="003944A1">
      <w:pPr>
        <w:tabs>
          <w:tab w:val="left" w:pos="1701"/>
        </w:tabs>
        <w:ind w:firstLine="709"/>
        <w:jc w:val="both"/>
      </w:pPr>
    </w:p>
    <w:p w:rsidR="003B1C26" w:rsidRDefault="003B1C26" w:rsidP="00D937CF">
      <w:pPr>
        <w:tabs>
          <w:tab w:val="left" w:pos="1701"/>
        </w:tabs>
        <w:ind w:firstLine="709"/>
        <w:jc w:val="both"/>
        <w:rPr>
          <w:sz w:val="28"/>
          <w:szCs w:val="28"/>
        </w:rPr>
      </w:pPr>
      <w:r>
        <w:rPr>
          <w:sz w:val="28"/>
          <w:szCs w:val="28"/>
        </w:rPr>
        <w:t>4. Aizstāt 29.5.apakšpunktā skaitli un vārdu "13.</w:t>
      </w:r>
      <w:r>
        <w:rPr>
          <w:sz w:val="28"/>
          <w:szCs w:val="28"/>
          <w:vertAlign w:val="superscript"/>
        </w:rPr>
        <w:t>1 </w:t>
      </w:r>
      <w:r>
        <w:rPr>
          <w:sz w:val="28"/>
          <w:szCs w:val="28"/>
        </w:rPr>
        <w:t>pantā" ar skaitli un vārdu "13.pantā".</w:t>
      </w:r>
    </w:p>
    <w:p w:rsidR="003B1C26" w:rsidRPr="003944A1" w:rsidRDefault="003B1C26" w:rsidP="003944A1">
      <w:pPr>
        <w:tabs>
          <w:tab w:val="left" w:pos="1701"/>
        </w:tabs>
        <w:ind w:firstLine="709"/>
        <w:jc w:val="both"/>
      </w:pPr>
    </w:p>
    <w:p w:rsidR="003B1C26" w:rsidRDefault="003B1C26" w:rsidP="00D937CF">
      <w:pPr>
        <w:autoSpaceDE w:val="0"/>
        <w:autoSpaceDN w:val="0"/>
        <w:adjustRightInd w:val="0"/>
        <w:ind w:firstLine="709"/>
        <w:jc w:val="both"/>
        <w:rPr>
          <w:sz w:val="28"/>
          <w:szCs w:val="28"/>
        </w:rPr>
      </w:pPr>
      <w:r>
        <w:rPr>
          <w:sz w:val="28"/>
          <w:szCs w:val="28"/>
        </w:rPr>
        <w:t>5. I</w:t>
      </w:r>
      <w:r w:rsidRPr="00AE709A">
        <w:rPr>
          <w:sz w:val="28"/>
          <w:szCs w:val="28"/>
        </w:rPr>
        <w:t>zteikt 37.punktu šādā redakcijā:</w:t>
      </w:r>
    </w:p>
    <w:p w:rsidR="003B1C26" w:rsidRPr="003944A1" w:rsidRDefault="003B1C26" w:rsidP="003944A1">
      <w:pPr>
        <w:tabs>
          <w:tab w:val="left" w:pos="1701"/>
        </w:tabs>
        <w:ind w:firstLine="709"/>
        <w:jc w:val="both"/>
      </w:pPr>
    </w:p>
    <w:p w:rsidR="003B1C26" w:rsidRPr="00AE709A" w:rsidRDefault="003B1C26" w:rsidP="00D937CF">
      <w:pPr>
        <w:autoSpaceDE w:val="0"/>
        <w:autoSpaceDN w:val="0"/>
        <w:adjustRightInd w:val="0"/>
        <w:ind w:firstLine="709"/>
        <w:jc w:val="both"/>
        <w:rPr>
          <w:sz w:val="28"/>
          <w:szCs w:val="28"/>
        </w:rPr>
      </w:pPr>
      <w:r>
        <w:rPr>
          <w:sz w:val="28"/>
          <w:szCs w:val="28"/>
        </w:rPr>
        <w:t>"</w:t>
      </w:r>
      <w:r w:rsidRPr="00AE709A">
        <w:rPr>
          <w:sz w:val="28"/>
          <w:szCs w:val="28"/>
        </w:rPr>
        <w:t>37.</w:t>
      </w:r>
      <w:r>
        <w:rPr>
          <w:sz w:val="28"/>
          <w:szCs w:val="28"/>
        </w:rPr>
        <w:t> </w:t>
      </w:r>
      <w:r w:rsidRPr="00AE709A">
        <w:rPr>
          <w:sz w:val="28"/>
          <w:szCs w:val="28"/>
        </w:rPr>
        <w:t xml:space="preserve">Ja Valsts ieņēmumu dienests ir pieprasījis papildinformāciju saskaņā </w:t>
      </w:r>
      <w:r w:rsidRPr="00C81838">
        <w:rPr>
          <w:spacing w:val="-2"/>
          <w:sz w:val="28"/>
          <w:szCs w:val="28"/>
        </w:rPr>
        <w:t xml:space="preserve">ar šo noteikumu 35.punktu un </w:t>
      </w:r>
      <w:r w:rsidRPr="00AE709A">
        <w:rPr>
          <w:sz w:val="28"/>
          <w:szCs w:val="28"/>
        </w:rPr>
        <w:t xml:space="preserve">viena </w:t>
      </w:r>
      <w:r w:rsidRPr="00C81838">
        <w:rPr>
          <w:spacing w:val="-2"/>
          <w:sz w:val="28"/>
          <w:szCs w:val="28"/>
        </w:rPr>
        <w:t>mēneša laikā pēc dienas, kad papildinfor</w:t>
      </w:r>
      <w:r>
        <w:rPr>
          <w:spacing w:val="-2"/>
          <w:sz w:val="28"/>
          <w:szCs w:val="28"/>
        </w:rPr>
        <w:softHyphen/>
      </w:r>
      <w:r w:rsidRPr="00C81838">
        <w:rPr>
          <w:spacing w:val="-2"/>
          <w:sz w:val="28"/>
          <w:szCs w:val="28"/>
        </w:rPr>
        <w:t>mācijas pieprasījums sasniedzis personu, kurai tas adresēts, papildinformācija ir saņemta, Valsts ieņēmumu dienests par pieņemto lēmumu apstiprināt vai noraidīt atmaksas pieteikumu elektroniski paziņo citas dalībvalsts nodokļu</w:t>
      </w:r>
      <w:r w:rsidRPr="00AE709A">
        <w:rPr>
          <w:sz w:val="28"/>
          <w:szCs w:val="28"/>
        </w:rPr>
        <w:t xml:space="preserve"> administrācijai divu mēnešu laikā</w:t>
      </w:r>
      <w:r w:rsidRPr="00AE709A">
        <w:rPr>
          <w:color w:val="1F497D"/>
          <w:sz w:val="28"/>
          <w:szCs w:val="28"/>
        </w:rPr>
        <w:t xml:space="preserve"> </w:t>
      </w:r>
      <w:r w:rsidRPr="00AE709A">
        <w:rPr>
          <w:sz w:val="28"/>
          <w:szCs w:val="28"/>
        </w:rPr>
        <w:t>pēc papildinformācijas saņemšanas dienas</w:t>
      </w:r>
      <w:r>
        <w:rPr>
          <w:sz w:val="28"/>
          <w:szCs w:val="28"/>
        </w:rPr>
        <w:t>."</w:t>
      </w:r>
    </w:p>
    <w:p w:rsidR="003B1C26" w:rsidRPr="003944A1" w:rsidRDefault="003B1C26" w:rsidP="003944A1">
      <w:pPr>
        <w:tabs>
          <w:tab w:val="left" w:pos="1701"/>
        </w:tabs>
        <w:ind w:firstLine="709"/>
        <w:jc w:val="both"/>
      </w:pPr>
    </w:p>
    <w:p w:rsidR="003B1C26" w:rsidRDefault="003B1C26" w:rsidP="00D92D1E">
      <w:pPr>
        <w:autoSpaceDE w:val="0"/>
        <w:autoSpaceDN w:val="0"/>
        <w:adjustRightInd w:val="0"/>
        <w:ind w:firstLine="720"/>
        <w:jc w:val="both"/>
        <w:rPr>
          <w:sz w:val="28"/>
          <w:szCs w:val="28"/>
        </w:rPr>
      </w:pPr>
      <w:r>
        <w:rPr>
          <w:sz w:val="28"/>
          <w:szCs w:val="28"/>
        </w:rPr>
        <w:t>6</w:t>
      </w:r>
      <w:r w:rsidRPr="00AE709A">
        <w:rPr>
          <w:sz w:val="28"/>
          <w:szCs w:val="28"/>
        </w:rPr>
        <w:t xml:space="preserve">. </w:t>
      </w:r>
      <w:r>
        <w:rPr>
          <w:sz w:val="28"/>
          <w:szCs w:val="28"/>
        </w:rPr>
        <w:t>P</w:t>
      </w:r>
      <w:r w:rsidRPr="00AE709A">
        <w:rPr>
          <w:sz w:val="28"/>
          <w:szCs w:val="28"/>
        </w:rPr>
        <w:t>apildināt noteikumus ar 37.</w:t>
      </w:r>
      <w:r w:rsidRPr="00AE709A">
        <w:rPr>
          <w:sz w:val="28"/>
          <w:szCs w:val="28"/>
          <w:vertAlign w:val="superscript"/>
        </w:rPr>
        <w:t>1</w:t>
      </w:r>
      <w:r>
        <w:rPr>
          <w:sz w:val="28"/>
          <w:szCs w:val="28"/>
          <w:vertAlign w:val="superscript"/>
        </w:rPr>
        <w:t> </w:t>
      </w:r>
      <w:r w:rsidRPr="00AE709A">
        <w:rPr>
          <w:sz w:val="28"/>
          <w:szCs w:val="28"/>
        </w:rPr>
        <w:t>punktu šādā redakcijā:</w:t>
      </w:r>
    </w:p>
    <w:p w:rsidR="003B1C26" w:rsidRPr="003944A1" w:rsidRDefault="003B1C26" w:rsidP="003944A1">
      <w:pPr>
        <w:tabs>
          <w:tab w:val="left" w:pos="1701"/>
        </w:tabs>
        <w:ind w:firstLine="709"/>
        <w:jc w:val="both"/>
      </w:pPr>
    </w:p>
    <w:p w:rsidR="003B1C26" w:rsidRPr="00AE709A" w:rsidRDefault="003B1C26" w:rsidP="00D937CF">
      <w:pPr>
        <w:autoSpaceDE w:val="0"/>
        <w:autoSpaceDN w:val="0"/>
        <w:adjustRightInd w:val="0"/>
        <w:ind w:firstLine="720"/>
        <w:jc w:val="both"/>
        <w:rPr>
          <w:sz w:val="28"/>
          <w:szCs w:val="28"/>
        </w:rPr>
      </w:pPr>
      <w:r>
        <w:rPr>
          <w:sz w:val="28"/>
          <w:szCs w:val="28"/>
        </w:rPr>
        <w:t>"37.</w:t>
      </w:r>
      <w:r w:rsidRPr="00AE709A">
        <w:rPr>
          <w:sz w:val="28"/>
          <w:szCs w:val="28"/>
          <w:vertAlign w:val="superscript"/>
        </w:rPr>
        <w:t>1</w:t>
      </w:r>
      <w:r>
        <w:rPr>
          <w:sz w:val="28"/>
          <w:szCs w:val="28"/>
        </w:rPr>
        <w:t> </w:t>
      </w:r>
      <w:r w:rsidRPr="00AE709A">
        <w:rPr>
          <w:sz w:val="28"/>
          <w:szCs w:val="28"/>
        </w:rPr>
        <w:t>Ja papildinformācija</w:t>
      </w:r>
      <w:r>
        <w:rPr>
          <w:sz w:val="28"/>
          <w:szCs w:val="28"/>
        </w:rPr>
        <w:t>, kas</w:t>
      </w:r>
      <w:r w:rsidRPr="00AE709A">
        <w:rPr>
          <w:sz w:val="28"/>
          <w:szCs w:val="28"/>
        </w:rPr>
        <w:t xml:space="preserve"> pieprasīt</w:t>
      </w:r>
      <w:r>
        <w:rPr>
          <w:sz w:val="28"/>
          <w:szCs w:val="28"/>
        </w:rPr>
        <w:t>a</w:t>
      </w:r>
      <w:r w:rsidRPr="00AE709A">
        <w:rPr>
          <w:sz w:val="28"/>
          <w:szCs w:val="28"/>
        </w:rPr>
        <w:t xml:space="preserve"> saskaņā ar šo noteikumu 35.punktu</w:t>
      </w:r>
      <w:r>
        <w:rPr>
          <w:sz w:val="28"/>
          <w:szCs w:val="28"/>
        </w:rPr>
        <w:t xml:space="preserve">, </w:t>
      </w:r>
      <w:r w:rsidRPr="00AE709A">
        <w:rPr>
          <w:sz w:val="28"/>
          <w:szCs w:val="28"/>
        </w:rPr>
        <w:t xml:space="preserve">viena mēneša laikā pēc dienas, kad papildinformācijas pieprasījums sasniedzis personu, kurai tas adresēts, </w:t>
      </w:r>
      <w:r>
        <w:rPr>
          <w:sz w:val="28"/>
          <w:szCs w:val="28"/>
        </w:rPr>
        <w:t xml:space="preserve">nav saņemta, </w:t>
      </w:r>
      <w:r w:rsidRPr="00AE709A">
        <w:rPr>
          <w:sz w:val="28"/>
          <w:szCs w:val="28"/>
        </w:rPr>
        <w:t>Valsts ieņēmumu dienests par pieņemto lēmumu apstiprināt vai noraidīt atmaksas pieteikumu elektroniski paziņo citas dalībvalsts nodokļu administrācijai divu mēnešu laikā</w:t>
      </w:r>
      <w:r w:rsidRPr="00AE709A">
        <w:rPr>
          <w:color w:val="1F497D"/>
          <w:sz w:val="28"/>
          <w:szCs w:val="28"/>
        </w:rPr>
        <w:t xml:space="preserve"> </w:t>
      </w:r>
      <w:r w:rsidRPr="00AE709A">
        <w:rPr>
          <w:sz w:val="28"/>
          <w:szCs w:val="28"/>
        </w:rPr>
        <w:t>pēc papild</w:t>
      </w:r>
      <w:r>
        <w:rPr>
          <w:sz w:val="28"/>
          <w:szCs w:val="28"/>
        </w:rPr>
        <w:softHyphen/>
        <w:t>informācijas saņemšanai paredzētā</w:t>
      </w:r>
      <w:r w:rsidRPr="00AE709A">
        <w:rPr>
          <w:sz w:val="28"/>
          <w:szCs w:val="28"/>
        </w:rPr>
        <w:t xml:space="preserve"> termiņa beigām.</w:t>
      </w:r>
      <w:r>
        <w:rPr>
          <w:sz w:val="28"/>
          <w:szCs w:val="28"/>
        </w:rPr>
        <w:t>"</w:t>
      </w:r>
      <w:r w:rsidRPr="00AE709A">
        <w:rPr>
          <w:sz w:val="28"/>
          <w:szCs w:val="28"/>
        </w:rPr>
        <w:t xml:space="preserve"> </w:t>
      </w:r>
    </w:p>
    <w:p w:rsidR="003B1C26" w:rsidRPr="003944A1" w:rsidRDefault="003B1C26" w:rsidP="003944A1">
      <w:pPr>
        <w:tabs>
          <w:tab w:val="left" w:pos="1701"/>
        </w:tabs>
        <w:ind w:firstLine="709"/>
        <w:jc w:val="both"/>
      </w:pPr>
    </w:p>
    <w:p w:rsidR="003B1C26" w:rsidRDefault="003B1C26" w:rsidP="00D937CF">
      <w:pPr>
        <w:tabs>
          <w:tab w:val="left" w:pos="1701"/>
        </w:tabs>
        <w:ind w:firstLine="720"/>
        <w:jc w:val="both"/>
        <w:rPr>
          <w:sz w:val="28"/>
          <w:szCs w:val="28"/>
        </w:rPr>
      </w:pPr>
      <w:r>
        <w:rPr>
          <w:sz w:val="28"/>
          <w:szCs w:val="28"/>
        </w:rPr>
        <w:t xml:space="preserve">7. Izteikt informatīvo atsauci uz Eiropas Savienības direktīvu šādā redakcijā: </w:t>
      </w:r>
    </w:p>
    <w:p w:rsidR="003B1C26" w:rsidRPr="003944A1" w:rsidRDefault="003B1C26" w:rsidP="003944A1">
      <w:pPr>
        <w:tabs>
          <w:tab w:val="left" w:pos="1701"/>
        </w:tabs>
        <w:ind w:firstLine="709"/>
        <w:jc w:val="both"/>
      </w:pPr>
    </w:p>
    <w:p w:rsidR="003B1C26" w:rsidRDefault="003B1C26" w:rsidP="002928D9">
      <w:pPr>
        <w:tabs>
          <w:tab w:val="left" w:pos="1701"/>
        </w:tabs>
        <w:jc w:val="center"/>
        <w:rPr>
          <w:b/>
          <w:bCs/>
          <w:sz w:val="28"/>
          <w:szCs w:val="28"/>
        </w:rPr>
      </w:pPr>
      <w:r>
        <w:rPr>
          <w:sz w:val="28"/>
          <w:szCs w:val="28"/>
        </w:rPr>
        <w:t>"</w:t>
      </w:r>
      <w:r w:rsidRPr="0096651A">
        <w:rPr>
          <w:b/>
          <w:bCs/>
          <w:sz w:val="28"/>
          <w:szCs w:val="28"/>
        </w:rPr>
        <w:t>Informatīv</w:t>
      </w:r>
      <w:r>
        <w:rPr>
          <w:b/>
          <w:bCs/>
          <w:sz w:val="28"/>
          <w:szCs w:val="28"/>
        </w:rPr>
        <w:t>a</w:t>
      </w:r>
      <w:r w:rsidRPr="0096651A">
        <w:rPr>
          <w:b/>
          <w:bCs/>
          <w:sz w:val="28"/>
          <w:szCs w:val="28"/>
        </w:rPr>
        <w:t xml:space="preserve"> atsauce uz Eiropas Savienības direktīvām</w:t>
      </w:r>
    </w:p>
    <w:p w:rsidR="003B1C26" w:rsidRPr="003944A1" w:rsidRDefault="003B1C26" w:rsidP="003944A1">
      <w:pPr>
        <w:tabs>
          <w:tab w:val="left" w:pos="1701"/>
        </w:tabs>
        <w:ind w:firstLine="709"/>
        <w:jc w:val="both"/>
      </w:pPr>
      <w:bookmarkStart w:id="0" w:name="bkm0"/>
    </w:p>
    <w:p w:rsidR="003B1C26" w:rsidRPr="00541582" w:rsidRDefault="003B1C26" w:rsidP="00486994">
      <w:pPr>
        <w:tabs>
          <w:tab w:val="left" w:pos="1701"/>
        </w:tabs>
        <w:ind w:firstLine="709"/>
        <w:jc w:val="both"/>
        <w:rPr>
          <w:sz w:val="28"/>
          <w:szCs w:val="28"/>
        </w:rPr>
      </w:pPr>
      <w:r w:rsidRPr="00541582">
        <w:rPr>
          <w:sz w:val="28"/>
          <w:szCs w:val="28"/>
        </w:rPr>
        <w:t>Noteikumos iekļautas tiesību normas, kas izriet no:</w:t>
      </w:r>
    </w:p>
    <w:p w:rsidR="003B1C26" w:rsidRPr="00541582" w:rsidRDefault="003B1C26" w:rsidP="00486994">
      <w:pPr>
        <w:tabs>
          <w:tab w:val="left" w:pos="1701"/>
        </w:tabs>
        <w:ind w:firstLine="709"/>
        <w:jc w:val="both"/>
        <w:rPr>
          <w:sz w:val="28"/>
          <w:szCs w:val="28"/>
        </w:rPr>
      </w:pPr>
      <w:r w:rsidRPr="00541582">
        <w:rPr>
          <w:sz w:val="28"/>
          <w:szCs w:val="28"/>
        </w:rPr>
        <w:t>1</w:t>
      </w:r>
      <w:r w:rsidRPr="00541582">
        <w:rPr>
          <w:rStyle w:val="Hyperlink"/>
          <w:color w:val="auto"/>
          <w:sz w:val="28"/>
          <w:szCs w:val="28"/>
          <w:u w:val="none"/>
        </w:rPr>
        <w:t>)</w:t>
      </w:r>
      <w:r>
        <w:rPr>
          <w:sz w:val="28"/>
          <w:szCs w:val="28"/>
        </w:rPr>
        <w:t> </w:t>
      </w:r>
      <w:r w:rsidRPr="00541582">
        <w:rPr>
          <w:sz w:val="28"/>
          <w:szCs w:val="28"/>
        </w:rPr>
        <w:t xml:space="preserve">Padomes 2008.gada 12.februāra </w:t>
      </w:r>
      <w:r>
        <w:rPr>
          <w:sz w:val="28"/>
          <w:szCs w:val="28"/>
        </w:rPr>
        <w:t>D</w:t>
      </w:r>
      <w:r w:rsidRPr="00541582">
        <w:rPr>
          <w:sz w:val="28"/>
          <w:szCs w:val="28"/>
        </w:rPr>
        <w:t xml:space="preserve">irektīvas </w:t>
      </w:r>
      <w:bookmarkEnd w:id="0"/>
      <w:r w:rsidRPr="00541582">
        <w:rPr>
          <w:sz w:val="28"/>
          <w:szCs w:val="28"/>
        </w:rPr>
        <w:fldChar w:fldCharType="begin"/>
      </w:r>
      <w:r w:rsidRPr="00541582">
        <w:rPr>
          <w:sz w:val="28"/>
          <w:szCs w:val="28"/>
        </w:rPr>
        <w:instrText xml:space="preserve"> HYPERLINK "http://pro.nais.lv/naiser/esdoc.cfm?esid=32008L0009" \o "DIREKTĪVA" \t "_blank" </w:instrText>
      </w:r>
      <w:r w:rsidRPr="00511D0A">
        <w:rPr>
          <w:sz w:val="28"/>
          <w:szCs w:val="28"/>
        </w:rPr>
      </w:r>
      <w:r w:rsidRPr="00541582">
        <w:rPr>
          <w:sz w:val="28"/>
          <w:szCs w:val="28"/>
        </w:rPr>
        <w:fldChar w:fldCharType="separate"/>
      </w:r>
      <w:r w:rsidRPr="00541582">
        <w:rPr>
          <w:rStyle w:val="Hyperlink"/>
          <w:color w:val="auto"/>
          <w:sz w:val="28"/>
          <w:szCs w:val="28"/>
          <w:u w:val="none"/>
        </w:rPr>
        <w:t>2008/9/EK</w:t>
      </w:r>
      <w:r w:rsidRPr="00541582">
        <w:rPr>
          <w:sz w:val="28"/>
          <w:szCs w:val="28"/>
        </w:rPr>
        <w:fldChar w:fldCharType="end"/>
      </w:r>
      <w:r w:rsidRPr="00541582">
        <w:rPr>
          <w:sz w:val="28"/>
          <w:szCs w:val="28"/>
        </w:rPr>
        <w:t xml:space="preserve">, ar ko nosaka sīki izstrādātus noteikumus Direktīvā </w:t>
      </w:r>
      <w:hyperlink r:id="rId9" w:tgtFrame="_blank" w:tooltip="DIREKTĪVA" w:history="1">
        <w:r w:rsidRPr="00541582">
          <w:rPr>
            <w:rStyle w:val="Hyperlink"/>
            <w:color w:val="auto"/>
            <w:sz w:val="28"/>
            <w:szCs w:val="28"/>
            <w:u w:val="none"/>
          </w:rPr>
          <w:t>2006/112/EK</w:t>
        </w:r>
      </w:hyperlink>
      <w:r w:rsidRPr="00541582">
        <w:rPr>
          <w:sz w:val="28"/>
          <w:szCs w:val="28"/>
        </w:rPr>
        <w:t xml:space="preserve"> paredzētajai pievienotās vērtības nodokļa atmaksāšanai nodokļa maksātājiem, kas neveic uzņēmējdarbību attiecīgās valsts teritorijā, bet veic </w:t>
      </w:r>
      <w:r>
        <w:rPr>
          <w:sz w:val="28"/>
          <w:szCs w:val="28"/>
        </w:rPr>
        <w:t>uzņēmējdarbību citā dalībvalstī;</w:t>
      </w:r>
    </w:p>
    <w:p w:rsidR="003B1C26" w:rsidRPr="00541582" w:rsidRDefault="003B1C26" w:rsidP="00541582">
      <w:pPr>
        <w:tabs>
          <w:tab w:val="left" w:pos="1701"/>
        </w:tabs>
        <w:ind w:firstLine="709"/>
        <w:jc w:val="both"/>
        <w:rPr>
          <w:sz w:val="28"/>
          <w:szCs w:val="28"/>
        </w:rPr>
      </w:pPr>
      <w:r w:rsidRPr="00541582">
        <w:rPr>
          <w:rStyle w:val="Hyperlink"/>
          <w:color w:val="auto"/>
          <w:sz w:val="28"/>
          <w:szCs w:val="28"/>
          <w:u w:val="none"/>
        </w:rPr>
        <w:t>2)</w:t>
      </w:r>
      <w:r>
        <w:rPr>
          <w:sz w:val="28"/>
          <w:szCs w:val="28"/>
        </w:rPr>
        <w:t> </w:t>
      </w:r>
      <w:r w:rsidRPr="00541582">
        <w:rPr>
          <w:sz w:val="28"/>
          <w:szCs w:val="28"/>
        </w:rPr>
        <w:t>Padomes 20</w:t>
      </w:r>
      <w:r>
        <w:rPr>
          <w:sz w:val="28"/>
          <w:szCs w:val="28"/>
        </w:rPr>
        <w:t>10</w:t>
      </w:r>
      <w:r w:rsidRPr="00541582">
        <w:rPr>
          <w:sz w:val="28"/>
          <w:szCs w:val="28"/>
        </w:rPr>
        <w:t>.gada 1</w:t>
      </w:r>
      <w:r>
        <w:rPr>
          <w:sz w:val="28"/>
          <w:szCs w:val="28"/>
        </w:rPr>
        <w:t>4</w:t>
      </w:r>
      <w:r w:rsidRPr="00541582">
        <w:rPr>
          <w:sz w:val="28"/>
          <w:szCs w:val="28"/>
        </w:rPr>
        <w:t>.</w:t>
      </w:r>
      <w:r>
        <w:rPr>
          <w:sz w:val="28"/>
          <w:szCs w:val="28"/>
        </w:rPr>
        <w:t>oktobra</w:t>
      </w:r>
      <w:r w:rsidRPr="00541582">
        <w:rPr>
          <w:sz w:val="28"/>
          <w:szCs w:val="28"/>
        </w:rPr>
        <w:t xml:space="preserve"> </w:t>
      </w:r>
      <w:r>
        <w:rPr>
          <w:sz w:val="28"/>
          <w:szCs w:val="28"/>
        </w:rPr>
        <w:t>D</w:t>
      </w:r>
      <w:r w:rsidRPr="00541582">
        <w:rPr>
          <w:sz w:val="28"/>
          <w:szCs w:val="28"/>
        </w:rPr>
        <w:t xml:space="preserve">irektīvas </w:t>
      </w:r>
      <w:hyperlink r:id="rId10" w:tgtFrame="_blank" w:tooltip="DIREKTĪVA" w:history="1">
        <w:r>
          <w:rPr>
            <w:rStyle w:val="Hyperlink"/>
            <w:color w:val="auto"/>
            <w:sz w:val="28"/>
            <w:szCs w:val="28"/>
            <w:u w:val="none"/>
          </w:rPr>
          <w:t>2010</w:t>
        </w:r>
        <w:r w:rsidRPr="00541582">
          <w:rPr>
            <w:rStyle w:val="Hyperlink"/>
            <w:color w:val="auto"/>
            <w:sz w:val="28"/>
            <w:szCs w:val="28"/>
            <w:u w:val="none"/>
          </w:rPr>
          <w:t>/</w:t>
        </w:r>
        <w:r>
          <w:rPr>
            <w:rStyle w:val="Hyperlink"/>
            <w:color w:val="auto"/>
            <w:sz w:val="28"/>
            <w:szCs w:val="28"/>
            <w:u w:val="none"/>
          </w:rPr>
          <w:t>66</w:t>
        </w:r>
        <w:r w:rsidRPr="00541582">
          <w:rPr>
            <w:rStyle w:val="Hyperlink"/>
            <w:color w:val="auto"/>
            <w:sz w:val="28"/>
            <w:szCs w:val="28"/>
            <w:u w:val="none"/>
          </w:rPr>
          <w:t>/E</w:t>
        </w:r>
      </w:hyperlink>
      <w:r>
        <w:rPr>
          <w:sz w:val="28"/>
          <w:szCs w:val="28"/>
        </w:rPr>
        <w:t>S</w:t>
      </w:r>
      <w:r w:rsidRPr="00541582">
        <w:rPr>
          <w:sz w:val="28"/>
          <w:szCs w:val="28"/>
        </w:rPr>
        <w:t xml:space="preserve">, ar </w:t>
      </w:r>
      <w:r>
        <w:rPr>
          <w:sz w:val="28"/>
          <w:szCs w:val="28"/>
        </w:rPr>
        <w:t xml:space="preserve">kuru groza Direktīvu </w:t>
      </w:r>
      <w:hyperlink r:id="rId11" w:tgtFrame="_blank" w:tooltip="DIREKTĪVA" w:history="1">
        <w:r w:rsidRPr="00541582">
          <w:rPr>
            <w:rStyle w:val="Hyperlink"/>
            <w:color w:val="auto"/>
            <w:sz w:val="28"/>
            <w:szCs w:val="28"/>
            <w:u w:val="none"/>
          </w:rPr>
          <w:t>200</w:t>
        </w:r>
        <w:r>
          <w:rPr>
            <w:rStyle w:val="Hyperlink"/>
            <w:color w:val="auto"/>
            <w:sz w:val="28"/>
            <w:szCs w:val="28"/>
            <w:u w:val="none"/>
          </w:rPr>
          <w:t>8</w:t>
        </w:r>
        <w:r w:rsidRPr="00541582">
          <w:rPr>
            <w:rStyle w:val="Hyperlink"/>
            <w:color w:val="auto"/>
            <w:sz w:val="28"/>
            <w:szCs w:val="28"/>
            <w:u w:val="none"/>
          </w:rPr>
          <w:t>/</w:t>
        </w:r>
        <w:r>
          <w:rPr>
            <w:rStyle w:val="Hyperlink"/>
            <w:color w:val="auto"/>
            <w:sz w:val="28"/>
            <w:szCs w:val="28"/>
            <w:u w:val="none"/>
          </w:rPr>
          <w:t>9</w:t>
        </w:r>
        <w:r w:rsidRPr="00541582">
          <w:rPr>
            <w:rStyle w:val="Hyperlink"/>
            <w:color w:val="auto"/>
            <w:sz w:val="28"/>
            <w:szCs w:val="28"/>
            <w:u w:val="none"/>
          </w:rPr>
          <w:t>/EK</w:t>
        </w:r>
      </w:hyperlink>
      <w:r>
        <w:rPr>
          <w:sz w:val="28"/>
          <w:szCs w:val="28"/>
        </w:rPr>
        <w:t xml:space="preserve">, ar </w:t>
      </w:r>
      <w:r w:rsidRPr="00541582">
        <w:rPr>
          <w:sz w:val="28"/>
          <w:szCs w:val="28"/>
        </w:rPr>
        <w:t xml:space="preserve">ko nosaka sīki izstrādātus noteikumus Direktīvā </w:t>
      </w:r>
      <w:hyperlink r:id="rId12" w:tgtFrame="_blank" w:tooltip="DIREKTĪVA" w:history="1">
        <w:r w:rsidRPr="00541582">
          <w:rPr>
            <w:rStyle w:val="Hyperlink"/>
            <w:color w:val="auto"/>
            <w:sz w:val="28"/>
            <w:szCs w:val="28"/>
            <w:u w:val="none"/>
          </w:rPr>
          <w:t>2006/112/EK</w:t>
        </w:r>
      </w:hyperlink>
      <w:r w:rsidRPr="00541582">
        <w:rPr>
          <w:sz w:val="28"/>
          <w:szCs w:val="28"/>
        </w:rPr>
        <w:t xml:space="preserve"> paredzētajai pievienotās vērtības nodokļa atmaksāšanai nodokļa maksātājiem, kas neveic uzņēmējdarbību attiecīgās valsts teritorijā, bet veic </w:t>
      </w:r>
      <w:r>
        <w:rPr>
          <w:sz w:val="28"/>
          <w:szCs w:val="28"/>
        </w:rPr>
        <w:t>uzņēmējdarbību citā dalībvalstī."</w:t>
      </w:r>
    </w:p>
    <w:p w:rsidR="003B1C26" w:rsidRPr="003944A1" w:rsidRDefault="003B1C26" w:rsidP="003944A1">
      <w:pPr>
        <w:tabs>
          <w:tab w:val="left" w:pos="1701"/>
        </w:tabs>
        <w:ind w:firstLine="709"/>
        <w:jc w:val="both"/>
      </w:pPr>
    </w:p>
    <w:p w:rsidR="003B1C26" w:rsidRPr="003944A1" w:rsidRDefault="003B1C26" w:rsidP="003944A1">
      <w:pPr>
        <w:tabs>
          <w:tab w:val="left" w:pos="1701"/>
        </w:tabs>
        <w:ind w:firstLine="709"/>
        <w:jc w:val="both"/>
      </w:pPr>
    </w:p>
    <w:p w:rsidR="003B1C26" w:rsidRPr="005573F5" w:rsidRDefault="003B1C26" w:rsidP="007E3EE7">
      <w:pPr>
        <w:tabs>
          <w:tab w:val="left" w:pos="6660"/>
        </w:tabs>
        <w:ind w:firstLine="720"/>
        <w:jc w:val="both"/>
        <w:rPr>
          <w:sz w:val="28"/>
          <w:szCs w:val="28"/>
          <w:lang w:eastAsia="lv-LV"/>
        </w:rPr>
      </w:pPr>
      <w:r w:rsidRPr="005573F5">
        <w:rPr>
          <w:sz w:val="28"/>
          <w:szCs w:val="28"/>
          <w:lang w:eastAsia="lv-LV"/>
        </w:rPr>
        <w:t>Ministru prezidents</w:t>
      </w:r>
      <w:r>
        <w:rPr>
          <w:sz w:val="28"/>
          <w:szCs w:val="28"/>
          <w:lang w:eastAsia="lv-LV"/>
        </w:rPr>
        <w:tab/>
        <w:t>V.Dombrovskis</w:t>
      </w:r>
    </w:p>
    <w:p w:rsidR="003B1C26" w:rsidRDefault="003B1C26" w:rsidP="007E3EE7">
      <w:pPr>
        <w:tabs>
          <w:tab w:val="left" w:pos="6660"/>
        </w:tabs>
        <w:ind w:firstLine="720"/>
        <w:jc w:val="both"/>
        <w:rPr>
          <w:sz w:val="28"/>
          <w:szCs w:val="28"/>
          <w:lang w:eastAsia="lv-LV"/>
        </w:rPr>
      </w:pPr>
    </w:p>
    <w:p w:rsidR="003B1C26" w:rsidRDefault="003B1C26" w:rsidP="007E3EE7">
      <w:pPr>
        <w:tabs>
          <w:tab w:val="left" w:pos="6660"/>
        </w:tabs>
        <w:ind w:firstLine="720"/>
        <w:rPr>
          <w:sz w:val="28"/>
          <w:szCs w:val="28"/>
          <w:lang w:eastAsia="lv-LV"/>
        </w:rPr>
      </w:pPr>
      <w:r>
        <w:rPr>
          <w:sz w:val="28"/>
          <w:szCs w:val="28"/>
          <w:lang w:eastAsia="lv-LV"/>
        </w:rPr>
        <w:t>Finanšu ministra vietā –</w:t>
      </w:r>
    </w:p>
    <w:p w:rsidR="003B1C26" w:rsidRPr="007E3EE7" w:rsidRDefault="003B1C26" w:rsidP="007E3EE7">
      <w:pPr>
        <w:tabs>
          <w:tab w:val="left" w:pos="6660"/>
        </w:tabs>
        <w:ind w:firstLine="720"/>
        <w:rPr>
          <w:sz w:val="28"/>
          <w:szCs w:val="28"/>
          <w:lang w:eastAsia="lv-LV"/>
        </w:rPr>
      </w:pPr>
      <w:r>
        <w:rPr>
          <w:sz w:val="28"/>
          <w:szCs w:val="28"/>
          <w:lang w:eastAsia="lv-LV"/>
        </w:rPr>
        <w:t>ekonomikas ministrs</w:t>
      </w:r>
      <w:r>
        <w:rPr>
          <w:sz w:val="28"/>
          <w:szCs w:val="28"/>
          <w:lang w:eastAsia="lv-LV"/>
        </w:rPr>
        <w:tab/>
        <w:t>A.Kampars</w:t>
      </w:r>
    </w:p>
    <w:sectPr w:rsidR="003B1C26" w:rsidRPr="007E3EE7" w:rsidSect="00130C64">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26" w:rsidRDefault="003B1C26" w:rsidP="00D4204B">
      <w:r>
        <w:separator/>
      </w:r>
    </w:p>
  </w:endnote>
  <w:endnote w:type="continuationSeparator" w:id="0">
    <w:p w:rsidR="003B1C26" w:rsidRDefault="003B1C26" w:rsidP="00D42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6" w:rsidRPr="007E3EE7" w:rsidRDefault="003B1C26">
    <w:pPr>
      <w:pStyle w:val="Footer"/>
      <w:rPr>
        <w:sz w:val="16"/>
        <w:szCs w:val="16"/>
      </w:rPr>
    </w:pPr>
    <w:r>
      <w:rPr>
        <w:sz w:val="16"/>
        <w:szCs w:val="16"/>
      </w:rPr>
      <w:t>N0091_1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6" w:rsidRPr="007E3EE7" w:rsidRDefault="003B1C26" w:rsidP="007E3EE7">
    <w:pPr>
      <w:pStyle w:val="Footer"/>
      <w:rPr>
        <w:sz w:val="16"/>
        <w:szCs w:val="16"/>
      </w:rPr>
    </w:pPr>
    <w:r>
      <w:rPr>
        <w:sz w:val="16"/>
        <w:szCs w:val="16"/>
      </w:rPr>
      <w:t xml:space="preserve">N0091_1    v_sk. = </w:t>
    </w:r>
    <w:fldSimple w:instr=" NUMWORDS  \* MERGEFORMAT ">
      <w:r w:rsidRPr="001D25B8">
        <w:rPr>
          <w:noProof/>
          <w:sz w:val="16"/>
          <w:szCs w:val="16"/>
        </w:rPr>
        <w:t>450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26" w:rsidRDefault="003B1C26" w:rsidP="00D4204B">
      <w:r>
        <w:separator/>
      </w:r>
    </w:p>
  </w:footnote>
  <w:footnote w:type="continuationSeparator" w:id="0">
    <w:p w:rsidR="003B1C26" w:rsidRDefault="003B1C26" w:rsidP="00D42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6" w:rsidRDefault="003B1C26">
    <w:pPr>
      <w:pStyle w:val="Header"/>
      <w:jc w:val="center"/>
    </w:pPr>
    <w:fldSimple w:instr=" PAGE   \* MERGEFORMAT ">
      <w:r>
        <w:rPr>
          <w:noProof/>
        </w:rPr>
        <w:t>2</w:t>
      </w:r>
    </w:fldSimple>
  </w:p>
  <w:p w:rsidR="003B1C26" w:rsidRDefault="003B1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6" w:rsidRDefault="003B1C26" w:rsidP="007E3EE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CCE"/>
    <w:multiLevelType w:val="hybridMultilevel"/>
    <w:tmpl w:val="702A5D60"/>
    <w:lvl w:ilvl="0" w:tplc="9F0E83D0">
      <w:start w:val="33"/>
      <w:numFmt w:val="decimal"/>
      <w:lvlText w:val="%1."/>
      <w:lvlJc w:val="left"/>
      <w:pPr>
        <w:ind w:left="1515" w:hanging="375"/>
      </w:pPr>
      <w:rPr>
        <w:rFonts w:cs="Times New Roman" w:hint="default"/>
        <w:b w:val="0"/>
        <w:bCs w:val="0"/>
        <w:i w:val="0"/>
        <w:iCs w:val="0"/>
      </w:rPr>
    </w:lvl>
    <w:lvl w:ilvl="1" w:tplc="04260019">
      <w:start w:val="1"/>
      <w:numFmt w:val="lowerLetter"/>
      <w:lvlText w:val="%2."/>
      <w:lvlJc w:val="left"/>
      <w:pPr>
        <w:ind w:left="2220" w:hanging="360"/>
      </w:pPr>
      <w:rPr>
        <w:rFonts w:cs="Times New Roman"/>
      </w:rPr>
    </w:lvl>
    <w:lvl w:ilvl="2" w:tplc="0426001B">
      <w:start w:val="1"/>
      <w:numFmt w:val="lowerRoman"/>
      <w:lvlText w:val="%3."/>
      <w:lvlJc w:val="right"/>
      <w:pPr>
        <w:ind w:left="2940" w:hanging="180"/>
      </w:pPr>
      <w:rPr>
        <w:rFonts w:cs="Times New Roman"/>
      </w:rPr>
    </w:lvl>
    <w:lvl w:ilvl="3" w:tplc="0426000F">
      <w:start w:val="1"/>
      <w:numFmt w:val="decimal"/>
      <w:lvlText w:val="%4."/>
      <w:lvlJc w:val="left"/>
      <w:pPr>
        <w:ind w:left="3660" w:hanging="360"/>
      </w:pPr>
      <w:rPr>
        <w:rFonts w:cs="Times New Roman"/>
      </w:rPr>
    </w:lvl>
    <w:lvl w:ilvl="4" w:tplc="04260019">
      <w:start w:val="1"/>
      <w:numFmt w:val="lowerLetter"/>
      <w:lvlText w:val="%5."/>
      <w:lvlJc w:val="left"/>
      <w:pPr>
        <w:ind w:left="4380" w:hanging="360"/>
      </w:pPr>
      <w:rPr>
        <w:rFonts w:cs="Times New Roman"/>
      </w:rPr>
    </w:lvl>
    <w:lvl w:ilvl="5" w:tplc="0426001B">
      <w:start w:val="1"/>
      <w:numFmt w:val="lowerRoman"/>
      <w:lvlText w:val="%6."/>
      <w:lvlJc w:val="right"/>
      <w:pPr>
        <w:ind w:left="5100" w:hanging="180"/>
      </w:pPr>
      <w:rPr>
        <w:rFonts w:cs="Times New Roman"/>
      </w:rPr>
    </w:lvl>
    <w:lvl w:ilvl="6" w:tplc="0426000F">
      <w:start w:val="1"/>
      <w:numFmt w:val="decimal"/>
      <w:lvlText w:val="%7."/>
      <w:lvlJc w:val="left"/>
      <w:pPr>
        <w:ind w:left="5820" w:hanging="360"/>
      </w:pPr>
      <w:rPr>
        <w:rFonts w:cs="Times New Roman"/>
      </w:rPr>
    </w:lvl>
    <w:lvl w:ilvl="7" w:tplc="04260019">
      <w:start w:val="1"/>
      <w:numFmt w:val="lowerLetter"/>
      <w:lvlText w:val="%8."/>
      <w:lvlJc w:val="left"/>
      <w:pPr>
        <w:ind w:left="6540" w:hanging="360"/>
      </w:pPr>
      <w:rPr>
        <w:rFonts w:cs="Times New Roman"/>
      </w:rPr>
    </w:lvl>
    <w:lvl w:ilvl="8" w:tplc="0426001B">
      <w:start w:val="1"/>
      <w:numFmt w:val="lowerRoman"/>
      <w:lvlText w:val="%9."/>
      <w:lvlJc w:val="right"/>
      <w:pPr>
        <w:ind w:left="72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994"/>
    <w:rsid w:val="00016D6D"/>
    <w:rsid w:val="00031A97"/>
    <w:rsid w:val="00036C47"/>
    <w:rsid w:val="00040C7E"/>
    <w:rsid w:val="00081846"/>
    <w:rsid w:val="00082C55"/>
    <w:rsid w:val="000978B7"/>
    <w:rsid w:val="00130C64"/>
    <w:rsid w:val="00135D27"/>
    <w:rsid w:val="00154F78"/>
    <w:rsid w:val="001579B5"/>
    <w:rsid w:val="001614C0"/>
    <w:rsid w:val="00181B6B"/>
    <w:rsid w:val="00183F95"/>
    <w:rsid w:val="001D25B8"/>
    <w:rsid w:val="001D5855"/>
    <w:rsid w:val="001E2C0A"/>
    <w:rsid w:val="0023134B"/>
    <w:rsid w:val="0023614A"/>
    <w:rsid w:val="0026421C"/>
    <w:rsid w:val="00290E77"/>
    <w:rsid w:val="002928D9"/>
    <w:rsid w:val="002A78A4"/>
    <w:rsid w:val="002E43D5"/>
    <w:rsid w:val="002E6AE0"/>
    <w:rsid w:val="00313940"/>
    <w:rsid w:val="00344235"/>
    <w:rsid w:val="003764EF"/>
    <w:rsid w:val="003944A1"/>
    <w:rsid w:val="003B1C26"/>
    <w:rsid w:val="003D07F4"/>
    <w:rsid w:val="003F2411"/>
    <w:rsid w:val="00411C66"/>
    <w:rsid w:val="00420608"/>
    <w:rsid w:val="004403F6"/>
    <w:rsid w:val="00454A24"/>
    <w:rsid w:val="00477FD8"/>
    <w:rsid w:val="00486994"/>
    <w:rsid w:val="004C7B16"/>
    <w:rsid w:val="004D07EF"/>
    <w:rsid w:val="004D2115"/>
    <w:rsid w:val="004F4C7E"/>
    <w:rsid w:val="004F64C8"/>
    <w:rsid w:val="00511D0A"/>
    <w:rsid w:val="00513B21"/>
    <w:rsid w:val="00541582"/>
    <w:rsid w:val="00543C28"/>
    <w:rsid w:val="005573F5"/>
    <w:rsid w:val="00563F37"/>
    <w:rsid w:val="005945ED"/>
    <w:rsid w:val="005A7CC1"/>
    <w:rsid w:val="005F346D"/>
    <w:rsid w:val="005F5B72"/>
    <w:rsid w:val="00626AB1"/>
    <w:rsid w:val="006628E1"/>
    <w:rsid w:val="00685764"/>
    <w:rsid w:val="006F0730"/>
    <w:rsid w:val="006F35DF"/>
    <w:rsid w:val="00753FCD"/>
    <w:rsid w:val="0078548F"/>
    <w:rsid w:val="007957C1"/>
    <w:rsid w:val="007A621C"/>
    <w:rsid w:val="007B5F37"/>
    <w:rsid w:val="007E3EE7"/>
    <w:rsid w:val="00802155"/>
    <w:rsid w:val="00836551"/>
    <w:rsid w:val="00843B70"/>
    <w:rsid w:val="00881241"/>
    <w:rsid w:val="008D4283"/>
    <w:rsid w:val="008E2C62"/>
    <w:rsid w:val="008F2EA6"/>
    <w:rsid w:val="00941381"/>
    <w:rsid w:val="009643B8"/>
    <w:rsid w:val="0096651A"/>
    <w:rsid w:val="00972EB5"/>
    <w:rsid w:val="00995FA4"/>
    <w:rsid w:val="009A70AE"/>
    <w:rsid w:val="009B1FBE"/>
    <w:rsid w:val="009C5220"/>
    <w:rsid w:val="00A01AB5"/>
    <w:rsid w:val="00A01F97"/>
    <w:rsid w:val="00A16A5E"/>
    <w:rsid w:val="00AB3326"/>
    <w:rsid w:val="00AE709A"/>
    <w:rsid w:val="00B01421"/>
    <w:rsid w:val="00B755B7"/>
    <w:rsid w:val="00B91954"/>
    <w:rsid w:val="00BD0CF0"/>
    <w:rsid w:val="00BD4278"/>
    <w:rsid w:val="00BD5BB9"/>
    <w:rsid w:val="00C61D93"/>
    <w:rsid w:val="00C74654"/>
    <w:rsid w:val="00C81838"/>
    <w:rsid w:val="00CA2AA5"/>
    <w:rsid w:val="00CB5D3D"/>
    <w:rsid w:val="00CD4818"/>
    <w:rsid w:val="00D17D2C"/>
    <w:rsid w:val="00D22AC5"/>
    <w:rsid w:val="00D4204B"/>
    <w:rsid w:val="00D7175F"/>
    <w:rsid w:val="00D92D1E"/>
    <w:rsid w:val="00D937CF"/>
    <w:rsid w:val="00DA0C5A"/>
    <w:rsid w:val="00DC340A"/>
    <w:rsid w:val="00DC7145"/>
    <w:rsid w:val="00E06408"/>
    <w:rsid w:val="00E53640"/>
    <w:rsid w:val="00E57476"/>
    <w:rsid w:val="00E61DD6"/>
    <w:rsid w:val="00E64949"/>
    <w:rsid w:val="00EC3DF6"/>
    <w:rsid w:val="00EE6AB9"/>
    <w:rsid w:val="00EF1089"/>
    <w:rsid w:val="00F36FAF"/>
    <w:rsid w:val="00FB6FFE"/>
    <w:rsid w:val="00FC3AD9"/>
    <w:rsid w:val="00FE452C"/>
    <w:rsid w:val="00FE461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9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486994"/>
    <w:pPr>
      <w:spacing w:before="100" w:beforeAutospacing="1" w:after="100" w:afterAutospacing="1"/>
      <w:jc w:val="right"/>
    </w:pPr>
    <w:rPr>
      <w:lang w:val="en-GB"/>
    </w:rPr>
  </w:style>
  <w:style w:type="character" w:styleId="Hyperlink">
    <w:name w:val="Hyperlink"/>
    <w:basedOn w:val="DefaultParagraphFont"/>
    <w:uiPriority w:val="99"/>
    <w:rsid w:val="00486994"/>
    <w:rPr>
      <w:rFonts w:cs="Times New Roman"/>
      <w:color w:val="0000FF"/>
      <w:u w:val="single"/>
    </w:rPr>
  </w:style>
  <w:style w:type="paragraph" w:styleId="Header">
    <w:name w:val="header"/>
    <w:basedOn w:val="Normal"/>
    <w:link w:val="HeaderChar"/>
    <w:uiPriority w:val="99"/>
    <w:rsid w:val="00D4204B"/>
    <w:pPr>
      <w:tabs>
        <w:tab w:val="center" w:pos="4153"/>
        <w:tab w:val="right" w:pos="8306"/>
      </w:tabs>
    </w:pPr>
  </w:style>
  <w:style w:type="character" w:customStyle="1" w:styleId="HeaderChar">
    <w:name w:val="Header Char"/>
    <w:basedOn w:val="DefaultParagraphFont"/>
    <w:link w:val="Header"/>
    <w:uiPriority w:val="99"/>
    <w:locked/>
    <w:rsid w:val="00D4204B"/>
    <w:rPr>
      <w:rFonts w:ascii="Times New Roman" w:hAnsi="Times New Roman" w:cs="Times New Roman"/>
      <w:sz w:val="24"/>
      <w:szCs w:val="24"/>
    </w:rPr>
  </w:style>
  <w:style w:type="paragraph" w:styleId="Footer">
    <w:name w:val="footer"/>
    <w:basedOn w:val="Normal"/>
    <w:link w:val="FooterChar"/>
    <w:uiPriority w:val="99"/>
    <w:rsid w:val="00D4204B"/>
    <w:pPr>
      <w:tabs>
        <w:tab w:val="center" w:pos="4153"/>
        <w:tab w:val="right" w:pos="8306"/>
      </w:tabs>
    </w:pPr>
  </w:style>
  <w:style w:type="character" w:customStyle="1" w:styleId="FooterChar">
    <w:name w:val="Footer Char"/>
    <w:basedOn w:val="DefaultParagraphFont"/>
    <w:link w:val="Footer"/>
    <w:uiPriority w:val="99"/>
    <w:locked/>
    <w:rsid w:val="00D4204B"/>
    <w:rPr>
      <w:rFonts w:ascii="Times New Roman" w:hAnsi="Times New Roman" w:cs="Times New Roman"/>
      <w:sz w:val="24"/>
      <w:szCs w:val="24"/>
    </w:rPr>
  </w:style>
  <w:style w:type="paragraph" w:styleId="BodyTextIndent">
    <w:name w:val="Body Text Indent"/>
    <w:basedOn w:val="Normal"/>
    <w:link w:val="BodyTextIndentChar"/>
    <w:uiPriority w:val="99"/>
    <w:rsid w:val="0096651A"/>
    <w:rPr>
      <w:sz w:val="20"/>
      <w:szCs w:val="20"/>
    </w:rPr>
  </w:style>
  <w:style w:type="character" w:customStyle="1" w:styleId="BodyTextIndentChar">
    <w:name w:val="Body Text Indent Char"/>
    <w:basedOn w:val="DefaultParagraphFont"/>
    <w:link w:val="BodyTextIndent"/>
    <w:uiPriority w:val="99"/>
    <w:locked/>
    <w:rsid w:val="0096651A"/>
    <w:rPr>
      <w:rFonts w:ascii="Times New Roman" w:hAnsi="Times New Roman" w:cs="Times New Roman"/>
      <w:sz w:val="20"/>
      <w:szCs w:val="20"/>
    </w:rPr>
  </w:style>
  <w:style w:type="paragraph" w:styleId="BalloonText">
    <w:name w:val="Balloon Text"/>
    <w:basedOn w:val="Normal"/>
    <w:link w:val="BalloonTextChar"/>
    <w:uiPriority w:val="99"/>
    <w:semiHidden/>
    <w:rsid w:val="009665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51A"/>
    <w:rPr>
      <w:rFonts w:ascii="Tahoma" w:hAnsi="Tahoma" w:cs="Tahoma"/>
      <w:sz w:val="16"/>
      <w:szCs w:val="16"/>
    </w:rPr>
  </w:style>
  <w:style w:type="paragraph" w:styleId="ListParagraph">
    <w:name w:val="List Paragraph"/>
    <w:basedOn w:val="Normal"/>
    <w:uiPriority w:val="99"/>
    <w:qFormat/>
    <w:rsid w:val="00541582"/>
    <w:pPr>
      <w:ind w:left="720"/>
    </w:pPr>
  </w:style>
  <w:style w:type="paragraph" w:customStyle="1" w:styleId="RakstzCharCharRakstzCharCharRakstz">
    <w:name w:val="Rakstz. Char Char Rakstz. Char Char Rakstz."/>
    <w:basedOn w:val="Normal"/>
    <w:uiPriority w:val="99"/>
    <w:rsid w:val="007E3EE7"/>
    <w:pPr>
      <w:spacing w:after="160" w:line="240" w:lineRule="exact"/>
    </w:pPr>
    <w:rPr>
      <w:rFonts w:ascii="Tahoma" w:eastAsia="Calibri"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366099445">
      <w:marLeft w:val="0"/>
      <w:marRight w:val="0"/>
      <w:marTop w:val="0"/>
      <w:marBottom w:val="0"/>
      <w:divBdr>
        <w:top w:val="none" w:sz="0" w:space="0" w:color="auto"/>
        <w:left w:val="none" w:sz="0" w:space="0" w:color="auto"/>
        <w:bottom w:val="none" w:sz="0" w:space="0" w:color="auto"/>
        <w:right w:val="none" w:sz="0" w:space="0" w:color="auto"/>
      </w:divBdr>
    </w:div>
    <w:div w:id="1366099446">
      <w:marLeft w:val="0"/>
      <w:marRight w:val="0"/>
      <w:marTop w:val="0"/>
      <w:marBottom w:val="0"/>
      <w:divBdr>
        <w:top w:val="none" w:sz="0" w:space="0" w:color="auto"/>
        <w:left w:val="none" w:sz="0" w:space="0" w:color="auto"/>
        <w:bottom w:val="none" w:sz="0" w:space="0" w:color="auto"/>
        <w:right w:val="none" w:sz="0" w:space="0" w:color="auto"/>
      </w:divBdr>
    </w:div>
    <w:div w:id="136609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7011600064&amp;Req=0101032007011600064&amp;Key=0103011995030932771&amp;Hash=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Ref=0101032007011600064&amp;Req=0101032007011600064&amp;Key=0103011995030932771&amp;Hash=" TargetMode="External"/><Relationship Id="rId12" Type="http://schemas.openxmlformats.org/officeDocument/2006/relationships/hyperlink" Target="http://pro.nais.lv/naiser/esdoc.cfm?esid=32006L01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nais.lv/naiser/esdoc.cfm?esid=32006L011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o.nais.lv/naiser/esdoc.cfm?esid=32008L0009" TargetMode="External"/><Relationship Id="rId4" Type="http://schemas.openxmlformats.org/officeDocument/2006/relationships/webSettings" Target="webSettings.xml"/><Relationship Id="rId9" Type="http://schemas.openxmlformats.org/officeDocument/2006/relationships/hyperlink" Target="http://pro.nais.lv/naiser/esdoc.cfm?esid=32006L011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2</Pages>
  <Words>2912</Words>
  <Characters>1660</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Nr.1639 "Kārtība, kādā ar pievienoptās vērtības nodokli apliekamā persona iesniedz pieteikumu pievienotās vērtības nodokļa atmaksas saņemšanai citā Eiropas Savienības dalībvalstī, un kārtība, kā</dc:title>
  <dc:subject>Ministru kabineta noteikumu projekts</dc:subject>
  <dc:creator>Nora Regža</dc:creator>
  <cp:keywords/>
  <dc:description>e-pasta adrese; nora.regza@fm.gov.lvtalr. 67095511</dc:description>
  <cp:lastModifiedBy>Erna Ivanova</cp:lastModifiedBy>
  <cp:revision>28</cp:revision>
  <cp:lastPrinted>2011-01-17T08:27:00Z</cp:lastPrinted>
  <dcterms:created xsi:type="dcterms:W3CDTF">2011-01-07T08:53:00Z</dcterms:created>
  <dcterms:modified xsi:type="dcterms:W3CDTF">2011-01-18T14:50:00Z</dcterms:modified>
</cp:coreProperties>
</file>