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0E" w:rsidRPr="005F3A62" w:rsidRDefault="0065270E" w:rsidP="005F3A62">
      <w:pPr>
        <w:jc w:val="right"/>
        <w:rPr>
          <w:i/>
          <w:sz w:val="26"/>
          <w:szCs w:val="26"/>
        </w:rPr>
      </w:pPr>
      <w:bookmarkStart w:id="0" w:name="OLE_LINK1"/>
      <w:bookmarkStart w:id="1" w:name="OLE_LINK2"/>
      <w:r w:rsidRPr="005F3A62">
        <w:rPr>
          <w:i/>
          <w:sz w:val="26"/>
          <w:szCs w:val="26"/>
        </w:rPr>
        <w:t>Projekts</w:t>
      </w:r>
    </w:p>
    <w:p w:rsidR="0065270E" w:rsidRPr="005F3A62" w:rsidRDefault="0065270E" w:rsidP="005F3A62">
      <w:pPr>
        <w:jc w:val="right"/>
        <w:rPr>
          <w:i/>
          <w:sz w:val="26"/>
          <w:szCs w:val="26"/>
        </w:rPr>
      </w:pPr>
    </w:p>
    <w:p w:rsidR="0065270E" w:rsidRPr="005F3A62" w:rsidRDefault="0065270E" w:rsidP="005F3A62">
      <w:pPr>
        <w:jc w:val="center"/>
        <w:rPr>
          <w:sz w:val="26"/>
          <w:szCs w:val="26"/>
        </w:rPr>
      </w:pPr>
      <w:r w:rsidRPr="005F3A62">
        <w:rPr>
          <w:sz w:val="26"/>
          <w:szCs w:val="26"/>
        </w:rPr>
        <w:t>LATVIJAS REPUBLIKAS MINISTRU KABINETS</w:t>
      </w:r>
    </w:p>
    <w:p w:rsidR="0065270E" w:rsidRPr="005F3A62" w:rsidRDefault="0065270E" w:rsidP="005F3A62">
      <w:pPr>
        <w:jc w:val="center"/>
        <w:rPr>
          <w:sz w:val="26"/>
          <w:szCs w:val="26"/>
        </w:rPr>
      </w:pPr>
    </w:p>
    <w:p w:rsidR="0065270E" w:rsidRPr="005F3A62" w:rsidRDefault="0065270E" w:rsidP="005F3A62">
      <w:pPr>
        <w:jc w:val="center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919"/>
      </w:tblGrid>
      <w:tr w:rsidR="005F3A62" w:rsidRPr="005F3A62" w:rsidTr="003B2733">
        <w:tc>
          <w:tcPr>
            <w:tcW w:w="4261" w:type="dxa"/>
          </w:tcPr>
          <w:p w:rsidR="0065270E" w:rsidRPr="005F3A62" w:rsidRDefault="0065270E" w:rsidP="005F3A62">
            <w:pPr>
              <w:rPr>
                <w:sz w:val="26"/>
                <w:szCs w:val="26"/>
              </w:rPr>
            </w:pPr>
            <w:r w:rsidRPr="005F3A62">
              <w:rPr>
                <w:sz w:val="26"/>
                <w:szCs w:val="26"/>
              </w:rPr>
              <w:t>201</w:t>
            </w:r>
            <w:r w:rsidR="00C37329" w:rsidRPr="005F3A62">
              <w:rPr>
                <w:sz w:val="26"/>
                <w:szCs w:val="26"/>
              </w:rPr>
              <w:t>3</w:t>
            </w:r>
            <w:r w:rsidRPr="005F3A62">
              <w:rPr>
                <w:sz w:val="26"/>
                <w:szCs w:val="26"/>
              </w:rPr>
              <w:t>. gada _________</w:t>
            </w:r>
          </w:p>
        </w:tc>
        <w:tc>
          <w:tcPr>
            <w:tcW w:w="4919" w:type="dxa"/>
          </w:tcPr>
          <w:p w:rsidR="0065270E" w:rsidRPr="005F3A62" w:rsidRDefault="004349ED" w:rsidP="005F3A62">
            <w:pPr>
              <w:jc w:val="right"/>
              <w:rPr>
                <w:sz w:val="26"/>
                <w:szCs w:val="26"/>
              </w:rPr>
            </w:pPr>
            <w:r w:rsidRPr="005F3A62">
              <w:rPr>
                <w:sz w:val="26"/>
                <w:szCs w:val="26"/>
              </w:rPr>
              <w:t>Noteikumi</w:t>
            </w:r>
            <w:r w:rsidR="0065270E" w:rsidRPr="005F3A62">
              <w:rPr>
                <w:sz w:val="26"/>
                <w:szCs w:val="26"/>
              </w:rPr>
              <w:t xml:space="preserve"> </w:t>
            </w:r>
            <w:proofErr w:type="spellStart"/>
            <w:r w:rsidR="0065270E" w:rsidRPr="005F3A62">
              <w:rPr>
                <w:sz w:val="26"/>
                <w:szCs w:val="26"/>
              </w:rPr>
              <w:t>Nr</w:t>
            </w:r>
            <w:proofErr w:type="spellEnd"/>
            <w:r w:rsidR="0065270E" w:rsidRPr="005F3A62">
              <w:rPr>
                <w:sz w:val="26"/>
                <w:szCs w:val="26"/>
              </w:rPr>
              <w:t>. ___</w:t>
            </w:r>
          </w:p>
        </w:tc>
      </w:tr>
      <w:tr w:rsidR="0065270E" w:rsidRPr="005F3A62" w:rsidTr="003B2733">
        <w:tc>
          <w:tcPr>
            <w:tcW w:w="4261" w:type="dxa"/>
          </w:tcPr>
          <w:p w:rsidR="0065270E" w:rsidRPr="005F3A62" w:rsidRDefault="0065270E" w:rsidP="005F3A62">
            <w:pPr>
              <w:rPr>
                <w:sz w:val="26"/>
                <w:szCs w:val="26"/>
              </w:rPr>
            </w:pPr>
            <w:r w:rsidRPr="005F3A62">
              <w:rPr>
                <w:sz w:val="26"/>
                <w:szCs w:val="26"/>
              </w:rPr>
              <w:t>Rīgā</w:t>
            </w:r>
          </w:p>
        </w:tc>
        <w:tc>
          <w:tcPr>
            <w:tcW w:w="4919" w:type="dxa"/>
          </w:tcPr>
          <w:p w:rsidR="0065270E" w:rsidRPr="005F3A62" w:rsidRDefault="0065270E" w:rsidP="005F3A62">
            <w:pPr>
              <w:jc w:val="right"/>
              <w:rPr>
                <w:sz w:val="26"/>
                <w:szCs w:val="26"/>
              </w:rPr>
            </w:pPr>
            <w:r w:rsidRPr="005F3A62">
              <w:rPr>
                <w:sz w:val="26"/>
                <w:szCs w:val="26"/>
              </w:rPr>
              <w:t>(</w:t>
            </w:r>
            <w:proofErr w:type="spellStart"/>
            <w:r w:rsidRPr="005F3A62">
              <w:rPr>
                <w:sz w:val="26"/>
                <w:szCs w:val="26"/>
              </w:rPr>
              <w:t>prot</w:t>
            </w:r>
            <w:proofErr w:type="spellEnd"/>
            <w:r w:rsidRPr="005F3A62">
              <w:rPr>
                <w:sz w:val="26"/>
                <w:szCs w:val="26"/>
              </w:rPr>
              <w:t xml:space="preserve">. </w:t>
            </w:r>
            <w:proofErr w:type="spellStart"/>
            <w:r w:rsidRPr="005F3A62">
              <w:rPr>
                <w:sz w:val="26"/>
                <w:szCs w:val="26"/>
              </w:rPr>
              <w:t>Nr</w:t>
            </w:r>
            <w:proofErr w:type="spellEnd"/>
            <w:r w:rsidRPr="005F3A62">
              <w:rPr>
                <w:sz w:val="26"/>
                <w:szCs w:val="26"/>
              </w:rPr>
              <w:t>.__ __.§)</w:t>
            </w:r>
          </w:p>
        </w:tc>
      </w:tr>
    </w:tbl>
    <w:p w:rsidR="0065270E" w:rsidRPr="005F3A62" w:rsidRDefault="0065270E" w:rsidP="005F3A62">
      <w:pPr>
        <w:pStyle w:val="Footer"/>
        <w:jc w:val="center"/>
        <w:rPr>
          <w:b/>
          <w:bCs/>
          <w:sz w:val="26"/>
          <w:szCs w:val="26"/>
        </w:rPr>
      </w:pPr>
    </w:p>
    <w:p w:rsidR="005202A9" w:rsidRPr="005F3A62" w:rsidRDefault="005202A9" w:rsidP="005F3A62">
      <w:pPr>
        <w:pStyle w:val="Footer"/>
        <w:jc w:val="center"/>
        <w:rPr>
          <w:b/>
          <w:bCs/>
          <w:sz w:val="26"/>
          <w:szCs w:val="26"/>
        </w:rPr>
      </w:pPr>
    </w:p>
    <w:p w:rsidR="005202A9" w:rsidRDefault="00D1121E" w:rsidP="00627392">
      <w:pPr>
        <w:pStyle w:val="Footer"/>
        <w:tabs>
          <w:tab w:val="clear" w:pos="4153"/>
          <w:tab w:val="left" w:pos="2160"/>
          <w:tab w:val="left" w:pos="4140"/>
        </w:tabs>
        <w:jc w:val="center"/>
        <w:rPr>
          <w:b/>
          <w:spacing w:val="2"/>
          <w:position w:val="-12"/>
          <w:sz w:val="26"/>
          <w:szCs w:val="26"/>
        </w:rPr>
      </w:pPr>
      <w:r w:rsidRPr="00D1121E">
        <w:rPr>
          <w:b/>
          <w:spacing w:val="2"/>
          <w:position w:val="-12"/>
          <w:sz w:val="26"/>
          <w:szCs w:val="26"/>
        </w:rPr>
        <w:t>Grozījumi Ministru kabineta 2010.gada 21.decembra noteikumos Nr.1184 “Noteikumi par transportlīdzekļu kategorijām, uz kurām iepirkumos attiecināmas īpašas prasības, un transportlīdzekļu darbmūža ekspluatācijas izmaksu aprēķināšanas metodiku”</w:t>
      </w:r>
    </w:p>
    <w:p w:rsidR="00D1121E" w:rsidRPr="005F3A62" w:rsidRDefault="00D1121E" w:rsidP="005F3A62">
      <w:pPr>
        <w:pStyle w:val="Footer"/>
        <w:tabs>
          <w:tab w:val="clear" w:pos="4153"/>
          <w:tab w:val="left" w:pos="2160"/>
          <w:tab w:val="left" w:pos="4140"/>
        </w:tabs>
        <w:jc w:val="right"/>
        <w:rPr>
          <w:sz w:val="26"/>
          <w:szCs w:val="26"/>
        </w:rPr>
      </w:pPr>
    </w:p>
    <w:p w:rsidR="00D1121E" w:rsidRDefault="00D1121E" w:rsidP="00D1121E">
      <w:pPr>
        <w:pStyle w:val="Header"/>
        <w:jc w:val="right"/>
      </w:pPr>
      <w:r>
        <w:t>Izdoti saskaņā ar Publisko iepirkumu likuma 46.</w:t>
      </w:r>
      <w:r w:rsidRPr="00D1121E">
        <w:rPr>
          <w:vertAlign w:val="superscript"/>
        </w:rPr>
        <w:t>1</w:t>
      </w:r>
      <w:r>
        <w:t xml:space="preserve"> panta otro daļu un </w:t>
      </w:r>
    </w:p>
    <w:p w:rsidR="004349ED" w:rsidRPr="005F3A62" w:rsidRDefault="00D1121E" w:rsidP="00D1121E">
      <w:pPr>
        <w:pStyle w:val="Header"/>
        <w:jc w:val="right"/>
        <w:rPr>
          <w:b/>
          <w:sz w:val="26"/>
          <w:szCs w:val="26"/>
        </w:rPr>
      </w:pPr>
      <w:r>
        <w:t>Sabiedrisko pakalpojumu sniedzēju iepirkumu likuma 19.panta otro daļu</w:t>
      </w:r>
    </w:p>
    <w:p w:rsidR="005202A9" w:rsidRPr="005F3A62" w:rsidRDefault="005202A9" w:rsidP="003735F8">
      <w:pPr>
        <w:pStyle w:val="Header"/>
        <w:jc w:val="center"/>
        <w:rPr>
          <w:b/>
          <w:sz w:val="26"/>
          <w:szCs w:val="26"/>
        </w:rPr>
      </w:pPr>
    </w:p>
    <w:p w:rsidR="003735F8" w:rsidRPr="00401C78" w:rsidRDefault="004349ED" w:rsidP="00401C78">
      <w:pPr>
        <w:pStyle w:val="Footer"/>
        <w:numPr>
          <w:ilvl w:val="0"/>
          <w:numId w:val="15"/>
        </w:numPr>
        <w:tabs>
          <w:tab w:val="clear" w:pos="4153"/>
          <w:tab w:val="left" w:pos="2160"/>
          <w:tab w:val="left" w:pos="4140"/>
        </w:tabs>
        <w:jc w:val="both"/>
        <w:rPr>
          <w:sz w:val="26"/>
          <w:szCs w:val="26"/>
        </w:rPr>
      </w:pPr>
      <w:r w:rsidRPr="005F3A62">
        <w:rPr>
          <w:sz w:val="26"/>
          <w:szCs w:val="26"/>
        </w:rPr>
        <w:t xml:space="preserve">Izdarīt </w:t>
      </w:r>
      <w:r w:rsidR="00627392" w:rsidRPr="00627392">
        <w:rPr>
          <w:sz w:val="26"/>
          <w:szCs w:val="26"/>
        </w:rPr>
        <w:t>Ministru kabineta 2010.gada 21.decembra noteikumos Nr.1184 “Noteikumi par transportlīdzekļu kategorijām, uz kurām iepirkumos attiecināmas īpašas prasības, un transportlīdzekļu darbmūža ekspluatācijas izmaksu aprēķināšanas metodiku”</w:t>
      </w:r>
      <w:r w:rsidR="00F57CA6" w:rsidRPr="005F3A62">
        <w:rPr>
          <w:sz w:val="26"/>
          <w:szCs w:val="26"/>
        </w:rPr>
        <w:t xml:space="preserve">  </w:t>
      </w:r>
      <w:r w:rsidR="00DA3D00" w:rsidRPr="005F3A62">
        <w:rPr>
          <w:sz w:val="26"/>
          <w:szCs w:val="26"/>
        </w:rPr>
        <w:t>(Latv</w:t>
      </w:r>
      <w:r w:rsidR="00F57CA6" w:rsidRPr="005F3A62">
        <w:rPr>
          <w:sz w:val="26"/>
          <w:szCs w:val="26"/>
        </w:rPr>
        <w:t xml:space="preserve">ijas Vēstnesis, </w:t>
      </w:r>
      <w:r w:rsidR="00EE3DAD">
        <w:rPr>
          <w:sz w:val="26"/>
          <w:szCs w:val="26"/>
        </w:rPr>
        <w:t>2011, 2.Nr.)</w:t>
      </w:r>
      <w:r w:rsidR="00B255B3">
        <w:rPr>
          <w:sz w:val="26"/>
          <w:szCs w:val="26"/>
        </w:rPr>
        <w:t xml:space="preserve"> </w:t>
      </w:r>
      <w:r w:rsidR="00CF647E">
        <w:rPr>
          <w:sz w:val="26"/>
          <w:szCs w:val="26"/>
        </w:rPr>
        <w:t>šādu</w:t>
      </w:r>
      <w:r w:rsidR="006D2612" w:rsidRPr="005F3A62">
        <w:rPr>
          <w:sz w:val="26"/>
          <w:szCs w:val="26"/>
        </w:rPr>
        <w:t xml:space="preserve"> </w:t>
      </w:r>
      <w:r w:rsidRPr="005F3A62">
        <w:rPr>
          <w:sz w:val="26"/>
          <w:szCs w:val="26"/>
        </w:rPr>
        <w:t>grozījumu</w:t>
      </w:r>
      <w:r w:rsidR="00401C78">
        <w:rPr>
          <w:sz w:val="26"/>
          <w:szCs w:val="26"/>
        </w:rPr>
        <w:t xml:space="preserve"> un izteikt </w:t>
      </w:r>
      <w:r w:rsidR="003735F8" w:rsidRPr="00401C78">
        <w:rPr>
          <w:sz w:val="26"/>
          <w:szCs w:val="26"/>
        </w:rPr>
        <w:t>pielikuma 3.tabulu šādā redakcijā</w:t>
      </w:r>
      <w:r w:rsidR="001A00B5" w:rsidRPr="00401C78">
        <w:rPr>
          <w:sz w:val="26"/>
          <w:szCs w:val="26"/>
        </w:rPr>
        <w:t>:</w:t>
      </w:r>
    </w:p>
    <w:p w:rsidR="00F811D5" w:rsidRPr="003735F8" w:rsidRDefault="00F811D5" w:rsidP="00F811D5">
      <w:pPr>
        <w:pStyle w:val="Footer"/>
        <w:tabs>
          <w:tab w:val="clear" w:pos="4153"/>
          <w:tab w:val="left" w:pos="2160"/>
          <w:tab w:val="left" w:pos="4140"/>
        </w:tabs>
        <w:ind w:left="1440"/>
        <w:jc w:val="both"/>
        <w:rPr>
          <w:sz w:val="26"/>
          <w:szCs w:val="26"/>
        </w:rPr>
      </w:pPr>
    </w:p>
    <w:p w:rsidR="003735F8" w:rsidRPr="00F811D5" w:rsidRDefault="003735F8" w:rsidP="00040DE4">
      <w:pPr>
        <w:tabs>
          <w:tab w:val="left" w:pos="709"/>
        </w:tabs>
        <w:ind w:firstLine="300"/>
        <w:jc w:val="center"/>
        <w:rPr>
          <w:b/>
          <w:bCs/>
          <w:color w:val="414142"/>
          <w:sz w:val="26"/>
          <w:szCs w:val="26"/>
        </w:rPr>
      </w:pPr>
      <w:r w:rsidRPr="00F811D5">
        <w:rPr>
          <w:sz w:val="26"/>
          <w:szCs w:val="26"/>
        </w:rPr>
        <w:t>„</w:t>
      </w:r>
      <w:r w:rsidR="00F811D5" w:rsidRPr="00F811D5">
        <w:rPr>
          <w:b/>
          <w:bCs/>
          <w:color w:val="414142"/>
          <w:sz w:val="26"/>
          <w:szCs w:val="26"/>
        </w:rPr>
        <w:t>Transportlīdzekļu emisiju izmaksas (2007.gada cenās)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46"/>
        <w:gridCol w:w="4677"/>
        <w:gridCol w:w="2229"/>
      </w:tblGrid>
      <w:tr w:rsidR="003735F8" w:rsidRPr="00F811D5" w:rsidTr="003735F8">
        <w:tc>
          <w:tcPr>
            <w:tcW w:w="890" w:type="dxa"/>
          </w:tcPr>
          <w:p w:rsidR="003735F8" w:rsidRPr="00F811D5" w:rsidRDefault="003735F8" w:rsidP="00F811D5">
            <w:pPr>
              <w:rPr>
                <w:sz w:val="26"/>
                <w:szCs w:val="26"/>
              </w:rPr>
            </w:pPr>
            <w:proofErr w:type="spellStart"/>
            <w:r w:rsidRPr="00F811D5">
              <w:rPr>
                <w:sz w:val="26"/>
                <w:szCs w:val="26"/>
              </w:rPr>
              <w:t>Nr.p.k</w:t>
            </w:r>
            <w:proofErr w:type="spellEnd"/>
            <w:r w:rsidRPr="00F811D5">
              <w:rPr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:rsidR="003735F8" w:rsidRPr="00F811D5" w:rsidRDefault="003735F8" w:rsidP="00F811D5">
            <w:pPr>
              <w:rPr>
                <w:sz w:val="26"/>
                <w:szCs w:val="26"/>
              </w:rPr>
            </w:pPr>
            <w:r w:rsidRPr="00F811D5">
              <w:rPr>
                <w:sz w:val="26"/>
                <w:szCs w:val="26"/>
              </w:rPr>
              <w:t>Emisijas</w:t>
            </w:r>
          </w:p>
        </w:tc>
        <w:tc>
          <w:tcPr>
            <w:tcW w:w="2229" w:type="dxa"/>
          </w:tcPr>
          <w:p w:rsidR="003735F8" w:rsidRPr="00F811D5" w:rsidRDefault="003735F8" w:rsidP="00F811D5">
            <w:pPr>
              <w:rPr>
                <w:sz w:val="26"/>
                <w:szCs w:val="26"/>
              </w:rPr>
            </w:pPr>
            <w:r w:rsidRPr="00F811D5">
              <w:rPr>
                <w:sz w:val="26"/>
                <w:szCs w:val="26"/>
              </w:rPr>
              <w:t>Izmaksas</w:t>
            </w:r>
          </w:p>
        </w:tc>
      </w:tr>
      <w:tr w:rsidR="003735F8" w:rsidRPr="00F811D5" w:rsidTr="003735F8">
        <w:tc>
          <w:tcPr>
            <w:tcW w:w="890" w:type="dxa"/>
          </w:tcPr>
          <w:p w:rsidR="003735F8" w:rsidRPr="00F811D5" w:rsidRDefault="003735F8" w:rsidP="00F811D5">
            <w:pPr>
              <w:rPr>
                <w:sz w:val="26"/>
                <w:szCs w:val="26"/>
              </w:rPr>
            </w:pPr>
            <w:r w:rsidRPr="00F811D5">
              <w:rPr>
                <w:sz w:val="26"/>
                <w:szCs w:val="26"/>
              </w:rPr>
              <w:t>1.</w:t>
            </w:r>
          </w:p>
        </w:tc>
        <w:tc>
          <w:tcPr>
            <w:tcW w:w="4677" w:type="dxa"/>
          </w:tcPr>
          <w:p w:rsidR="003735F8" w:rsidRPr="00F811D5" w:rsidRDefault="003735F8" w:rsidP="00F811D5">
            <w:pPr>
              <w:rPr>
                <w:sz w:val="26"/>
                <w:szCs w:val="26"/>
              </w:rPr>
            </w:pPr>
            <w:r w:rsidRPr="00F811D5">
              <w:rPr>
                <w:sz w:val="26"/>
                <w:szCs w:val="26"/>
              </w:rPr>
              <w:t>Oglekļa dioksīds (CO2)</w:t>
            </w:r>
          </w:p>
        </w:tc>
        <w:tc>
          <w:tcPr>
            <w:tcW w:w="2229" w:type="dxa"/>
          </w:tcPr>
          <w:p w:rsidR="003735F8" w:rsidRPr="00F811D5" w:rsidRDefault="003735F8" w:rsidP="00F811D5">
            <w:pPr>
              <w:rPr>
                <w:sz w:val="26"/>
                <w:szCs w:val="26"/>
              </w:rPr>
            </w:pPr>
            <w:r w:rsidRPr="00F811D5">
              <w:rPr>
                <w:sz w:val="26"/>
                <w:szCs w:val="26"/>
              </w:rPr>
              <w:t xml:space="preserve">0,03-0,04 </w:t>
            </w:r>
            <w:proofErr w:type="spellStart"/>
            <w:r w:rsidRPr="00F811D5">
              <w:rPr>
                <w:i/>
                <w:sz w:val="26"/>
                <w:szCs w:val="26"/>
              </w:rPr>
              <w:t>euro</w:t>
            </w:r>
            <w:proofErr w:type="spellEnd"/>
            <w:r w:rsidRPr="00F811D5">
              <w:rPr>
                <w:sz w:val="26"/>
                <w:szCs w:val="26"/>
              </w:rPr>
              <w:t>/kg</w:t>
            </w:r>
          </w:p>
        </w:tc>
      </w:tr>
      <w:tr w:rsidR="003735F8" w:rsidRPr="00F811D5" w:rsidTr="003735F8">
        <w:tc>
          <w:tcPr>
            <w:tcW w:w="890" w:type="dxa"/>
          </w:tcPr>
          <w:p w:rsidR="003735F8" w:rsidRPr="00F811D5" w:rsidRDefault="003735F8" w:rsidP="00F811D5">
            <w:pPr>
              <w:rPr>
                <w:sz w:val="26"/>
                <w:szCs w:val="26"/>
              </w:rPr>
            </w:pPr>
            <w:r w:rsidRPr="00F811D5">
              <w:rPr>
                <w:sz w:val="26"/>
                <w:szCs w:val="26"/>
              </w:rPr>
              <w:t>2.</w:t>
            </w:r>
          </w:p>
        </w:tc>
        <w:tc>
          <w:tcPr>
            <w:tcW w:w="4677" w:type="dxa"/>
          </w:tcPr>
          <w:p w:rsidR="003735F8" w:rsidRPr="00F811D5" w:rsidRDefault="003735F8" w:rsidP="00F811D5">
            <w:pPr>
              <w:rPr>
                <w:sz w:val="26"/>
                <w:szCs w:val="26"/>
              </w:rPr>
            </w:pPr>
            <w:r w:rsidRPr="00F811D5">
              <w:rPr>
                <w:sz w:val="26"/>
                <w:szCs w:val="26"/>
              </w:rPr>
              <w:t>Slāpekļa oksīdi (</w:t>
            </w:r>
            <w:proofErr w:type="spellStart"/>
            <w:r w:rsidRPr="00F811D5">
              <w:rPr>
                <w:sz w:val="26"/>
                <w:szCs w:val="26"/>
              </w:rPr>
              <w:t>NOx</w:t>
            </w:r>
            <w:proofErr w:type="spellEnd"/>
            <w:r w:rsidRPr="00F811D5">
              <w:rPr>
                <w:sz w:val="26"/>
                <w:szCs w:val="26"/>
              </w:rPr>
              <w:t>)</w:t>
            </w:r>
          </w:p>
        </w:tc>
        <w:tc>
          <w:tcPr>
            <w:tcW w:w="2229" w:type="dxa"/>
          </w:tcPr>
          <w:p w:rsidR="003735F8" w:rsidRPr="00F811D5" w:rsidRDefault="003735F8" w:rsidP="00F811D5">
            <w:pPr>
              <w:rPr>
                <w:sz w:val="26"/>
                <w:szCs w:val="26"/>
              </w:rPr>
            </w:pPr>
            <w:r w:rsidRPr="00F811D5">
              <w:rPr>
                <w:sz w:val="26"/>
                <w:szCs w:val="26"/>
              </w:rPr>
              <w:t>0,0</w:t>
            </w:r>
            <w:r w:rsidR="00F902B3" w:rsidRPr="00F811D5">
              <w:rPr>
                <w:sz w:val="26"/>
                <w:szCs w:val="26"/>
              </w:rPr>
              <w:t>0</w:t>
            </w:r>
            <w:r w:rsidRPr="00F811D5">
              <w:rPr>
                <w:sz w:val="26"/>
                <w:szCs w:val="26"/>
              </w:rPr>
              <w:t xml:space="preserve">44 </w:t>
            </w:r>
            <w:proofErr w:type="spellStart"/>
            <w:r w:rsidRPr="00F811D5">
              <w:rPr>
                <w:i/>
                <w:sz w:val="26"/>
                <w:szCs w:val="26"/>
              </w:rPr>
              <w:t>euro</w:t>
            </w:r>
            <w:proofErr w:type="spellEnd"/>
            <w:r w:rsidRPr="00F811D5">
              <w:rPr>
                <w:i/>
                <w:sz w:val="26"/>
                <w:szCs w:val="26"/>
              </w:rPr>
              <w:t xml:space="preserve"> </w:t>
            </w:r>
            <w:r w:rsidRPr="00F811D5">
              <w:rPr>
                <w:sz w:val="26"/>
                <w:szCs w:val="26"/>
              </w:rPr>
              <w:t>/g</w:t>
            </w:r>
          </w:p>
        </w:tc>
      </w:tr>
      <w:tr w:rsidR="003735F8" w:rsidRPr="00F811D5" w:rsidTr="003735F8">
        <w:tc>
          <w:tcPr>
            <w:tcW w:w="890" w:type="dxa"/>
          </w:tcPr>
          <w:p w:rsidR="003735F8" w:rsidRPr="00F811D5" w:rsidRDefault="003735F8" w:rsidP="00F811D5">
            <w:pPr>
              <w:rPr>
                <w:sz w:val="26"/>
                <w:szCs w:val="26"/>
              </w:rPr>
            </w:pPr>
            <w:r w:rsidRPr="00F811D5">
              <w:rPr>
                <w:sz w:val="26"/>
                <w:szCs w:val="26"/>
              </w:rPr>
              <w:t>3.</w:t>
            </w:r>
          </w:p>
        </w:tc>
        <w:tc>
          <w:tcPr>
            <w:tcW w:w="4677" w:type="dxa"/>
          </w:tcPr>
          <w:p w:rsidR="003735F8" w:rsidRPr="00F811D5" w:rsidRDefault="003735F8" w:rsidP="00F811D5">
            <w:pPr>
              <w:rPr>
                <w:sz w:val="26"/>
                <w:szCs w:val="26"/>
              </w:rPr>
            </w:pPr>
            <w:r w:rsidRPr="00F811D5">
              <w:rPr>
                <w:sz w:val="26"/>
                <w:szCs w:val="26"/>
              </w:rPr>
              <w:t>Metānu nesaturošie ogļūdeņraži (NMHC)</w:t>
            </w:r>
          </w:p>
        </w:tc>
        <w:tc>
          <w:tcPr>
            <w:tcW w:w="2229" w:type="dxa"/>
          </w:tcPr>
          <w:p w:rsidR="003735F8" w:rsidRPr="00F811D5" w:rsidRDefault="003735F8" w:rsidP="00F811D5">
            <w:pPr>
              <w:rPr>
                <w:sz w:val="26"/>
                <w:szCs w:val="26"/>
              </w:rPr>
            </w:pPr>
            <w:r w:rsidRPr="00F811D5">
              <w:rPr>
                <w:sz w:val="26"/>
                <w:szCs w:val="26"/>
              </w:rPr>
              <w:t xml:space="preserve">0,001 </w:t>
            </w:r>
            <w:proofErr w:type="spellStart"/>
            <w:r w:rsidRPr="00F811D5">
              <w:rPr>
                <w:i/>
                <w:sz w:val="26"/>
                <w:szCs w:val="26"/>
              </w:rPr>
              <w:t>euro</w:t>
            </w:r>
            <w:proofErr w:type="spellEnd"/>
            <w:r w:rsidRPr="00F811D5">
              <w:rPr>
                <w:sz w:val="26"/>
                <w:szCs w:val="26"/>
              </w:rPr>
              <w:t>/g</w:t>
            </w:r>
          </w:p>
        </w:tc>
      </w:tr>
      <w:tr w:rsidR="003735F8" w:rsidRPr="00F811D5" w:rsidTr="003735F8">
        <w:tc>
          <w:tcPr>
            <w:tcW w:w="890" w:type="dxa"/>
          </w:tcPr>
          <w:p w:rsidR="003735F8" w:rsidRPr="00F811D5" w:rsidRDefault="003735F8" w:rsidP="00F811D5">
            <w:pPr>
              <w:rPr>
                <w:sz w:val="26"/>
                <w:szCs w:val="26"/>
              </w:rPr>
            </w:pPr>
            <w:r w:rsidRPr="00F811D5">
              <w:rPr>
                <w:sz w:val="26"/>
                <w:szCs w:val="26"/>
              </w:rPr>
              <w:t>4.</w:t>
            </w:r>
          </w:p>
        </w:tc>
        <w:tc>
          <w:tcPr>
            <w:tcW w:w="4677" w:type="dxa"/>
          </w:tcPr>
          <w:p w:rsidR="003735F8" w:rsidRPr="00F811D5" w:rsidRDefault="003735F8" w:rsidP="00F811D5">
            <w:pPr>
              <w:rPr>
                <w:sz w:val="26"/>
                <w:szCs w:val="26"/>
              </w:rPr>
            </w:pPr>
            <w:r w:rsidRPr="00F811D5">
              <w:rPr>
                <w:sz w:val="26"/>
                <w:szCs w:val="26"/>
              </w:rPr>
              <w:t>Cietās daļiņas</w:t>
            </w:r>
          </w:p>
        </w:tc>
        <w:tc>
          <w:tcPr>
            <w:tcW w:w="2229" w:type="dxa"/>
          </w:tcPr>
          <w:p w:rsidR="003735F8" w:rsidRPr="00F811D5" w:rsidRDefault="003735F8" w:rsidP="00F811D5">
            <w:pPr>
              <w:rPr>
                <w:sz w:val="26"/>
                <w:szCs w:val="26"/>
              </w:rPr>
            </w:pPr>
            <w:r w:rsidRPr="00F811D5">
              <w:rPr>
                <w:sz w:val="26"/>
                <w:szCs w:val="26"/>
              </w:rPr>
              <w:t xml:space="preserve">0,087 </w:t>
            </w:r>
            <w:proofErr w:type="spellStart"/>
            <w:r w:rsidRPr="00F811D5">
              <w:rPr>
                <w:i/>
                <w:sz w:val="26"/>
                <w:szCs w:val="26"/>
              </w:rPr>
              <w:t>euro</w:t>
            </w:r>
            <w:proofErr w:type="spellEnd"/>
            <w:r w:rsidRPr="00F811D5">
              <w:rPr>
                <w:sz w:val="26"/>
                <w:szCs w:val="26"/>
              </w:rPr>
              <w:t>/g</w:t>
            </w:r>
          </w:p>
        </w:tc>
      </w:tr>
    </w:tbl>
    <w:p w:rsidR="003735F8" w:rsidRDefault="003735F8" w:rsidP="003735F8">
      <w:pPr>
        <w:pStyle w:val="Footer"/>
        <w:tabs>
          <w:tab w:val="clear" w:pos="4153"/>
          <w:tab w:val="left" w:pos="2160"/>
          <w:tab w:val="left" w:pos="41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”</w:t>
      </w:r>
    </w:p>
    <w:bookmarkEnd w:id="0"/>
    <w:bookmarkEnd w:id="1"/>
    <w:p w:rsidR="00C97893" w:rsidRPr="00C97893" w:rsidRDefault="003735F8" w:rsidP="003735F8">
      <w:pPr>
        <w:pStyle w:val="tv2131"/>
        <w:spacing w:before="0" w:line="240" w:lineRule="auto"/>
        <w:ind w:left="426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</w:t>
      </w:r>
      <w:r w:rsidR="001E106E">
        <w:rPr>
          <w:rFonts w:ascii="Times New Roman" w:hAnsi="Times New Roman"/>
          <w:sz w:val="26"/>
          <w:szCs w:val="26"/>
        </w:rPr>
        <w:t>N</w:t>
      </w:r>
      <w:r w:rsidR="00C97893" w:rsidRPr="00C97893">
        <w:rPr>
          <w:rFonts w:ascii="Times New Roman" w:hAnsi="Times New Roman"/>
          <w:sz w:val="26"/>
          <w:szCs w:val="26"/>
        </w:rPr>
        <w:t>oteikumi stājas spēkā 2014.gada 1.janvārī.</w:t>
      </w:r>
    </w:p>
    <w:p w:rsidR="00E97394" w:rsidRPr="005F3A62" w:rsidRDefault="00E97394" w:rsidP="005F3A62">
      <w:pPr>
        <w:pStyle w:val="Subtitle"/>
        <w:tabs>
          <w:tab w:val="left" w:pos="709"/>
          <w:tab w:val="left" w:pos="7230"/>
        </w:tabs>
        <w:ind w:left="0"/>
        <w:rPr>
          <w:sz w:val="26"/>
          <w:szCs w:val="26"/>
        </w:rPr>
      </w:pPr>
    </w:p>
    <w:p w:rsidR="002D24DC" w:rsidRPr="005F3A62" w:rsidRDefault="002D24DC" w:rsidP="005F3A62">
      <w:pPr>
        <w:pStyle w:val="Subtitle"/>
        <w:tabs>
          <w:tab w:val="left" w:pos="709"/>
          <w:tab w:val="left" w:pos="7230"/>
        </w:tabs>
        <w:ind w:left="0"/>
        <w:rPr>
          <w:sz w:val="26"/>
          <w:szCs w:val="26"/>
        </w:rPr>
      </w:pPr>
    </w:p>
    <w:p w:rsidR="00DA3D00" w:rsidRPr="005F3A62" w:rsidRDefault="00DA3D00" w:rsidP="005F3A62">
      <w:pPr>
        <w:jc w:val="both"/>
        <w:rPr>
          <w:sz w:val="26"/>
          <w:szCs w:val="26"/>
        </w:rPr>
      </w:pPr>
      <w:r w:rsidRPr="005F3A62">
        <w:rPr>
          <w:sz w:val="26"/>
          <w:szCs w:val="26"/>
        </w:rPr>
        <w:t>Ministru prezidents</w:t>
      </w:r>
      <w:r w:rsidRPr="005F3A62">
        <w:rPr>
          <w:sz w:val="26"/>
          <w:szCs w:val="26"/>
        </w:rPr>
        <w:tab/>
      </w:r>
      <w:r w:rsidRPr="005F3A62">
        <w:rPr>
          <w:sz w:val="26"/>
          <w:szCs w:val="26"/>
        </w:rPr>
        <w:tab/>
      </w:r>
      <w:r w:rsidRPr="005F3A62">
        <w:rPr>
          <w:sz w:val="26"/>
          <w:szCs w:val="26"/>
        </w:rPr>
        <w:tab/>
      </w:r>
      <w:r w:rsidRPr="005F3A62">
        <w:rPr>
          <w:sz w:val="26"/>
          <w:szCs w:val="26"/>
        </w:rPr>
        <w:tab/>
      </w:r>
      <w:r w:rsidRPr="005F3A62">
        <w:rPr>
          <w:sz w:val="26"/>
          <w:szCs w:val="26"/>
        </w:rPr>
        <w:tab/>
      </w:r>
      <w:r w:rsidRPr="005F3A62">
        <w:rPr>
          <w:sz w:val="26"/>
          <w:szCs w:val="26"/>
        </w:rPr>
        <w:tab/>
        <w:t xml:space="preserve"> </w:t>
      </w:r>
      <w:r w:rsidR="005202A9" w:rsidRPr="005F3A62">
        <w:rPr>
          <w:sz w:val="26"/>
          <w:szCs w:val="26"/>
        </w:rPr>
        <w:t xml:space="preserve">    </w:t>
      </w:r>
      <w:r w:rsidR="005F3A62" w:rsidRPr="005F3A62">
        <w:rPr>
          <w:sz w:val="26"/>
          <w:szCs w:val="26"/>
        </w:rPr>
        <w:tab/>
        <w:t xml:space="preserve">      </w:t>
      </w:r>
      <w:r w:rsidR="005202A9" w:rsidRPr="005F3A62">
        <w:rPr>
          <w:sz w:val="26"/>
          <w:szCs w:val="26"/>
        </w:rPr>
        <w:t xml:space="preserve">     </w:t>
      </w:r>
      <w:r w:rsidRPr="005F3A62">
        <w:rPr>
          <w:sz w:val="26"/>
          <w:szCs w:val="26"/>
        </w:rPr>
        <w:t xml:space="preserve"> </w:t>
      </w:r>
      <w:proofErr w:type="spellStart"/>
      <w:r w:rsidRPr="005F3A62">
        <w:rPr>
          <w:sz w:val="26"/>
          <w:szCs w:val="26"/>
        </w:rPr>
        <w:t>V.Dombrovskis</w:t>
      </w:r>
      <w:proofErr w:type="spellEnd"/>
    </w:p>
    <w:p w:rsidR="00DA3D00" w:rsidRPr="005F3A62" w:rsidRDefault="00DA3D00" w:rsidP="005F3A62">
      <w:pPr>
        <w:jc w:val="both"/>
        <w:rPr>
          <w:sz w:val="26"/>
          <w:szCs w:val="26"/>
        </w:rPr>
      </w:pPr>
    </w:p>
    <w:p w:rsidR="005202A9" w:rsidRPr="005F3A62" w:rsidRDefault="005202A9" w:rsidP="005F3A62">
      <w:pPr>
        <w:jc w:val="both"/>
        <w:rPr>
          <w:sz w:val="26"/>
          <w:szCs w:val="26"/>
        </w:rPr>
      </w:pPr>
    </w:p>
    <w:p w:rsidR="00DA3D00" w:rsidRPr="005F3A62" w:rsidRDefault="00DA3D00" w:rsidP="005F3A62">
      <w:pPr>
        <w:jc w:val="both"/>
        <w:rPr>
          <w:sz w:val="26"/>
          <w:szCs w:val="26"/>
        </w:rPr>
      </w:pPr>
      <w:r w:rsidRPr="005F3A62">
        <w:rPr>
          <w:sz w:val="26"/>
          <w:szCs w:val="26"/>
        </w:rPr>
        <w:t>Fi</w:t>
      </w:r>
      <w:r w:rsidRPr="005F3A62">
        <w:rPr>
          <w:bCs/>
          <w:sz w:val="26"/>
          <w:szCs w:val="26"/>
        </w:rPr>
        <w:t>n</w:t>
      </w:r>
      <w:r w:rsidRPr="005F3A62">
        <w:rPr>
          <w:sz w:val="26"/>
          <w:szCs w:val="26"/>
        </w:rPr>
        <w:t xml:space="preserve">anšu ministrs </w:t>
      </w:r>
      <w:r w:rsidRPr="005F3A62">
        <w:rPr>
          <w:sz w:val="26"/>
          <w:szCs w:val="26"/>
        </w:rPr>
        <w:tab/>
      </w:r>
      <w:r w:rsidRPr="005F3A62">
        <w:rPr>
          <w:sz w:val="26"/>
          <w:szCs w:val="26"/>
        </w:rPr>
        <w:tab/>
      </w:r>
      <w:r w:rsidRPr="005F3A62">
        <w:rPr>
          <w:sz w:val="26"/>
          <w:szCs w:val="26"/>
        </w:rPr>
        <w:tab/>
      </w:r>
      <w:r w:rsidRPr="005F3A62">
        <w:rPr>
          <w:sz w:val="26"/>
          <w:szCs w:val="26"/>
        </w:rPr>
        <w:tab/>
      </w:r>
      <w:r w:rsidRPr="005F3A62">
        <w:rPr>
          <w:sz w:val="26"/>
          <w:szCs w:val="26"/>
        </w:rPr>
        <w:tab/>
      </w:r>
      <w:r w:rsidRPr="005F3A62">
        <w:rPr>
          <w:sz w:val="26"/>
          <w:szCs w:val="26"/>
        </w:rPr>
        <w:tab/>
      </w:r>
      <w:r w:rsidRPr="005F3A62">
        <w:rPr>
          <w:sz w:val="26"/>
          <w:szCs w:val="26"/>
        </w:rPr>
        <w:tab/>
      </w:r>
      <w:r w:rsidRPr="005F3A62">
        <w:rPr>
          <w:sz w:val="26"/>
          <w:szCs w:val="26"/>
        </w:rPr>
        <w:tab/>
      </w:r>
      <w:r w:rsidR="005202A9" w:rsidRPr="005F3A62">
        <w:rPr>
          <w:sz w:val="26"/>
          <w:szCs w:val="26"/>
        </w:rPr>
        <w:t xml:space="preserve">          </w:t>
      </w:r>
      <w:r w:rsidRPr="005F3A62">
        <w:rPr>
          <w:sz w:val="26"/>
          <w:szCs w:val="26"/>
        </w:rPr>
        <w:t xml:space="preserve">    A.Vilks</w:t>
      </w:r>
    </w:p>
    <w:p w:rsidR="00DA3D00" w:rsidRPr="005F3A62" w:rsidRDefault="00DA3D00" w:rsidP="005F3A62">
      <w:pPr>
        <w:jc w:val="both"/>
        <w:rPr>
          <w:sz w:val="28"/>
          <w:szCs w:val="28"/>
        </w:rPr>
      </w:pPr>
    </w:p>
    <w:p w:rsidR="00DA3D00" w:rsidRPr="005F3A62" w:rsidRDefault="00DA3D00" w:rsidP="005F3A62">
      <w:pPr>
        <w:jc w:val="both"/>
        <w:rPr>
          <w:sz w:val="28"/>
          <w:szCs w:val="28"/>
        </w:rPr>
      </w:pPr>
    </w:p>
    <w:p w:rsidR="005202A9" w:rsidRPr="005F3A62" w:rsidRDefault="005202A9" w:rsidP="005F3A62">
      <w:pPr>
        <w:jc w:val="both"/>
        <w:rPr>
          <w:sz w:val="28"/>
          <w:szCs w:val="28"/>
        </w:rPr>
      </w:pPr>
    </w:p>
    <w:p w:rsidR="005202A9" w:rsidRPr="005F3A62" w:rsidRDefault="005202A9" w:rsidP="005F3A62">
      <w:pPr>
        <w:jc w:val="both"/>
        <w:rPr>
          <w:sz w:val="28"/>
          <w:szCs w:val="28"/>
        </w:rPr>
      </w:pPr>
    </w:p>
    <w:p w:rsidR="00D1121E" w:rsidRPr="00D1121E" w:rsidRDefault="003D3F70" w:rsidP="00D1121E">
      <w:pPr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D1121E" w:rsidRPr="00D1121E">
        <w:rPr>
          <w:sz w:val="20"/>
          <w:szCs w:val="20"/>
        </w:rPr>
        <w:t>.0</w:t>
      </w:r>
      <w:r w:rsidR="0034781E">
        <w:rPr>
          <w:sz w:val="20"/>
          <w:szCs w:val="20"/>
        </w:rPr>
        <w:t>9</w:t>
      </w:r>
      <w:r w:rsidR="00D1121E" w:rsidRPr="00D1121E">
        <w:rPr>
          <w:sz w:val="20"/>
          <w:szCs w:val="20"/>
        </w:rPr>
        <w:t xml:space="preserve">.2013. </w:t>
      </w:r>
      <w:r>
        <w:rPr>
          <w:sz w:val="20"/>
          <w:szCs w:val="20"/>
        </w:rPr>
        <w:t>11:50</w:t>
      </w:r>
    </w:p>
    <w:p w:rsidR="00D1121E" w:rsidRPr="00D1121E" w:rsidRDefault="00C9416B" w:rsidP="00D1121E">
      <w:pPr>
        <w:jc w:val="both"/>
        <w:rPr>
          <w:sz w:val="20"/>
          <w:szCs w:val="20"/>
        </w:rPr>
      </w:pPr>
      <w:r>
        <w:rPr>
          <w:sz w:val="20"/>
          <w:szCs w:val="20"/>
        </w:rPr>
        <w:t>147</w:t>
      </w:r>
      <w:bookmarkStart w:id="2" w:name="_GoBack"/>
      <w:bookmarkEnd w:id="2"/>
    </w:p>
    <w:p w:rsidR="00D1121E" w:rsidRPr="00D1121E" w:rsidRDefault="00D1121E" w:rsidP="00D1121E">
      <w:pPr>
        <w:jc w:val="both"/>
        <w:rPr>
          <w:sz w:val="20"/>
          <w:szCs w:val="20"/>
        </w:rPr>
      </w:pPr>
      <w:proofErr w:type="spellStart"/>
      <w:r w:rsidRPr="00D1121E">
        <w:rPr>
          <w:sz w:val="20"/>
          <w:szCs w:val="20"/>
        </w:rPr>
        <w:t>R.Ošiņa</w:t>
      </w:r>
      <w:proofErr w:type="spellEnd"/>
    </w:p>
    <w:p w:rsidR="000C5A3D" w:rsidRDefault="00D1121E" w:rsidP="00D1121E">
      <w:pPr>
        <w:jc w:val="both"/>
        <w:rPr>
          <w:sz w:val="20"/>
          <w:szCs w:val="20"/>
        </w:rPr>
      </w:pPr>
      <w:r w:rsidRPr="00D1121E">
        <w:rPr>
          <w:sz w:val="20"/>
          <w:szCs w:val="20"/>
        </w:rPr>
        <w:t xml:space="preserve">67095597, </w:t>
      </w:r>
      <w:hyperlink r:id="rId9" w:history="1">
        <w:r w:rsidRPr="00F84D2C">
          <w:rPr>
            <w:rStyle w:val="Hyperlink"/>
            <w:sz w:val="20"/>
            <w:szCs w:val="20"/>
          </w:rPr>
          <w:t>Ruta.Osina@fm.gov.lv</w:t>
        </w:r>
      </w:hyperlink>
    </w:p>
    <w:p w:rsidR="00D1121E" w:rsidRPr="005F3A62" w:rsidRDefault="00D1121E" w:rsidP="00D1121E">
      <w:pPr>
        <w:jc w:val="both"/>
        <w:rPr>
          <w:noProof/>
          <w:sz w:val="20"/>
          <w:szCs w:val="20"/>
        </w:rPr>
      </w:pPr>
    </w:p>
    <w:sectPr w:rsidR="00D1121E" w:rsidRPr="005F3A62" w:rsidSect="0002172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49" w:rsidRDefault="00EA5549">
      <w:r>
        <w:separator/>
      </w:r>
    </w:p>
  </w:endnote>
  <w:endnote w:type="continuationSeparator" w:id="0">
    <w:p w:rsidR="00EA5549" w:rsidRDefault="00EA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62" w:rsidRPr="005F3A62" w:rsidRDefault="005F3A62" w:rsidP="005F3A62">
    <w:pPr>
      <w:pStyle w:val="Footer"/>
      <w:rPr>
        <w:sz w:val="20"/>
      </w:rPr>
    </w:pPr>
    <w:r w:rsidRPr="005F3A62">
      <w:rPr>
        <w:sz w:val="20"/>
      </w:rPr>
      <w:t>F</w:t>
    </w:r>
    <w:r w:rsidR="002513EF">
      <w:rPr>
        <w:sz w:val="20"/>
      </w:rPr>
      <w:t>MNot_15</w:t>
    </w:r>
    <w:r w:rsidRPr="005F3A62">
      <w:rPr>
        <w:sz w:val="20"/>
      </w:rPr>
      <w:t>0313_735; Grozījumi Ministru kabineta 2007.gada 30.oktobra noteikumos Nr.735 “Noteikumi par publiskas personas zemes nomu”</w:t>
    </w:r>
  </w:p>
  <w:p w:rsidR="00887FEB" w:rsidRPr="005F3A62" w:rsidRDefault="00887FEB" w:rsidP="005F3A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EB" w:rsidRPr="0035788A" w:rsidRDefault="003073C8" w:rsidP="0035788A">
    <w:pPr>
      <w:pStyle w:val="Footer"/>
      <w:jc w:val="both"/>
    </w:pPr>
    <w:r>
      <w:rPr>
        <w:sz w:val="20"/>
      </w:rPr>
      <w:t>FMNot_</w:t>
    </w:r>
    <w:r w:rsidR="003D3F70">
      <w:rPr>
        <w:sz w:val="20"/>
      </w:rPr>
      <w:t>11</w:t>
    </w:r>
    <w:r w:rsidR="00477F36">
      <w:rPr>
        <w:sz w:val="20"/>
      </w:rPr>
      <w:t>09</w:t>
    </w:r>
    <w:r>
      <w:rPr>
        <w:sz w:val="20"/>
      </w:rPr>
      <w:t xml:space="preserve">13_1184; </w:t>
    </w:r>
    <w:r w:rsidR="0035788A" w:rsidRPr="0035788A">
      <w:rPr>
        <w:sz w:val="20"/>
      </w:rPr>
      <w:t>Grozījumi Ministru kabineta 2010.gada 21.decembra noteikumos Nr.1184 “Noteikumi par transportlīdzekļu kategorijām, uz kurām iepirkumos attiecināmas īpašas prasības, un transportlīdzekļu darbmūža ekspluatācijas izmaksu aprēķināšanas metodiku”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49" w:rsidRDefault="00EA5549">
      <w:r>
        <w:separator/>
      </w:r>
    </w:p>
  </w:footnote>
  <w:footnote w:type="continuationSeparator" w:id="0">
    <w:p w:rsidR="00EA5549" w:rsidRDefault="00EA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EB" w:rsidRDefault="00887FEB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FEB" w:rsidRDefault="00887F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EB" w:rsidRDefault="00887FEB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81E">
      <w:rPr>
        <w:rStyle w:val="PageNumber"/>
        <w:noProof/>
      </w:rPr>
      <w:t>2</w:t>
    </w:r>
    <w:r>
      <w:rPr>
        <w:rStyle w:val="PageNumber"/>
      </w:rPr>
      <w:fldChar w:fldCharType="end"/>
    </w:r>
  </w:p>
  <w:p w:rsidR="00887FEB" w:rsidRDefault="00887F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EB" w:rsidRPr="00F46D5F" w:rsidRDefault="00887FEB" w:rsidP="009D6A7C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ED5DEF"/>
    <w:multiLevelType w:val="hybridMultilevel"/>
    <w:tmpl w:val="8EF4CC26"/>
    <w:lvl w:ilvl="0" w:tplc="57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3271"/>
    <w:multiLevelType w:val="multilevel"/>
    <w:tmpl w:val="A4386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C50B1B"/>
    <w:multiLevelType w:val="hybridMultilevel"/>
    <w:tmpl w:val="8EF4CC26"/>
    <w:lvl w:ilvl="0" w:tplc="57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9">
    <w:nsid w:val="5B68695C"/>
    <w:multiLevelType w:val="multilevel"/>
    <w:tmpl w:val="1E8C6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E775092"/>
    <w:multiLevelType w:val="hybridMultilevel"/>
    <w:tmpl w:val="8EF4CC26"/>
    <w:lvl w:ilvl="0" w:tplc="57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9"/>
    <w:rsid w:val="00001263"/>
    <w:rsid w:val="00003F25"/>
    <w:rsid w:val="00021727"/>
    <w:rsid w:val="00021A26"/>
    <w:rsid w:val="0002472C"/>
    <w:rsid w:val="0003084F"/>
    <w:rsid w:val="00040DE4"/>
    <w:rsid w:val="00046068"/>
    <w:rsid w:val="00046B4D"/>
    <w:rsid w:val="00053E8E"/>
    <w:rsid w:val="00065323"/>
    <w:rsid w:val="000663EF"/>
    <w:rsid w:val="0007102E"/>
    <w:rsid w:val="00076F69"/>
    <w:rsid w:val="00083A55"/>
    <w:rsid w:val="000844BA"/>
    <w:rsid w:val="00085141"/>
    <w:rsid w:val="00085907"/>
    <w:rsid w:val="00085D1B"/>
    <w:rsid w:val="00087E9A"/>
    <w:rsid w:val="0009033B"/>
    <w:rsid w:val="000967DA"/>
    <w:rsid w:val="000968CD"/>
    <w:rsid w:val="000B6D28"/>
    <w:rsid w:val="000C3801"/>
    <w:rsid w:val="000C5A3D"/>
    <w:rsid w:val="000D6D3D"/>
    <w:rsid w:val="000E7F0D"/>
    <w:rsid w:val="000F1359"/>
    <w:rsid w:val="0010145D"/>
    <w:rsid w:val="00113C65"/>
    <w:rsid w:val="00113D7C"/>
    <w:rsid w:val="00116B8E"/>
    <w:rsid w:val="00117035"/>
    <w:rsid w:val="00120983"/>
    <w:rsid w:val="00132F81"/>
    <w:rsid w:val="001354D7"/>
    <w:rsid w:val="00147997"/>
    <w:rsid w:val="00151A45"/>
    <w:rsid w:val="00153C7F"/>
    <w:rsid w:val="00160DE5"/>
    <w:rsid w:val="00173CEA"/>
    <w:rsid w:val="001A00B5"/>
    <w:rsid w:val="001A62EC"/>
    <w:rsid w:val="001B4388"/>
    <w:rsid w:val="001B66CE"/>
    <w:rsid w:val="001C0189"/>
    <w:rsid w:val="001D6E0D"/>
    <w:rsid w:val="001D76DD"/>
    <w:rsid w:val="001E106E"/>
    <w:rsid w:val="001F1551"/>
    <w:rsid w:val="00201445"/>
    <w:rsid w:val="00207DD0"/>
    <w:rsid w:val="00217617"/>
    <w:rsid w:val="00223B1B"/>
    <w:rsid w:val="00225191"/>
    <w:rsid w:val="00236AF4"/>
    <w:rsid w:val="0024021C"/>
    <w:rsid w:val="002513EF"/>
    <w:rsid w:val="00253E23"/>
    <w:rsid w:val="00262961"/>
    <w:rsid w:val="002677A0"/>
    <w:rsid w:val="00294CD4"/>
    <w:rsid w:val="00297FE8"/>
    <w:rsid w:val="002B636D"/>
    <w:rsid w:val="002C3212"/>
    <w:rsid w:val="002D24DC"/>
    <w:rsid w:val="002D5180"/>
    <w:rsid w:val="002E3FCB"/>
    <w:rsid w:val="002F0952"/>
    <w:rsid w:val="002F2CFA"/>
    <w:rsid w:val="003073C8"/>
    <w:rsid w:val="0032634F"/>
    <w:rsid w:val="00327E5F"/>
    <w:rsid w:val="00331BDF"/>
    <w:rsid w:val="00333B1E"/>
    <w:rsid w:val="003346E1"/>
    <w:rsid w:val="00334D2F"/>
    <w:rsid w:val="00342767"/>
    <w:rsid w:val="0034569F"/>
    <w:rsid w:val="0034781E"/>
    <w:rsid w:val="0035788A"/>
    <w:rsid w:val="00366A05"/>
    <w:rsid w:val="003735F8"/>
    <w:rsid w:val="00374D99"/>
    <w:rsid w:val="00383A2E"/>
    <w:rsid w:val="00391556"/>
    <w:rsid w:val="00391B88"/>
    <w:rsid w:val="003A3B0C"/>
    <w:rsid w:val="003A45A5"/>
    <w:rsid w:val="003A53F2"/>
    <w:rsid w:val="003B13CE"/>
    <w:rsid w:val="003B2733"/>
    <w:rsid w:val="003B51A1"/>
    <w:rsid w:val="003C2730"/>
    <w:rsid w:val="003C354B"/>
    <w:rsid w:val="003C49D1"/>
    <w:rsid w:val="003D3F70"/>
    <w:rsid w:val="003D44A0"/>
    <w:rsid w:val="003F0346"/>
    <w:rsid w:val="003F577E"/>
    <w:rsid w:val="003F5B9B"/>
    <w:rsid w:val="003F73A8"/>
    <w:rsid w:val="004008AF"/>
    <w:rsid w:val="00401C78"/>
    <w:rsid w:val="00401D69"/>
    <w:rsid w:val="00402435"/>
    <w:rsid w:val="00403868"/>
    <w:rsid w:val="0040511C"/>
    <w:rsid w:val="00412244"/>
    <w:rsid w:val="00416EEA"/>
    <w:rsid w:val="00423698"/>
    <w:rsid w:val="00425727"/>
    <w:rsid w:val="00426196"/>
    <w:rsid w:val="004263FD"/>
    <w:rsid w:val="00427E51"/>
    <w:rsid w:val="0043187C"/>
    <w:rsid w:val="004320E8"/>
    <w:rsid w:val="004349ED"/>
    <w:rsid w:val="0044337B"/>
    <w:rsid w:val="00444607"/>
    <w:rsid w:val="004475C7"/>
    <w:rsid w:val="00450780"/>
    <w:rsid w:val="00450D18"/>
    <w:rsid w:val="004727F4"/>
    <w:rsid w:val="00477F36"/>
    <w:rsid w:val="00492900"/>
    <w:rsid w:val="004A2C1E"/>
    <w:rsid w:val="004A3F40"/>
    <w:rsid w:val="004B6733"/>
    <w:rsid w:val="004C725B"/>
    <w:rsid w:val="004C7998"/>
    <w:rsid w:val="004D29AF"/>
    <w:rsid w:val="004D588E"/>
    <w:rsid w:val="00510FDD"/>
    <w:rsid w:val="00514A1F"/>
    <w:rsid w:val="005157AA"/>
    <w:rsid w:val="005202A9"/>
    <w:rsid w:val="005253EA"/>
    <w:rsid w:val="00547FA2"/>
    <w:rsid w:val="00552682"/>
    <w:rsid w:val="00553350"/>
    <w:rsid w:val="00554AD6"/>
    <w:rsid w:val="00561B95"/>
    <w:rsid w:val="0056298E"/>
    <w:rsid w:val="00565398"/>
    <w:rsid w:val="005657E7"/>
    <w:rsid w:val="00567245"/>
    <w:rsid w:val="00572934"/>
    <w:rsid w:val="00572B4D"/>
    <w:rsid w:val="00580D2D"/>
    <w:rsid w:val="00590480"/>
    <w:rsid w:val="00590B95"/>
    <w:rsid w:val="00590ED4"/>
    <w:rsid w:val="00593587"/>
    <w:rsid w:val="005A3F88"/>
    <w:rsid w:val="005A4C52"/>
    <w:rsid w:val="005A55B7"/>
    <w:rsid w:val="005A57E9"/>
    <w:rsid w:val="005B121A"/>
    <w:rsid w:val="005B4526"/>
    <w:rsid w:val="005C29A1"/>
    <w:rsid w:val="005C2FED"/>
    <w:rsid w:val="005D6A88"/>
    <w:rsid w:val="005E7AD4"/>
    <w:rsid w:val="005F237A"/>
    <w:rsid w:val="005F3A62"/>
    <w:rsid w:val="0061186A"/>
    <w:rsid w:val="00615259"/>
    <w:rsid w:val="00627392"/>
    <w:rsid w:val="00640E54"/>
    <w:rsid w:val="006412D3"/>
    <w:rsid w:val="006416C5"/>
    <w:rsid w:val="0065270E"/>
    <w:rsid w:val="0067051D"/>
    <w:rsid w:val="00682513"/>
    <w:rsid w:val="00682919"/>
    <w:rsid w:val="00683F54"/>
    <w:rsid w:val="00691ECD"/>
    <w:rsid w:val="00693F53"/>
    <w:rsid w:val="006A4E71"/>
    <w:rsid w:val="006A6835"/>
    <w:rsid w:val="006C255D"/>
    <w:rsid w:val="006C448C"/>
    <w:rsid w:val="006D2612"/>
    <w:rsid w:val="006D4C98"/>
    <w:rsid w:val="006D660A"/>
    <w:rsid w:val="006D75EA"/>
    <w:rsid w:val="006E0709"/>
    <w:rsid w:val="006F0831"/>
    <w:rsid w:val="007022C6"/>
    <w:rsid w:val="00706F08"/>
    <w:rsid w:val="00724EB3"/>
    <w:rsid w:val="00726CFA"/>
    <w:rsid w:val="00731CD2"/>
    <w:rsid w:val="00741C7B"/>
    <w:rsid w:val="007557E8"/>
    <w:rsid w:val="00757343"/>
    <w:rsid w:val="00757674"/>
    <w:rsid w:val="00763D77"/>
    <w:rsid w:val="00764BAA"/>
    <w:rsid w:val="007653D9"/>
    <w:rsid w:val="00787F75"/>
    <w:rsid w:val="007951C8"/>
    <w:rsid w:val="007975AF"/>
    <w:rsid w:val="007B0B81"/>
    <w:rsid w:val="007B2991"/>
    <w:rsid w:val="007B3AB1"/>
    <w:rsid w:val="007B7319"/>
    <w:rsid w:val="007C7E58"/>
    <w:rsid w:val="007E41FB"/>
    <w:rsid w:val="007F042F"/>
    <w:rsid w:val="007F22DD"/>
    <w:rsid w:val="007F51BD"/>
    <w:rsid w:val="00801EE1"/>
    <w:rsid w:val="00804A54"/>
    <w:rsid w:val="00811063"/>
    <w:rsid w:val="00811712"/>
    <w:rsid w:val="008204EC"/>
    <w:rsid w:val="00824DFF"/>
    <w:rsid w:val="00826E11"/>
    <w:rsid w:val="00836C3C"/>
    <w:rsid w:val="00841AD6"/>
    <w:rsid w:val="00844423"/>
    <w:rsid w:val="00850969"/>
    <w:rsid w:val="008533AB"/>
    <w:rsid w:val="0085610F"/>
    <w:rsid w:val="00857486"/>
    <w:rsid w:val="0086305B"/>
    <w:rsid w:val="008630C2"/>
    <w:rsid w:val="00873B29"/>
    <w:rsid w:val="0088347F"/>
    <w:rsid w:val="00887FEB"/>
    <w:rsid w:val="00895330"/>
    <w:rsid w:val="008A177F"/>
    <w:rsid w:val="008A6E7A"/>
    <w:rsid w:val="008B4879"/>
    <w:rsid w:val="008C5269"/>
    <w:rsid w:val="008D58BE"/>
    <w:rsid w:val="008D5BC0"/>
    <w:rsid w:val="008D62E1"/>
    <w:rsid w:val="008D682C"/>
    <w:rsid w:val="008D6F3A"/>
    <w:rsid w:val="00902D15"/>
    <w:rsid w:val="00904840"/>
    <w:rsid w:val="00906F04"/>
    <w:rsid w:val="009149BA"/>
    <w:rsid w:val="00914A83"/>
    <w:rsid w:val="009152E3"/>
    <w:rsid w:val="009268D8"/>
    <w:rsid w:val="009323D5"/>
    <w:rsid w:val="00933D63"/>
    <w:rsid w:val="00951331"/>
    <w:rsid w:val="009553C0"/>
    <w:rsid w:val="00967A98"/>
    <w:rsid w:val="009700CF"/>
    <w:rsid w:val="00972CC6"/>
    <w:rsid w:val="009812C9"/>
    <w:rsid w:val="00984713"/>
    <w:rsid w:val="00986332"/>
    <w:rsid w:val="00986EC0"/>
    <w:rsid w:val="009923E6"/>
    <w:rsid w:val="009925D7"/>
    <w:rsid w:val="009A5B11"/>
    <w:rsid w:val="009A5FE4"/>
    <w:rsid w:val="009C2387"/>
    <w:rsid w:val="009D6A7C"/>
    <w:rsid w:val="009D7A5B"/>
    <w:rsid w:val="009F2320"/>
    <w:rsid w:val="009F28ED"/>
    <w:rsid w:val="009F2F88"/>
    <w:rsid w:val="00A03041"/>
    <w:rsid w:val="00A113A3"/>
    <w:rsid w:val="00A174C2"/>
    <w:rsid w:val="00A31ACF"/>
    <w:rsid w:val="00A44C63"/>
    <w:rsid w:val="00A47F1F"/>
    <w:rsid w:val="00A506CD"/>
    <w:rsid w:val="00A51908"/>
    <w:rsid w:val="00A57B82"/>
    <w:rsid w:val="00A57EA7"/>
    <w:rsid w:val="00A676AB"/>
    <w:rsid w:val="00A760D8"/>
    <w:rsid w:val="00A77616"/>
    <w:rsid w:val="00A77BB2"/>
    <w:rsid w:val="00A80B0C"/>
    <w:rsid w:val="00A80F3A"/>
    <w:rsid w:val="00A832BD"/>
    <w:rsid w:val="00A92789"/>
    <w:rsid w:val="00AA2062"/>
    <w:rsid w:val="00AA64B0"/>
    <w:rsid w:val="00AB08CA"/>
    <w:rsid w:val="00AB2E3A"/>
    <w:rsid w:val="00AC5088"/>
    <w:rsid w:val="00AD3463"/>
    <w:rsid w:val="00AF5B14"/>
    <w:rsid w:val="00AF6161"/>
    <w:rsid w:val="00B10F95"/>
    <w:rsid w:val="00B126D1"/>
    <w:rsid w:val="00B148A6"/>
    <w:rsid w:val="00B20731"/>
    <w:rsid w:val="00B23038"/>
    <w:rsid w:val="00B24A12"/>
    <w:rsid w:val="00B255B3"/>
    <w:rsid w:val="00B2611F"/>
    <w:rsid w:val="00B33340"/>
    <w:rsid w:val="00B4074F"/>
    <w:rsid w:val="00B41EAD"/>
    <w:rsid w:val="00B51271"/>
    <w:rsid w:val="00B527EB"/>
    <w:rsid w:val="00B56787"/>
    <w:rsid w:val="00B603D9"/>
    <w:rsid w:val="00B73919"/>
    <w:rsid w:val="00B7458D"/>
    <w:rsid w:val="00B80FD3"/>
    <w:rsid w:val="00B844D6"/>
    <w:rsid w:val="00B8761A"/>
    <w:rsid w:val="00B94E0D"/>
    <w:rsid w:val="00B94E88"/>
    <w:rsid w:val="00B972C6"/>
    <w:rsid w:val="00BA6491"/>
    <w:rsid w:val="00BC5600"/>
    <w:rsid w:val="00BC5923"/>
    <w:rsid w:val="00BD310C"/>
    <w:rsid w:val="00BD3F7C"/>
    <w:rsid w:val="00BD720A"/>
    <w:rsid w:val="00BF280A"/>
    <w:rsid w:val="00BF407C"/>
    <w:rsid w:val="00BF5A78"/>
    <w:rsid w:val="00C02086"/>
    <w:rsid w:val="00C03AC4"/>
    <w:rsid w:val="00C10A43"/>
    <w:rsid w:val="00C17F10"/>
    <w:rsid w:val="00C37329"/>
    <w:rsid w:val="00C3782F"/>
    <w:rsid w:val="00C40BF4"/>
    <w:rsid w:val="00C444AF"/>
    <w:rsid w:val="00C46EDB"/>
    <w:rsid w:val="00C54FBB"/>
    <w:rsid w:val="00C61307"/>
    <w:rsid w:val="00C6284E"/>
    <w:rsid w:val="00C66F1B"/>
    <w:rsid w:val="00C70797"/>
    <w:rsid w:val="00C8326B"/>
    <w:rsid w:val="00C83988"/>
    <w:rsid w:val="00C84058"/>
    <w:rsid w:val="00C91402"/>
    <w:rsid w:val="00C9416B"/>
    <w:rsid w:val="00C960A4"/>
    <w:rsid w:val="00C97893"/>
    <w:rsid w:val="00CA34FE"/>
    <w:rsid w:val="00CA5E13"/>
    <w:rsid w:val="00CA6CB9"/>
    <w:rsid w:val="00CB014E"/>
    <w:rsid w:val="00CB3B22"/>
    <w:rsid w:val="00CD33BF"/>
    <w:rsid w:val="00CD3B11"/>
    <w:rsid w:val="00CD4017"/>
    <w:rsid w:val="00CE3315"/>
    <w:rsid w:val="00CF0F8E"/>
    <w:rsid w:val="00CF3B11"/>
    <w:rsid w:val="00CF647E"/>
    <w:rsid w:val="00CF68B2"/>
    <w:rsid w:val="00D05C28"/>
    <w:rsid w:val="00D1121E"/>
    <w:rsid w:val="00D1220C"/>
    <w:rsid w:val="00D153F7"/>
    <w:rsid w:val="00D15EAA"/>
    <w:rsid w:val="00D31BF4"/>
    <w:rsid w:val="00D3294E"/>
    <w:rsid w:val="00D51D1F"/>
    <w:rsid w:val="00D55E54"/>
    <w:rsid w:val="00D640D0"/>
    <w:rsid w:val="00D669F2"/>
    <w:rsid w:val="00D71395"/>
    <w:rsid w:val="00D71521"/>
    <w:rsid w:val="00D71954"/>
    <w:rsid w:val="00D74D6E"/>
    <w:rsid w:val="00D751C3"/>
    <w:rsid w:val="00D80515"/>
    <w:rsid w:val="00D839A5"/>
    <w:rsid w:val="00D90B31"/>
    <w:rsid w:val="00DA25E8"/>
    <w:rsid w:val="00DA3D00"/>
    <w:rsid w:val="00DB3D2E"/>
    <w:rsid w:val="00DB4075"/>
    <w:rsid w:val="00DC13AC"/>
    <w:rsid w:val="00DC3BB0"/>
    <w:rsid w:val="00DE0A4B"/>
    <w:rsid w:val="00DE489E"/>
    <w:rsid w:val="00DF08FD"/>
    <w:rsid w:val="00E0173C"/>
    <w:rsid w:val="00E0468E"/>
    <w:rsid w:val="00E11EEC"/>
    <w:rsid w:val="00E12BA1"/>
    <w:rsid w:val="00E130F6"/>
    <w:rsid w:val="00E14428"/>
    <w:rsid w:val="00E17117"/>
    <w:rsid w:val="00E17530"/>
    <w:rsid w:val="00E20AAE"/>
    <w:rsid w:val="00E261E5"/>
    <w:rsid w:val="00E266DC"/>
    <w:rsid w:val="00E310B9"/>
    <w:rsid w:val="00E41EEA"/>
    <w:rsid w:val="00E52942"/>
    <w:rsid w:val="00E6649A"/>
    <w:rsid w:val="00E726C6"/>
    <w:rsid w:val="00E73E05"/>
    <w:rsid w:val="00E772A0"/>
    <w:rsid w:val="00E908AC"/>
    <w:rsid w:val="00E95A78"/>
    <w:rsid w:val="00E95EC5"/>
    <w:rsid w:val="00E97394"/>
    <w:rsid w:val="00EA09A5"/>
    <w:rsid w:val="00EA0E83"/>
    <w:rsid w:val="00EA0E86"/>
    <w:rsid w:val="00EA23CC"/>
    <w:rsid w:val="00EA5549"/>
    <w:rsid w:val="00EB23B3"/>
    <w:rsid w:val="00EC1A72"/>
    <w:rsid w:val="00ED6084"/>
    <w:rsid w:val="00EE3DAD"/>
    <w:rsid w:val="00EE3F80"/>
    <w:rsid w:val="00EE653A"/>
    <w:rsid w:val="00EF2D75"/>
    <w:rsid w:val="00F00793"/>
    <w:rsid w:val="00F244AE"/>
    <w:rsid w:val="00F257B0"/>
    <w:rsid w:val="00F26E20"/>
    <w:rsid w:val="00F40CDC"/>
    <w:rsid w:val="00F43E94"/>
    <w:rsid w:val="00F45774"/>
    <w:rsid w:val="00F46090"/>
    <w:rsid w:val="00F46D5F"/>
    <w:rsid w:val="00F527E8"/>
    <w:rsid w:val="00F5469D"/>
    <w:rsid w:val="00F57CA6"/>
    <w:rsid w:val="00F6226D"/>
    <w:rsid w:val="00F756A6"/>
    <w:rsid w:val="00F811D5"/>
    <w:rsid w:val="00F86FF1"/>
    <w:rsid w:val="00F902B3"/>
    <w:rsid w:val="00F91221"/>
    <w:rsid w:val="00F93ED3"/>
    <w:rsid w:val="00F95CE4"/>
    <w:rsid w:val="00FB00CB"/>
    <w:rsid w:val="00FB1B52"/>
    <w:rsid w:val="00FB4D9F"/>
    <w:rsid w:val="00FB6A64"/>
    <w:rsid w:val="00FC0731"/>
    <w:rsid w:val="00FC3A48"/>
    <w:rsid w:val="00FC3A80"/>
    <w:rsid w:val="00FC7626"/>
    <w:rsid w:val="00FD03A1"/>
    <w:rsid w:val="00FF240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H4">
    <w:name w:val="H4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customStyle="1" w:styleId="naislab">
    <w:name w:val="naislab"/>
    <w:basedOn w:val="Normal"/>
    <w:rsid w:val="00DA3D00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DA3D00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99"/>
    <w:qFormat/>
    <w:rsid w:val="00DA3D00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86E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7CA6"/>
    <w:rPr>
      <w:color w:val="800080" w:themeColor="followedHyperlink"/>
      <w:u w:val="single"/>
    </w:rPr>
  </w:style>
  <w:style w:type="character" w:customStyle="1" w:styleId="tvdoctopindex1">
    <w:name w:val="tv_doc_top_index1"/>
    <w:basedOn w:val="DefaultParagraphFont"/>
    <w:rsid w:val="00F57CA6"/>
    <w:rPr>
      <w:color w:val="666666"/>
      <w:sz w:val="18"/>
      <w:szCs w:val="18"/>
    </w:rPr>
  </w:style>
  <w:style w:type="paragraph" w:customStyle="1" w:styleId="tv2131">
    <w:name w:val="tv2131"/>
    <w:basedOn w:val="Normal"/>
    <w:rsid w:val="00C40BF4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H4">
    <w:name w:val="H4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customStyle="1" w:styleId="naislab">
    <w:name w:val="naislab"/>
    <w:basedOn w:val="Normal"/>
    <w:rsid w:val="00DA3D00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DA3D00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99"/>
    <w:qFormat/>
    <w:rsid w:val="00DA3D00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86E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7CA6"/>
    <w:rPr>
      <w:color w:val="800080" w:themeColor="followedHyperlink"/>
      <w:u w:val="single"/>
    </w:rPr>
  </w:style>
  <w:style w:type="character" w:customStyle="1" w:styleId="tvdoctopindex1">
    <w:name w:val="tv_doc_top_index1"/>
    <w:basedOn w:val="DefaultParagraphFont"/>
    <w:rsid w:val="00F57CA6"/>
    <w:rPr>
      <w:color w:val="666666"/>
      <w:sz w:val="18"/>
      <w:szCs w:val="18"/>
    </w:rPr>
  </w:style>
  <w:style w:type="paragraph" w:customStyle="1" w:styleId="tv2131">
    <w:name w:val="tv2131"/>
    <w:basedOn w:val="Normal"/>
    <w:rsid w:val="00C40BF4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582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92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54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63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ta.Osina@f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F96F-8E53-499C-8856-FA2606C5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21.decembra noteikumos Nr.1184 “Noteikumi par transportlīdzekļu kategorijām, uz kurām iepirkumos attiecināmas īpašas prasības, un transportlīdzekļu darbmūža ekspluatācijas izmaksu aprēķināšanas metodiku”</vt:lpstr>
      <vt:lpstr>Par Ministru kabineta 2007.gada 5.jūlija rīkojuma Nr.423 „Par koncepciju „Valsts bezpeļņas sabiedrība ar ierobežotu atbildību „Latvijas Televīzija”. Sabiedriskās televīzijas tehnoloģiskās attīstības koncepcija 2008.–2012.gadam”” 3.punkta atzīšanu par spēk</vt:lpstr>
    </vt:vector>
  </TitlesOfParts>
  <Manager>S.Bajāre</Manager>
  <Company>Finanšu ministrija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21.decembra noteikumos Nr.1184 “Noteikumi par transportlīdzekļu kategorijām, uz kurām iepirkumos attiecināmas īpašas prasības, un transportlīdzekļu darbmūža ekspluatācijas izmaksu aprēķināšanas metodiku”</dc:title>
  <dc:subject>MK noteikumu projekts</dc:subject>
  <dc:creator>Rūta Ošiņa</dc:creator>
  <dc:description>Tālrunis: 67095597;_x000d_
E-pasts:Ruta.Osinaa@fm.gov.lv</dc:description>
  <cp:lastModifiedBy>Finanšu Ministrija</cp:lastModifiedBy>
  <cp:revision>2</cp:revision>
  <cp:lastPrinted>2013-08-06T11:19:00Z</cp:lastPrinted>
  <dcterms:created xsi:type="dcterms:W3CDTF">2013-09-11T08:49:00Z</dcterms:created>
  <dcterms:modified xsi:type="dcterms:W3CDTF">2013-09-11T08:49:00Z</dcterms:modified>
</cp:coreProperties>
</file>