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5" w:rsidRPr="00A446FB" w:rsidRDefault="006373F5" w:rsidP="00A446F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6373F5" w:rsidRPr="00A446FB" w:rsidRDefault="006373F5" w:rsidP="00A446F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6373F5" w:rsidRPr="00A446FB" w:rsidRDefault="006373F5" w:rsidP="00A446F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6373F5" w:rsidRPr="00A446FB" w:rsidRDefault="006373F5" w:rsidP="00A446F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6373F5" w:rsidRPr="00A446FB" w:rsidRDefault="006373F5" w:rsidP="00A446F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6373F5" w:rsidRPr="00A446FB" w:rsidRDefault="006373F5" w:rsidP="00A446F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46FB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4. oktobrī</w:t>
      </w:r>
      <w:r w:rsidRPr="00A446FB">
        <w:rPr>
          <w:rFonts w:ascii="Times New Roman" w:hAnsi="Times New Roman"/>
          <w:sz w:val="28"/>
          <w:szCs w:val="28"/>
        </w:rPr>
        <w:t xml:space="preserve">            </w:t>
      </w:r>
      <w:r w:rsidRPr="00A446FB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750</w:t>
      </w:r>
    </w:p>
    <w:p w:rsidR="006373F5" w:rsidRPr="00A446FB" w:rsidRDefault="006373F5" w:rsidP="00A446F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A446FB">
        <w:rPr>
          <w:rFonts w:ascii="Times New Roman" w:hAnsi="Times New Roman"/>
          <w:sz w:val="28"/>
        </w:rPr>
        <w:t>Rīgā</w:t>
      </w:r>
      <w:r w:rsidRPr="00A446FB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57 9</w:t>
      </w:r>
      <w:r w:rsidRPr="00A446FB">
        <w:rPr>
          <w:rFonts w:ascii="Times New Roman" w:hAnsi="Times New Roman"/>
          <w:sz w:val="28"/>
        </w:rPr>
        <w:t>.§)</w:t>
      </w:r>
    </w:p>
    <w:p w:rsidR="006373F5" w:rsidRPr="008F683F" w:rsidRDefault="006373F5" w:rsidP="00A446FB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F5" w:rsidRPr="007235E6" w:rsidRDefault="006373F5" w:rsidP="00A4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7235E6">
        <w:rPr>
          <w:rFonts w:ascii="Times New Roman" w:hAnsi="Times New Roman"/>
          <w:b/>
          <w:sz w:val="28"/>
          <w:szCs w:val="28"/>
          <w:lang w:eastAsia="lv-LV"/>
        </w:rPr>
        <w:t xml:space="preserve">Grozījumi Ministru kabineta </w:t>
      </w:r>
      <w:r>
        <w:rPr>
          <w:rFonts w:ascii="Times New Roman" w:hAnsi="Times New Roman"/>
          <w:b/>
          <w:sz w:val="28"/>
          <w:szCs w:val="28"/>
          <w:lang w:eastAsia="lv-LV"/>
        </w:rPr>
        <w:t>2010.gada 1.</w:t>
      </w:r>
      <w:r w:rsidRPr="007235E6">
        <w:rPr>
          <w:rFonts w:ascii="Times New Roman" w:hAnsi="Times New Roman"/>
          <w:b/>
          <w:sz w:val="28"/>
          <w:szCs w:val="28"/>
          <w:lang w:eastAsia="lv-LV"/>
        </w:rPr>
        <w:t xml:space="preserve">jūnija noteikumos Nr.498 </w:t>
      </w:r>
      <w:r>
        <w:rPr>
          <w:rFonts w:ascii="Times New Roman" w:hAnsi="Times New Roman"/>
          <w:b/>
          <w:sz w:val="28"/>
          <w:szCs w:val="28"/>
          <w:lang w:eastAsia="lv-LV"/>
        </w:rPr>
        <w:t>"</w:t>
      </w:r>
      <w:r w:rsidRPr="007235E6">
        <w:rPr>
          <w:rFonts w:ascii="Times New Roman" w:hAnsi="Times New Roman"/>
          <w:b/>
          <w:sz w:val="28"/>
          <w:szCs w:val="28"/>
          <w:lang w:eastAsia="lv-LV"/>
        </w:rPr>
        <w:t>Ceturkšņa finanšu pārskatu sagatavošanas un iesniegšanas kārtība</w:t>
      </w:r>
      <w:r>
        <w:rPr>
          <w:rFonts w:ascii="Times New Roman" w:hAnsi="Times New Roman"/>
          <w:b/>
          <w:sz w:val="28"/>
          <w:szCs w:val="28"/>
          <w:lang w:eastAsia="lv-LV"/>
        </w:rPr>
        <w:t>"</w:t>
      </w:r>
    </w:p>
    <w:p w:rsidR="006373F5" w:rsidRDefault="006373F5" w:rsidP="00A446FB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6373F5" w:rsidRDefault="006373F5" w:rsidP="00A446FB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6373F5" w:rsidRDefault="006373F5" w:rsidP="00A446FB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Likuma par budžetu un finanšu vadību</w:t>
      </w:r>
    </w:p>
    <w:p w:rsidR="006373F5" w:rsidRDefault="006373F5" w:rsidP="00A446FB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DF2BF3">
        <w:rPr>
          <w:sz w:val="28"/>
          <w:szCs w:val="28"/>
        </w:rPr>
        <w:t>30.panta septīto un astoto daļu</w:t>
      </w:r>
    </w:p>
    <w:p w:rsidR="006373F5" w:rsidRDefault="006373F5" w:rsidP="00A446FB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F683F">
        <w:rPr>
          <w:rFonts w:ascii="Times New Roman" w:hAnsi="Times New Roman"/>
          <w:sz w:val="28"/>
          <w:szCs w:val="28"/>
        </w:rPr>
        <w:t xml:space="preserve">Izdarīt Ministru kabineta </w:t>
      </w:r>
      <w:r w:rsidRPr="00DF2BF3">
        <w:rPr>
          <w:rFonts w:ascii="Times New Roman" w:hAnsi="Times New Roman"/>
          <w:sz w:val="28"/>
          <w:szCs w:val="28"/>
        </w:rPr>
        <w:t xml:space="preserve">2010.gada 1.jūnija noteikumos Nr.498 </w:t>
      </w:r>
      <w:r>
        <w:rPr>
          <w:rFonts w:ascii="Times New Roman" w:hAnsi="Times New Roman"/>
          <w:sz w:val="28"/>
          <w:szCs w:val="28"/>
        </w:rPr>
        <w:t>"</w:t>
      </w:r>
      <w:r w:rsidRPr="00DF2BF3">
        <w:rPr>
          <w:rFonts w:ascii="Times New Roman" w:hAnsi="Times New Roman"/>
          <w:sz w:val="28"/>
          <w:szCs w:val="28"/>
        </w:rPr>
        <w:t>Ceturkšņa finanšu pārskatu sagatavošanas un iesniegšanas kārtība</w:t>
      </w:r>
      <w:r>
        <w:rPr>
          <w:rFonts w:ascii="Times New Roman" w:hAnsi="Times New Roman"/>
          <w:sz w:val="28"/>
          <w:szCs w:val="28"/>
        </w:rPr>
        <w:t>"</w:t>
      </w:r>
      <w:r w:rsidRPr="008F683F">
        <w:rPr>
          <w:rFonts w:ascii="Times New Roman" w:hAnsi="Times New Roman"/>
          <w:sz w:val="28"/>
          <w:szCs w:val="28"/>
        </w:rPr>
        <w:t xml:space="preserve"> (Latvijas Vēstnesis, 20</w:t>
      </w:r>
      <w:r>
        <w:rPr>
          <w:rFonts w:ascii="Times New Roman" w:hAnsi="Times New Roman"/>
          <w:sz w:val="28"/>
          <w:szCs w:val="28"/>
        </w:rPr>
        <w:t>10</w:t>
      </w:r>
      <w:r w:rsidRPr="008F6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94.nr.</w:t>
      </w:r>
      <w:r w:rsidRPr="008F683F">
        <w:rPr>
          <w:rFonts w:ascii="Times New Roman" w:hAnsi="Times New Roman"/>
          <w:sz w:val="28"/>
          <w:szCs w:val="28"/>
        </w:rPr>
        <w:t>) šādus grozījumus:</w:t>
      </w: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i</w:t>
      </w:r>
      <w:r w:rsidRPr="00DF2BF3">
        <w:rPr>
          <w:rFonts w:ascii="Times New Roman" w:hAnsi="Times New Roman"/>
          <w:sz w:val="28"/>
          <w:szCs w:val="28"/>
        </w:rPr>
        <w:t>zteikt 15.punktu šādā redakcijā:</w:t>
      </w: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"15.</w:t>
      </w:r>
      <w:r w:rsidRPr="00DF2BF3">
        <w:t xml:space="preserve"> </w:t>
      </w:r>
      <w:r w:rsidRPr="00DF2BF3">
        <w:rPr>
          <w:rFonts w:ascii="Times New Roman" w:hAnsi="Times New Roman"/>
          <w:sz w:val="28"/>
          <w:szCs w:val="28"/>
        </w:rPr>
        <w:t xml:space="preserve">Ministrijas un citas centrālās valsts iestādes, kā arī pašvaldības konsolidēto pārskatu par </w:t>
      </w:r>
      <w:r w:rsidRPr="00E777B6">
        <w:rPr>
          <w:rFonts w:ascii="Times New Roman" w:hAnsi="Times New Roman"/>
          <w:sz w:val="28"/>
          <w:szCs w:val="28"/>
        </w:rPr>
        <w:t xml:space="preserve">I ceturksni iesniedz Valsts kasē līdz </w:t>
      </w:r>
      <w:r w:rsidRPr="00574B5B">
        <w:rPr>
          <w:rFonts w:ascii="Times New Roman" w:hAnsi="Times New Roman"/>
          <w:sz w:val="28"/>
          <w:szCs w:val="28"/>
        </w:rPr>
        <w:t>1.maijam,</w:t>
      </w:r>
      <w:r w:rsidRPr="00812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pārskatu par </w:t>
      </w:r>
      <w:r w:rsidRPr="00812D41">
        <w:rPr>
          <w:rFonts w:ascii="Times New Roman" w:hAnsi="Times New Roman"/>
          <w:sz w:val="28"/>
          <w:szCs w:val="28"/>
        </w:rPr>
        <w:t xml:space="preserve">II un III </w:t>
      </w:r>
      <w:r>
        <w:rPr>
          <w:rFonts w:ascii="Times New Roman" w:hAnsi="Times New Roman"/>
          <w:sz w:val="28"/>
          <w:szCs w:val="28"/>
        </w:rPr>
        <w:t xml:space="preserve">ceturksni – līdz pārskata ceturksnim sekojošā mēneša divdesmit piektajam </w:t>
      </w:r>
      <w:r w:rsidRPr="00206DBD">
        <w:rPr>
          <w:rFonts w:ascii="Times New Roman" w:hAnsi="Times New Roman"/>
          <w:sz w:val="28"/>
          <w:szCs w:val="28"/>
        </w:rPr>
        <w:t>datumam</w:t>
      </w:r>
      <w:r>
        <w:rPr>
          <w:rFonts w:ascii="Times New Roman" w:hAnsi="Times New Roman"/>
          <w:sz w:val="28"/>
          <w:szCs w:val="28"/>
        </w:rPr>
        <w:t>, bet</w:t>
      </w:r>
      <w:r w:rsidRPr="00DF2BF3">
        <w:rPr>
          <w:rFonts w:ascii="Times New Roman" w:hAnsi="Times New Roman"/>
          <w:sz w:val="28"/>
          <w:szCs w:val="28"/>
        </w:rPr>
        <w:t xml:space="preserve"> pārskatu par IV ceturksni – līdz pārskata gadam sekojošā saimnieciskā gada </w:t>
      </w:r>
      <w:r w:rsidRPr="007A1623">
        <w:rPr>
          <w:rFonts w:ascii="Times New Roman" w:hAnsi="Times New Roman"/>
          <w:sz w:val="28"/>
          <w:szCs w:val="28"/>
        </w:rPr>
        <w:t>25.februārim</w:t>
      </w:r>
      <w:r w:rsidRPr="00DF2BF3">
        <w:rPr>
          <w:rFonts w:ascii="Times New Roman" w:hAnsi="Times New Roman"/>
          <w:sz w:val="28"/>
          <w:szCs w:val="28"/>
        </w:rPr>
        <w:t>. Ja iesniegšanas datums ir brīvdiena vai svētku diena, pārskatu iesniedz darbdienā pirms brīvdienas vai svētku dienas.</w:t>
      </w:r>
      <w:r>
        <w:rPr>
          <w:rFonts w:ascii="Times New Roman" w:hAnsi="Times New Roman"/>
          <w:sz w:val="28"/>
          <w:szCs w:val="28"/>
        </w:rPr>
        <w:t>";</w:t>
      </w:r>
    </w:p>
    <w:p w:rsidR="006373F5" w:rsidRPr="00DF2BF3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p</w:t>
      </w:r>
      <w:r w:rsidRPr="00E777B6">
        <w:rPr>
          <w:rFonts w:ascii="Times New Roman" w:hAnsi="Times New Roman"/>
          <w:sz w:val="28"/>
          <w:szCs w:val="28"/>
        </w:rPr>
        <w:t xml:space="preserve">apildināt </w:t>
      </w:r>
      <w:r>
        <w:rPr>
          <w:rFonts w:ascii="Times New Roman" w:hAnsi="Times New Roman"/>
          <w:sz w:val="28"/>
          <w:szCs w:val="28"/>
        </w:rPr>
        <w:t xml:space="preserve">noteikumus </w:t>
      </w:r>
      <w:r w:rsidRPr="00E777B6">
        <w:rPr>
          <w:rFonts w:ascii="Times New Roman" w:hAnsi="Times New Roman"/>
          <w:sz w:val="28"/>
          <w:szCs w:val="28"/>
        </w:rPr>
        <w:t>ar 15.</w:t>
      </w:r>
      <w:r w:rsidRPr="00E777B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E777B6">
        <w:rPr>
          <w:rFonts w:ascii="Times New Roman" w:hAnsi="Times New Roman"/>
          <w:sz w:val="28"/>
          <w:szCs w:val="28"/>
        </w:rPr>
        <w:t>punktu šādā redakcijā:</w:t>
      </w:r>
    </w:p>
    <w:p w:rsidR="006373F5" w:rsidRPr="00E777B6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Pr="00E777B6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E777B6">
        <w:rPr>
          <w:rFonts w:ascii="Times New Roman" w:hAnsi="Times New Roman"/>
          <w:sz w:val="28"/>
          <w:szCs w:val="28"/>
        </w:rPr>
        <w:t>15.</w:t>
      </w:r>
      <w:r w:rsidRPr="00E777B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E777B6">
        <w:rPr>
          <w:rFonts w:ascii="Times New Roman" w:hAnsi="Times New Roman"/>
          <w:bCs/>
          <w:sz w:val="28"/>
          <w:szCs w:val="28"/>
        </w:rPr>
        <w:t xml:space="preserve">Ārlietu ministrija šo noteikumu 15.punktā minētajos pārskatos iekļauj datus par Latvijas diplomātiskajām un konsulārajām pārstāvniecībām: </w:t>
      </w:r>
    </w:p>
    <w:p w:rsidR="006373F5" w:rsidRPr="00574B5B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777B6">
        <w:rPr>
          <w:rFonts w:ascii="Times New Roman" w:hAnsi="Times New Roman"/>
          <w:bCs/>
          <w:sz w:val="28"/>
          <w:szCs w:val="28"/>
        </w:rPr>
        <w:t>15.</w:t>
      </w:r>
      <w:r w:rsidRPr="00E777B6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  <w:vertAlign w:val="superscript"/>
        </w:rPr>
        <w:t> </w:t>
      </w:r>
      <w:r w:rsidRPr="00E777B6">
        <w:rPr>
          <w:rFonts w:ascii="Times New Roman" w:hAnsi="Times New Roman"/>
          <w:bCs/>
          <w:sz w:val="28"/>
          <w:szCs w:val="28"/>
        </w:rPr>
        <w:t>1</w:t>
      </w:r>
      <w:r w:rsidRPr="0028171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574B5B">
        <w:rPr>
          <w:rFonts w:ascii="Times New Roman" w:hAnsi="Times New Roman"/>
          <w:bCs/>
          <w:sz w:val="28"/>
          <w:szCs w:val="28"/>
        </w:rPr>
        <w:t>konsolidētajā pārskatā par I</w:t>
      </w:r>
      <w:r>
        <w:rPr>
          <w:rFonts w:ascii="Times New Roman" w:hAnsi="Times New Roman"/>
          <w:bCs/>
          <w:sz w:val="28"/>
          <w:szCs w:val="28"/>
        </w:rPr>
        <w:t> </w:t>
      </w:r>
      <w:r w:rsidRPr="00574B5B">
        <w:rPr>
          <w:rFonts w:ascii="Times New Roman" w:hAnsi="Times New Roman"/>
          <w:bCs/>
          <w:sz w:val="28"/>
          <w:szCs w:val="28"/>
        </w:rPr>
        <w:t xml:space="preserve">ceturksni </w:t>
      </w:r>
      <w:r>
        <w:rPr>
          <w:rFonts w:ascii="Times New Roman" w:hAnsi="Times New Roman"/>
          <w:bCs/>
          <w:sz w:val="28"/>
          <w:szCs w:val="28"/>
        </w:rPr>
        <w:t xml:space="preserve">dati </w:t>
      </w:r>
      <w:r w:rsidRPr="00574B5B">
        <w:rPr>
          <w:rFonts w:ascii="Times New Roman" w:hAnsi="Times New Roman"/>
          <w:bCs/>
          <w:sz w:val="28"/>
          <w:szCs w:val="28"/>
        </w:rPr>
        <w:t>pārskata perioda beig</w:t>
      </w:r>
      <w:r>
        <w:rPr>
          <w:rFonts w:ascii="Times New Roman" w:hAnsi="Times New Roman"/>
          <w:bCs/>
          <w:sz w:val="28"/>
          <w:szCs w:val="28"/>
        </w:rPr>
        <w:t>ās atbilst</w:t>
      </w:r>
      <w:r w:rsidRPr="00574B5B">
        <w:rPr>
          <w:rFonts w:ascii="Times New Roman" w:hAnsi="Times New Roman"/>
          <w:bCs/>
          <w:sz w:val="28"/>
          <w:szCs w:val="28"/>
        </w:rPr>
        <w:t xml:space="preserve"> datiem pārskata perioda</w:t>
      </w:r>
      <w:r>
        <w:rPr>
          <w:rFonts w:ascii="Times New Roman" w:hAnsi="Times New Roman"/>
          <w:bCs/>
          <w:sz w:val="28"/>
          <w:szCs w:val="28"/>
        </w:rPr>
        <w:t xml:space="preserve"> sākumā</w:t>
      </w:r>
      <w:r w:rsidRPr="00574B5B">
        <w:rPr>
          <w:rFonts w:ascii="Times New Roman" w:hAnsi="Times New Roman"/>
          <w:bCs/>
          <w:sz w:val="28"/>
          <w:szCs w:val="28"/>
        </w:rPr>
        <w:t>;</w:t>
      </w:r>
    </w:p>
    <w:p w:rsidR="006373F5" w:rsidRPr="00E777B6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777B6">
        <w:rPr>
          <w:rFonts w:ascii="Times New Roman" w:hAnsi="Times New Roman"/>
          <w:bCs/>
          <w:sz w:val="28"/>
          <w:szCs w:val="28"/>
        </w:rPr>
        <w:t>15.</w:t>
      </w:r>
      <w:r w:rsidRPr="00E777B6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  <w:vertAlign w:val="superscript"/>
        </w:rPr>
        <w:t> </w:t>
      </w:r>
      <w:r w:rsidRPr="00E777B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 </w:t>
      </w:r>
      <w:r w:rsidRPr="00E777B6">
        <w:rPr>
          <w:rFonts w:ascii="Times New Roman" w:hAnsi="Times New Roman"/>
          <w:bCs/>
          <w:sz w:val="28"/>
          <w:szCs w:val="28"/>
        </w:rPr>
        <w:t>konsolidētajā pārskatā par II</w:t>
      </w:r>
      <w:r>
        <w:rPr>
          <w:rFonts w:ascii="Times New Roman" w:hAnsi="Times New Roman"/>
          <w:bCs/>
          <w:sz w:val="28"/>
          <w:szCs w:val="28"/>
        </w:rPr>
        <w:t> </w:t>
      </w:r>
      <w:r w:rsidRPr="00E777B6">
        <w:rPr>
          <w:rFonts w:ascii="Times New Roman" w:hAnsi="Times New Roman"/>
          <w:bCs/>
          <w:sz w:val="28"/>
          <w:szCs w:val="28"/>
        </w:rPr>
        <w:t xml:space="preserve">ceturksni </w:t>
      </w:r>
      <w:r>
        <w:rPr>
          <w:rFonts w:ascii="Times New Roman" w:hAnsi="Times New Roman"/>
          <w:bCs/>
          <w:sz w:val="28"/>
          <w:szCs w:val="28"/>
        </w:rPr>
        <w:t>iekļauj datus</w:t>
      </w:r>
      <w:r w:rsidRPr="00E777B6">
        <w:rPr>
          <w:rFonts w:ascii="Times New Roman" w:hAnsi="Times New Roman"/>
          <w:bCs/>
          <w:sz w:val="28"/>
          <w:szCs w:val="28"/>
        </w:rPr>
        <w:t xml:space="preserve"> par laikposmu no 1.janvāra līdz 31.martam;</w:t>
      </w:r>
    </w:p>
    <w:p w:rsidR="006373F5" w:rsidRPr="00E777B6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777B6">
        <w:rPr>
          <w:rFonts w:ascii="Times New Roman" w:hAnsi="Times New Roman"/>
          <w:bCs/>
          <w:sz w:val="28"/>
          <w:szCs w:val="28"/>
        </w:rPr>
        <w:t>15.</w:t>
      </w:r>
      <w:r w:rsidRPr="00E777B6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  <w:vertAlign w:val="superscript"/>
        </w:rPr>
        <w:t> </w:t>
      </w:r>
      <w:r w:rsidRPr="00E777B6">
        <w:rPr>
          <w:rFonts w:ascii="Times New Roman" w:hAnsi="Times New Roman"/>
          <w:bCs/>
          <w:sz w:val="28"/>
          <w:szCs w:val="28"/>
        </w:rPr>
        <w:t>3. konsolidētajā pārskatā par III</w:t>
      </w:r>
      <w:r>
        <w:rPr>
          <w:rFonts w:ascii="Times New Roman" w:hAnsi="Times New Roman"/>
          <w:bCs/>
          <w:sz w:val="28"/>
          <w:szCs w:val="28"/>
        </w:rPr>
        <w:t> </w:t>
      </w:r>
      <w:r w:rsidRPr="00E777B6">
        <w:rPr>
          <w:rFonts w:ascii="Times New Roman" w:hAnsi="Times New Roman"/>
          <w:bCs/>
          <w:sz w:val="28"/>
          <w:szCs w:val="28"/>
        </w:rPr>
        <w:t xml:space="preserve">ceturksni </w:t>
      </w:r>
      <w:r>
        <w:rPr>
          <w:rFonts w:ascii="Times New Roman" w:hAnsi="Times New Roman"/>
          <w:bCs/>
          <w:sz w:val="28"/>
          <w:szCs w:val="28"/>
        </w:rPr>
        <w:t>iekļauj datus</w:t>
      </w:r>
      <w:r w:rsidRPr="00E777B6">
        <w:rPr>
          <w:rFonts w:ascii="Times New Roman" w:hAnsi="Times New Roman"/>
          <w:bCs/>
          <w:sz w:val="28"/>
          <w:szCs w:val="28"/>
        </w:rPr>
        <w:t xml:space="preserve"> par laikposmu no 1.aprīļa līdz 30.jūnijam;</w:t>
      </w: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5E6">
        <w:rPr>
          <w:rFonts w:ascii="Times New Roman" w:hAnsi="Times New Roman"/>
          <w:sz w:val="28"/>
          <w:szCs w:val="28"/>
        </w:rPr>
        <w:t>15.</w:t>
      </w:r>
      <w:r w:rsidRPr="007235E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7235E6">
        <w:rPr>
          <w:rFonts w:ascii="Times New Roman" w:hAnsi="Times New Roman"/>
          <w:sz w:val="28"/>
          <w:szCs w:val="28"/>
        </w:rPr>
        <w:t>4. konsolidētajā pārskatā par IV</w:t>
      </w:r>
      <w:r>
        <w:rPr>
          <w:rFonts w:ascii="Times New Roman" w:hAnsi="Times New Roman"/>
          <w:sz w:val="28"/>
          <w:szCs w:val="28"/>
        </w:rPr>
        <w:t> </w:t>
      </w:r>
      <w:r w:rsidRPr="007235E6">
        <w:rPr>
          <w:rFonts w:ascii="Times New Roman" w:hAnsi="Times New Roman"/>
          <w:sz w:val="28"/>
          <w:szCs w:val="28"/>
        </w:rPr>
        <w:t xml:space="preserve">ceturksni </w:t>
      </w:r>
      <w:r>
        <w:rPr>
          <w:rFonts w:ascii="Times New Roman" w:hAnsi="Times New Roman"/>
          <w:bCs/>
          <w:sz w:val="28"/>
          <w:szCs w:val="28"/>
        </w:rPr>
        <w:t>iekļauj datus</w:t>
      </w:r>
      <w:r w:rsidRPr="00E777B6">
        <w:rPr>
          <w:rFonts w:ascii="Times New Roman" w:hAnsi="Times New Roman"/>
          <w:bCs/>
          <w:sz w:val="28"/>
          <w:szCs w:val="28"/>
        </w:rPr>
        <w:t xml:space="preserve"> </w:t>
      </w:r>
      <w:r w:rsidRPr="007235E6">
        <w:rPr>
          <w:rFonts w:ascii="Times New Roman" w:hAnsi="Times New Roman"/>
          <w:sz w:val="28"/>
          <w:szCs w:val="28"/>
        </w:rPr>
        <w:t>par laikposmu no 1.jūlija līdz 31.decembrim.</w:t>
      </w:r>
      <w:r>
        <w:rPr>
          <w:rFonts w:ascii="Times New Roman" w:hAnsi="Times New Roman"/>
          <w:sz w:val="28"/>
          <w:szCs w:val="28"/>
        </w:rPr>
        <w:t>";</w:t>
      </w:r>
    </w:p>
    <w:p w:rsidR="006373F5" w:rsidRPr="00E777B6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svītrot 16.punktu;</w:t>
      </w: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izteikt 21.punkta otro teikumu šādā redakcijā:</w:t>
      </w: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"Pārskatā par I ceturksni</w:t>
      </w:r>
      <w:r w:rsidRPr="00DF2BF3">
        <w:rPr>
          <w:rFonts w:ascii="Times New Roman" w:hAnsi="Times New Roman"/>
          <w:sz w:val="28"/>
          <w:szCs w:val="28"/>
        </w:rPr>
        <w:t xml:space="preserve"> ailē </w:t>
      </w:r>
      <w:r>
        <w:rPr>
          <w:rFonts w:ascii="Times New Roman" w:hAnsi="Times New Roman"/>
          <w:sz w:val="28"/>
          <w:szCs w:val="28"/>
        </w:rPr>
        <w:t>"</w:t>
      </w:r>
      <w:r w:rsidRPr="00DF2BF3">
        <w:rPr>
          <w:rFonts w:ascii="Times New Roman" w:hAnsi="Times New Roman"/>
          <w:sz w:val="28"/>
          <w:szCs w:val="28"/>
        </w:rPr>
        <w:t xml:space="preserve">Pārskata perioda </w:t>
      </w:r>
      <w:r>
        <w:rPr>
          <w:rFonts w:ascii="Times New Roman" w:hAnsi="Times New Roman"/>
          <w:sz w:val="28"/>
          <w:szCs w:val="28"/>
        </w:rPr>
        <w:t>sākumā"</w:t>
      </w:r>
      <w:r w:rsidRPr="00DF2BF3">
        <w:rPr>
          <w:rFonts w:ascii="Times New Roman" w:hAnsi="Times New Roman"/>
          <w:sz w:val="28"/>
          <w:szCs w:val="28"/>
        </w:rPr>
        <w:t xml:space="preserve"> norādītie dati </w:t>
      </w:r>
      <w:r w:rsidRPr="00574B5B">
        <w:rPr>
          <w:rFonts w:ascii="Times New Roman" w:hAnsi="Times New Roman"/>
          <w:bCs/>
          <w:sz w:val="28"/>
          <w:szCs w:val="28"/>
        </w:rPr>
        <w:t xml:space="preserve">atbilst </w:t>
      </w:r>
      <w:r>
        <w:rPr>
          <w:rFonts w:ascii="Times New Roman" w:hAnsi="Times New Roman"/>
          <w:sz w:val="28"/>
          <w:szCs w:val="28"/>
        </w:rPr>
        <w:t xml:space="preserve">iepriekšējā saimnieciskā </w:t>
      </w:r>
      <w:r w:rsidRPr="00DF2BF3">
        <w:rPr>
          <w:rFonts w:ascii="Times New Roman" w:hAnsi="Times New Roman"/>
          <w:sz w:val="28"/>
          <w:szCs w:val="28"/>
        </w:rPr>
        <w:t xml:space="preserve">gada pārskatā norādītajiem datiem pārskata perioda </w:t>
      </w:r>
      <w:r>
        <w:rPr>
          <w:rFonts w:ascii="Times New Roman" w:hAnsi="Times New Roman"/>
          <w:sz w:val="28"/>
          <w:szCs w:val="28"/>
        </w:rPr>
        <w:t>beigās</w:t>
      </w:r>
      <w:r w:rsidRPr="00DF2B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</w:p>
    <w:p w:rsidR="006373F5" w:rsidRPr="00DF2BF3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izteikt 62.punktu šādā redakcijā:</w:t>
      </w: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"62. </w:t>
      </w:r>
      <w:r w:rsidRPr="004F31B6">
        <w:rPr>
          <w:rFonts w:ascii="Times New Roman" w:hAnsi="Times New Roman"/>
          <w:sz w:val="28"/>
          <w:szCs w:val="28"/>
        </w:rPr>
        <w:t xml:space="preserve">Ailē </w:t>
      </w:r>
      <w:r>
        <w:rPr>
          <w:rFonts w:ascii="Times New Roman" w:hAnsi="Times New Roman"/>
          <w:sz w:val="28"/>
          <w:szCs w:val="28"/>
        </w:rPr>
        <w:t>"</w:t>
      </w:r>
      <w:r w:rsidRPr="004F31B6">
        <w:rPr>
          <w:rFonts w:ascii="Times New Roman" w:hAnsi="Times New Roman"/>
          <w:sz w:val="28"/>
          <w:szCs w:val="28"/>
        </w:rPr>
        <w:t>Izveidotie uzkrājumi (+/–)</w:t>
      </w:r>
      <w:r>
        <w:rPr>
          <w:rFonts w:ascii="Times New Roman" w:hAnsi="Times New Roman"/>
          <w:sz w:val="28"/>
          <w:szCs w:val="28"/>
        </w:rPr>
        <w:t>"</w:t>
      </w:r>
      <w:r w:rsidRPr="004F31B6">
        <w:rPr>
          <w:rFonts w:ascii="Times New Roman" w:hAnsi="Times New Roman"/>
          <w:sz w:val="28"/>
          <w:szCs w:val="28"/>
        </w:rPr>
        <w:t xml:space="preserve"> ar negatīvu zīmi norāda</w:t>
      </w:r>
      <w:r w:rsidRPr="00AD76FD">
        <w:t xml:space="preserve"> </w:t>
      </w:r>
      <w:r w:rsidRPr="004F31B6">
        <w:rPr>
          <w:rFonts w:ascii="Times New Roman" w:hAnsi="Times New Roman"/>
          <w:sz w:val="28"/>
          <w:szCs w:val="28"/>
        </w:rPr>
        <w:t>šaubīgam aizdevumam</w:t>
      </w:r>
      <w:r w:rsidRPr="00AD7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izveidotā uzkrājuma</w:t>
      </w:r>
      <w:r w:rsidRPr="004F3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atlikumu </w:t>
      </w:r>
      <w:r w:rsidRPr="00AD76FD">
        <w:rPr>
          <w:rFonts w:ascii="Times New Roman" w:hAnsi="Times New Roman"/>
          <w:sz w:val="28"/>
          <w:szCs w:val="28"/>
        </w:rPr>
        <w:t>pārskata perioda beigās</w:t>
      </w:r>
      <w:r>
        <w:rPr>
          <w:rFonts w:ascii="Times New Roman" w:hAnsi="Times New Roman"/>
          <w:sz w:val="28"/>
          <w:szCs w:val="28"/>
        </w:rPr>
        <w:t>.";</w:t>
      </w:r>
    </w:p>
    <w:p w:rsidR="006373F5" w:rsidRPr="004F31B6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papildināt 79.punktu ar otro teikumu šādā redakcijā:</w:t>
      </w: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"Kontu 1187, 1287, </w:t>
      </w:r>
      <w:r w:rsidRPr="00B251A8">
        <w:rPr>
          <w:rFonts w:ascii="Times New Roman" w:hAnsi="Times New Roman"/>
          <w:sz w:val="28"/>
          <w:szCs w:val="28"/>
        </w:rPr>
        <w:t xml:space="preserve">1390, 2187, 2330, 2427 un 2577 atlikumus </w:t>
      </w:r>
      <w:r>
        <w:rPr>
          <w:rFonts w:ascii="Times New Roman" w:hAnsi="Times New Roman"/>
          <w:sz w:val="28"/>
          <w:szCs w:val="28"/>
        </w:rPr>
        <w:t>no</w:t>
      </w:r>
      <w:r w:rsidRPr="00B251A8">
        <w:rPr>
          <w:rFonts w:ascii="Times New Roman" w:hAnsi="Times New Roman"/>
          <w:sz w:val="28"/>
          <w:szCs w:val="28"/>
        </w:rPr>
        <w:t xml:space="preserve">rāda </w:t>
      </w:r>
      <w:r>
        <w:rPr>
          <w:rFonts w:ascii="Times New Roman" w:hAnsi="Times New Roman"/>
          <w:sz w:val="28"/>
          <w:szCs w:val="28"/>
        </w:rPr>
        <w:t>ar</w:t>
      </w:r>
      <w:r w:rsidRPr="00B251A8">
        <w:rPr>
          <w:rFonts w:ascii="Times New Roman" w:hAnsi="Times New Roman"/>
          <w:sz w:val="28"/>
          <w:szCs w:val="28"/>
        </w:rPr>
        <w:t xml:space="preserve"> negatīvu </w:t>
      </w:r>
      <w:r>
        <w:rPr>
          <w:rFonts w:ascii="Times New Roman" w:hAnsi="Times New Roman"/>
          <w:sz w:val="28"/>
          <w:szCs w:val="28"/>
        </w:rPr>
        <w:t>zīmi</w:t>
      </w:r>
      <w:r w:rsidRPr="00B251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</w:p>
    <w:p w:rsidR="006373F5" w:rsidRPr="00B251A8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p</w:t>
      </w:r>
      <w:r w:rsidRPr="00B251A8">
        <w:rPr>
          <w:rFonts w:ascii="Times New Roman" w:hAnsi="Times New Roman"/>
          <w:sz w:val="28"/>
          <w:szCs w:val="28"/>
        </w:rPr>
        <w:t>apildināt 80.punktu ar otr</w:t>
      </w:r>
      <w:r>
        <w:rPr>
          <w:rFonts w:ascii="Times New Roman" w:hAnsi="Times New Roman"/>
          <w:sz w:val="28"/>
          <w:szCs w:val="28"/>
        </w:rPr>
        <w:t>o</w:t>
      </w:r>
      <w:r w:rsidRPr="00B251A8">
        <w:rPr>
          <w:rFonts w:ascii="Times New Roman" w:hAnsi="Times New Roman"/>
          <w:sz w:val="28"/>
          <w:szCs w:val="28"/>
        </w:rPr>
        <w:t xml:space="preserve"> teikumu šādā redakcijā:</w:t>
      </w:r>
    </w:p>
    <w:p w:rsidR="006373F5" w:rsidRPr="00B251A8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251A8">
        <w:rPr>
          <w:rFonts w:ascii="Times New Roman" w:hAnsi="Times New Roman"/>
          <w:sz w:val="28"/>
          <w:szCs w:val="28"/>
        </w:rPr>
        <w:t>Kontu 1187, 1287, 1390, 2187, 2330, 2427, 2577 palielinājumu norāda ar negatīvu zīmi, bet samazinājumu – ar pozitīvu zīmi.</w:t>
      </w:r>
      <w:r>
        <w:rPr>
          <w:rFonts w:ascii="Times New Roman" w:hAnsi="Times New Roman"/>
          <w:sz w:val="28"/>
          <w:szCs w:val="28"/>
        </w:rPr>
        <w:t>";</w:t>
      </w:r>
    </w:p>
    <w:p w:rsidR="006373F5" w:rsidRPr="00B251A8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p</w:t>
      </w:r>
      <w:r w:rsidRPr="00B251A8">
        <w:rPr>
          <w:rFonts w:ascii="Times New Roman" w:hAnsi="Times New Roman"/>
          <w:sz w:val="28"/>
          <w:szCs w:val="28"/>
        </w:rPr>
        <w:t>apildināt 84.punktu ar otr</w:t>
      </w:r>
      <w:r>
        <w:rPr>
          <w:rFonts w:ascii="Times New Roman" w:hAnsi="Times New Roman"/>
          <w:sz w:val="28"/>
          <w:szCs w:val="28"/>
        </w:rPr>
        <w:t>o</w:t>
      </w:r>
      <w:r w:rsidRPr="00B251A8">
        <w:rPr>
          <w:rFonts w:ascii="Times New Roman" w:hAnsi="Times New Roman"/>
          <w:sz w:val="28"/>
          <w:szCs w:val="28"/>
        </w:rPr>
        <w:t xml:space="preserve"> teikumu šādā redakcijā:</w:t>
      </w:r>
    </w:p>
    <w:p w:rsidR="006373F5" w:rsidRPr="00B251A8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251A8">
        <w:rPr>
          <w:rFonts w:ascii="Times New Roman" w:hAnsi="Times New Roman"/>
          <w:sz w:val="28"/>
          <w:szCs w:val="28"/>
        </w:rPr>
        <w:t xml:space="preserve">Kontu 1187, 1287, 1390, 2187, 2330, 2427, 2577 atlikumus </w:t>
      </w:r>
      <w:r>
        <w:rPr>
          <w:rFonts w:ascii="Times New Roman" w:hAnsi="Times New Roman"/>
          <w:sz w:val="28"/>
          <w:szCs w:val="28"/>
        </w:rPr>
        <w:t>no</w:t>
      </w:r>
      <w:r w:rsidRPr="00B251A8">
        <w:rPr>
          <w:rFonts w:ascii="Times New Roman" w:hAnsi="Times New Roman"/>
          <w:sz w:val="28"/>
          <w:szCs w:val="28"/>
        </w:rPr>
        <w:t xml:space="preserve">rāda </w:t>
      </w:r>
      <w:r>
        <w:rPr>
          <w:rFonts w:ascii="Times New Roman" w:hAnsi="Times New Roman"/>
          <w:sz w:val="28"/>
          <w:szCs w:val="28"/>
        </w:rPr>
        <w:t>ar</w:t>
      </w:r>
      <w:r w:rsidRPr="00B251A8">
        <w:rPr>
          <w:rFonts w:ascii="Times New Roman" w:hAnsi="Times New Roman"/>
          <w:sz w:val="28"/>
          <w:szCs w:val="28"/>
        </w:rPr>
        <w:t xml:space="preserve"> negatīvu </w:t>
      </w:r>
      <w:r>
        <w:rPr>
          <w:rFonts w:ascii="Times New Roman" w:hAnsi="Times New Roman"/>
          <w:sz w:val="28"/>
          <w:szCs w:val="28"/>
        </w:rPr>
        <w:t>zīmi</w:t>
      </w:r>
      <w:r w:rsidRPr="00B251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</w:p>
    <w:p w:rsidR="006373F5" w:rsidRPr="00B251A8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p</w:t>
      </w:r>
      <w:r w:rsidRPr="00B251A8">
        <w:rPr>
          <w:rFonts w:ascii="Times New Roman" w:hAnsi="Times New Roman"/>
          <w:sz w:val="28"/>
          <w:szCs w:val="28"/>
        </w:rPr>
        <w:t xml:space="preserve">apildināt </w:t>
      </w:r>
      <w:r>
        <w:rPr>
          <w:rFonts w:ascii="Times New Roman" w:hAnsi="Times New Roman"/>
          <w:sz w:val="28"/>
          <w:szCs w:val="28"/>
        </w:rPr>
        <w:t xml:space="preserve">3.2.6.sadaļu </w:t>
      </w:r>
      <w:r w:rsidRPr="00B251A8">
        <w:rPr>
          <w:rFonts w:ascii="Times New Roman" w:hAnsi="Times New Roman"/>
          <w:sz w:val="28"/>
          <w:szCs w:val="28"/>
        </w:rPr>
        <w:t>ar 92.</w:t>
      </w:r>
      <w:r w:rsidRPr="00B251A8">
        <w:rPr>
          <w:rFonts w:ascii="Times New Roman" w:hAnsi="Times New Roman"/>
          <w:sz w:val="28"/>
          <w:szCs w:val="28"/>
          <w:vertAlign w:val="superscript"/>
        </w:rPr>
        <w:t>1</w:t>
      </w:r>
      <w:r w:rsidRPr="00B251A8">
        <w:rPr>
          <w:rFonts w:ascii="Times New Roman" w:hAnsi="Times New Roman"/>
          <w:sz w:val="28"/>
          <w:szCs w:val="28"/>
        </w:rPr>
        <w:t xml:space="preserve"> punktu šādā redakcijā:</w:t>
      </w:r>
    </w:p>
    <w:p w:rsidR="006373F5" w:rsidRPr="00B251A8" w:rsidRDefault="006373F5" w:rsidP="00A446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251A8">
        <w:rPr>
          <w:rFonts w:ascii="Times New Roman" w:hAnsi="Times New Roman"/>
          <w:sz w:val="28"/>
          <w:szCs w:val="28"/>
        </w:rPr>
        <w:t>92.</w:t>
      </w:r>
      <w:r w:rsidRPr="00B251A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B251A8">
        <w:rPr>
          <w:rFonts w:ascii="Times New Roman" w:hAnsi="Times New Roman"/>
          <w:sz w:val="28"/>
          <w:szCs w:val="28"/>
        </w:rPr>
        <w:t xml:space="preserve">Ailē </w:t>
      </w:r>
      <w:r>
        <w:rPr>
          <w:rFonts w:ascii="Times New Roman" w:hAnsi="Times New Roman"/>
          <w:sz w:val="28"/>
          <w:szCs w:val="28"/>
        </w:rPr>
        <w:t>"</w:t>
      </w:r>
      <w:r w:rsidRPr="00B251A8">
        <w:rPr>
          <w:rFonts w:ascii="Times New Roman" w:hAnsi="Times New Roman"/>
          <w:sz w:val="28"/>
          <w:szCs w:val="28"/>
        </w:rPr>
        <w:t>Kavētie maksājumi pārskata perioda beigās</w:t>
      </w:r>
      <w:r>
        <w:rPr>
          <w:rFonts w:ascii="Times New Roman" w:hAnsi="Times New Roman"/>
          <w:sz w:val="28"/>
          <w:szCs w:val="28"/>
        </w:rPr>
        <w:t>"</w:t>
      </w:r>
      <w:r w:rsidRPr="00B251A8">
        <w:rPr>
          <w:rFonts w:ascii="Times New Roman" w:hAnsi="Times New Roman"/>
          <w:sz w:val="28"/>
          <w:szCs w:val="28"/>
        </w:rPr>
        <w:t xml:space="preserve"> norāda katras kavēto maksājumu pozīcijas</w:t>
      </w:r>
      <w:r>
        <w:rPr>
          <w:rFonts w:ascii="Times New Roman" w:hAnsi="Times New Roman"/>
          <w:sz w:val="28"/>
          <w:szCs w:val="28"/>
        </w:rPr>
        <w:t xml:space="preserve"> summu, nodalot atsevišķi</w:t>
      </w:r>
      <w:r w:rsidRPr="00FD4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maksājumus, kuru samaksas termiņš atbilstoši līgumā vai rēķinā norādītajam kavēts:</w:t>
      </w: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 w:rsidRPr="00FD422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Pr="00206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206DBD">
        <w:rPr>
          <w:rFonts w:ascii="Times New Roman" w:hAnsi="Times New Roman"/>
          <w:sz w:val="28"/>
          <w:szCs w:val="28"/>
        </w:rPr>
        <w:t xml:space="preserve">mazāk </w:t>
      </w:r>
      <w:r>
        <w:rPr>
          <w:rFonts w:ascii="Times New Roman" w:hAnsi="Times New Roman"/>
          <w:sz w:val="28"/>
          <w:szCs w:val="28"/>
        </w:rPr>
        <w:t>par</w:t>
      </w:r>
      <w:r w:rsidRPr="00206DBD">
        <w:rPr>
          <w:rFonts w:ascii="Times New Roman" w:hAnsi="Times New Roman"/>
          <w:sz w:val="28"/>
          <w:szCs w:val="28"/>
        </w:rPr>
        <w:t xml:space="preserve"> 30 kalendār</w:t>
      </w:r>
      <w:r>
        <w:rPr>
          <w:rFonts w:ascii="Times New Roman" w:hAnsi="Times New Roman"/>
          <w:sz w:val="28"/>
          <w:szCs w:val="28"/>
        </w:rPr>
        <w:t>a</w:t>
      </w:r>
      <w:r w:rsidRPr="00206DBD">
        <w:rPr>
          <w:rFonts w:ascii="Times New Roman" w:hAnsi="Times New Roman"/>
          <w:sz w:val="28"/>
          <w:szCs w:val="28"/>
        </w:rPr>
        <w:t xml:space="preserve"> dien</w:t>
      </w:r>
      <w:r>
        <w:rPr>
          <w:rFonts w:ascii="Times New Roman" w:hAnsi="Times New Roman"/>
          <w:sz w:val="28"/>
          <w:szCs w:val="28"/>
        </w:rPr>
        <w:t>ām</w:t>
      </w:r>
      <w:r w:rsidRPr="00206DBD">
        <w:rPr>
          <w:rFonts w:ascii="Times New Roman" w:hAnsi="Times New Roman"/>
          <w:sz w:val="28"/>
          <w:szCs w:val="28"/>
        </w:rPr>
        <w:t>;</w:t>
      </w: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22F">
        <w:rPr>
          <w:rFonts w:ascii="Times New Roman" w:hAnsi="Times New Roman"/>
          <w:sz w:val="28"/>
          <w:szCs w:val="28"/>
        </w:rPr>
        <w:t>92.</w:t>
      </w:r>
      <w:r w:rsidRPr="00FD422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FD4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FD422F">
        <w:rPr>
          <w:rFonts w:ascii="Times New Roman" w:hAnsi="Times New Roman"/>
          <w:sz w:val="28"/>
          <w:szCs w:val="28"/>
        </w:rPr>
        <w:t xml:space="preserve">30 </w:t>
      </w:r>
      <w:r w:rsidRPr="00206DBD">
        <w:rPr>
          <w:rFonts w:ascii="Times New Roman" w:hAnsi="Times New Roman"/>
          <w:sz w:val="28"/>
          <w:szCs w:val="28"/>
        </w:rPr>
        <w:t>kalendār</w:t>
      </w:r>
      <w:r>
        <w:rPr>
          <w:rFonts w:ascii="Times New Roman" w:hAnsi="Times New Roman"/>
          <w:sz w:val="28"/>
          <w:szCs w:val="28"/>
        </w:rPr>
        <w:t>a</w:t>
      </w:r>
      <w:r w:rsidRPr="00206DBD">
        <w:rPr>
          <w:rFonts w:ascii="Times New Roman" w:hAnsi="Times New Roman"/>
          <w:sz w:val="28"/>
          <w:szCs w:val="28"/>
        </w:rPr>
        <w:t xml:space="preserve"> dien</w:t>
      </w:r>
      <w:r>
        <w:rPr>
          <w:rFonts w:ascii="Times New Roman" w:hAnsi="Times New Roman"/>
          <w:sz w:val="28"/>
          <w:szCs w:val="28"/>
        </w:rPr>
        <w:t>as un vairāk.";</w:t>
      </w:r>
    </w:p>
    <w:p w:rsidR="006373F5" w:rsidRDefault="006373F5" w:rsidP="00A44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6373F5" w:rsidSect="00A44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6373F5" w:rsidRPr="0023356C" w:rsidRDefault="006373F5" w:rsidP="00BB3F8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i</w:t>
      </w:r>
      <w:r w:rsidRPr="0023356C">
        <w:rPr>
          <w:rFonts w:ascii="Times New Roman" w:hAnsi="Times New Roman"/>
          <w:sz w:val="28"/>
          <w:szCs w:val="28"/>
        </w:rPr>
        <w:t>zteikt 3.pielikumu šādā redakcijā:</w:t>
      </w:r>
    </w:p>
    <w:p w:rsidR="006373F5" w:rsidRDefault="006373F5" w:rsidP="00A44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bookmarkStart w:id="0" w:name="344185"/>
      <w:bookmarkEnd w:id="0"/>
    </w:p>
    <w:p w:rsidR="006373F5" w:rsidRPr="00BB3F88" w:rsidRDefault="006373F5" w:rsidP="00A446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BB3F88">
        <w:rPr>
          <w:rFonts w:ascii="Times New Roman" w:hAnsi="Times New Roman"/>
          <w:sz w:val="28"/>
          <w:szCs w:val="28"/>
          <w:lang w:eastAsia="lv-LV"/>
        </w:rPr>
        <w:t xml:space="preserve">"3.pielikums </w:t>
      </w:r>
      <w:r w:rsidRPr="00BB3F88">
        <w:rPr>
          <w:rFonts w:ascii="Times New Roman" w:hAnsi="Times New Roman"/>
          <w:sz w:val="28"/>
          <w:szCs w:val="28"/>
          <w:lang w:eastAsia="lv-LV"/>
        </w:rPr>
        <w:br/>
        <w:t xml:space="preserve">Ministru kabineta </w:t>
      </w:r>
      <w:r w:rsidRPr="00BB3F88">
        <w:rPr>
          <w:rFonts w:ascii="Times New Roman" w:hAnsi="Times New Roman"/>
          <w:sz w:val="28"/>
          <w:szCs w:val="28"/>
          <w:lang w:eastAsia="lv-LV"/>
        </w:rPr>
        <w:br/>
        <w:t>2010.gada 1.jūnija</w:t>
      </w:r>
    </w:p>
    <w:p w:rsidR="006373F5" w:rsidRDefault="006373F5" w:rsidP="00A446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BB3F88">
        <w:rPr>
          <w:rFonts w:ascii="Times New Roman" w:hAnsi="Times New Roman"/>
          <w:sz w:val="28"/>
          <w:szCs w:val="28"/>
          <w:lang w:eastAsia="lv-LV"/>
        </w:rPr>
        <w:t>noteikumiem Nr.498</w:t>
      </w:r>
    </w:p>
    <w:p w:rsidR="006373F5" w:rsidRPr="00A656D0" w:rsidRDefault="006373F5" w:rsidP="00A446F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tbl>
      <w:tblPr>
        <w:tblW w:w="5137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01"/>
        <w:gridCol w:w="7201"/>
      </w:tblGrid>
      <w:tr w:rsidR="006373F5" w:rsidRPr="00A656D0" w:rsidTr="00941E76">
        <w:tc>
          <w:tcPr>
            <w:tcW w:w="25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Pamatojums datu savākšanai –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Likuma par budžetu un finanšu vadību (24.03.1994.) 30.panta septītā un astotā daļa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6373F5" w:rsidRPr="00A656D0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Veidlapa Nr.</w:t>
            </w:r>
            <w:r w:rsidRPr="00A656D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C-3</w:t>
            </w:r>
          </w:p>
        </w:tc>
      </w:tr>
      <w:tr w:rsidR="006373F5" w:rsidRPr="00A656D0" w:rsidTr="00941E76">
        <w:tc>
          <w:tcPr>
            <w:tcW w:w="250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500" w:type="pct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Aizdevumu izmaiņu pārskats</w:t>
            </w:r>
          </w:p>
        </w:tc>
      </w:tr>
    </w:tbl>
    <w:p w:rsidR="006373F5" w:rsidRPr="00A656D0" w:rsidRDefault="006373F5" w:rsidP="00A446FB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lv-LV"/>
        </w:rPr>
      </w:pPr>
    </w:p>
    <w:tbl>
      <w:tblPr>
        <w:tblW w:w="5137" w:type="pct"/>
        <w:tblInd w:w="-15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628"/>
        <w:gridCol w:w="1774"/>
      </w:tblGrid>
      <w:tr w:rsidR="006373F5" w:rsidRPr="00A656D0" w:rsidTr="00941E76">
        <w:trPr>
          <w:trHeight w:val="135"/>
        </w:trPr>
        <w:tc>
          <w:tcPr>
            <w:tcW w:w="4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KODI</w:t>
            </w:r>
          </w:p>
        </w:tc>
      </w:tr>
      <w:tr w:rsidR="006373F5" w:rsidRPr="00A656D0" w:rsidTr="00941E76">
        <w:trPr>
          <w:trHeight w:val="135"/>
        </w:trPr>
        <w:tc>
          <w:tcPr>
            <w:tcW w:w="4384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Ministrijas, centrālās valsts iestādes, pašvaldības nosaukums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A656D0" w:rsidTr="00941E76">
        <w:tc>
          <w:tcPr>
            <w:tcW w:w="438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Iestādes nosaukums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A656D0" w:rsidTr="00941E76">
        <w:tc>
          <w:tcPr>
            <w:tcW w:w="438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A656D0" w:rsidTr="00941E76">
        <w:tc>
          <w:tcPr>
            <w:tcW w:w="438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Pārskata periods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373F5" w:rsidRPr="00AB488D" w:rsidRDefault="006373F5" w:rsidP="00A446FB">
      <w:pPr>
        <w:spacing w:after="0" w:line="240" w:lineRule="auto"/>
        <w:rPr>
          <w:rFonts w:ascii="Times New Roman" w:hAnsi="Times New Roman"/>
          <w:vanish/>
          <w:sz w:val="18"/>
          <w:szCs w:val="18"/>
          <w:lang w:eastAsia="lv-LV"/>
        </w:rPr>
      </w:pPr>
    </w:p>
    <w:tbl>
      <w:tblPr>
        <w:tblW w:w="5126" w:type="pct"/>
        <w:tblInd w:w="-15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77"/>
        <w:gridCol w:w="853"/>
        <w:gridCol w:w="1127"/>
        <w:gridCol w:w="901"/>
        <w:gridCol w:w="974"/>
        <w:gridCol w:w="1027"/>
        <w:gridCol w:w="983"/>
        <w:gridCol w:w="983"/>
        <w:gridCol w:w="771"/>
        <w:gridCol w:w="905"/>
        <w:gridCol w:w="771"/>
        <w:gridCol w:w="1084"/>
        <w:gridCol w:w="851"/>
        <w:gridCol w:w="1187"/>
        <w:gridCol w:w="877"/>
      </w:tblGrid>
      <w:tr w:rsidR="006373F5" w:rsidRPr="00B509B3" w:rsidTr="00941E76">
        <w:trPr>
          <w:trHeight w:val="180"/>
        </w:trPr>
        <w:tc>
          <w:tcPr>
            <w:tcW w:w="5000" w:type="pct"/>
            <w:gridSpan w:val="15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6373F5" w:rsidRPr="00AB488D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(latos)</w:t>
            </w:r>
          </w:p>
        </w:tc>
      </w:tr>
      <w:tr w:rsidR="006373F5" w:rsidRPr="00B509B3" w:rsidTr="00941E76">
        <w:trPr>
          <w:trHeight w:val="1320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Darījuma partnera nosaukums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Institu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softHyphen/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cionālais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sektors, apakš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softHyphen/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sektors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Līguma parakstīšanas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datums (dd.mm.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gggg.)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Atmaksas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termiņš (dd.mm.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gggg.)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Finansē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softHyphen/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šanas klasifikā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softHyphen/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cijas kods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Aizdevuma valūtas apzīmējums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Aizdevuma līguma summa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A656D0">
                <w:rPr>
                  <w:rFonts w:ascii="Times New Roman" w:hAnsi="Times New Roman"/>
                  <w:sz w:val="20"/>
                  <w:szCs w:val="20"/>
                  <w:lang w:eastAsia="lv-LV"/>
                </w:rPr>
                <w:t>LVL</w:t>
              </w:r>
            </w:smartTag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Aizdevuma bruto atlikums pārskata perioda sākumā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Izsniegts (+)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Atmaksāts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(–)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Citas izmaiņas (+/–)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Pārvietošana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(+/–)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Valūtas kursa svārstības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(+/–)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Aizdevuma bruto atlikums pārskata perioda beigās </w:t>
            </w:r>
          </w:p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(1. + 2. + 3.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4. + 5. + 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6.)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Izveidotie uzkrājumi</w:t>
            </w: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(–)</w:t>
            </w:r>
          </w:p>
        </w:tc>
      </w:tr>
      <w:tr w:rsidR="006373F5" w:rsidRPr="00B509B3" w:rsidTr="00941E76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E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F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G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</w:tr>
      <w:tr w:rsidR="006373F5" w:rsidRPr="00B509B3" w:rsidTr="00941E76">
        <w:trPr>
          <w:trHeight w:val="240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373F5" w:rsidRPr="00B509B3" w:rsidTr="00941E76">
        <w:trPr>
          <w:trHeight w:val="170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373F5" w:rsidRPr="00B509B3" w:rsidTr="00941E76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AB488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B488D" w:rsidRDefault="006373F5" w:rsidP="00A44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6373F5" w:rsidRDefault="006373F5" w:rsidP="00A446FB">
      <w:pPr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</w:p>
    <w:p w:rsidR="006373F5" w:rsidRPr="00A656D0" w:rsidRDefault="006373F5" w:rsidP="00A446F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A656D0">
        <w:rPr>
          <w:rFonts w:ascii="Times New Roman" w:hAnsi="Times New Roman"/>
          <w:sz w:val="20"/>
          <w:szCs w:val="20"/>
          <w:lang w:eastAsia="lv-LV"/>
        </w:rPr>
        <w:t>Izziņa: citu izmaiņu detalizēts skaidrojums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243"/>
        <w:gridCol w:w="9112"/>
        <w:gridCol w:w="2663"/>
      </w:tblGrid>
      <w:tr w:rsidR="006373F5" w:rsidRPr="00A656D0" w:rsidTr="00B56697">
        <w:tc>
          <w:tcPr>
            <w:tcW w:w="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Summa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A656D0">
                <w:rPr>
                  <w:rFonts w:ascii="Times New Roman" w:hAnsi="Times New Roman"/>
                  <w:sz w:val="20"/>
                  <w:szCs w:val="20"/>
                  <w:lang w:eastAsia="lv-LV"/>
                </w:rPr>
                <w:t>LVL</w:t>
              </w:r>
            </w:smartTag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)</w:t>
            </w:r>
          </w:p>
        </w:tc>
      </w:tr>
      <w:tr w:rsidR="006373F5" w:rsidRPr="00A656D0" w:rsidTr="00B56697">
        <w:tc>
          <w:tcPr>
            <w:tcW w:w="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4_citi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A656D0" w:rsidTr="00AD76FD">
        <w:trPr>
          <w:trHeight w:val="177"/>
        </w:trPr>
        <w:tc>
          <w:tcPr>
            <w:tcW w:w="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A656D0" w:rsidTr="00AD76FD">
        <w:trPr>
          <w:trHeight w:val="197"/>
        </w:trPr>
        <w:tc>
          <w:tcPr>
            <w:tcW w:w="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A656D0" w:rsidTr="00B56697">
        <w:trPr>
          <w:trHeight w:val="225"/>
        </w:trPr>
        <w:tc>
          <w:tcPr>
            <w:tcW w:w="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A656D0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A656D0">
              <w:rPr>
                <w:rFonts w:ascii="Times New Roman" w:hAnsi="Times New Roman"/>
                <w:sz w:val="20"/>
                <w:szCs w:val="20"/>
                <w:lang w:eastAsia="lv-LV"/>
              </w:rPr>
              <w:t>"</w:t>
            </w:r>
          </w:p>
        </w:tc>
      </w:tr>
    </w:tbl>
    <w:p w:rsidR="006373F5" w:rsidRPr="00AB488D" w:rsidRDefault="006373F5" w:rsidP="00A4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BB3F88">
      <w:pPr>
        <w:pStyle w:val="ListParagraph"/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izteikt 6.pielikumu šādā redakcijā:</w:t>
      </w:r>
    </w:p>
    <w:p w:rsidR="006373F5" w:rsidRDefault="006373F5" w:rsidP="00BB3F88">
      <w:pPr>
        <w:pStyle w:val="ListParagraph"/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</w:p>
    <w:p w:rsidR="006373F5" w:rsidRPr="00BB3F88" w:rsidRDefault="006373F5" w:rsidP="00BB3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3F88">
        <w:rPr>
          <w:rFonts w:ascii="Times New Roman" w:hAnsi="Times New Roman"/>
          <w:sz w:val="28"/>
          <w:szCs w:val="28"/>
          <w:lang w:eastAsia="lv-LV"/>
        </w:rPr>
        <w:t>"6.pielikums</w:t>
      </w:r>
    </w:p>
    <w:p w:rsidR="006373F5" w:rsidRPr="00BB3F88" w:rsidRDefault="006373F5" w:rsidP="00A446FB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bookmarkStart w:id="1" w:name="344196"/>
      <w:bookmarkEnd w:id="1"/>
      <w:r w:rsidRPr="00BB3F88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Pr="00BB3F88">
        <w:rPr>
          <w:rFonts w:ascii="Times New Roman" w:hAnsi="Times New Roman"/>
          <w:sz w:val="28"/>
          <w:szCs w:val="28"/>
          <w:lang w:eastAsia="lv-LV"/>
        </w:rPr>
        <w:br/>
        <w:t>2010.gada 1.jūnija</w:t>
      </w:r>
    </w:p>
    <w:p w:rsidR="006373F5" w:rsidRDefault="006373F5" w:rsidP="00A446FB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BB3F88">
        <w:rPr>
          <w:rFonts w:ascii="Times New Roman" w:hAnsi="Times New Roman"/>
          <w:sz w:val="28"/>
          <w:szCs w:val="28"/>
          <w:lang w:eastAsia="lv-LV"/>
        </w:rPr>
        <w:t>noteikumiem Nr.498</w:t>
      </w:r>
    </w:p>
    <w:p w:rsidR="006373F5" w:rsidRPr="00BB3F88" w:rsidRDefault="006373F5" w:rsidP="00A446FB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990"/>
        <w:gridCol w:w="6028"/>
      </w:tblGrid>
      <w:tr w:rsidR="006373F5" w:rsidRPr="00941E76" w:rsidTr="00FD422F">
        <w:tc>
          <w:tcPr>
            <w:tcW w:w="2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Pamatojums datu savākšanai –</w:t>
            </w: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Likuma par budžetu un finanšu vadību (24.03.1994.) 30.panta septītā un astotā daļa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Veidlapa Nr.</w:t>
            </w:r>
            <w:r w:rsidRPr="00941E7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C-7</w:t>
            </w:r>
          </w:p>
        </w:tc>
      </w:tr>
      <w:tr w:rsidR="006373F5" w:rsidRPr="00941E76" w:rsidTr="00FD422F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150" w:type="pct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Pārskats par saistībām</w:t>
            </w:r>
          </w:p>
        </w:tc>
      </w:tr>
    </w:tbl>
    <w:p w:rsidR="006373F5" w:rsidRPr="00941E76" w:rsidRDefault="006373F5" w:rsidP="006839E3">
      <w:pPr>
        <w:pStyle w:val="ListParagraph"/>
        <w:spacing w:after="0" w:line="240" w:lineRule="auto"/>
        <w:ind w:left="360"/>
        <w:rPr>
          <w:rFonts w:ascii="Times New Roman" w:hAnsi="Times New Roman"/>
          <w:vanish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214"/>
        <w:gridCol w:w="2804"/>
      </w:tblGrid>
      <w:tr w:rsidR="006373F5" w:rsidRPr="00941E76" w:rsidTr="00FD422F">
        <w:trPr>
          <w:trHeight w:val="135"/>
        </w:trPr>
        <w:tc>
          <w:tcPr>
            <w:tcW w:w="40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KODI</w:t>
            </w:r>
          </w:p>
        </w:tc>
      </w:tr>
      <w:tr w:rsidR="006373F5" w:rsidRPr="00941E76" w:rsidTr="00B251A8">
        <w:trPr>
          <w:trHeight w:val="344"/>
        </w:trPr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Ministrijas, centrālās valsts iestādes, pašvaldības nosaukums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941E76" w:rsidTr="00E643C4">
        <w:trPr>
          <w:trHeight w:val="328"/>
        </w:trPr>
        <w:tc>
          <w:tcPr>
            <w:tcW w:w="4000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Iestādes nosaukums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941E76" w:rsidTr="00E643C4">
        <w:trPr>
          <w:trHeight w:val="328"/>
        </w:trPr>
        <w:tc>
          <w:tcPr>
            <w:tcW w:w="4000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941E76" w:rsidTr="00E643C4">
        <w:trPr>
          <w:trHeight w:val="328"/>
        </w:trPr>
        <w:tc>
          <w:tcPr>
            <w:tcW w:w="4000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Pārskata periods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373F5" w:rsidRDefault="006373F5" w:rsidP="006839E3">
      <w:pPr>
        <w:pStyle w:val="ListParagraph"/>
        <w:spacing w:after="0" w:line="240" w:lineRule="auto"/>
        <w:ind w:left="360"/>
        <w:rPr>
          <w:rFonts w:ascii="Times New Roman" w:hAnsi="Times New Roman"/>
          <w:vanish/>
          <w:sz w:val="18"/>
          <w:szCs w:val="18"/>
          <w:lang w:eastAsia="lv-LV"/>
        </w:rPr>
      </w:pPr>
    </w:p>
    <w:p w:rsidR="006373F5" w:rsidRPr="00B251A8" w:rsidRDefault="006373F5" w:rsidP="006839E3">
      <w:pPr>
        <w:pStyle w:val="ListParagraph"/>
        <w:spacing w:after="0" w:line="240" w:lineRule="auto"/>
        <w:ind w:left="360"/>
        <w:rPr>
          <w:rFonts w:ascii="Times New Roman" w:hAnsi="Times New Roman"/>
          <w:vanish/>
          <w:sz w:val="18"/>
          <w:szCs w:val="18"/>
          <w:lang w:eastAsia="lv-LV"/>
        </w:rPr>
      </w:pPr>
      <w:r>
        <w:rPr>
          <w:rFonts w:ascii="Times New Roman" w:hAnsi="Times New Roman"/>
          <w:vanish/>
          <w:sz w:val="18"/>
          <w:szCs w:val="18"/>
          <w:lang w:eastAsia="lv-LV"/>
        </w:rP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037"/>
        <w:gridCol w:w="2027"/>
        <w:gridCol w:w="1192"/>
        <w:gridCol w:w="990"/>
        <w:gridCol w:w="1130"/>
        <w:gridCol w:w="1416"/>
        <w:gridCol w:w="1270"/>
        <w:gridCol w:w="1273"/>
        <w:gridCol w:w="1312"/>
        <w:gridCol w:w="429"/>
        <w:gridCol w:w="942"/>
      </w:tblGrid>
      <w:tr w:rsidR="006373F5" w:rsidRPr="00B509B3" w:rsidTr="00FD422F">
        <w:trPr>
          <w:trHeight w:val="15"/>
        </w:trPr>
        <w:tc>
          <w:tcPr>
            <w:tcW w:w="4043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6373F5" w:rsidRPr="00B251A8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251A8">
              <w:rPr>
                <w:rFonts w:ascii="Times New Roman" w:hAnsi="Times New Roman"/>
                <w:sz w:val="18"/>
                <w:szCs w:val="18"/>
                <w:lang w:eastAsia="lv-LV"/>
              </w:rPr>
              <w:t>(latos)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6373F5" w:rsidRPr="00B251A8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6373F5" w:rsidRPr="00B251A8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373F5" w:rsidRPr="00B509B3" w:rsidTr="00E643C4">
        <w:trPr>
          <w:trHeight w:val="448"/>
        </w:trPr>
        <w:tc>
          <w:tcPr>
            <w:tcW w:w="727" w:type="pct"/>
            <w:vMerge w:val="restart"/>
            <w:tcBorders>
              <w:top w:val="outset" w:sz="6" w:space="0" w:color="auto"/>
              <w:left w:val="single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Konta Nr./ klasifikācijas kods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Posteņa nosaukums</w:t>
            </w:r>
          </w:p>
        </w:tc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Atlikums pārskata perioda sākumā</w:t>
            </w:r>
          </w:p>
        </w:tc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Darījumi pārskata periodā</w:t>
            </w: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(+/–)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Citas izmaiņas</w:t>
            </w: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(+/–)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Pārvietošana (+/–)</w:t>
            </w:r>
          </w:p>
        </w:tc>
        <w:tc>
          <w:tcPr>
            <w:tcW w:w="4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Valūtas kursa svārstības</w:t>
            </w: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(+/–)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Atlikums pārskata perioda beigās (1. + 2. + 3. + 4. + 5.)</w:t>
            </w:r>
          </w:p>
        </w:tc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Kavētie maksājumi pārskata perioda beigās</w:t>
            </w:r>
          </w:p>
        </w:tc>
      </w:tr>
      <w:tr w:rsidR="006373F5" w:rsidRPr="00B509B3" w:rsidTr="00FD422F">
        <w:trPr>
          <w:trHeight w:val="504"/>
        </w:trPr>
        <w:tc>
          <w:tcPr>
            <w:tcW w:w="727" w:type="pct"/>
            <w:vMerge/>
            <w:tcBorders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vMerge/>
            <w:tcBorders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Mazāk par 30 dienām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30 dienas un vairāk </w:t>
            </w:r>
          </w:p>
        </w:tc>
      </w:tr>
      <w:tr w:rsidR="006373F5" w:rsidRPr="00B509B3" w:rsidTr="00FD422F">
        <w:trPr>
          <w:trHeight w:val="15"/>
        </w:trPr>
        <w:tc>
          <w:tcPr>
            <w:tcW w:w="727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8</w:t>
            </w:r>
          </w:p>
        </w:tc>
      </w:tr>
      <w:tr w:rsidR="006373F5" w:rsidRPr="00B509B3" w:rsidTr="00FB7F93">
        <w:trPr>
          <w:trHeight w:val="133"/>
        </w:trPr>
        <w:tc>
          <w:tcPr>
            <w:tcW w:w="727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Konta numurs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B509B3" w:rsidTr="00FD422F">
        <w:trPr>
          <w:trHeight w:val="15"/>
        </w:trPr>
        <w:tc>
          <w:tcPr>
            <w:tcW w:w="727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Klasifikācijas kods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B509B3" w:rsidTr="00FD422F">
        <w:trPr>
          <w:trHeight w:val="15"/>
        </w:trPr>
        <w:tc>
          <w:tcPr>
            <w:tcW w:w="727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Klasifikācijas kods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B509B3" w:rsidTr="00FD422F">
        <w:trPr>
          <w:trHeight w:val="15"/>
        </w:trPr>
        <w:tc>
          <w:tcPr>
            <w:tcW w:w="727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373F5" w:rsidRPr="00B509B3" w:rsidTr="00FB7F93">
        <w:trPr>
          <w:trHeight w:val="35"/>
        </w:trPr>
        <w:tc>
          <w:tcPr>
            <w:tcW w:w="727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6373F5" w:rsidRPr="00941E76" w:rsidRDefault="006373F5" w:rsidP="00A446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1E76">
              <w:rPr>
                <w:rFonts w:ascii="Times New Roman" w:hAnsi="Times New Roman"/>
                <w:sz w:val="20"/>
                <w:szCs w:val="20"/>
                <w:lang w:eastAsia="lv-LV"/>
              </w:rPr>
              <w:t>"</w:t>
            </w:r>
          </w:p>
        </w:tc>
      </w:tr>
    </w:tbl>
    <w:p w:rsidR="006373F5" w:rsidRDefault="006373F5" w:rsidP="00A4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Noteikumi stājas spēkā 2012.gada 1.janvārī.</w:t>
      </w:r>
    </w:p>
    <w:p w:rsidR="006373F5" w:rsidRDefault="006373F5" w:rsidP="00A4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A4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F5" w:rsidRPr="00E643C4" w:rsidRDefault="006373F5" w:rsidP="00BB3F88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3C4">
        <w:rPr>
          <w:rFonts w:ascii="Times New Roman" w:hAnsi="Times New Roman"/>
          <w:sz w:val="28"/>
          <w:szCs w:val="28"/>
        </w:rPr>
        <w:t xml:space="preserve">Ministru prezidents </w:t>
      </w:r>
      <w:r w:rsidRPr="00E643C4">
        <w:rPr>
          <w:rFonts w:ascii="Times New Roman" w:hAnsi="Times New Roman"/>
          <w:sz w:val="28"/>
          <w:szCs w:val="28"/>
        </w:rPr>
        <w:tab/>
        <w:t>V.Dombrovskis</w:t>
      </w:r>
    </w:p>
    <w:p w:rsidR="006373F5" w:rsidRDefault="006373F5" w:rsidP="00BB3F88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BB3F88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Default="006373F5" w:rsidP="00BB3F88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3F5" w:rsidRPr="007F1F4F" w:rsidRDefault="006373F5" w:rsidP="007F1F4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F4F">
        <w:rPr>
          <w:rFonts w:ascii="Times New Roman" w:hAnsi="Times New Roman"/>
          <w:sz w:val="28"/>
          <w:szCs w:val="28"/>
        </w:rPr>
        <w:t>Finanšu ministra vietā –</w:t>
      </w:r>
    </w:p>
    <w:p w:rsidR="006373F5" w:rsidRPr="007F1F4F" w:rsidRDefault="006373F5" w:rsidP="007F1F4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F4F">
        <w:rPr>
          <w:rFonts w:ascii="Times New Roman" w:hAnsi="Times New Roman"/>
          <w:sz w:val="28"/>
          <w:szCs w:val="28"/>
        </w:rPr>
        <w:t>ekonomikas ministrs</w:t>
      </w:r>
      <w:r w:rsidRPr="007F1F4F">
        <w:rPr>
          <w:rFonts w:ascii="Times New Roman" w:hAnsi="Times New Roman"/>
          <w:sz w:val="28"/>
          <w:szCs w:val="28"/>
        </w:rPr>
        <w:tab/>
        <w:t>A.Kampars</w:t>
      </w:r>
    </w:p>
    <w:p w:rsidR="006373F5" w:rsidRPr="00E643C4" w:rsidRDefault="006373F5" w:rsidP="007F1F4F">
      <w:pPr>
        <w:tabs>
          <w:tab w:val="left" w:pos="6840"/>
        </w:tabs>
        <w:spacing w:after="0" w:line="240" w:lineRule="auto"/>
        <w:ind w:firstLine="720"/>
        <w:jc w:val="both"/>
      </w:pPr>
    </w:p>
    <w:sectPr w:rsidR="006373F5" w:rsidRPr="00E643C4" w:rsidSect="00BB3F88">
      <w:headerReference w:type="first" r:id="rId1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F5" w:rsidRDefault="006373F5" w:rsidP="00FC4B1B">
      <w:pPr>
        <w:spacing w:after="0" w:line="240" w:lineRule="auto"/>
      </w:pPr>
      <w:r>
        <w:separator/>
      </w:r>
    </w:p>
  </w:endnote>
  <w:endnote w:type="continuationSeparator" w:id="0">
    <w:p w:rsidR="006373F5" w:rsidRDefault="006373F5" w:rsidP="00FC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5" w:rsidRDefault="006373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5" w:rsidRPr="00A446FB" w:rsidRDefault="006373F5">
    <w:pPr>
      <w:pStyle w:val="Footer"/>
      <w:rPr>
        <w:rFonts w:ascii="Times New Roman" w:hAnsi="Times New Roman"/>
        <w:sz w:val="16"/>
        <w:szCs w:val="16"/>
      </w:rPr>
    </w:pPr>
    <w:r w:rsidRPr="00A446FB">
      <w:rPr>
        <w:rFonts w:ascii="Times New Roman" w:hAnsi="Times New Roman"/>
        <w:sz w:val="16"/>
        <w:szCs w:val="16"/>
      </w:rPr>
      <w:t>N2048_1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5" w:rsidRPr="00A446FB" w:rsidRDefault="006373F5">
    <w:pPr>
      <w:pStyle w:val="Footer"/>
      <w:rPr>
        <w:rFonts w:ascii="Times New Roman" w:hAnsi="Times New Roman"/>
        <w:sz w:val="16"/>
        <w:szCs w:val="16"/>
      </w:rPr>
    </w:pPr>
    <w:r w:rsidRPr="00A446FB">
      <w:rPr>
        <w:rFonts w:ascii="Times New Roman" w:hAnsi="Times New Roman"/>
        <w:sz w:val="16"/>
        <w:szCs w:val="16"/>
      </w:rPr>
      <w:t>N2048_1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7F1F4F">
        <w:rPr>
          <w:rFonts w:ascii="Times New Roman" w:hAnsi="Times New Roman"/>
          <w:noProof/>
          <w:sz w:val="16"/>
          <w:szCs w:val="16"/>
        </w:rPr>
        <w:t>663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F5" w:rsidRDefault="006373F5" w:rsidP="00FC4B1B">
      <w:pPr>
        <w:spacing w:after="0" w:line="240" w:lineRule="auto"/>
      </w:pPr>
      <w:r>
        <w:separator/>
      </w:r>
    </w:p>
  </w:footnote>
  <w:footnote w:type="continuationSeparator" w:id="0">
    <w:p w:rsidR="006373F5" w:rsidRDefault="006373F5" w:rsidP="00FC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5" w:rsidRDefault="006373F5" w:rsidP="004979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3F5" w:rsidRDefault="006373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5" w:rsidRPr="00BB3F88" w:rsidRDefault="006373F5" w:rsidP="004979E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BB3F88">
      <w:rPr>
        <w:rStyle w:val="PageNumber"/>
        <w:rFonts w:ascii="Times New Roman" w:hAnsi="Times New Roman"/>
        <w:sz w:val="24"/>
        <w:szCs w:val="24"/>
      </w:rPr>
      <w:fldChar w:fldCharType="begin"/>
    </w:r>
    <w:r w:rsidRPr="00BB3F8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B3F88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5</w:t>
    </w:r>
    <w:r w:rsidRPr="00BB3F88">
      <w:rPr>
        <w:rStyle w:val="PageNumber"/>
        <w:rFonts w:ascii="Times New Roman" w:hAnsi="Times New Roman"/>
        <w:sz w:val="24"/>
        <w:szCs w:val="24"/>
      </w:rPr>
      <w:fldChar w:fldCharType="end"/>
    </w:r>
  </w:p>
  <w:p w:rsidR="006373F5" w:rsidRPr="00FC4B1B" w:rsidRDefault="006373F5">
    <w:pPr>
      <w:pStyle w:val="Header"/>
      <w:jc w:val="center"/>
      <w:rPr>
        <w:rFonts w:ascii="Times New Roman" w:hAnsi="Times New Roman"/>
        <w:sz w:val="24"/>
        <w:szCs w:val="24"/>
      </w:rPr>
    </w:pPr>
  </w:p>
  <w:p w:rsidR="006373F5" w:rsidRDefault="006373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5" w:rsidRDefault="006373F5" w:rsidP="00A446F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5" w:rsidRDefault="006373F5" w:rsidP="00A446F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5D4"/>
    <w:multiLevelType w:val="hybridMultilevel"/>
    <w:tmpl w:val="930A499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C654E"/>
    <w:multiLevelType w:val="hybridMultilevel"/>
    <w:tmpl w:val="44ACCD8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F3"/>
    <w:rsid w:val="00027C1D"/>
    <w:rsid w:val="00035765"/>
    <w:rsid w:val="000C6937"/>
    <w:rsid w:val="000D389E"/>
    <w:rsid w:val="000F16B2"/>
    <w:rsid w:val="00112E5F"/>
    <w:rsid w:val="00113ECA"/>
    <w:rsid w:val="00117AA2"/>
    <w:rsid w:val="0013785A"/>
    <w:rsid w:val="00152377"/>
    <w:rsid w:val="001C0752"/>
    <w:rsid w:val="001C182D"/>
    <w:rsid w:val="001F0F07"/>
    <w:rsid w:val="00206DBD"/>
    <w:rsid w:val="00211E66"/>
    <w:rsid w:val="0023356C"/>
    <w:rsid w:val="0024733A"/>
    <w:rsid w:val="00281719"/>
    <w:rsid w:val="0028286A"/>
    <w:rsid w:val="002845DD"/>
    <w:rsid w:val="002879CF"/>
    <w:rsid w:val="00292214"/>
    <w:rsid w:val="00341E20"/>
    <w:rsid w:val="003B1274"/>
    <w:rsid w:val="003C22AE"/>
    <w:rsid w:val="003F46A7"/>
    <w:rsid w:val="0043453E"/>
    <w:rsid w:val="00471EC6"/>
    <w:rsid w:val="004979E6"/>
    <w:rsid w:val="004A22F1"/>
    <w:rsid w:val="004F31B6"/>
    <w:rsid w:val="005663FA"/>
    <w:rsid w:val="00574B5B"/>
    <w:rsid w:val="00574FD9"/>
    <w:rsid w:val="006373F5"/>
    <w:rsid w:val="00667DDC"/>
    <w:rsid w:val="006839E3"/>
    <w:rsid w:val="006B7BB2"/>
    <w:rsid w:val="006E6EB3"/>
    <w:rsid w:val="00713648"/>
    <w:rsid w:val="007235E6"/>
    <w:rsid w:val="0075022D"/>
    <w:rsid w:val="00756B5C"/>
    <w:rsid w:val="007A1623"/>
    <w:rsid w:val="007E234D"/>
    <w:rsid w:val="007F1F4F"/>
    <w:rsid w:val="00812D41"/>
    <w:rsid w:val="00851D4A"/>
    <w:rsid w:val="008D1C0D"/>
    <w:rsid w:val="008F683F"/>
    <w:rsid w:val="00900A28"/>
    <w:rsid w:val="00920E5C"/>
    <w:rsid w:val="00941E76"/>
    <w:rsid w:val="00966224"/>
    <w:rsid w:val="00987C0A"/>
    <w:rsid w:val="0099748E"/>
    <w:rsid w:val="00A21298"/>
    <w:rsid w:val="00A30CCE"/>
    <w:rsid w:val="00A446FB"/>
    <w:rsid w:val="00A656D0"/>
    <w:rsid w:val="00AB488D"/>
    <w:rsid w:val="00AC298B"/>
    <w:rsid w:val="00AD76FD"/>
    <w:rsid w:val="00B251A8"/>
    <w:rsid w:val="00B509B3"/>
    <w:rsid w:val="00B56697"/>
    <w:rsid w:val="00B849B1"/>
    <w:rsid w:val="00BB3F88"/>
    <w:rsid w:val="00C55795"/>
    <w:rsid w:val="00C9141E"/>
    <w:rsid w:val="00CB150B"/>
    <w:rsid w:val="00D067D2"/>
    <w:rsid w:val="00D1491B"/>
    <w:rsid w:val="00D616E5"/>
    <w:rsid w:val="00DF2BF3"/>
    <w:rsid w:val="00E643C4"/>
    <w:rsid w:val="00E66973"/>
    <w:rsid w:val="00E777B6"/>
    <w:rsid w:val="00F123CA"/>
    <w:rsid w:val="00F37183"/>
    <w:rsid w:val="00F45F2A"/>
    <w:rsid w:val="00FB7F93"/>
    <w:rsid w:val="00FC2FE5"/>
    <w:rsid w:val="00FC4B1B"/>
    <w:rsid w:val="00FD422F"/>
    <w:rsid w:val="00FE2569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5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56C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C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B1B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DF2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DF2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4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B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B1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D76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7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76F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B3F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5</Pages>
  <Words>3208</Words>
  <Characters>1830</Characters>
  <Application>Microsoft Office Outlook</Application>
  <DocSecurity>0</DocSecurity>
  <Lines>0</Lines>
  <Paragraphs>0</Paragraphs>
  <ScaleCrop>false</ScaleCrop>
  <Manager>Ligita.Agleniece@kase.gov.lv</Manager>
  <Company>Valsts kase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1. jūnija noteikumos Nr. 498 “Ceturkšņa finanšu pārskatu sagatavošanas un iesniegšanas kārtība”"</dc:title>
  <dc:subject>Ministru kabineta noteikumu projekts</dc:subject>
  <dc:creator>Inese Sirbu</dc:creator>
  <cp:keywords/>
  <dc:description>Ligita.agleniece@kase.gov.lv; 67094249Inese.Sirbu@kase.gov.lv; 67094257</dc:description>
  <cp:lastModifiedBy>Erna Ivanova</cp:lastModifiedBy>
  <cp:revision>17</cp:revision>
  <cp:lastPrinted>2011-09-30T09:04:00Z</cp:lastPrinted>
  <dcterms:created xsi:type="dcterms:W3CDTF">2011-08-12T13:22:00Z</dcterms:created>
  <dcterms:modified xsi:type="dcterms:W3CDTF">2011-10-05T07:37:00Z</dcterms:modified>
</cp:coreProperties>
</file>