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1" w:rsidRPr="00AE0D55" w:rsidRDefault="003A6461" w:rsidP="003A6461">
      <w:pPr>
        <w:contextualSpacing/>
        <w:rPr>
          <w:sz w:val="26"/>
          <w:szCs w:val="26"/>
        </w:rPr>
      </w:pPr>
      <w:r w:rsidRPr="00AE0D55">
        <w:rPr>
          <w:sz w:val="26"/>
          <w:szCs w:val="26"/>
        </w:rPr>
        <w:t>2011.gada __ .________</w:t>
      </w:r>
      <w:r w:rsidRPr="00AE0D55">
        <w:rPr>
          <w:sz w:val="26"/>
          <w:szCs w:val="26"/>
        </w:rPr>
        <w:tab/>
      </w:r>
    </w:p>
    <w:p w:rsidR="003A6461" w:rsidRPr="00AE0D55" w:rsidRDefault="003A6461" w:rsidP="003A6461">
      <w:pPr>
        <w:ind w:firstLine="567"/>
        <w:contextualSpacing/>
        <w:jc w:val="right"/>
        <w:rPr>
          <w:sz w:val="26"/>
          <w:szCs w:val="26"/>
        </w:rPr>
      </w:pPr>
      <w:r w:rsidRPr="00AE0D55">
        <w:rPr>
          <w:sz w:val="26"/>
          <w:szCs w:val="26"/>
        </w:rPr>
        <w:tab/>
      </w:r>
      <w:r w:rsidRPr="00AE0D55">
        <w:rPr>
          <w:sz w:val="26"/>
          <w:szCs w:val="26"/>
        </w:rPr>
        <w:tab/>
      </w:r>
      <w:r w:rsidRPr="00AE0D55">
        <w:rPr>
          <w:sz w:val="26"/>
          <w:szCs w:val="26"/>
        </w:rPr>
        <w:tab/>
      </w:r>
      <w:r w:rsidRPr="00AE0D55">
        <w:rPr>
          <w:sz w:val="26"/>
          <w:szCs w:val="26"/>
        </w:rPr>
        <w:tab/>
      </w:r>
      <w:r w:rsidRPr="00AE0D55">
        <w:rPr>
          <w:sz w:val="26"/>
          <w:szCs w:val="26"/>
        </w:rPr>
        <w:tab/>
      </w:r>
      <w:r w:rsidRPr="00AE0D55">
        <w:rPr>
          <w:sz w:val="26"/>
          <w:szCs w:val="26"/>
        </w:rPr>
        <w:tab/>
        <w:t xml:space="preserve">Noteikumi </w:t>
      </w:r>
      <w:proofErr w:type="spellStart"/>
      <w:r w:rsidRPr="00AE0D55">
        <w:rPr>
          <w:sz w:val="26"/>
          <w:szCs w:val="26"/>
        </w:rPr>
        <w:t>Nr</w:t>
      </w:r>
      <w:proofErr w:type="spellEnd"/>
      <w:r w:rsidRPr="00AE0D55">
        <w:rPr>
          <w:sz w:val="26"/>
          <w:szCs w:val="26"/>
        </w:rPr>
        <w:t>.</w:t>
      </w:r>
    </w:p>
    <w:p w:rsidR="003A6461" w:rsidRPr="00AE0D55" w:rsidRDefault="003A6461" w:rsidP="003A6461">
      <w:pPr>
        <w:contextualSpacing/>
        <w:jc w:val="right"/>
        <w:rPr>
          <w:sz w:val="26"/>
          <w:szCs w:val="26"/>
        </w:rPr>
      </w:pPr>
      <w:r w:rsidRPr="00AE0D55">
        <w:rPr>
          <w:sz w:val="26"/>
          <w:szCs w:val="26"/>
        </w:rPr>
        <w:t>Rīgā</w:t>
      </w:r>
      <w:r w:rsidRPr="00AE0D55">
        <w:rPr>
          <w:sz w:val="26"/>
          <w:szCs w:val="26"/>
        </w:rPr>
        <w:tab/>
      </w:r>
      <w:r w:rsidRPr="00AE0D55">
        <w:rPr>
          <w:sz w:val="26"/>
          <w:szCs w:val="26"/>
        </w:rPr>
        <w:tab/>
        <w:t xml:space="preserve">                                                                            (</w:t>
      </w:r>
      <w:proofErr w:type="spellStart"/>
      <w:r w:rsidRPr="00AE0D55">
        <w:rPr>
          <w:sz w:val="26"/>
          <w:szCs w:val="26"/>
        </w:rPr>
        <w:t>prot.Nr</w:t>
      </w:r>
      <w:proofErr w:type="spellEnd"/>
      <w:r w:rsidRPr="00AE0D55">
        <w:rPr>
          <w:sz w:val="26"/>
          <w:szCs w:val="26"/>
        </w:rPr>
        <w:t>.    .§)</w:t>
      </w:r>
    </w:p>
    <w:p w:rsidR="003A6461" w:rsidRPr="00AE0D55" w:rsidRDefault="003A6461" w:rsidP="003A6461">
      <w:pPr>
        <w:ind w:firstLine="567"/>
        <w:contextualSpacing/>
        <w:jc w:val="center"/>
        <w:rPr>
          <w:sz w:val="26"/>
          <w:szCs w:val="26"/>
        </w:rPr>
      </w:pPr>
      <w:r w:rsidRPr="00AE0D55">
        <w:rPr>
          <w:sz w:val="26"/>
          <w:szCs w:val="26"/>
        </w:rPr>
        <w:tab/>
      </w:r>
      <w:r w:rsidRPr="00AE0D55">
        <w:rPr>
          <w:sz w:val="26"/>
          <w:szCs w:val="26"/>
        </w:rPr>
        <w:tab/>
      </w:r>
      <w:r w:rsidRPr="00AE0D55">
        <w:rPr>
          <w:sz w:val="26"/>
          <w:szCs w:val="26"/>
        </w:rPr>
        <w:tab/>
      </w:r>
    </w:p>
    <w:p w:rsidR="003A6461" w:rsidRPr="00AE0D55" w:rsidRDefault="003A6461" w:rsidP="003A6461">
      <w:pPr>
        <w:contextualSpacing/>
        <w:jc w:val="center"/>
        <w:rPr>
          <w:sz w:val="26"/>
          <w:szCs w:val="26"/>
        </w:rPr>
      </w:pPr>
      <w:r w:rsidRPr="00AE0D55">
        <w:rPr>
          <w:b/>
          <w:bCs/>
          <w:sz w:val="26"/>
          <w:szCs w:val="26"/>
        </w:rPr>
        <w:t xml:space="preserve">Noteikumi par uzņēmumu ienākuma nodokļa taksācijas perioda deklarāciju un avansa maksājumu aprēķinu </w:t>
      </w:r>
    </w:p>
    <w:p w:rsidR="003A6461" w:rsidRPr="00AE0D55" w:rsidRDefault="003A6461" w:rsidP="003A6461">
      <w:pPr>
        <w:contextualSpacing/>
        <w:rPr>
          <w:sz w:val="26"/>
          <w:szCs w:val="26"/>
        </w:rPr>
      </w:pPr>
    </w:p>
    <w:p w:rsidR="003A6461" w:rsidRPr="00AE0D55" w:rsidRDefault="003A6461" w:rsidP="003A6461">
      <w:pPr>
        <w:contextualSpacing/>
        <w:jc w:val="right"/>
        <w:rPr>
          <w:sz w:val="26"/>
          <w:szCs w:val="26"/>
        </w:rPr>
      </w:pPr>
    </w:p>
    <w:p w:rsidR="003A6461" w:rsidRPr="00AE0D55" w:rsidRDefault="003A6461" w:rsidP="003A6461">
      <w:pPr>
        <w:contextualSpacing/>
        <w:jc w:val="right"/>
        <w:rPr>
          <w:sz w:val="26"/>
          <w:szCs w:val="26"/>
        </w:rPr>
      </w:pPr>
      <w:r w:rsidRPr="00AE0D55">
        <w:rPr>
          <w:sz w:val="26"/>
          <w:szCs w:val="26"/>
        </w:rPr>
        <w:t>Izdoti saskaņā ar likuma</w:t>
      </w:r>
    </w:p>
    <w:p w:rsidR="003A6461" w:rsidRPr="00AE0D55" w:rsidRDefault="003A6461" w:rsidP="003A6461">
      <w:pPr>
        <w:contextualSpacing/>
        <w:jc w:val="right"/>
        <w:rPr>
          <w:sz w:val="26"/>
          <w:szCs w:val="26"/>
        </w:rPr>
      </w:pPr>
      <w:r w:rsidRPr="00AE0D55">
        <w:rPr>
          <w:sz w:val="26"/>
          <w:szCs w:val="26"/>
        </w:rPr>
        <w:t xml:space="preserve"> „Par uzņēmumu ienākuma nodokli” </w:t>
      </w:r>
    </w:p>
    <w:p w:rsidR="003A6461" w:rsidRPr="00AE0D55" w:rsidRDefault="003A6461" w:rsidP="003A6461">
      <w:pPr>
        <w:contextualSpacing/>
        <w:jc w:val="right"/>
        <w:rPr>
          <w:sz w:val="26"/>
          <w:szCs w:val="26"/>
        </w:rPr>
      </w:pPr>
      <w:r w:rsidRPr="00AE0D55">
        <w:rPr>
          <w:sz w:val="26"/>
          <w:szCs w:val="26"/>
        </w:rPr>
        <w:t>22.panta pirmo daļu un 27.panta 7.punktu</w:t>
      </w:r>
    </w:p>
    <w:p w:rsidR="003A6461" w:rsidRPr="00AE0D55" w:rsidRDefault="003A6461" w:rsidP="003A6461">
      <w:pPr>
        <w:contextualSpacing/>
        <w:jc w:val="right"/>
        <w:rPr>
          <w:sz w:val="26"/>
          <w:szCs w:val="26"/>
        </w:rPr>
      </w:pPr>
    </w:p>
    <w:p w:rsidR="003A6461" w:rsidRPr="00AE0D55" w:rsidRDefault="003A6461" w:rsidP="003A6461">
      <w:pPr>
        <w:spacing w:before="100" w:beforeAutospacing="1"/>
        <w:ind w:firstLine="720"/>
        <w:contextualSpacing/>
        <w:jc w:val="both"/>
        <w:rPr>
          <w:sz w:val="26"/>
          <w:szCs w:val="26"/>
        </w:rPr>
      </w:pPr>
      <w:r w:rsidRPr="00AE0D55">
        <w:rPr>
          <w:sz w:val="26"/>
          <w:szCs w:val="26"/>
        </w:rPr>
        <w:t>1. Noteikumi:</w:t>
      </w:r>
    </w:p>
    <w:p w:rsidR="003A6461" w:rsidRPr="00AE0D55" w:rsidRDefault="003A6461" w:rsidP="003A6461">
      <w:pPr>
        <w:spacing w:before="100" w:beforeAutospacing="1"/>
        <w:ind w:firstLine="720"/>
        <w:contextualSpacing/>
        <w:jc w:val="both"/>
        <w:rPr>
          <w:sz w:val="26"/>
          <w:szCs w:val="26"/>
        </w:rPr>
      </w:pPr>
      <w:r w:rsidRPr="00AE0D55">
        <w:rPr>
          <w:sz w:val="26"/>
          <w:szCs w:val="26"/>
        </w:rPr>
        <w:t>1.1. apstiprina uzņēmumu ienākuma nodokļa taksācijas perioda deklarācijas veidlapas paraugu (1., 2. un 3.pielikums);</w:t>
      </w:r>
    </w:p>
    <w:p w:rsidR="003A6461" w:rsidRPr="00AE0D55" w:rsidRDefault="003A6461" w:rsidP="003A6461">
      <w:pPr>
        <w:spacing w:before="100" w:beforeAutospacing="1"/>
        <w:ind w:firstLine="720"/>
        <w:contextualSpacing/>
        <w:jc w:val="both"/>
        <w:rPr>
          <w:sz w:val="26"/>
          <w:szCs w:val="26"/>
        </w:rPr>
      </w:pPr>
      <w:r w:rsidRPr="00AE0D55">
        <w:rPr>
          <w:sz w:val="26"/>
          <w:szCs w:val="26"/>
        </w:rPr>
        <w:t>1.2. nosaka uzņēmumu ienākuma nodokļa taksācijas perioda deklarācijas aizpildīšanas kārtību;</w:t>
      </w:r>
    </w:p>
    <w:p w:rsidR="003A6461" w:rsidRPr="00AE0D55" w:rsidRDefault="003A6461" w:rsidP="003A6461">
      <w:pPr>
        <w:spacing w:before="100" w:beforeAutospacing="1"/>
        <w:ind w:firstLine="720"/>
        <w:contextualSpacing/>
        <w:jc w:val="both"/>
        <w:rPr>
          <w:sz w:val="26"/>
          <w:szCs w:val="26"/>
        </w:rPr>
      </w:pPr>
      <w:r w:rsidRPr="00AE0D55">
        <w:rPr>
          <w:sz w:val="26"/>
          <w:szCs w:val="26"/>
        </w:rPr>
        <w:t>1.3. nosaka nodokļa avansa maksājumu noteikšanas metodoloģiju</w:t>
      </w:r>
      <w:r w:rsidRPr="00003660">
        <w:rPr>
          <w:color w:val="FF0000"/>
          <w:sz w:val="26"/>
          <w:szCs w:val="26"/>
        </w:rPr>
        <w:t>.</w:t>
      </w:r>
    </w:p>
    <w:p w:rsidR="003A6461" w:rsidRPr="00AE0D55" w:rsidRDefault="003A6461" w:rsidP="003A6461">
      <w:pPr>
        <w:contextualSpacing/>
        <w:jc w:val="both"/>
        <w:rPr>
          <w:sz w:val="26"/>
          <w:szCs w:val="26"/>
        </w:rPr>
      </w:pPr>
    </w:p>
    <w:p w:rsidR="003A6461" w:rsidRPr="00AE0D55" w:rsidRDefault="003A6461" w:rsidP="003A6461">
      <w:pPr>
        <w:spacing w:before="100" w:beforeAutospacing="1"/>
        <w:ind w:firstLine="720"/>
        <w:contextualSpacing/>
        <w:jc w:val="both"/>
        <w:rPr>
          <w:sz w:val="26"/>
          <w:szCs w:val="26"/>
        </w:rPr>
      </w:pPr>
      <w:r w:rsidRPr="00AE0D55">
        <w:rPr>
          <w:sz w:val="26"/>
          <w:szCs w:val="26"/>
        </w:rPr>
        <w:t>2. Šo noteikumu ietvaros uzņēmumu ienākuma nodokļa avansa maksājumu noteikšanas metodoloģija aptver uzņēmumu ienākuma nodokļa avansa maksājumu aprēķinu veidlapas paraugu (4.pielikums), tās aizpildīšanas kārtību</w:t>
      </w:r>
      <w:r>
        <w:rPr>
          <w:sz w:val="26"/>
          <w:szCs w:val="26"/>
        </w:rPr>
        <w:t xml:space="preserve"> un</w:t>
      </w:r>
      <w:r w:rsidRPr="0081100F">
        <w:rPr>
          <w:sz w:val="26"/>
          <w:szCs w:val="26"/>
        </w:rPr>
        <w:t xml:space="preserve"> </w:t>
      </w:r>
      <w:r>
        <w:rPr>
          <w:sz w:val="26"/>
          <w:szCs w:val="26"/>
        </w:rPr>
        <w:t xml:space="preserve">avansa maksājumu </w:t>
      </w:r>
      <w:r w:rsidRPr="00AE0D55">
        <w:rPr>
          <w:sz w:val="26"/>
          <w:szCs w:val="26"/>
        </w:rPr>
        <w:t>noteikšanas kārtību</w:t>
      </w:r>
      <w:r>
        <w:rPr>
          <w:sz w:val="26"/>
          <w:szCs w:val="26"/>
        </w:rPr>
        <w:t>.</w:t>
      </w:r>
    </w:p>
    <w:p w:rsidR="003A6461" w:rsidRPr="00AE0D55" w:rsidRDefault="003A6461" w:rsidP="003A6461">
      <w:pPr>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3. Uzņēmumu ienākuma nodokļa taksācijas perioda</w:t>
      </w:r>
      <w:r w:rsidRPr="00AE0D55" w:rsidDel="00951996">
        <w:rPr>
          <w:sz w:val="26"/>
          <w:szCs w:val="26"/>
        </w:rPr>
        <w:t xml:space="preserve"> </w:t>
      </w:r>
      <w:r w:rsidRPr="00AE0D55">
        <w:rPr>
          <w:sz w:val="26"/>
          <w:szCs w:val="26"/>
        </w:rPr>
        <w:t>deklarācijā (turpmāk - deklarācija) un uzņēmumu ienākuma nodokļa avansa maksājumu aprēķinā (turpmāk - avansa maksājumu aprēķins) summas norāda tikai latos. Summu līdz 49 santīmiem atmet, bet summu, sākot ar 50 santīmiem, noapaļo uz augšu līdz latam.</w:t>
      </w:r>
    </w:p>
    <w:p w:rsidR="003A6461" w:rsidRPr="00AE0D55" w:rsidRDefault="003A6461" w:rsidP="003A6461">
      <w:pPr>
        <w:ind w:firstLine="720"/>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4. Deklarāciju (1.pielikums) aizpilda šādā kārtībā:</w:t>
      </w:r>
    </w:p>
    <w:p w:rsidR="003A6461" w:rsidRPr="00AE0D55" w:rsidRDefault="003A6461" w:rsidP="003A6461">
      <w:pPr>
        <w:ind w:firstLine="720"/>
        <w:jc w:val="both"/>
        <w:rPr>
          <w:sz w:val="26"/>
          <w:szCs w:val="26"/>
        </w:rPr>
      </w:pPr>
      <w:r w:rsidRPr="00AE0D55">
        <w:rPr>
          <w:sz w:val="26"/>
          <w:szCs w:val="26"/>
        </w:rPr>
        <w:t>4.1. sadaļā „Nozare NACE 2.red.” uzrāda tos saimnieciskās darbības veidus, kuru apgrozījuma īpatsvars  nodokļa maksātāja saimnieciskajā darbībā ir vislielākais;</w:t>
      </w:r>
    </w:p>
    <w:p w:rsidR="003A6461" w:rsidRPr="005419A8" w:rsidRDefault="003A6461" w:rsidP="003A6461">
      <w:pPr>
        <w:ind w:firstLine="720"/>
        <w:contextualSpacing/>
        <w:jc w:val="both"/>
        <w:rPr>
          <w:sz w:val="26"/>
          <w:szCs w:val="26"/>
        </w:rPr>
      </w:pPr>
      <w:r w:rsidRPr="00AE0D55">
        <w:rPr>
          <w:sz w:val="26"/>
          <w:szCs w:val="26"/>
        </w:rPr>
        <w:t xml:space="preserve"> 4.2. deklarācijas 1.rindā norāda peļņas vai zaudējumu apmēru pirms uzņēmumu ienākuma nodokļa aprēķināšanas, kas noteikts saskaņā ar Gada pārskatu likuma 11. un 12.pantu vai Kredītiestāžu likumu, Krājaizdevu sabiedrību likumu vai Apdrošināšanas sabiedrību un to uzraudzības likumu. Nerezidentu pastāvīgās pārstāvniecības deklarācijas 1.rindā norāda normatīvajos aktos noteiktajā kārtībā sastādītā peļņas vai zaudējumu aprēķinā uzrādīto peļņas vai zaudējumu apmēru pirms uzņēmumu ienākuma nodokļa aprēķināšanas</w:t>
      </w:r>
      <w:r>
        <w:rPr>
          <w:sz w:val="26"/>
          <w:szCs w:val="26"/>
        </w:rPr>
        <w:t>;</w:t>
      </w:r>
    </w:p>
    <w:p w:rsidR="003A6461" w:rsidRPr="00AE0D55" w:rsidRDefault="003A6461" w:rsidP="003A6461">
      <w:pPr>
        <w:ind w:firstLine="720"/>
        <w:contextualSpacing/>
        <w:jc w:val="both"/>
        <w:rPr>
          <w:sz w:val="26"/>
          <w:szCs w:val="26"/>
        </w:rPr>
      </w:pPr>
      <w:r w:rsidRPr="00AE0D55">
        <w:rPr>
          <w:sz w:val="26"/>
          <w:szCs w:val="26"/>
        </w:rPr>
        <w:t xml:space="preserve">4.3. deklarācijas 2.1.rindā norāda izdevumus vai izdevumu daļu, kura nav tieši saistīta ar maksātāja saimniecisko darbību (arī zaudējumu summu, kuru radījusi maksātājam piederošo vai tā lietošanā esošo sociālās infrastruktūras objektu uzturēšana), piemērojot koeficientu 1,5; </w:t>
      </w:r>
    </w:p>
    <w:p w:rsidR="003A6461" w:rsidRPr="0079535C" w:rsidRDefault="003A6461" w:rsidP="003A6461">
      <w:pPr>
        <w:ind w:firstLine="720"/>
        <w:contextualSpacing/>
        <w:jc w:val="both"/>
        <w:rPr>
          <w:sz w:val="26"/>
          <w:szCs w:val="26"/>
        </w:rPr>
      </w:pPr>
      <w:r w:rsidRPr="00AE0D55">
        <w:rPr>
          <w:sz w:val="26"/>
          <w:szCs w:val="26"/>
        </w:rPr>
        <w:t xml:space="preserve">4.4. </w:t>
      </w:r>
      <w:r w:rsidRPr="0079535C">
        <w:rPr>
          <w:sz w:val="26"/>
          <w:szCs w:val="26"/>
        </w:rPr>
        <w:t xml:space="preserve">deklarācijas 2.2.rindā norāda  izdevumu summas, kuras nav tieši saistītas ar maksātāja saimniecisko darbību, bet kurām netiek piemērots koeficients 1,5; </w:t>
      </w:r>
    </w:p>
    <w:p w:rsidR="003A6461" w:rsidRPr="00AE0D55" w:rsidRDefault="003A6461" w:rsidP="003A6461">
      <w:pPr>
        <w:ind w:firstLine="720"/>
        <w:contextualSpacing/>
        <w:jc w:val="both"/>
        <w:rPr>
          <w:sz w:val="26"/>
          <w:szCs w:val="26"/>
        </w:rPr>
      </w:pPr>
      <w:r w:rsidRPr="00AE0D55">
        <w:rPr>
          <w:sz w:val="26"/>
          <w:szCs w:val="26"/>
        </w:rPr>
        <w:t>4.</w:t>
      </w:r>
      <w:r>
        <w:rPr>
          <w:sz w:val="26"/>
          <w:szCs w:val="26"/>
        </w:rPr>
        <w:t>5</w:t>
      </w:r>
      <w:r w:rsidRPr="00AE0D55">
        <w:rPr>
          <w:sz w:val="26"/>
          <w:szCs w:val="26"/>
        </w:rPr>
        <w:t>.</w:t>
      </w:r>
      <w:r>
        <w:rPr>
          <w:sz w:val="26"/>
          <w:szCs w:val="26"/>
        </w:rPr>
        <w:t xml:space="preserve"> </w:t>
      </w:r>
      <w:r w:rsidRPr="00AE0D55">
        <w:rPr>
          <w:sz w:val="26"/>
          <w:szCs w:val="26"/>
        </w:rPr>
        <w:t xml:space="preserve">deklarācijas 22.rindā norāda rezervju un uzkrājumu summu, ja tā ņemta vērā, nosakot nodokļa maksātāja ar nodokli apliekamo ienākumu. Deklarācijas </w:t>
      </w:r>
      <w:r w:rsidRPr="00AE0D55">
        <w:rPr>
          <w:sz w:val="26"/>
          <w:szCs w:val="26"/>
        </w:rPr>
        <w:lastRenderedPageBreak/>
        <w:t>22.rindā nenorāda likuma „Par uzņēmumu ienākuma nodokli” 7.</w:t>
      </w:r>
      <w:r>
        <w:rPr>
          <w:sz w:val="26"/>
          <w:szCs w:val="26"/>
        </w:rPr>
        <w:t>,</w:t>
      </w:r>
      <w:r w:rsidRPr="00AE0D55">
        <w:rPr>
          <w:sz w:val="26"/>
          <w:szCs w:val="26"/>
        </w:rPr>
        <w:t xml:space="preserve"> 8.</w:t>
      </w:r>
      <w:r>
        <w:rPr>
          <w:sz w:val="26"/>
          <w:szCs w:val="26"/>
        </w:rPr>
        <w:t xml:space="preserve"> un 9.</w:t>
      </w:r>
      <w:r w:rsidRPr="00061FC0">
        <w:rPr>
          <w:sz w:val="26"/>
          <w:szCs w:val="26"/>
          <w:vertAlign w:val="superscript"/>
        </w:rPr>
        <w:t>1</w:t>
      </w:r>
      <w:r w:rsidRPr="00AE0D55">
        <w:rPr>
          <w:sz w:val="26"/>
          <w:szCs w:val="26"/>
        </w:rPr>
        <w:t>pantā paredzēto rezervju un uzkrājumu summas;</w:t>
      </w:r>
    </w:p>
    <w:p w:rsidR="003A6461" w:rsidRPr="00AE0D55" w:rsidRDefault="003A6461" w:rsidP="003A6461">
      <w:pPr>
        <w:ind w:firstLine="720"/>
        <w:contextualSpacing/>
        <w:jc w:val="both"/>
        <w:rPr>
          <w:sz w:val="26"/>
          <w:szCs w:val="26"/>
        </w:rPr>
      </w:pPr>
      <w:r w:rsidRPr="00AE0D55">
        <w:rPr>
          <w:sz w:val="26"/>
          <w:szCs w:val="26"/>
        </w:rPr>
        <w:t>4.</w:t>
      </w:r>
      <w:r>
        <w:rPr>
          <w:sz w:val="26"/>
          <w:szCs w:val="26"/>
        </w:rPr>
        <w:t>6</w:t>
      </w:r>
      <w:r w:rsidRPr="00AE0D55">
        <w:rPr>
          <w:sz w:val="26"/>
          <w:szCs w:val="26"/>
        </w:rPr>
        <w:t xml:space="preserve">. deklarācijas 33.rindā norāda </w:t>
      </w:r>
      <w:r w:rsidRPr="00D71F72">
        <w:rPr>
          <w:sz w:val="26"/>
          <w:szCs w:val="26"/>
        </w:rPr>
        <w:t>pamatlīdzekļa</w:t>
      </w:r>
      <w:r>
        <w:rPr>
          <w:sz w:val="26"/>
          <w:szCs w:val="26"/>
        </w:rPr>
        <w:t xml:space="preserve"> </w:t>
      </w:r>
      <w:r w:rsidRPr="00AE0D55">
        <w:rPr>
          <w:sz w:val="26"/>
          <w:szCs w:val="26"/>
        </w:rPr>
        <w:t>rekonstrukcijas, uzlabošanas vai atjaunošanas darbu izmaksu summu, ja minētos darbus veic nomnieks un tie nav paredzēti nomas līgumā vai ja nomas līgums nav noslēgts;</w:t>
      </w:r>
    </w:p>
    <w:p w:rsidR="003A6461" w:rsidRPr="00AE0D55" w:rsidRDefault="003A6461" w:rsidP="003A6461">
      <w:pPr>
        <w:ind w:firstLine="720"/>
        <w:contextualSpacing/>
        <w:jc w:val="both"/>
        <w:rPr>
          <w:sz w:val="26"/>
          <w:szCs w:val="26"/>
        </w:rPr>
      </w:pPr>
      <w:r w:rsidRPr="00AE0D55">
        <w:rPr>
          <w:sz w:val="26"/>
          <w:szCs w:val="26"/>
        </w:rPr>
        <w:t>4.</w:t>
      </w:r>
      <w:r>
        <w:rPr>
          <w:sz w:val="26"/>
          <w:szCs w:val="26"/>
        </w:rPr>
        <w:t>7</w:t>
      </w:r>
      <w:r w:rsidRPr="00AE0D55">
        <w:rPr>
          <w:sz w:val="26"/>
          <w:szCs w:val="26"/>
        </w:rPr>
        <w:t>. deklarācijas 35.rindā norāda citas apliekamo ienākumu palielinošas summas saskaņā ar normatīvajiem aktiem (piemēram, ārvalstīs samaksāto ienākuma nodokli, ja šī summa ir ņemta vērā, nosakot maksātāja peļņu vai zaudējumus, vai komersanta pastāvīgās pārstāvniecības (ārvalstī) taksācijas perioda izdevumus, kuri iekļauti komersanta peļņas vai zaudējumu aprēķinā, ja, nosakot uzņēmumu ienākuma nodokli par taksācijas periodu, tiek piemērota atbrīvošanas metode);</w:t>
      </w:r>
    </w:p>
    <w:p w:rsidR="003A6461" w:rsidRDefault="003A6461" w:rsidP="003A6461">
      <w:pPr>
        <w:ind w:firstLine="720"/>
        <w:contextualSpacing/>
        <w:jc w:val="both"/>
        <w:rPr>
          <w:sz w:val="26"/>
          <w:szCs w:val="26"/>
        </w:rPr>
      </w:pPr>
      <w:r w:rsidRPr="00E72C10">
        <w:rPr>
          <w:sz w:val="26"/>
          <w:szCs w:val="26"/>
        </w:rPr>
        <w:t>4.</w:t>
      </w:r>
      <w:r>
        <w:rPr>
          <w:sz w:val="26"/>
          <w:szCs w:val="26"/>
        </w:rPr>
        <w:t>8</w:t>
      </w:r>
      <w:r w:rsidRPr="00E72C10">
        <w:rPr>
          <w:sz w:val="26"/>
          <w:szCs w:val="26"/>
        </w:rPr>
        <w:t>. deklarācijas 4</w:t>
      </w:r>
      <w:r>
        <w:rPr>
          <w:sz w:val="26"/>
          <w:szCs w:val="26"/>
        </w:rPr>
        <w:t>0</w:t>
      </w:r>
      <w:r w:rsidRPr="00E72C10">
        <w:rPr>
          <w:sz w:val="26"/>
          <w:szCs w:val="26"/>
        </w:rPr>
        <w:t xml:space="preserve">.rindā uzrāda arī </w:t>
      </w:r>
      <w:r>
        <w:rPr>
          <w:sz w:val="26"/>
          <w:szCs w:val="26"/>
        </w:rPr>
        <w:t>saskaņā ar likuma 9.</w:t>
      </w:r>
      <w:r w:rsidRPr="009F737C">
        <w:rPr>
          <w:sz w:val="26"/>
          <w:szCs w:val="26"/>
          <w:vertAlign w:val="superscript"/>
        </w:rPr>
        <w:t>1</w:t>
      </w:r>
      <w:r>
        <w:rPr>
          <w:sz w:val="26"/>
          <w:szCs w:val="26"/>
        </w:rPr>
        <w:t>pantu izveidotā uzkrājuma samazinājuma daļu, par kuru tika palielināts ar nodokli apliekamais ienākums (attiecīgās pirmstaksācijas perioda deklarācijas 69.rinda), ja šis uzkrājumu samazinājums taksācijas periodā ir iekļauts ieņēmumos;</w:t>
      </w:r>
    </w:p>
    <w:p w:rsidR="003A6461" w:rsidRPr="00E72C10" w:rsidRDefault="003A6461" w:rsidP="003A6461">
      <w:pPr>
        <w:ind w:firstLine="720"/>
        <w:contextualSpacing/>
        <w:jc w:val="both"/>
        <w:rPr>
          <w:sz w:val="26"/>
          <w:szCs w:val="26"/>
        </w:rPr>
      </w:pPr>
      <w:r w:rsidRPr="00E72C10">
        <w:rPr>
          <w:sz w:val="26"/>
          <w:szCs w:val="26"/>
        </w:rPr>
        <w:t>4.</w:t>
      </w:r>
      <w:r>
        <w:rPr>
          <w:sz w:val="26"/>
          <w:szCs w:val="26"/>
        </w:rPr>
        <w:t>9</w:t>
      </w:r>
      <w:r w:rsidRPr="00E72C10">
        <w:rPr>
          <w:sz w:val="26"/>
          <w:szCs w:val="26"/>
        </w:rPr>
        <w:t>. deklarācijas 63.rindā norāda citas apliekamo ienākumu samazinošas summas saskaņā ar normatīvajiem aktiem. To izmanto, piemēram, samazinot apliekamo ienākumu par komersanta pastāvīgās pārstāvniecības (ārvalstī) taksācijas perioda ieņēmumu summām (kuras iekļautas uzņēmuma peļņas vai zaudējumu aprēķinā), ja, nosakot uzņēmumu ienākuma nodokli par taksācijas periodu, tiek piemērota atbrīvošanas metode;</w:t>
      </w:r>
    </w:p>
    <w:p w:rsidR="003A6461" w:rsidRPr="00E72C10" w:rsidRDefault="003A6461" w:rsidP="003A6461">
      <w:pPr>
        <w:ind w:firstLine="720"/>
        <w:contextualSpacing/>
        <w:jc w:val="both"/>
        <w:rPr>
          <w:sz w:val="26"/>
          <w:szCs w:val="26"/>
        </w:rPr>
      </w:pPr>
      <w:r w:rsidRPr="00E72C10">
        <w:rPr>
          <w:sz w:val="26"/>
          <w:szCs w:val="26"/>
        </w:rPr>
        <w:t>4.1</w:t>
      </w:r>
      <w:r>
        <w:rPr>
          <w:sz w:val="26"/>
          <w:szCs w:val="26"/>
        </w:rPr>
        <w:t>0</w:t>
      </w:r>
      <w:r w:rsidRPr="00E72C10">
        <w:rPr>
          <w:sz w:val="26"/>
          <w:szCs w:val="26"/>
        </w:rPr>
        <w:t>. deklarācijas 68.rindā norāda taksācijas periodā finanšu grāmatvedībā nedrošiem parādiem izveidoto uzkrājumu summu, kurai piemēro likuma 9.</w:t>
      </w:r>
      <w:r w:rsidRPr="00E72C10">
        <w:rPr>
          <w:sz w:val="26"/>
          <w:szCs w:val="26"/>
          <w:vertAlign w:val="superscript"/>
        </w:rPr>
        <w:t>1</w:t>
      </w:r>
      <w:r w:rsidRPr="00E72C10">
        <w:rPr>
          <w:sz w:val="26"/>
          <w:szCs w:val="26"/>
        </w:rPr>
        <w:t>panta normas</w:t>
      </w:r>
      <w:r>
        <w:rPr>
          <w:sz w:val="26"/>
          <w:szCs w:val="26"/>
        </w:rPr>
        <w:t xml:space="preserve"> un par kuru nav palielināts ar nodokli apliekamais ienākums</w:t>
      </w:r>
      <w:r w:rsidRPr="00E72C10">
        <w:rPr>
          <w:sz w:val="26"/>
          <w:szCs w:val="26"/>
        </w:rPr>
        <w:t>;</w:t>
      </w:r>
    </w:p>
    <w:p w:rsidR="003A6461" w:rsidRPr="006347F5" w:rsidRDefault="003A6461" w:rsidP="003A6461">
      <w:pPr>
        <w:pStyle w:val="FootnoteText"/>
        <w:ind w:firstLine="720"/>
        <w:jc w:val="both"/>
        <w:rPr>
          <w:sz w:val="26"/>
          <w:szCs w:val="26"/>
        </w:rPr>
      </w:pPr>
      <w:r w:rsidRPr="00E72C10">
        <w:rPr>
          <w:sz w:val="26"/>
          <w:szCs w:val="26"/>
        </w:rPr>
        <w:t>4.1</w:t>
      </w:r>
      <w:r>
        <w:rPr>
          <w:sz w:val="26"/>
          <w:szCs w:val="26"/>
        </w:rPr>
        <w:t>1</w:t>
      </w:r>
      <w:r w:rsidRPr="00E72C10">
        <w:rPr>
          <w:sz w:val="26"/>
          <w:szCs w:val="26"/>
        </w:rPr>
        <w:t>. deklarācijas 69.rindā uzrāda finanšu grāmatvedībā nedrošiem parādiem izveidoto uzkrājumu summas daļu, kurai piemēro likuma 9.</w:t>
      </w:r>
      <w:r w:rsidRPr="00E72C10">
        <w:rPr>
          <w:sz w:val="26"/>
          <w:szCs w:val="26"/>
          <w:vertAlign w:val="superscript"/>
        </w:rPr>
        <w:t>1</w:t>
      </w:r>
      <w:r w:rsidRPr="00E72C10">
        <w:rPr>
          <w:sz w:val="26"/>
          <w:szCs w:val="26"/>
        </w:rPr>
        <w:t>panta normas, bet kas pārsniedz minētā panta otrajā daļā noteikto ierobežojumu. Summu, par kādu izveidotie uzkrājumi pārsniedz likuma 9.</w:t>
      </w:r>
      <w:r w:rsidRPr="00E72C10">
        <w:rPr>
          <w:sz w:val="26"/>
          <w:szCs w:val="26"/>
          <w:vertAlign w:val="superscript"/>
        </w:rPr>
        <w:t>1</w:t>
      </w:r>
      <w:r w:rsidRPr="00E72C10">
        <w:rPr>
          <w:sz w:val="26"/>
          <w:szCs w:val="26"/>
        </w:rPr>
        <w:t xml:space="preserve">panta otrajā daļā noteikto ierobežojumu un ir attiecināma uz citiem uzkrājumiem, </w:t>
      </w:r>
      <w:r w:rsidRPr="00E72C10">
        <w:rPr>
          <w:bCs/>
          <w:sz w:val="26"/>
          <w:szCs w:val="26"/>
        </w:rPr>
        <w:t xml:space="preserve">aprēķina no </w:t>
      </w:r>
      <w:r w:rsidRPr="00E72C10">
        <w:rPr>
          <w:sz w:val="26"/>
          <w:szCs w:val="26"/>
        </w:rPr>
        <w:t>deklarācijas 68.rindā norādītās  taksācijas periodā finanšu grāmatvedībā nedrošiem parādiem izveidoto uzkrājumu summas, kurai piemēro likuma 9.</w:t>
      </w:r>
      <w:r w:rsidRPr="00E72C10">
        <w:rPr>
          <w:sz w:val="26"/>
          <w:szCs w:val="26"/>
          <w:vertAlign w:val="superscript"/>
        </w:rPr>
        <w:t>1</w:t>
      </w:r>
      <w:r w:rsidRPr="00E72C10">
        <w:rPr>
          <w:sz w:val="26"/>
          <w:szCs w:val="26"/>
        </w:rPr>
        <w:t>panta normas, atņemot summu, kas aprēķināta ar nodokli apliekamajam ienākumam (deklarācijas 67.rinda) pieskaitot taksācijas periodā finanšu grāmatvedībā nedrošiem parādiem izveidoto uzkrājumu summas, kurai piemēro likuma 9.</w:t>
      </w:r>
      <w:r w:rsidRPr="00E72C10">
        <w:rPr>
          <w:sz w:val="26"/>
          <w:szCs w:val="26"/>
          <w:vertAlign w:val="superscript"/>
        </w:rPr>
        <w:t>1</w:t>
      </w:r>
      <w:r w:rsidRPr="00E72C10">
        <w:rPr>
          <w:sz w:val="26"/>
          <w:szCs w:val="26"/>
        </w:rPr>
        <w:t>panta normas</w:t>
      </w:r>
      <w:r>
        <w:rPr>
          <w:sz w:val="26"/>
          <w:szCs w:val="26"/>
        </w:rPr>
        <w:t>,</w:t>
      </w:r>
      <w:r w:rsidRPr="00E72C10">
        <w:rPr>
          <w:sz w:val="26"/>
          <w:szCs w:val="26"/>
        </w:rPr>
        <w:t xml:space="preserve"> un iegūto summu reizinot </w:t>
      </w:r>
      <w:r w:rsidRPr="006347F5">
        <w:rPr>
          <w:sz w:val="26"/>
          <w:szCs w:val="26"/>
        </w:rPr>
        <w:t>ar koeficientu 0,2;</w:t>
      </w:r>
    </w:p>
    <w:p w:rsidR="003A6461" w:rsidRPr="00AE0D55" w:rsidRDefault="003A6461" w:rsidP="003A6461">
      <w:pPr>
        <w:ind w:firstLine="720"/>
        <w:contextualSpacing/>
        <w:jc w:val="both"/>
        <w:rPr>
          <w:sz w:val="26"/>
          <w:szCs w:val="26"/>
        </w:rPr>
      </w:pPr>
      <w:r>
        <w:rPr>
          <w:sz w:val="26"/>
          <w:szCs w:val="26"/>
        </w:rPr>
        <w:t xml:space="preserve">4.12. </w:t>
      </w:r>
      <w:r w:rsidRPr="00AE0D55">
        <w:rPr>
          <w:sz w:val="26"/>
          <w:szCs w:val="26"/>
        </w:rPr>
        <w:t>deklarācijas 7</w:t>
      </w:r>
      <w:r>
        <w:rPr>
          <w:sz w:val="26"/>
          <w:szCs w:val="26"/>
        </w:rPr>
        <w:t>1</w:t>
      </w:r>
      <w:r w:rsidRPr="00AE0D55">
        <w:rPr>
          <w:sz w:val="26"/>
          <w:szCs w:val="26"/>
        </w:rPr>
        <w:t xml:space="preserve">.rindā norādītā summa nedrīkst pārsniegt </w:t>
      </w:r>
      <w:r>
        <w:rPr>
          <w:sz w:val="26"/>
          <w:szCs w:val="26"/>
        </w:rPr>
        <w:t>70</w:t>
      </w:r>
      <w:r w:rsidRPr="00AE0D55">
        <w:rPr>
          <w:sz w:val="26"/>
          <w:szCs w:val="26"/>
        </w:rPr>
        <w:t xml:space="preserve">.rindā norādīto summu. Ja skaitlis deklarācijas </w:t>
      </w:r>
      <w:r>
        <w:rPr>
          <w:sz w:val="26"/>
          <w:szCs w:val="26"/>
        </w:rPr>
        <w:t>70</w:t>
      </w:r>
      <w:r w:rsidRPr="00AE0D55">
        <w:rPr>
          <w:sz w:val="26"/>
          <w:szCs w:val="26"/>
        </w:rPr>
        <w:t>.rindā ir negatīvs, zaudējumus konkrētajā taksācijas periodā nevar segt, un 7</w:t>
      </w:r>
      <w:r>
        <w:rPr>
          <w:sz w:val="26"/>
          <w:szCs w:val="26"/>
        </w:rPr>
        <w:t>1</w:t>
      </w:r>
      <w:r w:rsidRPr="00AE0D55">
        <w:rPr>
          <w:sz w:val="26"/>
          <w:szCs w:val="26"/>
        </w:rPr>
        <w:t>.rindā ieraksta „X”;</w:t>
      </w:r>
    </w:p>
    <w:p w:rsidR="003A6461" w:rsidRPr="00AE0D55" w:rsidRDefault="003A6461" w:rsidP="003A6461">
      <w:pPr>
        <w:ind w:firstLine="709"/>
        <w:contextualSpacing/>
        <w:jc w:val="both"/>
        <w:rPr>
          <w:sz w:val="26"/>
          <w:szCs w:val="26"/>
        </w:rPr>
      </w:pPr>
      <w:r w:rsidRPr="00AE0D55">
        <w:rPr>
          <w:sz w:val="26"/>
          <w:szCs w:val="26"/>
        </w:rPr>
        <w:t>4.1</w:t>
      </w:r>
      <w:r>
        <w:rPr>
          <w:sz w:val="26"/>
          <w:szCs w:val="26"/>
        </w:rPr>
        <w:t>3</w:t>
      </w:r>
      <w:r w:rsidRPr="00AE0D55">
        <w:rPr>
          <w:sz w:val="26"/>
          <w:szCs w:val="26"/>
        </w:rPr>
        <w:t>. deklarācijas 7</w:t>
      </w:r>
      <w:r>
        <w:rPr>
          <w:sz w:val="26"/>
          <w:szCs w:val="26"/>
        </w:rPr>
        <w:t>1</w:t>
      </w:r>
      <w:r w:rsidRPr="00AE0D55">
        <w:rPr>
          <w:sz w:val="26"/>
          <w:szCs w:val="26"/>
        </w:rPr>
        <w:t>.1.rindā norāda pirmstaksācijas periodu zaudējumu summu astoņu (desmit) pēc kārtas sekojošu taksācijas periodu laikā no zaudējumu rašanās;</w:t>
      </w:r>
    </w:p>
    <w:p w:rsidR="003A6461" w:rsidRPr="00AE0D55" w:rsidRDefault="003A6461" w:rsidP="003A6461">
      <w:pPr>
        <w:ind w:firstLine="709"/>
        <w:contextualSpacing/>
        <w:jc w:val="both"/>
        <w:rPr>
          <w:sz w:val="26"/>
          <w:szCs w:val="26"/>
        </w:rPr>
      </w:pPr>
      <w:r w:rsidRPr="00AE0D55">
        <w:rPr>
          <w:sz w:val="26"/>
          <w:szCs w:val="26"/>
        </w:rPr>
        <w:t>4.1</w:t>
      </w:r>
      <w:r>
        <w:rPr>
          <w:sz w:val="26"/>
          <w:szCs w:val="26"/>
        </w:rPr>
        <w:t>4</w:t>
      </w:r>
      <w:r w:rsidRPr="00AE0D55">
        <w:rPr>
          <w:sz w:val="26"/>
          <w:szCs w:val="26"/>
        </w:rPr>
        <w:t>. deklarācijas 7</w:t>
      </w:r>
      <w:r>
        <w:rPr>
          <w:sz w:val="26"/>
          <w:szCs w:val="26"/>
        </w:rPr>
        <w:t>1</w:t>
      </w:r>
      <w:r w:rsidRPr="00AE0D55">
        <w:rPr>
          <w:sz w:val="26"/>
          <w:szCs w:val="26"/>
        </w:rPr>
        <w:t>.1.8. vai 7</w:t>
      </w:r>
      <w:r>
        <w:rPr>
          <w:sz w:val="26"/>
          <w:szCs w:val="26"/>
        </w:rPr>
        <w:t>1</w:t>
      </w:r>
      <w:r w:rsidRPr="00AE0D55">
        <w:rPr>
          <w:sz w:val="26"/>
          <w:szCs w:val="26"/>
        </w:rPr>
        <w:t>.1.10. rindā norādīto pirmstaksācijas perioda zaudējumu summu samazina par pirmstaksācijas periodā deklarācijas 7</w:t>
      </w:r>
      <w:r>
        <w:rPr>
          <w:sz w:val="26"/>
          <w:szCs w:val="26"/>
        </w:rPr>
        <w:t>1</w:t>
      </w:r>
      <w:r w:rsidRPr="00AE0D55">
        <w:rPr>
          <w:sz w:val="26"/>
          <w:szCs w:val="26"/>
        </w:rPr>
        <w:t>.6.rindā norādīto uzņēmumu grupas dalībniekam pārnesto zaudējumu summu;</w:t>
      </w:r>
    </w:p>
    <w:p w:rsidR="003A6461" w:rsidRPr="00AE0D55" w:rsidRDefault="003A6461" w:rsidP="003A6461">
      <w:pPr>
        <w:ind w:firstLine="720"/>
        <w:contextualSpacing/>
        <w:jc w:val="both"/>
        <w:rPr>
          <w:sz w:val="26"/>
          <w:szCs w:val="26"/>
        </w:rPr>
      </w:pPr>
      <w:r w:rsidRPr="00AE0D55">
        <w:rPr>
          <w:sz w:val="26"/>
          <w:szCs w:val="26"/>
        </w:rPr>
        <w:t>4.1</w:t>
      </w:r>
      <w:r>
        <w:rPr>
          <w:sz w:val="26"/>
          <w:szCs w:val="26"/>
        </w:rPr>
        <w:t>5</w:t>
      </w:r>
      <w:r w:rsidRPr="00AE0D55">
        <w:rPr>
          <w:sz w:val="26"/>
          <w:szCs w:val="26"/>
        </w:rPr>
        <w:t>. aprēķinot 7</w:t>
      </w:r>
      <w:r>
        <w:rPr>
          <w:sz w:val="26"/>
          <w:szCs w:val="26"/>
        </w:rPr>
        <w:t>1</w:t>
      </w:r>
      <w:r w:rsidRPr="00AE0D55">
        <w:rPr>
          <w:sz w:val="26"/>
          <w:szCs w:val="26"/>
        </w:rPr>
        <w:t>.rindas vērtību, zaudējumu summu, kas norādīta  7</w:t>
      </w:r>
      <w:r>
        <w:rPr>
          <w:sz w:val="26"/>
          <w:szCs w:val="26"/>
        </w:rPr>
        <w:t>1</w:t>
      </w:r>
      <w:r w:rsidRPr="00AE0D55">
        <w:rPr>
          <w:sz w:val="26"/>
          <w:szCs w:val="26"/>
        </w:rPr>
        <w:t>.2.rindā, atņem no kopējo zaudējumu summas, kas samazina apliekamo ienākumu (norādīta</w:t>
      </w:r>
      <w:r w:rsidRPr="00AE0D55" w:rsidDel="004B3E91">
        <w:rPr>
          <w:sz w:val="26"/>
          <w:szCs w:val="26"/>
        </w:rPr>
        <w:t xml:space="preserve"> </w:t>
      </w:r>
      <w:r w:rsidRPr="00AE0D55">
        <w:rPr>
          <w:sz w:val="26"/>
          <w:szCs w:val="26"/>
        </w:rPr>
        <w:t>7</w:t>
      </w:r>
      <w:r>
        <w:rPr>
          <w:sz w:val="26"/>
          <w:szCs w:val="26"/>
        </w:rPr>
        <w:t>1</w:t>
      </w:r>
      <w:r w:rsidRPr="00AE0D55">
        <w:rPr>
          <w:sz w:val="26"/>
          <w:szCs w:val="26"/>
        </w:rPr>
        <w:t xml:space="preserve">.1.rindā), jo zaudējumus vai zaudējumu palielinājumu, kas radies pirmstaksācijas </w:t>
      </w:r>
      <w:r w:rsidRPr="00AE0D55">
        <w:rPr>
          <w:sz w:val="26"/>
          <w:szCs w:val="26"/>
        </w:rPr>
        <w:lastRenderedPageBreak/>
        <w:t>periodā (līdz taksācijas periodam, kas sākas 2006.gadā), koriģējot apliekamo ienākumu par summām, kuras lauksaimniecības produkcijas ražotāji saņēmuši subsīdiju veidā, nedrīkst segt no nākamo taksācijas periodu apliekamā ienākuma;</w:t>
      </w:r>
    </w:p>
    <w:p w:rsidR="003A6461" w:rsidRPr="00AE0D55" w:rsidRDefault="003A6461" w:rsidP="003A6461">
      <w:pPr>
        <w:ind w:firstLine="720"/>
        <w:contextualSpacing/>
        <w:jc w:val="both"/>
        <w:rPr>
          <w:sz w:val="26"/>
          <w:szCs w:val="26"/>
        </w:rPr>
      </w:pPr>
      <w:r w:rsidRPr="00AE0D55">
        <w:rPr>
          <w:sz w:val="26"/>
          <w:szCs w:val="26"/>
        </w:rPr>
        <w:t>4.1</w:t>
      </w:r>
      <w:r>
        <w:rPr>
          <w:sz w:val="26"/>
          <w:szCs w:val="26"/>
        </w:rPr>
        <w:t>6</w:t>
      </w:r>
      <w:r w:rsidRPr="00AE0D55">
        <w:rPr>
          <w:sz w:val="26"/>
          <w:szCs w:val="26"/>
        </w:rPr>
        <w:t>. deklarācijas 7</w:t>
      </w:r>
      <w:r>
        <w:rPr>
          <w:sz w:val="26"/>
          <w:szCs w:val="26"/>
        </w:rPr>
        <w:t>1</w:t>
      </w:r>
      <w:r w:rsidRPr="00AE0D55">
        <w:rPr>
          <w:sz w:val="26"/>
          <w:szCs w:val="26"/>
        </w:rPr>
        <w:t>.3.rindā norāda pirmstaksācijas periodu zaudējumus no vērtspapīru pārdošanas, kuri neatrodas publiskajā apgrozībā. 7</w:t>
      </w:r>
      <w:r>
        <w:rPr>
          <w:sz w:val="26"/>
          <w:szCs w:val="26"/>
        </w:rPr>
        <w:t>1</w:t>
      </w:r>
      <w:r w:rsidRPr="00AE0D55">
        <w:rPr>
          <w:sz w:val="26"/>
          <w:szCs w:val="26"/>
        </w:rPr>
        <w:t>.3.rindā norādīta zaudējumu summa nepārsniedz deklarācijas 3.1.rindā norādīto summu;</w:t>
      </w:r>
    </w:p>
    <w:p w:rsidR="003A6461" w:rsidRPr="00AE0D55" w:rsidRDefault="003A6461" w:rsidP="003A6461">
      <w:pPr>
        <w:ind w:firstLine="720"/>
        <w:contextualSpacing/>
        <w:jc w:val="both"/>
        <w:rPr>
          <w:color w:val="FF0000"/>
          <w:sz w:val="26"/>
          <w:szCs w:val="26"/>
        </w:rPr>
      </w:pPr>
      <w:r w:rsidRPr="00AE0D55">
        <w:rPr>
          <w:sz w:val="26"/>
          <w:szCs w:val="26"/>
        </w:rPr>
        <w:t>4.1</w:t>
      </w:r>
      <w:r>
        <w:rPr>
          <w:sz w:val="26"/>
          <w:szCs w:val="26"/>
        </w:rPr>
        <w:t>7</w:t>
      </w:r>
      <w:r w:rsidRPr="00AE0D55">
        <w:rPr>
          <w:sz w:val="26"/>
          <w:szCs w:val="26"/>
        </w:rPr>
        <w:t>. nodokļa maksātāja, kas piemēro atlaidi par atbalstāmo investīciju projekta ietvaros veiktajiem sākotnējiem ilgtermiņa ieguldījumiem saskaņā ar likuma „Par uzņēmumu ienākuma nodokli” 17.</w:t>
      </w:r>
      <w:r w:rsidRPr="00AE0D55">
        <w:rPr>
          <w:sz w:val="26"/>
          <w:szCs w:val="26"/>
          <w:vertAlign w:val="superscript"/>
        </w:rPr>
        <w:t>2</w:t>
      </w:r>
      <w:r w:rsidRPr="00AE0D55">
        <w:rPr>
          <w:sz w:val="26"/>
          <w:szCs w:val="26"/>
        </w:rPr>
        <w:t>pantu, deklarācijas 7</w:t>
      </w:r>
      <w:r>
        <w:rPr>
          <w:sz w:val="26"/>
          <w:szCs w:val="26"/>
        </w:rPr>
        <w:t>9</w:t>
      </w:r>
      <w:r w:rsidRPr="00AE0D55">
        <w:rPr>
          <w:sz w:val="26"/>
          <w:szCs w:val="26"/>
        </w:rPr>
        <w:t>., 8</w:t>
      </w:r>
      <w:r>
        <w:rPr>
          <w:sz w:val="26"/>
          <w:szCs w:val="26"/>
        </w:rPr>
        <w:t>2</w:t>
      </w:r>
      <w:r w:rsidRPr="00AE0D55">
        <w:rPr>
          <w:sz w:val="26"/>
          <w:szCs w:val="26"/>
        </w:rPr>
        <w:t>. un 8</w:t>
      </w:r>
      <w:r>
        <w:rPr>
          <w:sz w:val="26"/>
          <w:szCs w:val="26"/>
        </w:rPr>
        <w:t>5</w:t>
      </w:r>
      <w:r w:rsidRPr="00AE0D55">
        <w:rPr>
          <w:sz w:val="26"/>
          <w:szCs w:val="26"/>
        </w:rPr>
        <w:t>.rindā uzrādītā summa ir vienāda ar deklarācijas 7</w:t>
      </w:r>
      <w:r>
        <w:rPr>
          <w:sz w:val="26"/>
          <w:szCs w:val="26"/>
        </w:rPr>
        <w:t>7</w:t>
      </w:r>
      <w:r w:rsidRPr="00AE0D55">
        <w:rPr>
          <w:sz w:val="26"/>
          <w:szCs w:val="26"/>
        </w:rPr>
        <w:t>.rindā uzrādīto summu;</w:t>
      </w:r>
    </w:p>
    <w:p w:rsidR="003A6461" w:rsidRDefault="003A6461" w:rsidP="003A6461">
      <w:pPr>
        <w:ind w:firstLine="720"/>
        <w:contextualSpacing/>
        <w:jc w:val="both"/>
        <w:rPr>
          <w:sz w:val="26"/>
          <w:szCs w:val="26"/>
        </w:rPr>
      </w:pPr>
      <w:r w:rsidRPr="00AE0D55">
        <w:rPr>
          <w:sz w:val="26"/>
          <w:szCs w:val="26"/>
        </w:rPr>
        <w:t>4.1</w:t>
      </w:r>
      <w:r>
        <w:rPr>
          <w:sz w:val="26"/>
          <w:szCs w:val="26"/>
        </w:rPr>
        <w:t>8</w:t>
      </w:r>
      <w:r w:rsidRPr="00AE0D55">
        <w:rPr>
          <w:sz w:val="26"/>
          <w:szCs w:val="26"/>
        </w:rPr>
        <w:t>. nodokļa maksātājs, kas</w:t>
      </w:r>
      <w:r w:rsidRPr="00AE0D55">
        <w:rPr>
          <w:color w:val="FF0000"/>
          <w:sz w:val="26"/>
          <w:szCs w:val="26"/>
        </w:rPr>
        <w:t xml:space="preserve"> </w:t>
      </w:r>
      <w:r w:rsidRPr="00AE0D55">
        <w:rPr>
          <w:sz w:val="26"/>
          <w:szCs w:val="26"/>
        </w:rPr>
        <w:t xml:space="preserve">piemēro nodokļa atlaides saskaņā ar citiem Latvijas Republikas likumiem (piemēram, likums „Par nodokļu piemērošanu brīvostās un speciālajās ekonomiskajās zonās”), deklarācijas </w:t>
      </w:r>
      <w:r>
        <w:rPr>
          <w:sz w:val="26"/>
          <w:szCs w:val="26"/>
        </w:rPr>
        <w:t>80</w:t>
      </w:r>
      <w:r w:rsidRPr="00AE0D55">
        <w:rPr>
          <w:sz w:val="26"/>
          <w:szCs w:val="26"/>
        </w:rPr>
        <w:t>., 8</w:t>
      </w:r>
      <w:r>
        <w:rPr>
          <w:sz w:val="26"/>
          <w:szCs w:val="26"/>
        </w:rPr>
        <w:t>1</w:t>
      </w:r>
      <w:r w:rsidRPr="00AE0D55">
        <w:rPr>
          <w:sz w:val="26"/>
          <w:szCs w:val="26"/>
        </w:rPr>
        <w:t>., 8</w:t>
      </w:r>
      <w:r>
        <w:rPr>
          <w:sz w:val="26"/>
          <w:szCs w:val="26"/>
        </w:rPr>
        <w:t>2</w:t>
      </w:r>
      <w:r w:rsidRPr="00AE0D55">
        <w:rPr>
          <w:sz w:val="26"/>
          <w:szCs w:val="26"/>
        </w:rPr>
        <w:t>., 8</w:t>
      </w:r>
      <w:r>
        <w:rPr>
          <w:sz w:val="26"/>
          <w:szCs w:val="26"/>
        </w:rPr>
        <w:t>3</w:t>
      </w:r>
      <w:r w:rsidRPr="00AE0D55">
        <w:rPr>
          <w:sz w:val="26"/>
          <w:szCs w:val="26"/>
        </w:rPr>
        <w:t>. un 8</w:t>
      </w:r>
      <w:r>
        <w:rPr>
          <w:sz w:val="26"/>
          <w:szCs w:val="26"/>
        </w:rPr>
        <w:t>4</w:t>
      </w:r>
      <w:r w:rsidRPr="00AE0D55">
        <w:rPr>
          <w:sz w:val="26"/>
          <w:szCs w:val="26"/>
        </w:rPr>
        <w:t xml:space="preserve">.rindu neaizpilda, un deklarācijas </w:t>
      </w:r>
      <w:r w:rsidRPr="0064758A">
        <w:rPr>
          <w:sz w:val="26"/>
          <w:szCs w:val="26"/>
        </w:rPr>
        <w:t>79</w:t>
      </w:r>
      <w:r w:rsidRPr="00AE0D55">
        <w:rPr>
          <w:sz w:val="26"/>
          <w:szCs w:val="26"/>
        </w:rPr>
        <w:t xml:space="preserve">.rindā norādītā nodokļa summa ir vienāda ar deklarācijas </w:t>
      </w:r>
      <w:r w:rsidRPr="0064758A">
        <w:rPr>
          <w:sz w:val="26"/>
          <w:szCs w:val="26"/>
        </w:rPr>
        <w:t>85</w:t>
      </w:r>
      <w:r w:rsidRPr="00AE0D55">
        <w:rPr>
          <w:sz w:val="26"/>
          <w:szCs w:val="26"/>
        </w:rPr>
        <w:t>.rindā norādīto summu;</w:t>
      </w:r>
    </w:p>
    <w:p w:rsidR="003A6461" w:rsidRDefault="003A6461" w:rsidP="003A6461">
      <w:pPr>
        <w:pStyle w:val="naisf"/>
        <w:spacing w:before="0" w:beforeAutospacing="0" w:after="0" w:afterAutospacing="0"/>
        <w:ind w:firstLine="714"/>
        <w:contextualSpacing/>
        <w:jc w:val="both"/>
        <w:rPr>
          <w:sz w:val="26"/>
          <w:szCs w:val="26"/>
        </w:rPr>
      </w:pPr>
      <w:r w:rsidRPr="00A33DAD">
        <w:rPr>
          <w:sz w:val="26"/>
          <w:szCs w:val="26"/>
        </w:rPr>
        <w:t xml:space="preserve">4.19. deklarācijas </w:t>
      </w:r>
      <w:r>
        <w:rPr>
          <w:sz w:val="26"/>
          <w:szCs w:val="26"/>
        </w:rPr>
        <w:t>2</w:t>
      </w:r>
      <w:r w:rsidRPr="00A33DAD">
        <w:rPr>
          <w:sz w:val="26"/>
          <w:szCs w:val="26"/>
        </w:rPr>
        <w:t xml:space="preserve">.pielikumu aizpilda par jebkuriem darījumiem, kas veikti ar </w:t>
      </w:r>
      <w:bookmarkStart w:id="0" w:name="bkm27"/>
      <w:r w:rsidRPr="00A33DAD">
        <w:rPr>
          <w:sz w:val="26"/>
          <w:szCs w:val="26"/>
        </w:rPr>
        <w:t xml:space="preserve">uzņēmumu saistītu personu, saistītu ārvalstu uzņēmumu vai komercsabiedrību, kura ir atbrīvota no uzņēmumu ienākuma nodokļa vai kura izmanto citos Latvijas Republikas likumos noteiktās uzņēmumu ienākuma nodokļa atlaides vai atvieglojumus, vai saistītu uzņēmumu, kas ar nodokļa maksātāju veido vienu šā likuma </w:t>
      </w:r>
      <w:bookmarkEnd w:id="0"/>
      <w:r w:rsidRPr="00A33DAD">
        <w:rPr>
          <w:sz w:val="26"/>
          <w:szCs w:val="26"/>
        </w:rPr>
        <w:t>14.</w:t>
      </w:r>
      <w:r w:rsidRPr="00A33DAD">
        <w:rPr>
          <w:sz w:val="26"/>
          <w:szCs w:val="26"/>
          <w:vertAlign w:val="superscript"/>
        </w:rPr>
        <w:t>1</w:t>
      </w:r>
      <w:r w:rsidRPr="00A33DAD">
        <w:rPr>
          <w:sz w:val="26"/>
          <w:szCs w:val="26"/>
        </w:rPr>
        <w:t xml:space="preserve"> pantā noteikto uzņēmumu grupu. Aizpildot deklarācijas </w:t>
      </w:r>
      <w:r>
        <w:rPr>
          <w:sz w:val="26"/>
          <w:szCs w:val="26"/>
        </w:rPr>
        <w:t>2</w:t>
      </w:r>
      <w:r w:rsidRPr="00A33DAD">
        <w:rPr>
          <w:sz w:val="26"/>
          <w:szCs w:val="26"/>
        </w:rPr>
        <w:t>.pielikumu, ja vairākos darījumos ar vienu un to pašu personu izmantotās tirgus vērtības (cenas) noteikšanas metodes atsevišķiem darījumiem ir dažādas, vai atsevišķi darījumi ir veikti par cenām, kas neatbilst tirgus vērtībai, tad šo darījumu summas uzrāda katru savā rindā;</w:t>
      </w:r>
      <w:r>
        <w:rPr>
          <w:sz w:val="26"/>
          <w:szCs w:val="26"/>
        </w:rPr>
        <w:t xml:space="preserve"> </w:t>
      </w:r>
    </w:p>
    <w:p w:rsidR="003A6461" w:rsidRDefault="003A6461" w:rsidP="003A6461">
      <w:pPr>
        <w:pStyle w:val="naisf"/>
        <w:spacing w:before="0" w:beforeAutospacing="0" w:after="0" w:afterAutospacing="0"/>
        <w:ind w:firstLine="714"/>
        <w:contextualSpacing/>
        <w:jc w:val="both"/>
        <w:rPr>
          <w:sz w:val="26"/>
          <w:szCs w:val="26"/>
        </w:rPr>
      </w:pPr>
      <w:r>
        <w:rPr>
          <w:sz w:val="26"/>
          <w:szCs w:val="26"/>
        </w:rPr>
        <w:t>4.20. deklarācijas 2.pielikuma tabulas 9.ailē uzrādīto tirgus vērtības (cenas) un darījuma vērtības (cenas) starpību uzrāda deklarācijas 32.rindā;</w:t>
      </w:r>
    </w:p>
    <w:p w:rsidR="003A6461" w:rsidRDefault="003A6461" w:rsidP="003A6461">
      <w:pPr>
        <w:pStyle w:val="naisf"/>
        <w:spacing w:before="0" w:beforeAutospacing="0" w:after="0" w:afterAutospacing="0"/>
        <w:ind w:firstLine="714"/>
        <w:contextualSpacing/>
        <w:jc w:val="both"/>
        <w:rPr>
          <w:sz w:val="26"/>
          <w:szCs w:val="26"/>
        </w:rPr>
      </w:pPr>
      <w:r>
        <w:rPr>
          <w:sz w:val="26"/>
          <w:szCs w:val="26"/>
        </w:rPr>
        <w:t>4.21. deklarācijas  2.pielikuma tabulas 10.ailē uzrādīto tirgus vērtības (cenas) un darījuma vērtības (cenas) starpību uzrāda deklarācijas 61.rindā;</w:t>
      </w:r>
    </w:p>
    <w:p w:rsidR="003A6461" w:rsidRPr="00AE0D55" w:rsidRDefault="003A6461" w:rsidP="003A6461">
      <w:pPr>
        <w:pStyle w:val="naisf"/>
        <w:spacing w:before="0" w:beforeAutospacing="0" w:after="0" w:afterAutospacing="0"/>
        <w:ind w:firstLine="714"/>
        <w:contextualSpacing/>
        <w:jc w:val="both"/>
        <w:rPr>
          <w:sz w:val="26"/>
          <w:szCs w:val="26"/>
        </w:rPr>
      </w:pPr>
      <w:r w:rsidRPr="00AE0D55">
        <w:rPr>
          <w:sz w:val="26"/>
          <w:szCs w:val="26"/>
        </w:rPr>
        <w:t>4.</w:t>
      </w:r>
      <w:r>
        <w:rPr>
          <w:sz w:val="26"/>
          <w:szCs w:val="26"/>
        </w:rPr>
        <w:t>22</w:t>
      </w:r>
      <w:r w:rsidRPr="00AE0D55">
        <w:rPr>
          <w:sz w:val="26"/>
          <w:szCs w:val="26"/>
        </w:rPr>
        <w:t xml:space="preserve">. deklarācijas </w:t>
      </w:r>
      <w:r>
        <w:rPr>
          <w:sz w:val="26"/>
          <w:szCs w:val="26"/>
        </w:rPr>
        <w:t>4</w:t>
      </w:r>
      <w:r w:rsidRPr="00AE0D55">
        <w:rPr>
          <w:sz w:val="26"/>
          <w:szCs w:val="26"/>
        </w:rPr>
        <w:t xml:space="preserve">.pielikuma </w:t>
      </w:r>
      <w:proofErr w:type="spellStart"/>
      <w:r w:rsidRPr="00AE0D55">
        <w:rPr>
          <w:sz w:val="26"/>
          <w:szCs w:val="26"/>
        </w:rPr>
        <w:t>I.sadaļu</w:t>
      </w:r>
      <w:proofErr w:type="spellEnd"/>
      <w:r w:rsidRPr="00AE0D55">
        <w:rPr>
          <w:sz w:val="26"/>
          <w:szCs w:val="26"/>
        </w:rPr>
        <w:t xml:space="preserve"> aizpilda, ja nodokļa maksātājs pārņem zaudējumus no cita uzņēmumu grupas dalībnieka. Deklarācijas </w:t>
      </w:r>
      <w:r>
        <w:rPr>
          <w:sz w:val="26"/>
          <w:szCs w:val="26"/>
        </w:rPr>
        <w:t>4</w:t>
      </w:r>
      <w:r w:rsidRPr="00AE0D55">
        <w:rPr>
          <w:sz w:val="26"/>
          <w:szCs w:val="26"/>
        </w:rPr>
        <w:t xml:space="preserve">.pielikuma </w:t>
      </w:r>
      <w:proofErr w:type="spellStart"/>
      <w:r w:rsidRPr="00AE0D55">
        <w:rPr>
          <w:sz w:val="26"/>
          <w:szCs w:val="26"/>
        </w:rPr>
        <w:t>I.sadaļas</w:t>
      </w:r>
      <w:proofErr w:type="spellEnd"/>
      <w:r w:rsidRPr="00AE0D55">
        <w:rPr>
          <w:sz w:val="26"/>
          <w:szCs w:val="26"/>
        </w:rPr>
        <w:t xml:space="preserve"> tabulā uzrādīto zaudējumu summu uzrāda deklarācijas 7</w:t>
      </w:r>
      <w:r>
        <w:rPr>
          <w:sz w:val="26"/>
          <w:szCs w:val="26"/>
        </w:rPr>
        <w:t>1</w:t>
      </w:r>
      <w:r w:rsidRPr="00AE0D55">
        <w:rPr>
          <w:sz w:val="26"/>
          <w:szCs w:val="26"/>
        </w:rPr>
        <w:t>.5.rindā;</w:t>
      </w:r>
    </w:p>
    <w:p w:rsidR="003A6461" w:rsidRDefault="003A6461" w:rsidP="003A6461">
      <w:pPr>
        <w:pStyle w:val="naisf"/>
        <w:spacing w:before="0" w:beforeAutospacing="0" w:after="0" w:afterAutospacing="0"/>
        <w:ind w:firstLine="714"/>
        <w:contextualSpacing/>
        <w:jc w:val="both"/>
        <w:rPr>
          <w:sz w:val="26"/>
          <w:szCs w:val="26"/>
        </w:rPr>
      </w:pPr>
      <w:r w:rsidRPr="00AE0D55">
        <w:rPr>
          <w:sz w:val="26"/>
          <w:szCs w:val="26"/>
        </w:rPr>
        <w:t>4.</w:t>
      </w:r>
      <w:r>
        <w:rPr>
          <w:sz w:val="26"/>
          <w:szCs w:val="26"/>
        </w:rPr>
        <w:t>23.</w:t>
      </w:r>
      <w:r w:rsidRPr="00AE0D55">
        <w:rPr>
          <w:sz w:val="26"/>
          <w:szCs w:val="26"/>
        </w:rPr>
        <w:t xml:space="preserve"> deklarācijas </w:t>
      </w:r>
      <w:r>
        <w:rPr>
          <w:sz w:val="26"/>
          <w:szCs w:val="26"/>
        </w:rPr>
        <w:t>4</w:t>
      </w:r>
      <w:r w:rsidRPr="00AE0D55">
        <w:rPr>
          <w:sz w:val="26"/>
          <w:szCs w:val="26"/>
        </w:rPr>
        <w:t xml:space="preserve">.pielikuma </w:t>
      </w:r>
      <w:proofErr w:type="spellStart"/>
      <w:r w:rsidRPr="00AE0D55">
        <w:rPr>
          <w:sz w:val="26"/>
          <w:szCs w:val="26"/>
        </w:rPr>
        <w:t>II.sadaļu</w:t>
      </w:r>
      <w:proofErr w:type="spellEnd"/>
      <w:r w:rsidRPr="00AE0D55">
        <w:rPr>
          <w:sz w:val="26"/>
          <w:szCs w:val="26"/>
        </w:rPr>
        <w:t xml:space="preserve"> aizpilda, ja nodokļa maksātājs pārnes zaudējumus uz citu uzņēmumu grupas dalībnieku. Deklarācijas </w:t>
      </w:r>
      <w:r>
        <w:rPr>
          <w:sz w:val="26"/>
          <w:szCs w:val="26"/>
        </w:rPr>
        <w:t>4</w:t>
      </w:r>
      <w:r w:rsidRPr="00AE0D55">
        <w:rPr>
          <w:sz w:val="26"/>
          <w:szCs w:val="26"/>
        </w:rPr>
        <w:t xml:space="preserve">.pielikuma </w:t>
      </w:r>
      <w:proofErr w:type="spellStart"/>
      <w:r w:rsidRPr="00AE0D55">
        <w:rPr>
          <w:sz w:val="26"/>
          <w:szCs w:val="26"/>
        </w:rPr>
        <w:t>II.sadaļas</w:t>
      </w:r>
      <w:proofErr w:type="spellEnd"/>
      <w:r w:rsidRPr="00AE0D55">
        <w:rPr>
          <w:sz w:val="26"/>
          <w:szCs w:val="26"/>
        </w:rPr>
        <w:t xml:space="preserve"> tabulā uzrādīto zaudējumu summu uzrāda deklarācijas 7</w:t>
      </w:r>
      <w:r>
        <w:rPr>
          <w:sz w:val="26"/>
          <w:szCs w:val="26"/>
        </w:rPr>
        <w:t>1</w:t>
      </w:r>
      <w:r w:rsidRPr="00AE0D55">
        <w:rPr>
          <w:sz w:val="26"/>
          <w:szCs w:val="26"/>
        </w:rPr>
        <w:t>.6.rindā</w:t>
      </w:r>
      <w:r>
        <w:rPr>
          <w:sz w:val="26"/>
          <w:szCs w:val="26"/>
        </w:rPr>
        <w:t>;</w:t>
      </w:r>
    </w:p>
    <w:p w:rsidR="003A6461" w:rsidRPr="00DF10BD" w:rsidRDefault="003A6461" w:rsidP="003A6461">
      <w:pPr>
        <w:pStyle w:val="naisf"/>
        <w:spacing w:before="0" w:beforeAutospacing="0" w:after="0" w:afterAutospacing="0"/>
        <w:ind w:firstLine="714"/>
        <w:contextualSpacing/>
        <w:jc w:val="both"/>
        <w:rPr>
          <w:sz w:val="26"/>
          <w:szCs w:val="26"/>
        </w:rPr>
      </w:pPr>
      <w:r w:rsidRPr="00BA00BD">
        <w:rPr>
          <w:sz w:val="26"/>
          <w:szCs w:val="26"/>
        </w:rPr>
        <w:t>4.2</w:t>
      </w:r>
      <w:r>
        <w:rPr>
          <w:sz w:val="26"/>
          <w:szCs w:val="26"/>
        </w:rPr>
        <w:t>4</w:t>
      </w:r>
      <w:r w:rsidRPr="00BA00BD">
        <w:rPr>
          <w:sz w:val="26"/>
          <w:szCs w:val="26"/>
        </w:rPr>
        <w:t>. deklarācijas 5.pielikumu aizpilda tikai par taksācijas periodu</w:t>
      </w:r>
      <w:r>
        <w:rPr>
          <w:sz w:val="26"/>
          <w:szCs w:val="26"/>
        </w:rPr>
        <w:t>,</w:t>
      </w:r>
      <w:r w:rsidRPr="00BA00BD">
        <w:rPr>
          <w:sz w:val="26"/>
          <w:szCs w:val="26"/>
        </w:rPr>
        <w:t xml:space="preserve"> kurā pabeigts saskaņā ar Ministru kabineta pieņemto lēmumu atbalstītais investīciju projekts sākotnējiem ilgtermiņa ieguldījumiem,</w:t>
      </w:r>
      <w:r w:rsidRPr="00DF10BD">
        <w:rPr>
          <w:sz w:val="26"/>
          <w:szCs w:val="26"/>
        </w:rPr>
        <w:t xml:space="preserve"> kā arī par taksācijas periodiem, kuros piemēro nodokļa atlaidi saskaņā ar likuma 17.</w:t>
      </w:r>
      <w:r w:rsidRPr="00DF10BD">
        <w:rPr>
          <w:sz w:val="26"/>
          <w:szCs w:val="26"/>
          <w:vertAlign w:val="superscript"/>
        </w:rPr>
        <w:t>2</w:t>
      </w:r>
      <w:r w:rsidRPr="00DF10BD">
        <w:rPr>
          <w:sz w:val="26"/>
          <w:szCs w:val="26"/>
        </w:rPr>
        <w:t>pantu.</w:t>
      </w:r>
    </w:p>
    <w:p w:rsidR="003A6461" w:rsidRPr="00AE0D55" w:rsidRDefault="003A6461" w:rsidP="003A6461">
      <w:pPr>
        <w:pStyle w:val="naisf"/>
        <w:spacing w:before="0" w:beforeAutospacing="0" w:after="0" w:afterAutospacing="0"/>
        <w:ind w:firstLine="714"/>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 xml:space="preserve">5. Deklarāciju (2.pielikumu) aizpilda Dzīvokļu īpašnieku kooperatīvās sabiedrības, </w:t>
      </w:r>
      <w:r w:rsidRPr="00AE0D55">
        <w:rPr>
          <w:sz w:val="26"/>
          <w:szCs w:val="26"/>
          <w:lang w:bidi="ml-IN"/>
        </w:rPr>
        <w:t>automašīnu garāžu īpašnieku kooperatīvās sabiedrības, laivu garāžu īpašnieku kooperatīvās sabiedrības un dārzkopības kooperatīvās sabiedrības</w:t>
      </w:r>
      <w:r w:rsidRPr="00AE0D55">
        <w:rPr>
          <w:sz w:val="26"/>
          <w:szCs w:val="26"/>
        </w:rPr>
        <w:t>.</w:t>
      </w:r>
    </w:p>
    <w:p w:rsidR="003A6461" w:rsidRPr="00AE0D55" w:rsidRDefault="003A6461" w:rsidP="003A6461">
      <w:pPr>
        <w:ind w:firstLine="720"/>
        <w:contextualSpacing/>
        <w:jc w:val="both"/>
        <w:rPr>
          <w:sz w:val="26"/>
          <w:szCs w:val="26"/>
        </w:rPr>
      </w:pPr>
    </w:p>
    <w:p w:rsidR="003A6461" w:rsidRPr="00AE0D55" w:rsidRDefault="003A6461" w:rsidP="003A6461">
      <w:pPr>
        <w:pStyle w:val="Heading1"/>
        <w:ind w:firstLine="720"/>
        <w:jc w:val="both"/>
        <w:rPr>
          <w:b w:val="0"/>
          <w:sz w:val="26"/>
          <w:szCs w:val="26"/>
        </w:rPr>
      </w:pPr>
      <w:r w:rsidRPr="00AE0D55">
        <w:rPr>
          <w:b w:val="0"/>
          <w:sz w:val="26"/>
          <w:szCs w:val="26"/>
        </w:rPr>
        <w:lastRenderedPageBreak/>
        <w:t>6. Deklarāciju (3.pielikumu) aizpilda Lauksaimniecības pakalpojumu kooperatīvās sabiedrības, kas atbilst normatīvajos aktos noteiktajiem kritērijiem par atbalsta saņemšanu lauku attīstībai.</w:t>
      </w:r>
    </w:p>
    <w:p w:rsidR="003A6461" w:rsidRPr="00AE0D55" w:rsidRDefault="003A6461" w:rsidP="003A6461">
      <w:pPr>
        <w:ind w:firstLine="720"/>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7. Avansa maksājumu aprēķinu (4.pielikums) aizpilda šādā kārtībā:</w:t>
      </w:r>
    </w:p>
    <w:p w:rsidR="003A6461" w:rsidRPr="00AE0D55" w:rsidRDefault="003A6461" w:rsidP="003A6461">
      <w:pPr>
        <w:ind w:firstLine="720"/>
        <w:contextualSpacing/>
        <w:jc w:val="both"/>
        <w:rPr>
          <w:sz w:val="26"/>
          <w:szCs w:val="26"/>
        </w:rPr>
      </w:pPr>
      <w:r w:rsidRPr="00AE0D55">
        <w:rPr>
          <w:sz w:val="26"/>
          <w:szCs w:val="26"/>
        </w:rPr>
        <w:t>7.1. avansa maksājumu aprēķina 1.rindā nodokļa maksātājs, kura pirmstaksācijas periods ir īsāks vai garāks par 12 mēnešiem, aprēķinot uzņēmumu ienākuma nodokļa avansa maksājumu summu, aprēķināto pirms</w:t>
      </w:r>
      <w:r w:rsidRPr="00AE0D55">
        <w:rPr>
          <w:sz w:val="26"/>
          <w:szCs w:val="26"/>
        </w:rPr>
        <w:softHyphen/>
        <w:t>taksācijas perioda uzņēmumu ienākuma nodokļa summu dala ar pirmstaksācijas periodā nostrādāto mēnešu skaitu un reizina ar 12;</w:t>
      </w:r>
    </w:p>
    <w:p w:rsidR="003A6461" w:rsidRPr="00AE0D55" w:rsidRDefault="003A6461" w:rsidP="003A6461">
      <w:pPr>
        <w:ind w:firstLine="720"/>
        <w:contextualSpacing/>
        <w:jc w:val="both"/>
        <w:rPr>
          <w:sz w:val="26"/>
          <w:szCs w:val="26"/>
        </w:rPr>
      </w:pPr>
      <w:r w:rsidRPr="00AE0D55">
        <w:rPr>
          <w:sz w:val="26"/>
          <w:szCs w:val="26"/>
        </w:rPr>
        <w:t>7.2. avansa maksājumu aprēķina 4.rindā, aprēķinot uzņēmumu ienākuma nodokļa avansa maksājumu ikmēneša summu - no uzņēmumu ienākuma nodokļa summas, kas ir koriģēta ar Centrālās statistiskas pārvaldes noteikto pirms</w:t>
      </w:r>
      <w:r w:rsidRPr="00AE0D55">
        <w:rPr>
          <w:sz w:val="26"/>
          <w:szCs w:val="26"/>
        </w:rPr>
        <w:softHyphen/>
        <w:t>taksācijas gada kopējo patēriņa cenu indeksu, atņem taksācijas periodā samaksāto uzņēmumu ienākuma nodokļa avansa maksājumu summu un iegūto starpību dala ar atlikušo mēnešu skaitu taksācijas periodā.</w:t>
      </w:r>
    </w:p>
    <w:p w:rsidR="003A6461" w:rsidRPr="00AE0D55" w:rsidRDefault="003A6461" w:rsidP="003A6461">
      <w:pPr>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8. Deklarāciju aizpilda, aprēķinot nodokli par taksācijas periodu, kas sākas 2011.gadā, un turpmākajiem taksācijas periodiem.</w:t>
      </w:r>
    </w:p>
    <w:p w:rsidR="003A6461" w:rsidRPr="00AE0D55" w:rsidRDefault="003A6461" w:rsidP="003A6461">
      <w:pPr>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9. Avansa maksājumu aprēķinu aizpilda, aprēķinot avansa maksājumu par taksācijas perioda atlikušajiem mēnešiem pēc taksācijas perioda, kas sākas 2011.gadā, deklarācijas iesniegšanas un turpmākajiem taksācijas periodiem.</w:t>
      </w:r>
    </w:p>
    <w:p w:rsidR="003A6461" w:rsidRPr="00AE0D55" w:rsidRDefault="003A6461" w:rsidP="003A6461">
      <w:pPr>
        <w:contextualSpacing/>
        <w:jc w:val="both"/>
        <w:rPr>
          <w:sz w:val="26"/>
          <w:szCs w:val="26"/>
        </w:rPr>
      </w:pPr>
    </w:p>
    <w:p w:rsidR="003A6461" w:rsidRPr="00AE0D55" w:rsidRDefault="003A6461" w:rsidP="003A6461">
      <w:pPr>
        <w:ind w:firstLine="720"/>
        <w:contextualSpacing/>
        <w:jc w:val="both"/>
        <w:rPr>
          <w:sz w:val="26"/>
          <w:szCs w:val="26"/>
        </w:rPr>
      </w:pPr>
      <w:r w:rsidRPr="00AE0D55">
        <w:rPr>
          <w:sz w:val="26"/>
          <w:szCs w:val="26"/>
        </w:rPr>
        <w:t>10. Atzīt par spēku zaudējušiem Ministru kabineta 2007.gada 11.decembra noteikumus Nr.852 „Noteikumi par uzņēmumu ienākuma nodokļa taksācijas gada deklarāciju un tās aizpildīšanas kārtību” (Latvijas Vēstnesis, 2007, 201.nr.).</w:t>
      </w:r>
    </w:p>
    <w:p w:rsidR="003A6461" w:rsidRPr="00AE0D55" w:rsidRDefault="003A6461" w:rsidP="003A6461">
      <w:pPr>
        <w:contextualSpacing/>
        <w:rPr>
          <w:bCs/>
          <w:sz w:val="26"/>
          <w:szCs w:val="26"/>
        </w:rPr>
      </w:pPr>
    </w:p>
    <w:p w:rsidR="003A6461" w:rsidRPr="00AE0D55" w:rsidRDefault="003A6461" w:rsidP="003A6461">
      <w:pPr>
        <w:contextualSpacing/>
        <w:rPr>
          <w:bCs/>
          <w:sz w:val="26"/>
          <w:szCs w:val="26"/>
        </w:rPr>
      </w:pPr>
    </w:p>
    <w:p w:rsidR="003A6461" w:rsidRPr="00AE0D55" w:rsidRDefault="003A6461" w:rsidP="003A6461">
      <w:pPr>
        <w:contextualSpacing/>
        <w:rPr>
          <w:bCs/>
          <w:sz w:val="26"/>
          <w:szCs w:val="26"/>
        </w:rPr>
      </w:pPr>
      <w:r w:rsidRPr="00AE0D55">
        <w:rPr>
          <w:bCs/>
          <w:sz w:val="26"/>
          <w:szCs w:val="26"/>
        </w:rPr>
        <w:t xml:space="preserve">Ministru prezidents                                                                      </w:t>
      </w:r>
      <w:proofErr w:type="spellStart"/>
      <w:r w:rsidRPr="00AE0D55">
        <w:rPr>
          <w:bCs/>
          <w:sz w:val="26"/>
          <w:szCs w:val="26"/>
        </w:rPr>
        <w:t>V.Dombrovskis</w:t>
      </w:r>
      <w:proofErr w:type="spellEnd"/>
    </w:p>
    <w:p w:rsidR="003A6461" w:rsidRPr="00AE0D55" w:rsidRDefault="003A6461" w:rsidP="003A6461">
      <w:pPr>
        <w:contextualSpacing/>
        <w:rPr>
          <w:bCs/>
          <w:sz w:val="26"/>
          <w:szCs w:val="26"/>
        </w:rPr>
      </w:pPr>
    </w:p>
    <w:p w:rsidR="005D541E" w:rsidRPr="005D541E" w:rsidRDefault="005D541E" w:rsidP="005D541E">
      <w:pPr>
        <w:rPr>
          <w:sz w:val="26"/>
          <w:szCs w:val="26"/>
        </w:rPr>
      </w:pPr>
      <w:r w:rsidRPr="005D541E">
        <w:rPr>
          <w:sz w:val="26"/>
          <w:szCs w:val="26"/>
        </w:rPr>
        <w:t xml:space="preserve">Finanšu ministra vietā – </w:t>
      </w:r>
    </w:p>
    <w:p w:rsidR="005D541E" w:rsidRPr="005D541E" w:rsidRDefault="005D541E" w:rsidP="005D541E">
      <w:pPr>
        <w:rPr>
          <w:sz w:val="26"/>
          <w:szCs w:val="26"/>
        </w:rPr>
      </w:pPr>
      <w:r w:rsidRPr="005D541E">
        <w:rPr>
          <w:sz w:val="26"/>
          <w:szCs w:val="26"/>
        </w:rPr>
        <w:t xml:space="preserve">tieslietu ministrs                                                                           G.Bērziņš </w:t>
      </w:r>
    </w:p>
    <w:p w:rsidR="003A6461" w:rsidRPr="005D541E" w:rsidRDefault="003A6461" w:rsidP="003A6461">
      <w:pPr>
        <w:contextualSpacing/>
        <w:jc w:val="both"/>
        <w:rPr>
          <w:sz w:val="26"/>
          <w:szCs w:val="26"/>
        </w:rPr>
      </w:pPr>
    </w:p>
    <w:p w:rsidR="003A6461" w:rsidRPr="00AE0D55" w:rsidRDefault="003A6461" w:rsidP="003A6461">
      <w:pPr>
        <w:ind w:firstLine="142"/>
        <w:contextualSpacing/>
        <w:rPr>
          <w:sz w:val="26"/>
          <w:szCs w:val="26"/>
        </w:rPr>
      </w:pPr>
    </w:p>
    <w:p w:rsidR="003A6461" w:rsidRPr="00AE0D55" w:rsidRDefault="003A6461" w:rsidP="003A6461">
      <w:pPr>
        <w:ind w:firstLine="142"/>
        <w:contextualSpacing/>
        <w:rPr>
          <w:sz w:val="26"/>
          <w:szCs w:val="26"/>
        </w:rPr>
      </w:pPr>
    </w:p>
    <w:p w:rsidR="003A6461" w:rsidRDefault="003A6461" w:rsidP="003A6461">
      <w:pPr>
        <w:ind w:firstLine="142"/>
        <w:contextualSpacing/>
        <w:rPr>
          <w:sz w:val="26"/>
          <w:szCs w:val="26"/>
        </w:rPr>
      </w:pPr>
    </w:p>
    <w:p w:rsidR="003A6461" w:rsidRDefault="003A6461" w:rsidP="003A6461">
      <w:pPr>
        <w:ind w:firstLine="142"/>
        <w:contextualSpacing/>
        <w:rPr>
          <w:sz w:val="26"/>
          <w:szCs w:val="26"/>
        </w:rPr>
      </w:pPr>
    </w:p>
    <w:p w:rsidR="003A6461" w:rsidRDefault="003A6461" w:rsidP="003A6461">
      <w:pPr>
        <w:ind w:firstLine="142"/>
        <w:contextualSpacing/>
        <w:rPr>
          <w:sz w:val="26"/>
          <w:szCs w:val="26"/>
        </w:rPr>
      </w:pPr>
    </w:p>
    <w:p w:rsidR="003A6461" w:rsidRDefault="003A6461" w:rsidP="003A6461">
      <w:pPr>
        <w:ind w:firstLine="142"/>
        <w:contextualSpacing/>
        <w:rPr>
          <w:sz w:val="26"/>
          <w:szCs w:val="26"/>
        </w:rPr>
      </w:pPr>
    </w:p>
    <w:p w:rsidR="003A6461" w:rsidRPr="00AE0D55" w:rsidRDefault="003A6461" w:rsidP="003A6461">
      <w:pPr>
        <w:ind w:firstLine="142"/>
        <w:contextualSpacing/>
        <w:rPr>
          <w:sz w:val="26"/>
          <w:szCs w:val="26"/>
        </w:rPr>
      </w:pPr>
    </w:p>
    <w:p w:rsidR="003A6461" w:rsidRPr="00AE0D55" w:rsidRDefault="003A6461" w:rsidP="003A6461">
      <w:pPr>
        <w:ind w:firstLine="142"/>
        <w:contextualSpacing/>
      </w:pPr>
      <w:r>
        <w:t>23.11.</w:t>
      </w:r>
      <w:r w:rsidRPr="00AE0D55">
        <w:t>2011. 10:09</w:t>
      </w:r>
    </w:p>
    <w:p w:rsidR="003A6461" w:rsidRPr="00AE0D55" w:rsidRDefault="003433D0" w:rsidP="003A6461">
      <w:pPr>
        <w:ind w:firstLine="142"/>
        <w:contextualSpacing/>
      </w:pPr>
      <w:r>
        <w:fldChar w:fldCharType="begin"/>
      </w:r>
      <w:r>
        <w:instrText xml:space="preserve"> NUMWORDS   \* MERGEFORMAT </w:instrText>
      </w:r>
      <w:r>
        <w:fldChar w:fldCharType="separate"/>
      </w:r>
      <w:r w:rsidR="005D541E">
        <w:rPr>
          <w:noProof/>
        </w:rPr>
        <w:t>1272</w:t>
      </w:r>
      <w:r>
        <w:rPr>
          <w:noProof/>
        </w:rPr>
        <w:fldChar w:fldCharType="end"/>
      </w:r>
    </w:p>
    <w:p w:rsidR="003A6461" w:rsidRPr="00AE0D55" w:rsidRDefault="003A6461" w:rsidP="003A6461">
      <w:pPr>
        <w:ind w:firstLine="142"/>
        <w:contextualSpacing/>
      </w:pPr>
      <w:r w:rsidRPr="00AE0D55">
        <w:t>S.Mačivka</w:t>
      </w:r>
    </w:p>
    <w:p w:rsidR="003A6461" w:rsidRDefault="003A6461" w:rsidP="004B6702">
      <w:pPr>
        <w:ind w:firstLine="142"/>
        <w:contextualSpacing/>
      </w:pPr>
      <w:r w:rsidRPr="00AE0D55">
        <w:t xml:space="preserve">67095630, </w:t>
      </w:r>
      <w:hyperlink r:id="rId7" w:history="1">
        <w:r w:rsidRPr="00AE0D55">
          <w:rPr>
            <w:rStyle w:val="Hyperlink"/>
          </w:rPr>
          <w:t>sandra.macivka@fm.gov.lv</w:t>
        </w:r>
      </w:hyperlink>
    </w:p>
    <w:p w:rsidR="003600DC" w:rsidRDefault="003600DC"/>
    <w:sectPr w:rsidR="003600DC" w:rsidSect="0021079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61" w:rsidRDefault="00F74061" w:rsidP="00F74061">
      <w:r>
        <w:separator/>
      </w:r>
    </w:p>
  </w:endnote>
  <w:endnote w:type="continuationSeparator" w:id="0">
    <w:p w:rsidR="00F74061" w:rsidRDefault="00F74061"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D0" w:rsidRDefault="00343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91" w:rsidRPr="008822A1" w:rsidRDefault="003433D0" w:rsidP="00210791">
    <w:pPr>
      <w:spacing w:before="100"/>
      <w:jc w:val="both"/>
      <w:rPr>
        <w:sz w:val="16"/>
        <w:szCs w:val="16"/>
      </w:rPr>
    </w:pPr>
    <w:r>
      <w:fldChar w:fldCharType="begin"/>
    </w:r>
    <w:r>
      <w:instrText xml:space="preserve"> FILENAME   \* MERGEFORMAT </w:instrText>
    </w:r>
    <w:r>
      <w:fldChar w:fldCharType="separate"/>
    </w:r>
    <w:r w:rsidR="004B6702" w:rsidRPr="004B6702">
      <w:rPr>
        <w:noProof/>
        <w:sz w:val="16"/>
        <w:szCs w:val="16"/>
      </w:rPr>
      <w:t>FMNot_231111_DeklVK</w:t>
    </w:r>
    <w:r>
      <w:rPr>
        <w:noProof/>
        <w:sz w:val="16"/>
        <w:szCs w:val="16"/>
      </w:rPr>
      <w:fldChar w:fldCharType="end"/>
    </w:r>
    <w:r w:rsidR="000A3810" w:rsidRPr="005A0884">
      <w:rPr>
        <w:sz w:val="16"/>
        <w:szCs w:val="16"/>
      </w:rPr>
      <w:t xml:space="preserve">; Noteikumu projekts </w:t>
    </w:r>
    <w:r w:rsidR="000A3810" w:rsidRPr="008822A1">
      <w:rPr>
        <w:bCs/>
        <w:sz w:val="16"/>
        <w:szCs w:val="16"/>
      </w:rPr>
      <w:t xml:space="preserve">„Noteikumi par uzņēmumu ienākuma nodokļa </w:t>
    </w:r>
    <w:r w:rsidR="000A3810" w:rsidRPr="00951996">
      <w:rPr>
        <w:bCs/>
        <w:sz w:val="16"/>
        <w:szCs w:val="16"/>
      </w:rPr>
      <w:t xml:space="preserve">taksācijas </w:t>
    </w:r>
    <w:r w:rsidR="000A3810" w:rsidRPr="00C95ACC">
      <w:rPr>
        <w:sz w:val="16"/>
        <w:szCs w:val="16"/>
      </w:rPr>
      <w:t>perioda</w:t>
    </w:r>
    <w:r w:rsidR="000A3810" w:rsidRPr="008822A1" w:rsidDel="00951996">
      <w:rPr>
        <w:bCs/>
        <w:sz w:val="16"/>
        <w:szCs w:val="16"/>
      </w:rPr>
      <w:t xml:space="preserve"> </w:t>
    </w:r>
    <w:r w:rsidR="000A3810" w:rsidRPr="008822A1">
      <w:rPr>
        <w:bCs/>
        <w:sz w:val="16"/>
        <w:szCs w:val="16"/>
      </w:rPr>
      <w:t>deklarāciju un avansa maksājumu aprēķinu”</w:t>
    </w:r>
  </w:p>
  <w:p w:rsidR="00210791" w:rsidRPr="00C9533A" w:rsidRDefault="003433D0" w:rsidP="00210791">
    <w:pPr>
      <w:jc w:val="both"/>
      <w:rPr>
        <w:sz w:val="16"/>
        <w:szCs w:val="16"/>
      </w:rPr>
    </w:pPr>
  </w:p>
  <w:p w:rsidR="00210791" w:rsidRDefault="003433D0">
    <w:pPr>
      <w:pStyle w:val="Footer"/>
    </w:pPr>
  </w:p>
  <w:p w:rsidR="00210791" w:rsidRDefault="00343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D0" w:rsidRPr="008822A1" w:rsidRDefault="003433D0" w:rsidP="003433D0">
    <w:pPr>
      <w:spacing w:before="100"/>
      <w:jc w:val="both"/>
      <w:rPr>
        <w:sz w:val="16"/>
        <w:szCs w:val="16"/>
      </w:rPr>
    </w:pPr>
    <w:r>
      <w:fldChar w:fldCharType="begin"/>
    </w:r>
    <w:r>
      <w:instrText xml:space="preserve"> FILENAME   \* MERGEFORMAT </w:instrText>
    </w:r>
    <w:r>
      <w:fldChar w:fldCharType="separate"/>
    </w:r>
    <w:r w:rsidRPr="004B6702">
      <w:rPr>
        <w:noProof/>
        <w:sz w:val="16"/>
        <w:szCs w:val="16"/>
      </w:rPr>
      <w:t>FMNot_231111_DeklVK</w:t>
    </w:r>
    <w:r>
      <w:rPr>
        <w:noProof/>
        <w:sz w:val="16"/>
        <w:szCs w:val="16"/>
      </w:rPr>
      <w:fldChar w:fldCharType="end"/>
    </w:r>
    <w:r w:rsidRPr="005A0884">
      <w:rPr>
        <w:sz w:val="16"/>
        <w:szCs w:val="16"/>
      </w:rPr>
      <w:t xml:space="preserve">; Noteikumu projekts </w:t>
    </w:r>
    <w:r w:rsidRPr="008822A1">
      <w:rPr>
        <w:bCs/>
        <w:sz w:val="16"/>
        <w:szCs w:val="16"/>
      </w:rPr>
      <w:t xml:space="preserve">„Noteikumi par uzņēmumu ienākuma nodokļa </w:t>
    </w:r>
    <w:r w:rsidRPr="00951996">
      <w:rPr>
        <w:bCs/>
        <w:sz w:val="16"/>
        <w:szCs w:val="16"/>
      </w:rPr>
      <w:t xml:space="preserve">taksācijas </w:t>
    </w:r>
    <w:r w:rsidRPr="00C95ACC">
      <w:rPr>
        <w:sz w:val="16"/>
        <w:szCs w:val="16"/>
      </w:rPr>
      <w:t>perioda</w:t>
    </w:r>
    <w:r w:rsidRPr="008822A1" w:rsidDel="00951996">
      <w:rPr>
        <w:bCs/>
        <w:sz w:val="16"/>
        <w:szCs w:val="16"/>
      </w:rPr>
      <w:t xml:space="preserve"> </w:t>
    </w:r>
    <w:r w:rsidRPr="008822A1">
      <w:rPr>
        <w:bCs/>
        <w:sz w:val="16"/>
        <w:szCs w:val="16"/>
      </w:rPr>
      <w:t>deklarāciju un avansa maksājumu aprēķinu”</w:t>
    </w:r>
  </w:p>
  <w:p w:rsidR="003433D0" w:rsidRDefault="003433D0">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61" w:rsidRDefault="00F74061" w:rsidP="00F74061">
      <w:r>
        <w:separator/>
      </w:r>
    </w:p>
  </w:footnote>
  <w:footnote w:type="continuationSeparator" w:id="0">
    <w:p w:rsidR="00F74061" w:rsidRDefault="00F74061" w:rsidP="00F7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D0" w:rsidRDefault="00343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91" w:rsidRDefault="000A3810">
    <w:pPr>
      <w:pStyle w:val="Header"/>
      <w:jc w:val="center"/>
    </w:pPr>
    <w:r>
      <w:fldChar w:fldCharType="begin"/>
    </w:r>
    <w:r>
      <w:instrText xml:space="preserve"> PAGE   \* MERGEFORMAT </w:instrText>
    </w:r>
    <w:r>
      <w:fldChar w:fldCharType="separate"/>
    </w:r>
    <w:r w:rsidR="003433D0">
      <w:rPr>
        <w:noProof/>
      </w:rPr>
      <w:t>4</w:t>
    </w:r>
    <w:r>
      <w:rPr>
        <w:noProof/>
      </w:rPr>
      <w:fldChar w:fldCharType="end"/>
    </w:r>
  </w:p>
  <w:p w:rsidR="00210791" w:rsidRDefault="00343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D0" w:rsidRDefault="00343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1"/>
    <w:rsid w:val="000A3810"/>
    <w:rsid w:val="003433D0"/>
    <w:rsid w:val="003600DC"/>
    <w:rsid w:val="003A6461"/>
    <w:rsid w:val="004B6702"/>
    <w:rsid w:val="005D541E"/>
    <w:rsid w:val="00F7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6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A6461"/>
    <w:pPr>
      <w:keepNext/>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46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3A6461"/>
    <w:pPr>
      <w:tabs>
        <w:tab w:val="center" w:pos="4153"/>
        <w:tab w:val="right" w:pos="8306"/>
      </w:tabs>
    </w:pPr>
  </w:style>
  <w:style w:type="character" w:customStyle="1" w:styleId="HeaderChar">
    <w:name w:val="Header Char"/>
    <w:basedOn w:val="DefaultParagraphFont"/>
    <w:link w:val="Header"/>
    <w:uiPriority w:val="99"/>
    <w:rsid w:val="003A646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6461"/>
    <w:pPr>
      <w:tabs>
        <w:tab w:val="center" w:pos="4153"/>
        <w:tab w:val="right" w:pos="8306"/>
      </w:tabs>
    </w:pPr>
  </w:style>
  <w:style w:type="character" w:customStyle="1" w:styleId="FooterChar">
    <w:name w:val="Footer Char"/>
    <w:basedOn w:val="DefaultParagraphFont"/>
    <w:link w:val="Footer"/>
    <w:uiPriority w:val="99"/>
    <w:rsid w:val="003A6461"/>
    <w:rPr>
      <w:rFonts w:ascii="Times New Roman" w:eastAsia="Times New Roman" w:hAnsi="Times New Roman" w:cs="Times New Roman"/>
      <w:sz w:val="24"/>
      <w:szCs w:val="24"/>
      <w:lang w:eastAsia="lv-LV"/>
    </w:rPr>
  </w:style>
  <w:style w:type="character" w:styleId="Hyperlink">
    <w:name w:val="Hyperlink"/>
    <w:uiPriority w:val="99"/>
    <w:semiHidden/>
    <w:unhideWhenUsed/>
    <w:rsid w:val="003A6461"/>
    <w:rPr>
      <w:color w:val="0000FF"/>
      <w:u w:val="single"/>
    </w:rPr>
  </w:style>
  <w:style w:type="paragraph" w:styleId="FootnoteText">
    <w:name w:val="footnote text"/>
    <w:basedOn w:val="Normal"/>
    <w:link w:val="FootnoteTextChar"/>
    <w:semiHidden/>
    <w:rsid w:val="003A6461"/>
    <w:rPr>
      <w:sz w:val="20"/>
      <w:szCs w:val="20"/>
      <w:lang w:eastAsia="en-US"/>
    </w:rPr>
  </w:style>
  <w:style w:type="character" w:customStyle="1" w:styleId="FootnoteTextChar">
    <w:name w:val="Footnote Text Char"/>
    <w:basedOn w:val="DefaultParagraphFont"/>
    <w:link w:val="FootnoteText"/>
    <w:semiHidden/>
    <w:rsid w:val="003A6461"/>
    <w:rPr>
      <w:rFonts w:ascii="Times New Roman" w:eastAsia="Times New Roman" w:hAnsi="Times New Roman" w:cs="Times New Roman"/>
      <w:sz w:val="20"/>
      <w:szCs w:val="20"/>
    </w:rPr>
  </w:style>
  <w:style w:type="paragraph" w:customStyle="1" w:styleId="naisf">
    <w:name w:val="naisf"/>
    <w:basedOn w:val="Normal"/>
    <w:rsid w:val="003A6461"/>
    <w:pPr>
      <w:spacing w:before="100" w:beforeAutospacing="1" w:after="100" w:afterAutospacing="1"/>
    </w:pPr>
  </w:style>
  <w:style w:type="paragraph" w:styleId="BalloonText">
    <w:name w:val="Balloon Text"/>
    <w:basedOn w:val="Normal"/>
    <w:link w:val="BalloonTextChar"/>
    <w:uiPriority w:val="99"/>
    <w:semiHidden/>
    <w:unhideWhenUsed/>
    <w:rsid w:val="000A3810"/>
    <w:rPr>
      <w:rFonts w:ascii="Tahoma" w:hAnsi="Tahoma" w:cs="Tahoma"/>
      <w:sz w:val="16"/>
      <w:szCs w:val="16"/>
    </w:rPr>
  </w:style>
  <w:style w:type="character" w:customStyle="1" w:styleId="BalloonTextChar">
    <w:name w:val="Balloon Text Char"/>
    <w:basedOn w:val="DefaultParagraphFont"/>
    <w:link w:val="BalloonText"/>
    <w:uiPriority w:val="99"/>
    <w:semiHidden/>
    <w:rsid w:val="000A381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6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A6461"/>
    <w:pPr>
      <w:keepNext/>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46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3A6461"/>
    <w:pPr>
      <w:tabs>
        <w:tab w:val="center" w:pos="4153"/>
        <w:tab w:val="right" w:pos="8306"/>
      </w:tabs>
    </w:pPr>
  </w:style>
  <w:style w:type="character" w:customStyle="1" w:styleId="HeaderChar">
    <w:name w:val="Header Char"/>
    <w:basedOn w:val="DefaultParagraphFont"/>
    <w:link w:val="Header"/>
    <w:uiPriority w:val="99"/>
    <w:rsid w:val="003A646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6461"/>
    <w:pPr>
      <w:tabs>
        <w:tab w:val="center" w:pos="4153"/>
        <w:tab w:val="right" w:pos="8306"/>
      </w:tabs>
    </w:pPr>
  </w:style>
  <w:style w:type="character" w:customStyle="1" w:styleId="FooterChar">
    <w:name w:val="Footer Char"/>
    <w:basedOn w:val="DefaultParagraphFont"/>
    <w:link w:val="Footer"/>
    <w:uiPriority w:val="99"/>
    <w:rsid w:val="003A6461"/>
    <w:rPr>
      <w:rFonts w:ascii="Times New Roman" w:eastAsia="Times New Roman" w:hAnsi="Times New Roman" w:cs="Times New Roman"/>
      <w:sz w:val="24"/>
      <w:szCs w:val="24"/>
      <w:lang w:eastAsia="lv-LV"/>
    </w:rPr>
  </w:style>
  <w:style w:type="character" w:styleId="Hyperlink">
    <w:name w:val="Hyperlink"/>
    <w:uiPriority w:val="99"/>
    <w:semiHidden/>
    <w:unhideWhenUsed/>
    <w:rsid w:val="003A6461"/>
    <w:rPr>
      <w:color w:val="0000FF"/>
      <w:u w:val="single"/>
    </w:rPr>
  </w:style>
  <w:style w:type="paragraph" w:styleId="FootnoteText">
    <w:name w:val="footnote text"/>
    <w:basedOn w:val="Normal"/>
    <w:link w:val="FootnoteTextChar"/>
    <w:semiHidden/>
    <w:rsid w:val="003A6461"/>
    <w:rPr>
      <w:sz w:val="20"/>
      <w:szCs w:val="20"/>
      <w:lang w:eastAsia="en-US"/>
    </w:rPr>
  </w:style>
  <w:style w:type="character" w:customStyle="1" w:styleId="FootnoteTextChar">
    <w:name w:val="Footnote Text Char"/>
    <w:basedOn w:val="DefaultParagraphFont"/>
    <w:link w:val="FootnoteText"/>
    <w:semiHidden/>
    <w:rsid w:val="003A6461"/>
    <w:rPr>
      <w:rFonts w:ascii="Times New Roman" w:eastAsia="Times New Roman" w:hAnsi="Times New Roman" w:cs="Times New Roman"/>
      <w:sz w:val="20"/>
      <w:szCs w:val="20"/>
    </w:rPr>
  </w:style>
  <w:style w:type="paragraph" w:customStyle="1" w:styleId="naisf">
    <w:name w:val="naisf"/>
    <w:basedOn w:val="Normal"/>
    <w:rsid w:val="003A6461"/>
    <w:pPr>
      <w:spacing w:before="100" w:beforeAutospacing="1" w:after="100" w:afterAutospacing="1"/>
    </w:pPr>
  </w:style>
  <w:style w:type="paragraph" w:styleId="BalloonText">
    <w:name w:val="Balloon Text"/>
    <w:basedOn w:val="Normal"/>
    <w:link w:val="BalloonTextChar"/>
    <w:uiPriority w:val="99"/>
    <w:semiHidden/>
    <w:unhideWhenUsed/>
    <w:rsid w:val="000A3810"/>
    <w:rPr>
      <w:rFonts w:ascii="Tahoma" w:hAnsi="Tahoma" w:cs="Tahoma"/>
      <w:sz w:val="16"/>
      <w:szCs w:val="16"/>
    </w:rPr>
  </w:style>
  <w:style w:type="character" w:customStyle="1" w:styleId="BalloonTextChar">
    <w:name w:val="Balloon Text Char"/>
    <w:basedOn w:val="DefaultParagraphFont"/>
    <w:link w:val="BalloonText"/>
    <w:uiPriority w:val="99"/>
    <w:semiHidden/>
    <w:rsid w:val="000A381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9611</Characters>
  <Application>Microsoft Office Word</Application>
  <DocSecurity>0</DocSecurity>
  <Lines>320</Lines>
  <Paragraphs>128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S.macivka</dc:creator>
  <cp:keywords/>
  <dc:description/>
  <cp:lastModifiedBy>S.macivka</cp:lastModifiedBy>
  <cp:revision>7</cp:revision>
  <cp:lastPrinted>2011-11-23T13:58:00Z</cp:lastPrinted>
  <dcterms:created xsi:type="dcterms:W3CDTF">2011-11-23T12:30:00Z</dcterms:created>
  <dcterms:modified xsi:type="dcterms:W3CDTF">2011-11-25T06:43:00Z</dcterms:modified>
</cp:coreProperties>
</file>