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C0" w:rsidRPr="007F26C0" w:rsidRDefault="007F26C0" w:rsidP="007F26C0">
      <w:pPr>
        <w:jc w:val="right"/>
        <w:rPr>
          <w:rFonts w:eastAsia="Times New Roman" w:cs="Times New Roman"/>
          <w:i/>
          <w:sz w:val="28"/>
          <w:szCs w:val="28"/>
          <w:lang w:eastAsia="lv-LV"/>
        </w:rPr>
      </w:pPr>
      <w:r w:rsidRPr="007F26C0">
        <w:rPr>
          <w:rFonts w:eastAsia="Times New Roman" w:cs="Times New Roman"/>
          <w:i/>
          <w:sz w:val="28"/>
          <w:szCs w:val="28"/>
          <w:lang w:eastAsia="lv-LV"/>
        </w:rPr>
        <w:t>Projekts</w:t>
      </w:r>
    </w:p>
    <w:p w:rsidR="007F26C0" w:rsidRPr="007F26C0" w:rsidRDefault="007F26C0" w:rsidP="007F26C0">
      <w:pPr>
        <w:jc w:val="right"/>
        <w:rPr>
          <w:rFonts w:eastAsia="Times New Roman" w:cs="Times New Roman"/>
          <w:sz w:val="28"/>
          <w:szCs w:val="28"/>
          <w:lang w:eastAsia="lv-LV"/>
        </w:rPr>
      </w:pPr>
    </w:p>
    <w:p w:rsidR="007F26C0" w:rsidRPr="003C1E7D" w:rsidRDefault="0035279A" w:rsidP="007F26C0">
      <w:pPr>
        <w:jc w:val="right"/>
        <w:rPr>
          <w:rFonts w:eastAsia="Times New Roman" w:cs="Times New Roman"/>
          <w:szCs w:val="24"/>
          <w:lang w:eastAsia="lv-LV"/>
        </w:rPr>
      </w:pPr>
      <w:r>
        <w:rPr>
          <w:rFonts w:eastAsia="Times New Roman" w:cs="Times New Roman"/>
          <w:szCs w:val="24"/>
          <w:lang w:eastAsia="lv-LV"/>
        </w:rPr>
        <w:t>2</w:t>
      </w:r>
      <w:r w:rsidR="007F26C0" w:rsidRPr="003C1E7D">
        <w:rPr>
          <w:rFonts w:eastAsia="Times New Roman" w:cs="Times New Roman"/>
          <w:szCs w:val="24"/>
          <w:lang w:eastAsia="lv-LV"/>
        </w:rPr>
        <w:t>.pielikums</w:t>
      </w:r>
    </w:p>
    <w:p w:rsidR="007F26C0" w:rsidRPr="003C1E7D" w:rsidRDefault="007F26C0" w:rsidP="007F26C0">
      <w:pPr>
        <w:ind w:left="360"/>
        <w:jc w:val="right"/>
        <w:rPr>
          <w:rFonts w:eastAsia="Times New Roman" w:cs="Times New Roman"/>
          <w:szCs w:val="24"/>
          <w:lang w:eastAsia="lv-LV"/>
        </w:rPr>
      </w:pPr>
      <w:r w:rsidRPr="003C1E7D">
        <w:rPr>
          <w:rFonts w:eastAsia="Times New Roman" w:cs="Times New Roman"/>
          <w:szCs w:val="24"/>
          <w:lang w:eastAsia="lv-LV"/>
        </w:rPr>
        <w:t>Ministru kabineta</w:t>
      </w:r>
    </w:p>
    <w:p w:rsidR="007F26C0" w:rsidRPr="003C1E7D" w:rsidRDefault="007F26C0" w:rsidP="007F26C0">
      <w:pPr>
        <w:jc w:val="right"/>
        <w:rPr>
          <w:rFonts w:eastAsia="Times New Roman" w:cs="Times New Roman"/>
          <w:szCs w:val="24"/>
          <w:lang w:eastAsia="lv-LV"/>
        </w:rPr>
      </w:pPr>
      <w:r w:rsidRPr="003C1E7D">
        <w:rPr>
          <w:rFonts w:eastAsia="Times New Roman" w:cs="Times New Roman"/>
          <w:szCs w:val="24"/>
          <w:lang w:eastAsia="lv-LV"/>
        </w:rPr>
        <w:t>2012.gada .................</w:t>
      </w:r>
    </w:p>
    <w:p w:rsidR="007F26C0" w:rsidRPr="003C1E7D" w:rsidRDefault="007F26C0" w:rsidP="007F26C0">
      <w:pPr>
        <w:ind w:left="360"/>
        <w:jc w:val="right"/>
        <w:rPr>
          <w:rFonts w:eastAsia="Times New Roman" w:cs="Times New Roman"/>
          <w:szCs w:val="24"/>
          <w:lang w:eastAsia="lv-LV"/>
        </w:rPr>
      </w:pPr>
      <w:r w:rsidRPr="003C1E7D">
        <w:rPr>
          <w:rFonts w:eastAsia="Times New Roman" w:cs="Times New Roman"/>
          <w:szCs w:val="24"/>
          <w:lang w:eastAsia="lv-LV"/>
        </w:rPr>
        <w:t>noteikumiem Nr. ...</w:t>
      </w:r>
    </w:p>
    <w:p w:rsidR="007F26C0" w:rsidRPr="007F26C0" w:rsidRDefault="007F26C0" w:rsidP="007F26C0">
      <w:pPr>
        <w:jc w:val="right"/>
        <w:rPr>
          <w:rFonts w:eastAsia="Times New Roman" w:cs="Times New Roman"/>
          <w:sz w:val="28"/>
          <w:szCs w:val="28"/>
          <w:lang w:eastAsia="lv-LV"/>
        </w:rPr>
      </w:pPr>
    </w:p>
    <w:p w:rsidR="007F26C0" w:rsidRPr="007F26C0" w:rsidRDefault="00026191" w:rsidP="007F26C0">
      <w:pPr>
        <w:jc w:val="center"/>
        <w:rPr>
          <w:rFonts w:eastAsia="Times New Roman" w:cs="Times New Roman"/>
          <w:b/>
          <w:sz w:val="28"/>
          <w:szCs w:val="28"/>
          <w:lang w:eastAsia="lv-LV"/>
        </w:rPr>
      </w:pPr>
      <w:r>
        <w:rPr>
          <w:rFonts w:eastAsia="Times New Roman" w:cs="Times New Roman"/>
          <w:b/>
          <w:sz w:val="28"/>
          <w:szCs w:val="28"/>
          <w:lang w:eastAsia="lv-LV"/>
        </w:rPr>
        <w:t xml:space="preserve">Administratīvās kapacitātes stiprināšanas pasākums </w:t>
      </w:r>
      <w:r w:rsidR="007F26C0" w:rsidRPr="007F26C0">
        <w:rPr>
          <w:rFonts w:eastAsia="Times New Roman" w:cs="Times New Roman"/>
          <w:b/>
          <w:sz w:val="28"/>
          <w:szCs w:val="28"/>
          <w:lang w:eastAsia="lv-LV"/>
        </w:rPr>
        <w:t>vidējam termiņam</w:t>
      </w:r>
    </w:p>
    <w:p w:rsidR="007F26C0" w:rsidRPr="007F26C0" w:rsidRDefault="007F26C0" w:rsidP="007F26C0">
      <w:pPr>
        <w:jc w:val="center"/>
        <w:rPr>
          <w:rFonts w:eastAsia="Times New Roman" w:cs="Times New Roman"/>
          <w:sz w:val="28"/>
          <w:szCs w:val="28"/>
          <w:lang w:eastAsia="lv-LV"/>
        </w:rPr>
      </w:pPr>
    </w:p>
    <w:p w:rsidR="007F26C0" w:rsidRPr="007F26C0" w:rsidRDefault="007F26C0" w:rsidP="007F26C0">
      <w:pPr>
        <w:jc w:val="both"/>
        <w:rPr>
          <w:rFonts w:eastAsia="Times New Roman" w:cs="Times New Roman"/>
          <w:szCs w:val="24"/>
          <w:lang w:eastAsia="lv-LV"/>
        </w:rPr>
      </w:pPr>
      <w:r w:rsidRPr="007F26C0">
        <w:rPr>
          <w:rFonts w:eastAsia="Times New Roman" w:cs="Times New Roman"/>
          <w:szCs w:val="24"/>
          <w:lang w:eastAsia="lv-LV"/>
        </w:rPr>
        <w:t>……………………..…………………….. (ministrijas nosaukums)</w:t>
      </w:r>
    </w:p>
    <w:p w:rsidR="007F26C0" w:rsidRPr="007F26C0" w:rsidRDefault="00026191" w:rsidP="00026191">
      <w:pPr>
        <w:jc w:val="right"/>
        <w:rPr>
          <w:rFonts w:eastAsia="Times New Roman" w:cs="Times New Roman"/>
          <w:szCs w:val="24"/>
          <w:lang w:eastAsia="lv-LV"/>
        </w:rPr>
      </w:pPr>
      <w:r>
        <w:rPr>
          <w:rFonts w:eastAsia="Times New Roman" w:cs="Times New Roman"/>
          <w:szCs w:val="24"/>
          <w:lang w:eastAsia="lv-LV"/>
        </w:rPr>
        <w:t>…….</w:t>
      </w:r>
      <w:r w:rsidR="007F26C0" w:rsidRPr="007F26C0">
        <w:rPr>
          <w:rFonts w:eastAsia="Times New Roman" w:cs="Times New Roman"/>
          <w:szCs w:val="24"/>
          <w:lang w:eastAsia="lv-LV"/>
        </w:rPr>
        <w:t>.....................................................................................(</w:t>
      </w:r>
      <w:r>
        <w:rPr>
          <w:rFonts w:eastAsia="Times New Roman" w:cs="Times New Roman"/>
          <w:szCs w:val="24"/>
          <w:lang w:eastAsia="lv-LV"/>
        </w:rPr>
        <w:t xml:space="preserve">administratīvās kapacitātes stiprināšanas pasākuma </w:t>
      </w:r>
      <w:r w:rsidR="007F26C0" w:rsidRPr="007F26C0">
        <w:rPr>
          <w:rFonts w:eastAsia="Times New Roman" w:cs="Times New Roman"/>
          <w:szCs w:val="24"/>
          <w:lang w:eastAsia="lv-LV"/>
        </w:rPr>
        <w:t>nosaukums)</w:t>
      </w:r>
    </w:p>
    <w:p w:rsidR="007F26C0" w:rsidRPr="007F26C0" w:rsidRDefault="007F26C0" w:rsidP="007F26C0">
      <w:pPr>
        <w:jc w:val="center"/>
        <w:rPr>
          <w:rFonts w:eastAsia="Times New Roman" w:cs="Times New Roman"/>
          <w:sz w:val="28"/>
          <w:szCs w:val="28"/>
          <w:lang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446"/>
        <w:gridCol w:w="8"/>
        <w:gridCol w:w="1074"/>
        <w:gridCol w:w="1127"/>
        <w:gridCol w:w="1275"/>
      </w:tblGrid>
      <w:tr w:rsidR="00026191" w:rsidRPr="007F26C0" w:rsidTr="00026191">
        <w:tc>
          <w:tcPr>
            <w:tcW w:w="709" w:type="dxa"/>
            <w:shd w:val="clear" w:color="auto" w:fill="auto"/>
          </w:tcPr>
          <w:p w:rsidR="00026191" w:rsidRPr="007F26C0" w:rsidRDefault="00026191" w:rsidP="00026191">
            <w:pPr>
              <w:jc w:val="center"/>
              <w:rPr>
                <w:rFonts w:eastAsia="Times New Roman" w:cs="Times New Roman"/>
                <w:iCs/>
                <w:szCs w:val="24"/>
                <w:lang w:eastAsia="lv-LV"/>
              </w:rPr>
            </w:pPr>
            <w:r w:rsidRPr="007F26C0">
              <w:rPr>
                <w:rFonts w:eastAsia="Times New Roman" w:cs="Times New Roman"/>
                <w:iCs/>
                <w:szCs w:val="24"/>
                <w:lang w:eastAsia="lv-LV"/>
              </w:rPr>
              <w:t>Nr.</w:t>
            </w:r>
          </w:p>
          <w:p w:rsidR="00026191" w:rsidRPr="007F26C0" w:rsidRDefault="00026191" w:rsidP="00026191">
            <w:pPr>
              <w:rPr>
                <w:rFonts w:eastAsia="Times New Roman" w:cs="Times New Roman"/>
                <w:iCs/>
                <w:szCs w:val="24"/>
                <w:lang w:val="nl-NL" w:eastAsia="lv-LV"/>
              </w:rPr>
            </w:pPr>
            <w:r w:rsidRPr="007F26C0">
              <w:rPr>
                <w:rFonts w:eastAsia="Times New Roman" w:cs="Times New Roman"/>
                <w:iCs/>
                <w:szCs w:val="24"/>
                <w:lang w:eastAsia="lv-LV"/>
              </w:rPr>
              <w:t>p.k.</w:t>
            </w:r>
          </w:p>
        </w:tc>
        <w:tc>
          <w:tcPr>
            <w:tcW w:w="8930" w:type="dxa"/>
            <w:gridSpan w:val="5"/>
            <w:tcBorders>
              <w:top w:val="single" w:sz="4" w:space="0" w:color="auto"/>
              <w:left w:val="single" w:sz="4" w:space="0" w:color="auto"/>
              <w:bottom w:val="single" w:sz="4" w:space="0" w:color="auto"/>
              <w:right w:val="single" w:sz="4" w:space="0" w:color="auto"/>
            </w:tcBorders>
            <w:vAlign w:val="center"/>
          </w:tcPr>
          <w:p w:rsidR="00026191" w:rsidRPr="007F26C0" w:rsidRDefault="00026191" w:rsidP="00026191">
            <w:pPr>
              <w:rPr>
                <w:rFonts w:eastAsia="Times New Roman" w:cs="Times New Roman"/>
                <w:iCs/>
                <w:szCs w:val="24"/>
                <w:lang w:eastAsia="lv-LV"/>
              </w:rPr>
            </w:pPr>
            <w:r>
              <w:rPr>
                <w:rFonts w:eastAsia="Times New Roman" w:cs="Times New Roman"/>
                <w:iCs/>
                <w:szCs w:val="24"/>
                <w:lang w:eastAsia="lv-LV"/>
              </w:rPr>
              <w:t xml:space="preserve">Administratīvās kapacitātes stiprināšanas pasākuma </w:t>
            </w:r>
            <w:r w:rsidRPr="007F26C0">
              <w:rPr>
                <w:rFonts w:eastAsia="Times New Roman" w:cs="Times New Roman"/>
                <w:iCs/>
                <w:szCs w:val="24"/>
                <w:lang w:eastAsia="lv-LV"/>
              </w:rPr>
              <w:t>rādītāji un pamatojums</w:t>
            </w:r>
          </w:p>
        </w:tc>
      </w:tr>
      <w:tr w:rsidR="007F26C0" w:rsidRPr="007F26C0" w:rsidTr="00A064F8">
        <w:tc>
          <w:tcPr>
            <w:tcW w:w="709" w:type="dxa"/>
            <w:shd w:val="clear" w:color="auto" w:fill="auto"/>
          </w:tcPr>
          <w:p w:rsidR="007F26C0" w:rsidRPr="007F26C0" w:rsidRDefault="007F26C0" w:rsidP="007F26C0">
            <w:pPr>
              <w:rPr>
                <w:rFonts w:eastAsia="Times New Roman" w:cs="Times New Roman"/>
                <w:iCs/>
                <w:szCs w:val="24"/>
                <w:lang w:val="nl-NL" w:eastAsia="lv-LV"/>
              </w:rPr>
            </w:pPr>
            <w:r w:rsidRPr="007F26C0">
              <w:rPr>
                <w:rFonts w:eastAsia="Times New Roman" w:cs="Times New Roman"/>
                <w:iCs/>
                <w:szCs w:val="24"/>
                <w:lang w:val="nl-NL" w:eastAsia="lv-LV"/>
              </w:rPr>
              <w:t>1.</w:t>
            </w:r>
          </w:p>
        </w:tc>
        <w:tc>
          <w:tcPr>
            <w:tcW w:w="8930" w:type="dxa"/>
            <w:gridSpan w:val="5"/>
            <w:tcBorders>
              <w:top w:val="nil"/>
              <w:left w:val="single" w:sz="4" w:space="0" w:color="auto"/>
              <w:bottom w:val="single" w:sz="4" w:space="0" w:color="auto"/>
              <w:right w:val="single" w:sz="4" w:space="0" w:color="auto"/>
            </w:tcBorders>
          </w:tcPr>
          <w:p w:rsidR="007F26C0" w:rsidRPr="007F26C0" w:rsidRDefault="00026191" w:rsidP="007F26C0">
            <w:pPr>
              <w:rPr>
                <w:rFonts w:eastAsia="Times New Roman" w:cs="Times New Roman"/>
                <w:bCs/>
                <w:szCs w:val="24"/>
                <w:lang w:eastAsia="lv-LV"/>
              </w:rPr>
            </w:pPr>
            <w:r w:rsidRPr="00026191">
              <w:rPr>
                <w:rFonts w:eastAsia="Times New Roman" w:cs="Times New Roman"/>
                <w:bCs/>
                <w:szCs w:val="24"/>
                <w:lang w:eastAsia="lv-LV"/>
              </w:rPr>
              <w:t xml:space="preserve">Administratīvās kapacitātes stiprināšanas pasākuma </w:t>
            </w:r>
            <w:r w:rsidR="007F26C0" w:rsidRPr="007F26C0">
              <w:rPr>
                <w:rFonts w:eastAsia="Times New Roman" w:cs="Times New Roman"/>
                <w:bCs/>
                <w:szCs w:val="24"/>
                <w:lang w:eastAsia="lv-LV"/>
              </w:rPr>
              <w:t>mērķis un apraksts:</w:t>
            </w:r>
            <w:r>
              <w:rPr>
                <w:rFonts w:eastAsia="Times New Roman" w:cs="Times New Roman"/>
                <w:bCs/>
                <w:szCs w:val="24"/>
                <w:lang w:eastAsia="lv-LV"/>
              </w:rPr>
              <w:t xml:space="preserve"> </w:t>
            </w:r>
          </w:p>
          <w:p w:rsidR="007F26C0" w:rsidRPr="007F26C0" w:rsidDel="005522ED" w:rsidRDefault="007F26C0" w:rsidP="007F26C0">
            <w:pPr>
              <w:jc w:val="center"/>
              <w:rPr>
                <w:rFonts w:eastAsia="Times New Roman" w:cs="Times New Roman"/>
                <w:i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i/>
                <w:iCs/>
                <w:szCs w:val="24"/>
                <w:lang w:val="nl-NL" w:eastAsia="lv-LV"/>
              </w:rPr>
            </w:pPr>
            <w:r w:rsidRPr="007F26C0">
              <w:rPr>
                <w:rFonts w:eastAsia="Times New Roman" w:cs="Times New Roman"/>
                <w:bCs/>
                <w:szCs w:val="24"/>
                <w:lang w:eastAsia="lv-LV"/>
              </w:rPr>
              <w:t>2.</w:t>
            </w:r>
          </w:p>
        </w:tc>
        <w:tc>
          <w:tcPr>
            <w:tcW w:w="8930" w:type="dxa"/>
            <w:gridSpan w:val="5"/>
            <w:tcBorders>
              <w:top w:val="nil"/>
              <w:left w:val="single" w:sz="4" w:space="0" w:color="auto"/>
              <w:bottom w:val="single" w:sz="4" w:space="0" w:color="auto"/>
              <w:right w:val="single" w:sz="4" w:space="0" w:color="auto"/>
            </w:tcBorders>
          </w:tcPr>
          <w:p w:rsidR="007F26C0" w:rsidRPr="007F26C0" w:rsidRDefault="007F26C0" w:rsidP="00C9586B">
            <w:pPr>
              <w:jc w:val="both"/>
              <w:rPr>
                <w:rFonts w:eastAsia="Times New Roman" w:cs="Times New Roman"/>
                <w:bCs/>
                <w:szCs w:val="24"/>
                <w:lang w:eastAsia="lv-LV"/>
              </w:rPr>
            </w:pPr>
            <w:r w:rsidRPr="007F26C0">
              <w:rPr>
                <w:rFonts w:eastAsia="Times New Roman" w:cs="Times New Roman"/>
                <w:bCs/>
                <w:szCs w:val="24"/>
                <w:lang w:eastAsia="lv-LV"/>
              </w:rPr>
              <w:t>Valsts budžeta programmas (apakšprogrammas) no kuras plānots finansēt</w:t>
            </w:r>
            <w:r w:rsidR="00026191">
              <w:rPr>
                <w:rFonts w:eastAsia="Times New Roman" w:cs="Times New Roman"/>
                <w:bCs/>
                <w:szCs w:val="24"/>
                <w:lang w:eastAsia="lv-LV"/>
              </w:rPr>
              <w:t xml:space="preserve"> a</w:t>
            </w:r>
            <w:r w:rsidR="00026191" w:rsidRPr="00026191">
              <w:rPr>
                <w:rFonts w:eastAsia="Times New Roman" w:cs="Times New Roman"/>
                <w:bCs/>
                <w:szCs w:val="24"/>
                <w:lang w:eastAsia="lv-LV"/>
              </w:rPr>
              <w:t>dministratīvās kapacitātes stiprināšanas pasākum</w:t>
            </w:r>
            <w:r w:rsidR="00026191">
              <w:rPr>
                <w:rFonts w:eastAsia="Times New Roman" w:cs="Times New Roman"/>
                <w:bCs/>
                <w:szCs w:val="24"/>
                <w:lang w:eastAsia="lv-LV"/>
              </w:rPr>
              <w:t>u</w:t>
            </w:r>
            <w:r w:rsidRPr="007F26C0">
              <w:rPr>
                <w:rFonts w:eastAsia="Times New Roman" w:cs="Times New Roman"/>
                <w:bCs/>
                <w:szCs w:val="24"/>
                <w:lang w:eastAsia="lv-LV"/>
              </w:rPr>
              <w:t>, kods, nosaukums:</w:t>
            </w:r>
          </w:p>
          <w:p w:rsidR="007F26C0" w:rsidRPr="007F26C0" w:rsidRDefault="007F26C0" w:rsidP="007F26C0">
            <w:pPr>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026191" w:rsidP="007F26C0">
            <w:pPr>
              <w:rPr>
                <w:rFonts w:eastAsia="Times New Roman" w:cs="Times New Roman"/>
                <w:bCs/>
                <w:szCs w:val="24"/>
                <w:lang w:eastAsia="lv-LV"/>
              </w:rPr>
            </w:pPr>
            <w:r>
              <w:rPr>
                <w:rFonts w:eastAsia="Times New Roman" w:cs="Times New Roman"/>
                <w:bCs/>
                <w:szCs w:val="24"/>
                <w:lang w:eastAsia="lv-LV"/>
              </w:rPr>
              <w:t>3</w:t>
            </w:r>
            <w:r w:rsidR="007F26C0" w:rsidRPr="007F26C0">
              <w:rPr>
                <w:rFonts w:eastAsia="Times New Roman" w:cs="Times New Roman"/>
                <w:bCs/>
                <w:szCs w:val="24"/>
                <w:lang w:eastAsia="lv-LV"/>
              </w:rPr>
              <w:t>.</w:t>
            </w:r>
          </w:p>
        </w:tc>
        <w:tc>
          <w:tcPr>
            <w:tcW w:w="8930" w:type="dxa"/>
            <w:gridSpan w:val="5"/>
            <w:tcBorders>
              <w:top w:val="single" w:sz="4" w:space="0" w:color="auto"/>
              <w:left w:val="single" w:sz="4" w:space="0" w:color="auto"/>
              <w:bottom w:val="single" w:sz="4" w:space="0" w:color="auto"/>
              <w:right w:val="single" w:sz="4" w:space="0" w:color="auto"/>
            </w:tcBorders>
          </w:tcPr>
          <w:p w:rsidR="007F26C0" w:rsidRPr="007F26C0" w:rsidRDefault="007F26C0" w:rsidP="00386E73">
            <w:pPr>
              <w:rPr>
                <w:rFonts w:eastAsia="Times New Roman" w:cs="Times New Roman"/>
                <w:szCs w:val="24"/>
                <w:lang w:eastAsia="lv-LV"/>
              </w:rPr>
            </w:pPr>
            <w:r w:rsidRPr="007F26C0">
              <w:rPr>
                <w:rFonts w:eastAsia="Times New Roman" w:cs="Times New Roman"/>
                <w:szCs w:val="24"/>
                <w:lang w:eastAsia="lv-LV"/>
              </w:rPr>
              <w:t>Nepieciešamais finansējums</w:t>
            </w:r>
            <w:r w:rsidR="00AB59CE">
              <w:rPr>
                <w:rFonts w:eastAsia="Times New Roman" w:cs="Times New Roman"/>
                <w:szCs w:val="24"/>
                <w:lang w:eastAsia="lv-LV"/>
              </w:rPr>
              <w:t>,</w:t>
            </w:r>
            <w:r w:rsidRPr="007F26C0">
              <w:rPr>
                <w:rFonts w:eastAsia="Times New Roman" w:cs="Times New Roman"/>
                <w:szCs w:val="24"/>
                <w:lang w:eastAsia="lv-LV"/>
              </w:rPr>
              <w:t xml:space="preserve"> </w:t>
            </w:r>
            <w:r w:rsidR="008175C9">
              <w:rPr>
                <w:rFonts w:eastAsia="Times New Roman" w:cs="Times New Roman"/>
                <w:szCs w:val="24"/>
                <w:lang w:eastAsia="lv-LV"/>
              </w:rPr>
              <w:t xml:space="preserve">prognozētie </w:t>
            </w:r>
            <w:r w:rsidR="00AB59CE">
              <w:rPr>
                <w:rFonts w:eastAsia="Times New Roman" w:cs="Times New Roman"/>
                <w:szCs w:val="24"/>
                <w:lang w:eastAsia="lv-LV"/>
              </w:rPr>
              <w:t xml:space="preserve">ieņēmumi </w:t>
            </w:r>
            <w:r w:rsidR="003C1E7D">
              <w:rPr>
                <w:rFonts w:eastAsia="Times New Roman" w:cs="Times New Roman"/>
                <w:szCs w:val="24"/>
                <w:lang w:eastAsia="lv-LV"/>
              </w:rPr>
              <w:t>katram gadam</w:t>
            </w:r>
            <w:r w:rsidR="008175C9">
              <w:rPr>
                <w:rFonts w:eastAsia="Times New Roman" w:cs="Times New Roman"/>
                <w:szCs w:val="24"/>
                <w:lang w:eastAsia="lv-LV"/>
              </w:rPr>
              <w:t>.</w:t>
            </w:r>
            <w:r w:rsidR="00AB59CE">
              <w:rPr>
                <w:rFonts w:eastAsia="Times New Roman" w:cs="Times New Roman"/>
                <w:szCs w:val="24"/>
                <w:lang w:eastAsia="lv-LV"/>
              </w:rPr>
              <w:t xml:space="preserve"> </w:t>
            </w:r>
          </w:p>
        </w:tc>
      </w:tr>
      <w:tr w:rsidR="007F26C0" w:rsidRPr="007F26C0" w:rsidTr="00A064F8">
        <w:tc>
          <w:tcPr>
            <w:tcW w:w="709" w:type="dxa"/>
            <w:vMerge w:val="restart"/>
            <w:shd w:val="clear" w:color="auto" w:fill="auto"/>
          </w:tcPr>
          <w:p w:rsidR="007F26C0" w:rsidRPr="007F26C0" w:rsidRDefault="00026191" w:rsidP="007F26C0">
            <w:pPr>
              <w:rPr>
                <w:rFonts w:eastAsia="Times New Roman" w:cs="Times New Roman"/>
                <w:bCs/>
                <w:szCs w:val="24"/>
                <w:lang w:eastAsia="lv-LV"/>
              </w:rPr>
            </w:pPr>
            <w:r>
              <w:rPr>
                <w:rFonts w:eastAsia="Times New Roman" w:cs="Times New Roman"/>
                <w:bCs/>
                <w:szCs w:val="24"/>
                <w:lang w:eastAsia="lv-LV"/>
              </w:rPr>
              <w:t>3</w:t>
            </w:r>
            <w:r w:rsidR="007F26C0" w:rsidRPr="007F26C0">
              <w:rPr>
                <w:rFonts w:eastAsia="Times New Roman" w:cs="Times New Roman"/>
                <w:bCs/>
                <w:szCs w:val="24"/>
                <w:lang w:eastAsia="lv-LV"/>
              </w:rPr>
              <w:t>.1.</w:t>
            </w: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rPr>
                <w:rFonts w:eastAsia="Times New Roman" w:cs="Times New Roman"/>
                <w:szCs w:val="24"/>
                <w:lang w:eastAsia="lv-LV"/>
              </w:rPr>
            </w:pPr>
            <w:r w:rsidRPr="007F26C0">
              <w:rPr>
                <w:rFonts w:eastAsia="Times New Roman" w:cs="Times New Roman"/>
                <w:szCs w:val="24"/>
                <w:lang w:eastAsia="lv-LV"/>
              </w:rPr>
              <w:t xml:space="preserve">Finanšu rādītājs: </w:t>
            </w:r>
          </w:p>
        </w:tc>
        <w:tc>
          <w:tcPr>
            <w:tcW w:w="1082" w:type="dxa"/>
            <w:gridSpan w:val="2"/>
            <w:tcBorders>
              <w:top w:val="single" w:sz="4" w:space="0" w:color="auto"/>
              <w:left w:val="single" w:sz="4" w:space="0" w:color="auto"/>
              <w:bottom w:val="nil"/>
              <w:right w:val="single" w:sz="4" w:space="0" w:color="auto"/>
            </w:tcBorders>
          </w:tcPr>
          <w:p w:rsidR="007F26C0" w:rsidRPr="007F26C0" w:rsidRDefault="007F26C0" w:rsidP="007F26C0">
            <w:pPr>
              <w:jc w:val="center"/>
              <w:rPr>
                <w:rFonts w:eastAsia="Times New Roman" w:cs="Times New Roman"/>
                <w:szCs w:val="24"/>
                <w:lang w:eastAsia="lv-LV"/>
              </w:rPr>
            </w:pPr>
            <w:r w:rsidRPr="007F26C0">
              <w:rPr>
                <w:rFonts w:eastAsia="Times New Roman" w:cs="Times New Roman"/>
                <w:iCs/>
                <w:szCs w:val="24"/>
                <w:lang w:eastAsia="lv-LV"/>
              </w:rPr>
              <w:t>n+1</w:t>
            </w:r>
          </w:p>
        </w:tc>
        <w:tc>
          <w:tcPr>
            <w:tcW w:w="1127" w:type="dxa"/>
            <w:tcBorders>
              <w:top w:val="single" w:sz="4" w:space="0" w:color="auto"/>
              <w:left w:val="single" w:sz="4" w:space="0" w:color="auto"/>
              <w:right w:val="single" w:sz="4" w:space="0" w:color="auto"/>
            </w:tcBorders>
          </w:tcPr>
          <w:p w:rsidR="007F26C0" w:rsidRPr="007F26C0" w:rsidRDefault="007F26C0" w:rsidP="007F26C0">
            <w:pPr>
              <w:jc w:val="center"/>
              <w:rPr>
                <w:rFonts w:eastAsia="Times New Roman" w:cs="Times New Roman"/>
                <w:szCs w:val="24"/>
                <w:lang w:eastAsia="lv-LV"/>
              </w:rPr>
            </w:pPr>
            <w:r w:rsidRPr="007F26C0">
              <w:rPr>
                <w:rFonts w:eastAsia="Times New Roman" w:cs="Times New Roman"/>
                <w:iCs/>
                <w:szCs w:val="24"/>
                <w:lang w:eastAsia="lv-LV"/>
              </w:rPr>
              <w:t>n+2</w:t>
            </w:r>
          </w:p>
        </w:tc>
        <w:tc>
          <w:tcPr>
            <w:tcW w:w="1275" w:type="dxa"/>
            <w:tcBorders>
              <w:top w:val="single" w:sz="4" w:space="0" w:color="auto"/>
              <w:left w:val="single" w:sz="4" w:space="0" w:color="auto"/>
              <w:right w:val="single" w:sz="4" w:space="0" w:color="auto"/>
            </w:tcBorders>
          </w:tcPr>
          <w:p w:rsidR="007F26C0" w:rsidRPr="007F26C0" w:rsidRDefault="007F26C0" w:rsidP="007F26C0">
            <w:pPr>
              <w:jc w:val="center"/>
              <w:rPr>
                <w:rFonts w:eastAsia="Times New Roman" w:cs="Times New Roman"/>
                <w:szCs w:val="24"/>
                <w:lang w:eastAsia="lv-LV"/>
              </w:rPr>
            </w:pPr>
            <w:r w:rsidRPr="007F26C0">
              <w:rPr>
                <w:rFonts w:eastAsia="Times New Roman" w:cs="Times New Roman"/>
                <w:iCs/>
                <w:szCs w:val="24"/>
                <w:lang w:eastAsia="lv-LV"/>
              </w:rPr>
              <w:t>n+3</w:t>
            </w:r>
          </w:p>
        </w:tc>
      </w:tr>
      <w:tr w:rsidR="00AB59CE" w:rsidRPr="007F26C0" w:rsidTr="00A064F8">
        <w:tc>
          <w:tcPr>
            <w:tcW w:w="709" w:type="dxa"/>
            <w:vMerge/>
            <w:shd w:val="clear" w:color="auto" w:fill="auto"/>
          </w:tcPr>
          <w:p w:rsidR="00AB59CE" w:rsidRPr="007F26C0" w:rsidDel="007F135D" w:rsidRDefault="00AB59CE"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AB59CE" w:rsidRPr="007F26C0" w:rsidRDefault="008175C9" w:rsidP="00026191">
            <w:pPr>
              <w:rPr>
                <w:rFonts w:eastAsia="Times New Roman" w:cs="Times New Roman"/>
                <w:szCs w:val="24"/>
                <w:lang w:eastAsia="lv-LV"/>
              </w:rPr>
            </w:pPr>
            <w:r>
              <w:rPr>
                <w:rFonts w:eastAsia="Times New Roman" w:cs="Times New Roman"/>
                <w:szCs w:val="24"/>
                <w:lang w:eastAsia="lv-LV"/>
              </w:rPr>
              <w:t xml:space="preserve">Prognozētie </w:t>
            </w:r>
            <w:r w:rsidR="00AB59CE">
              <w:rPr>
                <w:rFonts w:eastAsia="Times New Roman" w:cs="Times New Roman"/>
                <w:szCs w:val="24"/>
                <w:lang w:eastAsia="lv-LV"/>
              </w:rPr>
              <w:t>ieņēmumi no</w:t>
            </w:r>
            <w:r w:rsidR="00026191">
              <w:t xml:space="preserve"> a</w:t>
            </w:r>
            <w:r w:rsidR="00026191" w:rsidRPr="00026191">
              <w:rPr>
                <w:rFonts w:eastAsia="Times New Roman" w:cs="Times New Roman"/>
                <w:szCs w:val="24"/>
                <w:lang w:eastAsia="lv-LV"/>
              </w:rPr>
              <w:t>dministratīvās kapacitātes stiprināšanas pasākuma</w:t>
            </w:r>
            <w:r w:rsidR="00AB59CE">
              <w:rPr>
                <w:rFonts w:eastAsia="Times New Roman" w:cs="Times New Roman"/>
                <w:szCs w:val="24"/>
                <w:lang w:eastAsia="lv-LV"/>
              </w:rPr>
              <w:t xml:space="preserve"> īstenošanas</w:t>
            </w:r>
          </w:p>
        </w:tc>
        <w:tc>
          <w:tcPr>
            <w:tcW w:w="1082" w:type="dxa"/>
            <w:gridSpan w:val="2"/>
            <w:tcBorders>
              <w:top w:val="single" w:sz="4" w:space="0" w:color="auto"/>
              <w:left w:val="single" w:sz="4" w:space="0" w:color="auto"/>
              <w:bottom w:val="nil"/>
              <w:right w:val="single" w:sz="4" w:space="0" w:color="auto"/>
            </w:tcBorders>
            <w:vAlign w:val="center"/>
          </w:tcPr>
          <w:p w:rsidR="00AB59CE" w:rsidRPr="007F26C0" w:rsidRDefault="00AB59CE"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AB59CE" w:rsidRPr="007F26C0" w:rsidRDefault="00AB59CE"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AB59CE" w:rsidRPr="007F26C0" w:rsidRDefault="00AB59CE"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rPr>
                <w:rFonts w:eastAsia="Times New Roman" w:cs="Times New Roman"/>
                <w:szCs w:val="24"/>
                <w:lang w:eastAsia="lv-LV"/>
              </w:rPr>
            </w:pPr>
            <w:r w:rsidRPr="007F26C0">
              <w:rPr>
                <w:rFonts w:eastAsia="Times New Roman" w:cs="Times New Roman"/>
                <w:szCs w:val="24"/>
                <w:lang w:eastAsia="lv-LV"/>
              </w:rPr>
              <w:t>Izdevumi kopā</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numPr>
                <w:ilvl w:val="0"/>
                <w:numId w:val="1"/>
              </w:numPr>
              <w:rPr>
                <w:rFonts w:eastAsia="Times New Roman" w:cs="Times New Roman"/>
                <w:szCs w:val="24"/>
                <w:lang w:eastAsia="lv-LV"/>
              </w:rPr>
            </w:pPr>
            <w:r w:rsidRPr="007F26C0">
              <w:rPr>
                <w:rFonts w:eastAsia="Times New Roman" w:cs="Times New Roman"/>
                <w:szCs w:val="24"/>
                <w:lang w:eastAsia="lv-LV"/>
              </w:rPr>
              <w:t>Uzturēšanas izdevumi:</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ind w:left="1659"/>
              <w:rPr>
                <w:rFonts w:eastAsia="Times New Roman" w:cs="Times New Roman"/>
                <w:szCs w:val="24"/>
                <w:lang w:eastAsia="lv-LV"/>
              </w:rPr>
            </w:pPr>
            <w:r w:rsidRPr="007F26C0">
              <w:rPr>
                <w:rFonts w:eastAsia="Times New Roman" w:cs="Times New Roman"/>
                <w:szCs w:val="24"/>
                <w:lang w:eastAsia="lv-LV"/>
              </w:rPr>
              <w:t>tai skaitā: atlīdzība</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numPr>
                <w:ilvl w:val="0"/>
                <w:numId w:val="1"/>
              </w:numPr>
              <w:rPr>
                <w:rFonts w:eastAsia="Times New Roman" w:cs="Times New Roman"/>
                <w:szCs w:val="24"/>
                <w:lang w:eastAsia="lv-LV"/>
              </w:rPr>
            </w:pPr>
            <w:r w:rsidRPr="007F26C0">
              <w:rPr>
                <w:rFonts w:eastAsia="Times New Roman" w:cs="Times New Roman"/>
                <w:szCs w:val="24"/>
                <w:lang w:eastAsia="lv-LV"/>
              </w:rPr>
              <w:t>Kapitālie izdevumi</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shd w:val="clear" w:color="auto" w:fill="auto"/>
          </w:tcPr>
          <w:p w:rsidR="007F26C0" w:rsidRPr="007F26C0" w:rsidRDefault="00026191" w:rsidP="00026191">
            <w:pPr>
              <w:rPr>
                <w:rFonts w:eastAsia="Times New Roman" w:cs="Times New Roman"/>
                <w:bCs/>
                <w:szCs w:val="24"/>
                <w:lang w:eastAsia="lv-LV"/>
              </w:rPr>
            </w:pPr>
            <w:r>
              <w:rPr>
                <w:rFonts w:eastAsia="Times New Roman" w:cs="Times New Roman"/>
                <w:bCs/>
                <w:szCs w:val="24"/>
                <w:lang w:eastAsia="lv-LV"/>
              </w:rPr>
              <w:t>3</w:t>
            </w:r>
            <w:r w:rsidR="007F26C0" w:rsidRPr="007F26C0">
              <w:rPr>
                <w:rFonts w:eastAsia="Times New Roman" w:cs="Times New Roman"/>
                <w:bCs/>
                <w:szCs w:val="24"/>
                <w:lang w:eastAsia="lv-LV"/>
              </w:rPr>
              <w:t>.</w:t>
            </w:r>
            <w:r>
              <w:rPr>
                <w:rFonts w:eastAsia="Times New Roman" w:cs="Times New Roman"/>
                <w:bCs/>
                <w:szCs w:val="24"/>
                <w:lang w:eastAsia="lv-LV"/>
              </w:rPr>
              <w:t>2</w:t>
            </w:r>
            <w:r w:rsidR="007F26C0" w:rsidRPr="007F26C0">
              <w:rPr>
                <w:rFonts w:eastAsia="Times New Roman" w:cs="Times New Roman"/>
                <w:bCs/>
                <w:szCs w:val="24"/>
                <w:lang w:eastAsia="lv-LV"/>
              </w:rPr>
              <w:t>.</w:t>
            </w: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611D42">
            <w:pPr>
              <w:jc w:val="both"/>
              <w:rPr>
                <w:rFonts w:eastAsia="Times New Roman" w:cs="Times New Roman"/>
                <w:bCs/>
                <w:szCs w:val="24"/>
                <w:lang w:eastAsia="lv-LV"/>
              </w:rPr>
            </w:pPr>
            <w:r w:rsidRPr="007F26C0">
              <w:rPr>
                <w:rFonts w:eastAsia="Times New Roman" w:cs="Times New Roman"/>
                <w:i/>
                <w:szCs w:val="24"/>
                <w:lang w:eastAsia="lv-LV"/>
              </w:rPr>
              <w:t>Informācija par jaunajām amata vietām, norādot nepieciešamo papildu amata vienību skaitu</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611D42">
            <w:pPr>
              <w:jc w:val="both"/>
              <w:rPr>
                <w:rFonts w:eastAsia="Times New Roman" w:cs="Times New Roman"/>
                <w:i/>
                <w:szCs w:val="24"/>
                <w:lang w:eastAsia="lv-LV"/>
              </w:rPr>
            </w:pPr>
            <w:r w:rsidRPr="007F26C0">
              <w:rPr>
                <w:rFonts w:eastAsia="Times New Roman" w:cs="Times New Roman"/>
                <w:i/>
                <w:szCs w:val="24"/>
                <w:lang w:eastAsia="lv-LV"/>
              </w:rPr>
              <w:t>nepieciešamais papildu amata vienību skaits</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611D42">
            <w:pPr>
              <w:jc w:val="both"/>
              <w:rPr>
                <w:rFonts w:eastAsia="Times New Roman" w:cs="Times New Roman"/>
                <w:i/>
                <w:szCs w:val="24"/>
                <w:lang w:eastAsia="lv-LV"/>
              </w:rPr>
            </w:pPr>
            <w:r w:rsidRPr="007F26C0">
              <w:rPr>
                <w:rFonts w:eastAsia="Times New Roman" w:cs="Times New Roman"/>
                <w:i/>
                <w:szCs w:val="24"/>
                <w:lang w:eastAsia="lv-LV"/>
              </w:rPr>
              <w:t>atlīdzība papildu amata vienībām</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i/>
                <w:szCs w:val="24"/>
                <w:lang w:eastAsia="lv-LV"/>
              </w:rPr>
            </w:pPr>
            <w:r w:rsidRPr="007F26C0">
              <w:rPr>
                <w:rFonts w:eastAsia="Times New Roman" w:cs="Times New Roman"/>
                <w:i/>
                <w:szCs w:val="24"/>
                <w:lang w:eastAsia="lv-LV"/>
              </w:rPr>
              <w:t>izdevumi darba vietas iekārtošanai</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i/>
                <w:szCs w:val="24"/>
                <w:lang w:eastAsia="lv-LV"/>
              </w:rPr>
            </w:pPr>
            <w:r w:rsidRPr="007F26C0">
              <w:rPr>
                <w:rFonts w:eastAsia="Times New Roman" w:cs="Times New Roman"/>
                <w:i/>
                <w:szCs w:val="24"/>
                <w:lang w:eastAsia="lv-LV"/>
              </w:rPr>
              <w:t>pārējie uzturēšanas izdevumi</w:t>
            </w:r>
          </w:p>
        </w:tc>
        <w:tc>
          <w:tcPr>
            <w:tcW w:w="1074"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bCs/>
                <w:szCs w:val="24"/>
                <w:lang w:eastAsia="lv-LV"/>
              </w:rPr>
            </w:pPr>
          </w:p>
        </w:tc>
      </w:tr>
      <w:tr w:rsidR="00C9586B" w:rsidRPr="007F26C0" w:rsidTr="00A064F8">
        <w:tc>
          <w:tcPr>
            <w:tcW w:w="709" w:type="dxa"/>
            <w:shd w:val="clear" w:color="auto" w:fill="auto"/>
          </w:tcPr>
          <w:p w:rsidR="00C9586B" w:rsidRDefault="00C9586B" w:rsidP="007F26C0">
            <w:pPr>
              <w:rPr>
                <w:rFonts w:eastAsia="Times New Roman" w:cs="Times New Roman"/>
                <w:bCs/>
                <w:szCs w:val="24"/>
                <w:lang w:eastAsia="lv-LV"/>
              </w:rPr>
            </w:pPr>
            <w:r>
              <w:rPr>
                <w:rFonts w:eastAsia="Times New Roman" w:cs="Times New Roman"/>
                <w:bCs/>
                <w:szCs w:val="24"/>
                <w:lang w:eastAsia="lv-LV"/>
              </w:rPr>
              <w:t>4.</w:t>
            </w:r>
          </w:p>
        </w:tc>
        <w:tc>
          <w:tcPr>
            <w:tcW w:w="8930" w:type="dxa"/>
            <w:gridSpan w:val="5"/>
            <w:tcBorders>
              <w:top w:val="single" w:sz="4" w:space="0" w:color="auto"/>
              <w:left w:val="single" w:sz="4" w:space="0" w:color="auto"/>
              <w:bottom w:val="nil"/>
              <w:right w:val="single" w:sz="4" w:space="0" w:color="auto"/>
            </w:tcBorders>
          </w:tcPr>
          <w:p w:rsidR="00C9586B" w:rsidRDefault="00C9586B" w:rsidP="007F26C0">
            <w:pPr>
              <w:jc w:val="both"/>
              <w:rPr>
                <w:rFonts w:eastAsia="Times New Roman" w:cs="Times New Roman"/>
                <w:bCs/>
                <w:szCs w:val="24"/>
                <w:lang w:eastAsia="lv-LV"/>
              </w:rPr>
            </w:pPr>
            <w:r w:rsidRPr="00C9586B">
              <w:rPr>
                <w:rFonts w:eastAsia="Times New Roman" w:cs="Times New Roman"/>
                <w:bCs/>
                <w:szCs w:val="24"/>
                <w:lang w:eastAsia="lv-LV"/>
              </w:rPr>
              <w:t>Administratīvās kapacitātes stiprināšanas pasākuma</w:t>
            </w:r>
            <w:r>
              <w:rPr>
                <w:rFonts w:eastAsia="Times New Roman" w:cs="Times New Roman"/>
                <w:bCs/>
                <w:szCs w:val="24"/>
                <w:lang w:eastAsia="lv-LV"/>
              </w:rPr>
              <w:t>m</w:t>
            </w:r>
            <w:r w:rsidRPr="00C9586B">
              <w:rPr>
                <w:rFonts w:eastAsia="Times New Roman" w:cs="Times New Roman"/>
                <w:bCs/>
                <w:szCs w:val="24"/>
                <w:lang w:eastAsia="lv-LV"/>
              </w:rPr>
              <w:t xml:space="preserve"> </w:t>
            </w:r>
            <w:r>
              <w:rPr>
                <w:rFonts w:eastAsia="Times New Roman" w:cs="Times New Roman"/>
                <w:bCs/>
                <w:szCs w:val="24"/>
                <w:lang w:eastAsia="lv-LV"/>
              </w:rPr>
              <w:t>nepieciešamā finansējuma detalizēts aprēķins, kas pamato pieprasīto līdzekļu apjomu:</w:t>
            </w:r>
          </w:p>
          <w:p w:rsidR="00C9586B" w:rsidRDefault="00C9586B" w:rsidP="007F26C0">
            <w:pPr>
              <w:jc w:val="both"/>
              <w:rPr>
                <w:rFonts w:eastAsia="Times New Roman" w:cs="Times New Roman"/>
                <w:bCs/>
                <w:szCs w:val="24"/>
                <w:lang w:eastAsia="lv-LV"/>
              </w:rPr>
            </w:pPr>
          </w:p>
          <w:p w:rsidR="00C9586B" w:rsidRPr="007F26C0" w:rsidRDefault="00C9586B"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C9586B" w:rsidP="007F26C0">
            <w:pPr>
              <w:rPr>
                <w:rFonts w:eastAsia="Times New Roman" w:cs="Times New Roman"/>
                <w:bCs/>
                <w:szCs w:val="24"/>
                <w:lang w:eastAsia="lv-LV"/>
              </w:rPr>
            </w:pPr>
            <w:r>
              <w:rPr>
                <w:rFonts w:eastAsia="Times New Roman" w:cs="Times New Roman"/>
                <w:bCs/>
                <w:szCs w:val="24"/>
                <w:lang w:eastAsia="lv-LV"/>
              </w:rPr>
              <w:t>5</w:t>
            </w:r>
            <w:r w:rsidR="007F26C0" w:rsidRPr="007F26C0">
              <w:rPr>
                <w:rFonts w:eastAsia="Times New Roman" w:cs="Times New Roman"/>
                <w:bCs/>
                <w:szCs w:val="24"/>
                <w:lang w:eastAsia="lv-LV"/>
              </w:rPr>
              <w:t>.</w:t>
            </w:r>
          </w:p>
        </w:tc>
        <w:tc>
          <w:tcPr>
            <w:tcW w:w="8930" w:type="dxa"/>
            <w:gridSpan w:val="5"/>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r w:rsidRPr="007F26C0">
              <w:rPr>
                <w:rFonts w:eastAsia="Times New Roman" w:cs="Times New Roman"/>
                <w:bCs/>
                <w:szCs w:val="24"/>
                <w:lang w:eastAsia="lv-LV"/>
              </w:rPr>
              <w:t xml:space="preserve">Papildu informācija: </w:t>
            </w:r>
          </w:p>
          <w:p w:rsidR="007F26C0" w:rsidRPr="007F26C0" w:rsidRDefault="007F26C0" w:rsidP="007F26C0">
            <w:pPr>
              <w:jc w:val="both"/>
              <w:rPr>
                <w:rFonts w:eastAsia="Times New Roman" w:cs="Times New Roman"/>
                <w:iCs/>
                <w:szCs w:val="24"/>
                <w:lang w:eastAsia="lv-LV"/>
              </w:rPr>
            </w:pPr>
            <w:r w:rsidRPr="007F26C0">
              <w:rPr>
                <w:rFonts w:eastAsia="Times New Roman" w:cs="Times New Roman"/>
                <w:bCs/>
                <w:szCs w:val="24"/>
                <w:lang w:eastAsia="lv-LV"/>
              </w:rPr>
              <w:t>Ja kapitālie izdevumi ir saistīti ar ēkas, būves, zemes, inženiertehniskās un tehnoloģiskās iekārtas, specializētās iekārtas un operatīvais transports iegādi, būvniecību vai to atjaunošanu, tad norāda:</w:t>
            </w:r>
          </w:p>
          <w:p w:rsidR="007F26C0" w:rsidRPr="007F26C0" w:rsidRDefault="007F26C0" w:rsidP="007F26C0">
            <w:pPr>
              <w:numPr>
                <w:ilvl w:val="0"/>
                <w:numId w:val="2"/>
              </w:numPr>
              <w:jc w:val="both"/>
              <w:rPr>
                <w:rFonts w:eastAsia="Times New Roman" w:cs="Times New Roman"/>
                <w:bCs/>
                <w:szCs w:val="24"/>
                <w:lang w:eastAsia="lv-LV"/>
              </w:rPr>
            </w:pPr>
            <w:r w:rsidRPr="007F26C0">
              <w:rPr>
                <w:rFonts w:eastAsia="Times New Roman" w:cs="Times New Roman"/>
                <w:bCs/>
                <w:szCs w:val="24"/>
                <w:lang w:eastAsia="lv-LV"/>
              </w:rPr>
              <w:t>objekta veids</w:t>
            </w:r>
          </w:p>
          <w:p w:rsidR="007F26C0" w:rsidRPr="007F26C0" w:rsidRDefault="007F26C0" w:rsidP="007F26C0">
            <w:pPr>
              <w:numPr>
                <w:ilvl w:val="0"/>
                <w:numId w:val="2"/>
              </w:numPr>
              <w:jc w:val="both"/>
              <w:rPr>
                <w:rFonts w:eastAsia="Times New Roman" w:cs="Times New Roman"/>
                <w:bCs/>
                <w:szCs w:val="24"/>
                <w:lang w:eastAsia="lv-LV"/>
              </w:rPr>
            </w:pPr>
            <w:r w:rsidRPr="007F26C0">
              <w:rPr>
                <w:rFonts w:eastAsia="Times New Roman" w:cs="Times New Roman"/>
                <w:bCs/>
                <w:szCs w:val="24"/>
                <w:lang w:eastAsia="lv-LV"/>
              </w:rPr>
              <w:t>veicamā darbība</w:t>
            </w:r>
          </w:p>
          <w:p w:rsidR="007F26C0" w:rsidRPr="007F26C0" w:rsidRDefault="007F26C0" w:rsidP="007F26C0">
            <w:pPr>
              <w:pStyle w:val="ListParagraph"/>
              <w:numPr>
                <w:ilvl w:val="0"/>
                <w:numId w:val="2"/>
              </w:numPr>
              <w:jc w:val="both"/>
              <w:rPr>
                <w:rFonts w:eastAsia="Times New Roman" w:cs="Times New Roman"/>
                <w:bCs/>
                <w:szCs w:val="24"/>
                <w:lang w:eastAsia="lv-LV"/>
              </w:rPr>
            </w:pPr>
            <w:r w:rsidRPr="007F26C0">
              <w:rPr>
                <w:rFonts w:eastAsia="Times New Roman" w:cs="Times New Roman"/>
                <w:bCs/>
                <w:szCs w:val="24"/>
                <w:lang w:eastAsia="lv-LV"/>
              </w:rPr>
              <w:t>ieguldījuma teritorija (vietējā pašvaldība)</w:t>
            </w:r>
          </w:p>
        </w:tc>
      </w:tr>
      <w:tr w:rsidR="00C9586B" w:rsidRPr="007F26C0" w:rsidTr="00A064F8">
        <w:tc>
          <w:tcPr>
            <w:tcW w:w="709" w:type="dxa"/>
            <w:shd w:val="clear" w:color="auto" w:fill="auto"/>
          </w:tcPr>
          <w:p w:rsidR="00C9586B" w:rsidRDefault="00C9586B" w:rsidP="007F26C0">
            <w:pPr>
              <w:rPr>
                <w:rFonts w:eastAsia="Times New Roman" w:cs="Times New Roman"/>
                <w:bCs/>
                <w:szCs w:val="24"/>
                <w:lang w:eastAsia="lv-LV"/>
              </w:rPr>
            </w:pPr>
            <w:r>
              <w:rPr>
                <w:rFonts w:eastAsia="Times New Roman" w:cs="Times New Roman"/>
                <w:bCs/>
                <w:szCs w:val="24"/>
                <w:lang w:eastAsia="lv-LV"/>
              </w:rPr>
              <w:t>6.</w:t>
            </w:r>
          </w:p>
        </w:tc>
        <w:tc>
          <w:tcPr>
            <w:tcW w:w="8930" w:type="dxa"/>
            <w:gridSpan w:val="5"/>
            <w:tcBorders>
              <w:top w:val="single" w:sz="4" w:space="0" w:color="auto"/>
              <w:left w:val="single" w:sz="4" w:space="0" w:color="auto"/>
              <w:bottom w:val="nil"/>
              <w:right w:val="single" w:sz="4" w:space="0" w:color="auto"/>
            </w:tcBorders>
          </w:tcPr>
          <w:p w:rsidR="00C9586B" w:rsidRDefault="00C9586B" w:rsidP="007F26C0">
            <w:pPr>
              <w:jc w:val="both"/>
              <w:rPr>
                <w:rFonts w:eastAsia="Times New Roman" w:cs="Times New Roman"/>
                <w:bCs/>
                <w:szCs w:val="24"/>
                <w:lang w:eastAsia="lv-LV"/>
              </w:rPr>
            </w:pPr>
            <w:r>
              <w:rPr>
                <w:rFonts w:eastAsia="Times New Roman" w:cs="Times New Roman"/>
                <w:bCs/>
                <w:szCs w:val="24"/>
                <w:lang w:eastAsia="lv-LV"/>
              </w:rPr>
              <w:t>Cita būtiska informācija pēc pieteikuma iesniedzēja skatījuma:</w:t>
            </w:r>
          </w:p>
          <w:p w:rsidR="00C9586B" w:rsidRPr="007F26C0" w:rsidRDefault="00C9586B" w:rsidP="007F26C0">
            <w:pPr>
              <w:jc w:val="both"/>
              <w:rPr>
                <w:rFonts w:eastAsia="Times New Roman" w:cs="Times New Roman"/>
                <w:bCs/>
                <w:szCs w:val="24"/>
                <w:lang w:eastAsia="lv-LV"/>
              </w:rPr>
            </w:pPr>
          </w:p>
        </w:tc>
      </w:tr>
      <w:tr w:rsidR="007F26C0" w:rsidRPr="007F26C0" w:rsidTr="00A064F8">
        <w:trPr>
          <w:trHeight w:val="546"/>
        </w:trPr>
        <w:tc>
          <w:tcPr>
            <w:tcW w:w="9639" w:type="dxa"/>
            <w:gridSpan w:val="6"/>
            <w:tcBorders>
              <w:top w:val="single" w:sz="4" w:space="0" w:color="auto"/>
              <w:left w:val="nil"/>
              <w:bottom w:val="nil"/>
              <w:right w:val="nil"/>
            </w:tcBorders>
            <w:shd w:val="clear" w:color="auto" w:fill="auto"/>
          </w:tcPr>
          <w:p w:rsidR="0063178F" w:rsidRDefault="0063178F" w:rsidP="007F26C0">
            <w:pPr>
              <w:jc w:val="both"/>
              <w:rPr>
                <w:rFonts w:eastAsia="Times New Roman" w:cs="Times New Roman"/>
                <w:i/>
                <w:sz w:val="22"/>
                <w:lang w:eastAsia="lv-LV"/>
              </w:rPr>
            </w:pPr>
          </w:p>
          <w:p w:rsidR="007F26C0" w:rsidRPr="007F26C0" w:rsidRDefault="007F26C0" w:rsidP="00C9586B">
            <w:pPr>
              <w:jc w:val="both"/>
              <w:rPr>
                <w:rFonts w:eastAsia="Times New Roman" w:cs="Times New Roman"/>
                <w:i/>
                <w:sz w:val="22"/>
                <w:lang w:eastAsia="lv-LV"/>
              </w:rPr>
            </w:pPr>
          </w:p>
        </w:tc>
      </w:tr>
    </w:tbl>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r w:rsidRPr="007F26C0">
        <w:rPr>
          <w:rFonts w:eastAsia="Times New Roman" w:cs="Times New Roman"/>
          <w:szCs w:val="24"/>
          <w:lang w:eastAsia="lv-LV"/>
        </w:rPr>
        <w:t xml:space="preserve">Sagatavoja: ____________________________(paraksts un tā atšifrējums)* </w:t>
      </w:r>
    </w:p>
    <w:p w:rsidR="007F26C0" w:rsidRPr="007F26C0" w:rsidRDefault="007F26C0" w:rsidP="007F26C0">
      <w:pPr>
        <w:tabs>
          <w:tab w:val="left" w:pos="1134"/>
          <w:tab w:val="left" w:leader="underscore" w:pos="4678"/>
        </w:tabs>
        <w:jc w:val="both"/>
        <w:rPr>
          <w:rFonts w:eastAsia="Times New Roman" w:cs="Times New Roman"/>
          <w:szCs w:val="24"/>
          <w:lang w:eastAsia="lv-LV"/>
        </w:rPr>
      </w:pPr>
      <w:r w:rsidRPr="007F26C0">
        <w:rPr>
          <w:rFonts w:eastAsia="Times New Roman" w:cs="Times New Roman"/>
          <w:szCs w:val="24"/>
          <w:lang w:eastAsia="lv-LV"/>
        </w:rPr>
        <w:tab/>
      </w:r>
      <w:r w:rsidRPr="007F26C0">
        <w:rPr>
          <w:rFonts w:eastAsia="Times New Roman" w:cs="Times New Roman"/>
          <w:szCs w:val="24"/>
          <w:lang w:eastAsia="lv-LV"/>
        </w:rPr>
        <w:tab/>
        <w:t>(ieņemamais amats)</w:t>
      </w:r>
    </w:p>
    <w:p w:rsidR="007F26C0" w:rsidRPr="007F26C0" w:rsidRDefault="007F26C0" w:rsidP="007F26C0">
      <w:pPr>
        <w:tabs>
          <w:tab w:val="left" w:pos="6840"/>
        </w:tabs>
        <w:jc w:val="both"/>
        <w:rPr>
          <w:rFonts w:eastAsia="Times New Roman" w:cs="Times New Roman"/>
          <w:szCs w:val="24"/>
          <w:lang w:eastAsia="lv-LV"/>
        </w:rPr>
      </w:pPr>
      <w:r w:rsidRPr="007F26C0">
        <w:rPr>
          <w:rFonts w:eastAsia="Times New Roman" w:cs="Times New Roman"/>
          <w:szCs w:val="24"/>
          <w:lang w:eastAsia="lv-LV"/>
        </w:rPr>
        <w:t>201_.gada ____.___________</w:t>
      </w:r>
    </w:p>
    <w:p w:rsidR="007F26C0" w:rsidRPr="007F26C0" w:rsidRDefault="007F26C0" w:rsidP="007F26C0">
      <w:pPr>
        <w:tabs>
          <w:tab w:val="left" w:pos="6840"/>
        </w:tabs>
        <w:jc w:val="both"/>
        <w:rPr>
          <w:rFonts w:eastAsia="Times New Roman" w:cs="Times New Roman"/>
          <w:szCs w:val="24"/>
          <w:lang w:eastAsia="lv-LV"/>
        </w:rPr>
      </w:pPr>
      <w:r w:rsidRPr="007F26C0">
        <w:rPr>
          <w:rFonts w:eastAsia="Times New Roman" w:cs="Times New Roman"/>
          <w:szCs w:val="24"/>
          <w:lang w:eastAsia="lv-LV"/>
        </w:rPr>
        <w:t>Tālrunis: _________________</w:t>
      </w:r>
    </w:p>
    <w:p w:rsidR="007F26C0" w:rsidRPr="007F26C0" w:rsidRDefault="007F26C0" w:rsidP="007F26C0">
      <w:pPr>
        <w:tabs>
          <w:tab w:val="left" w:pos="6840"/>
        </w:tabs>
        <w:jc w:val="both"/>
        <w:rPr>
          <w:rFonts w:eastAsia="Times New Roman" w:cs="Times New Roman"/>
          <w:i/>
          <w:szCs w:val="24"/>
          <w:lang w:eastAsia="lv-LV"/>
        </w:rPr>
      </w:pPr>
    </w:p>
    <w:p w:rsidR="007F26C0" w:rsidRPr="007F26C0" w:rsidRDefault="007F26C0" w:rsidP="007F26C0">
      <w:pPr>
        <w:tabs>
          <w:tab w:val="left" w:pos="6840"/>
        </w:tabs>
        <w:jc w:val="both"/>
        <w:rPr>
          <w:rFonts w:eastAsia="Times New Roman" w:cs="Times New Roman"/>
          <w:i/>
          <w:szCs w:val="24"/>
          <w:lang w:eastAsia="lv-LV"/>
        </w:rPr>
      </w:pPr>
    </w:p>
    <w:p w:rsidR="007F26C0" w:rsidRPr="00687422" w:rsidRDefault="007F26C0" w:rsidP="007F26C0">
      <w:pPr>
        <w:tabs>
          <w:tab w:val="left" w:pos="6840"/>
        </w:tabs>
        <w:jc w:val="both"/>
        <w:rPr>
          <w:rFonts w:eastAsia="Times New Roman" w:cs="Times New Roman"/>
          <w:i/>
          <w:sz w:val="20"/>
          <w:szCs w:val="20"/>
          <w:lang w:eastAsia="lv-LV"/>
        </w:rPr>
      </w:pPr>
      <w:r w:rsidRPr="00687422">
        <w:rPr>
          <w:rFonts w:eastAsia="Times New Roman" w:cs="Times New Roman"/>
          <w:i/>
          <w:sz w:val="20"/>
          <w:szCs w:val="20"/>
          <w:lang w:eastAsia="lv-LV"/>
        </w:rPr>
        <w:t xml:space="preserve">* Dokumenta rekvizītus „paraksts” un „datums” neaizpilda, ja elektroniskais dokuments ir noformēts atbilstoši elektronisko dokumentu noformēšanai normatīvajos </w:t>
      </w:r>
      <w:smartTag w:uri="schemas-tilde-lv/tildestengine" w:element="veidnes">
        <w:smartTagPr>
          <w:attr w:name="baseform" w:val="akt|s"/>
          <w:attr w:name="id" w:val="-1"/>
          <w:attr w:name="text" w:val="aktos"/>
        </w:smartTagPr>
        <w:r w:rsidRPr="00687422">
          <w:rPr>
            <w:rFonts w:eastAsia="Times New Roman" w:cs="Times New Roman"/>
            <w:i/>
            <w:sz w:val="20"/>
            <w:szCs w:val="20"/>
            <w:lang w:eastAsia="lv-LV"/>
          </w:rPr>
          <w:t>aktos</w:t>
        </w:r>
      </w:smartTag>
      <w:r w:rsidRPr="00687422">
        <w:rPr>
          <w:rFonts w:eastAsia="Times New Roman" w:cs="Times New Roman"/>
          <w:i/>
          <w:sz w:val="20"/>
          <w:szCs w:val="20"/>
          <w:lang w:eastAsia="lv-LV"/>
        </w:rPr>
        <w:t xml:space="preserve"> noteiktajām prasībām </w:t>
      </w:r>
    </w:p>
    <w:p w:rsidR="007F26C0" w:rsidRPr="007F26C0" w:rsidRDefault="007F26C0" w:rsidP="007F26C0">
      <w:pPr>
        <w:tabs>
          <w:tab w:val="left" w:pos="6840"/>
        </w:tabs>
        <w:jc w:val="both"/>
        <w:rPr>
          <w:rFonts w:eastAsia="Times New Roman" w:cs="Times New Roman"/>
          <w:i/>
          <w:szCs w:val="24"/>
          <w:lang w:eastAsia="lv-LV"/>
        </w:rPr>
      </w:pPr>
    </w:p>
    <w:p w:rsidR="007F26C0" w:rsidRPr="007F26C0" w:rsidRDefault="007F26C0" w:rsidP="007F26C0">
      <w:pPr>
        <w:tabs>
          <w:tab w:val="left" w:pos="6840"/>
        </w:tabs>
        <w:jc w:val="both"/>
        <w:rPr>
          <w:rFonts w:eastAsia="Times New Roman" w:cs="Times New Roman"/>
          <w:i/>
          <w:szCs w:val="24"/>
          <w:lang w:eastAsia="lv-LV"/>
        </w:rPr>
      </w:pPr>
    </w:p>
    <w:p w:rsidR="007F26C0" w:rsidRPr="007F26C0" w:rsidRDefault="007F26C0" w:rsidP="007F26C0">
      <w:pPr>
        <w:tabs>
          <w:tab w:val="left" w:pos="6840"/>
        </w:tabs>
        <w:jc w:val="both"/>
        <w:rPr>
          <w:rFonts w:eastAsia="Times New Roman" w:cs="Times New Roman"/>
          <w:i/>
          <w:szCs w:val="24"/>
          <w:lang w:eastAsia="lv-LV"/>
        </w:rPr>
      </w:pPr>
    </w:p>
    <w:p w:rsidR="006151B1" w:rsidRDefault="006151B1" w:rsidP="006151B1">
      <w:pPr>
        <w:rPr>
          <w:rFonts w:eastAsia="Times New Roman" w:cs="Times New Roman"/>
          <w:sz w:val="28"/>
          <w:szCs w:val="24"/>
          <w:lang w:eastAsia="lv-LV"/>
        </w:rPr>
      </w:pPr>
      <w:r>
        <w:rPr>
          <w:rFonts w:eastAsia="Times New Roman" w:cs="Times New Roman"/>
          <w:sz w:val="28"/>
          <w:szCs w:val="24"/>
          <w:lang w:eastAsia="lv-LV"/>
        </w:rPr>
        <w:t>Finanšu ministrs</w:t>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t>A.Vilks</w:t>
      </w:r>
    </w:p>
    <w:p w:rsidR="007F26C0" w:rsidRPr="007F26C0" w:rsidRDefault="00DF4FFC" w:rsidP="007F26C0">
      <w:pPr>
        <w:rPr>
          <w:rFonts w:eastAsia="Times New Roman" w:cs="Times New Roman"/>
          <w:sz w:val="28"/>
          <w:szCs w:val="24"/>
          <w:lang w:eastAsia="lv-LV"/>
        </w:rPr>
      </w:pP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r>
      <w:r>
        <w:rPr>
          <w:rFonts w:eastAsia="Times New Roman" w:cs="Times New Roman"/>
          <w:sz w:val="28"/>
          <w:szCs w:val="24"/>
          <w:lang w:eastAsia="lv-LV"/>
        </w:rPr>
        <w:tab/>
        <w:t xml:space="preserve">        </w:t>
      </w:r>
      <w:r w:rsidR="007F26C0" w:rsidRPr="007F26C0">
        <w:rPr>
          <w:rFonts w:eastAsia="Times New Roman" w:cs="Times New Roman"/>
          <w:sz w:val="28"/>
          <w:szCs w:val="24"/>
          <w:lang w:eastAsia="lv-LV"/>
        </w:rPr>
        <w:tab/>
      </w:r>
      <w:r w:rsidR="007F26C0" w:rsidRPr="007F26C0">
        <w:rPr>
          <w:rFonts w:eastAsia="Times New Roman" w:cs="Times New Roman"/>
          <w:sz w:val="28"/>
          <w:szCs w:val="24"/>
          <w:lang w:eastAsia="lv-LV"/>
        </w:rPr>
        <w:tab/>
      </w:r>
      <w:r w:rsidR="007F26C0" w:rsidRPr="007F26C0">
        <w:rPr>
          <w:rFonts w:eastAsia="Times New Roman" w:cs="Times New Roman"/>
          <w:sz w:val="28"/>
          <w:szCs w:val="24"/>
          <w:lang w:eastAsia="lv-LV"/>
        </w:rPr>
        <w:tab/>
      </w:r>
      <w:r w:rsidR="007F26C0" w:rsidRPr="007F26C0">
        <w:rPr>
          <w:rFonts w:eastAsia="Times New Roman" w:cs="Times New Roman"/>
          <w:sz w:val="28"/>
          <w:szCs w:val="24"/>
          <w:lang w:eastAsia="lv-LV"/>
        </w:rPr>
        <w:tab/>
      </w:r>
      <w:r w:rsidR="007F26C0" w:rsidRPr="007F26C0">
        <w:rPr>
          <w:rFonts w:eastAsia="Times New Roman" w:cs="Times New Roman"/>
          <w:sz w:val="28"/>
          <w:szCs w:val="24"/>
          <w:lang w:eastAsia="lv-LV"/>
        </w:rPr>
        <w:tab/>
      </w:r>
    </w:p>
    <w:p w:rsidR="007F26C0" w:rsidRPr="007F26C0" w:rsidRDefault="007F26C0" w:rsidP="007F26C0">
      <w:pPr>
        <w:rPr>
          <w:rFonts w:eastAsia="Times New Roman" w:cs="Times New Roman"/>
          <w:sz w:val="28"/>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611D42" w:rsidP="007F26C0">
      <w:pPr>
        <w:jc w:val="both"/>
        <w:rPr>
          <w:rFonts w:eastAsia="Times New Roman" w:cs="Times New Roman"/>
          <w:sz w:val="18"/>
          <w:szCs w:val="18"/>
        </w:rPr>
      </w:pPr>
      <w:r>
        <w:rPr>
          <w:rFonts w:eastAsia="Times New Roman" w:cs="Times New Roman"/>
          <w:sz w:val="18"/>
          <w:szCs w:val="18"/>
        </w:rPr>
        <w:t>07</w:t>
      </w:r>
      <w:r w:rsidR="00AA561F">
        <w:rPr>
          <w:rFonts w:eastAsia="Times New Roman" w:cs="Times New Roman"/>
          <w:sz w:val="18"/>
          <w:szCs w:val="18"/>
        </w:rPr>
        <w:t>.</w:t>
      </w:r>
      <w:r w:rsidR="006C4FF0">
        <w:rPr>
          <w:rFonts w:eastAsia="Times New Roman" w:cs="Times New Roman"/>
          <w:sz w:val="18"/>
          <w:szCs w:val="18"/>
        </w:rPr>
        <w:t>1</w:t>
      </w:r>
      <w:r>
        <w:rPr>
          <w:rFonts w:eastAsia="Times New Roman" w:cs="Times New Roman"/>
          <w:sz w:val="18"/>
          <w:szCs w:val="18"/>
        </w:rPr>
        <w:t>1</w:t>
      </w:r>
      <w:r w:rsidR="007F26C0" w:rsidRPr="007F26C0">
        <w:rPr>
          <w:rFonts w:eastAsia="Times New Roman" w:cs="Times New Roman"/>
          <w:sz w:val="18"/>
          <w:szCs w:val="18"/>
        </w:rPr>
        <w:t>.2012. 11:30</w:t>
      </w:r>
    </w:p>
    <w:p w:rsidR="007F26C0" w:rsidRPr="007F26C0" w:rsidRDefault="000E6E56" w:rsidP="007F26C0">
      <w:pPr>
        <w:jc w:val="both"/>
        <w:rPr>
          <w:rFonts w:eastAsia="Times New Roman" w:cs="Times New Roman"/>
          <w:sz w:val="18"/>
          <w:szCs w:val="18"/>
        </w:rPr>
      </w:pPr>
      <w:r>
        <w:fldChar w:fldCharType="begin"/>
      </w:r>
      <w:r>
        <w:instrText xml:space="preserve"> NUMWORDS   \* MERGEFORMAT </w:instrText>
      </w:r>
      <w:r>
        <w:fldChar w:fldCharType="separate"/>
      </w:r>
      <w:r w:rsidR="006151B1" w:rsidRPr="006151B1">
        <w:rPr>
          <w:rFonts w:eastAsia="Times New Roman" w:cs="Times New Roman"/>
          <w:noProof/>
          <w:sz w:val="18"/>
          <w:szCs w:val="18"/>
        </w:rPr>
        <w:t>231</w:t>
      </w:r>
      <w:r>
        <w:rPr>
          <w:rFonts w:eastAsia="Times New Roman" w:cs="Times New Roman"/>
          <w:noProof/>
          <w:sz w:val="18"/>
          <w:szCs w:val="18"/>
        </w:rPr>
        <w:fldChar w:fldCharType="end"/>
      </w:r>
      <w:bookmarkStart w:id="0" w:name="_GoBack"/>
      <w:bookmarkEnd w:id="0"/>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 xml:space="preserve">Raivis </w:t>
      </w:r>
      <w:proofErr w:type="spellStart"/>
      <w:r w:rsidRPr="007F26C0">
        <w:rPr>
          <w:rFonts w:eastAsia="Times New Roman" w:cs="Times New Roman"/>
          <w:sz w:val="18"/>
          <w:szCs w:val="18"/>
        </w:rPr>
        <w:t>Čablis</w:t>
      </w:r>
      <w:proofErr w:type="spellEnd"/>
      <w:r w:rsidRPr="007F26C0">
        <w:rPr>
          <w:rFonts w:eastAsia="Times New Roman" w:cs="Times New Roman"/>
          <w:sz w:val="18"/>
          <w:szCs w:val="18"/>
        </w:rPr>
        <w:t>,</w:t>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Finanšu ministrijas</w:t>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Finanšu vadības un metodoloģijas departamenta</w:t>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Budžeta metodoloģijas nodaļas vecākais eksperts</w:t>
      </w:r>
    </w:p>
    <w:p w:rsidR="007F26C0" w:rsidRPr="007F26C0" w:rsidRDefault="007F26C0" w:rsidP="007F26C0">
      <w:pPr>
        <w:jc w:val="both"/>
        <w:rPr>
          <w:rFonts w:eastAsia="Times New Roman" w:cs="Times New Roman"/>
          <w:sz w:val="18"/>
          <w:szCs w:val="18"/>
        </w:rPr>
      </w:pPr>
      <w:proofErr w:type="spellStart"/>
      <w:r w:rsidRPr="007F26C0">
        <w:rPr>
          <w:rFonts w:eastAsia="Times New Roman" w:cs="Times New Roman"/>
          <w:sz w:val="18"/>
          <w:szCs w:val="18"/>
        </w:rPr>
        <w:t>raivis.cablis@fm.gov.lv</w:t>
      </w:r>
      <w:proofErr w:type="spellEnd"/>
      <w:r w:rsidRPr="007F26C0">
        <w:rPr>
          <w:rFonts w:eastAsia="Times New Roman" w:cs="Times New Roman"/>
          <w:sz w:val="18"/>
          <w:szCs w:val="18"/>
        </w:rPr>
        <w:t>;</w:t>
      </w:r>
    </w:p>
    <w:p w:rsidR="007F26C0" w:rsidRPr="007F26C0" w:rsidRDefault="007F26C0" w:rsidP="007F26C0">
      <w:pPr>
        <w:jc w:val="both"/>
        <w:rPr>
          <w:rFonts w:eastAsia="Calibri" w:cs="Times New Roman"/>
        </w:rPr>
      </w:pPr>
      <w:r w:rsidRPr="007F26C0">
        <w:rPr>
          <w:rFonts w:eastAsia="Times New Roman" w:cs="Times New Roman"/>
          <w:sz w:val="18"/>
          <w:szCs w:val="18"/>
        </w:rPr>
        <w:t>Tālr.: 67095498; fakss:67095541</w:t>
      </w:r>
    </w:p>
    <w:p w:rsidR="007F26C0" w:rsidRPr="007F26C0" w:rsidRDefault="007F26C0" w:rsidP="007F26C0">
      <w:pPr>
        <w:tabs>
          <w:tab w:val="left" w:pos="6840"/>
        </w:tabs>
        <w:jc w:val="both"/>
        <w:rPr>
          <w:rFonts w:eastAsia="Times New Roman" w:cs="Times New Roman"/>
          <w:szCs w:val="24"/>
          <w:lang w:eastAsia="lv-LV"/>
        </w:rPr>
      </w:pPr>
    </w:p>
    <w:p w:rsidR="00856628" w:rsidRDefault="00856628"/>
    <w:sectPr w:rsidR="00856628" w:rsidSect="00FF1BCD">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56" w:rsidRDefault="000E6E56">
      <w:r>
        <w:separator/>
      </w:r>
    </w:p>
  </w:endnote>
  <w:endnote w:type="continuationSeparator" w:id="0">
    <w:p w:rsidR="000E6E56" w:rsidRDefault="000E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9A" w:rsidRDefault="0035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CD" w:rsidRPr="00687422" w:rsidRDefault="007F26C0" w:rsidP="00FF1BCD">
    <w:pPr>
      <w:pStyle w:val="Footer"/>
      <w:jc w:val="both"/>
      <w:rPr>
        <w:sz w:val="18"/>
        <w:szCs w:val="18"/>
      </w:rPr>
    </w:pPr>
    <w:r w:rsidRPr="00687422">
      <w:rPr>
        <w:sz w:val="18"/>
        <w:szCs w:val="18"/>
      </w:rPr>
      <w:t>FMNotp</w:t>
    </w:r>
    <w:r w:rsidR="0035279A">
      <w:rPr>
        <w:sz w:val="18"/>
        <w:szCs w:val="18"/>
      </w:rPr>
      <w:t>2</w:t>
    </w:r>
    <w:r w:rsidRPr="00687422">
      <w:rPr>
        <w:sz w:val="18"/>
        <w:szCs w:val="18"/>
      </w:rPr>
      <w:t>_</w:t>
    </w:r>
    <w:r w:rsidR="00AA561F">
      <w:rPr>
        <w:sz w:val="18"/>
        <w:szCs w:val="18"/>
      </w:rPr>
      <w:t>2108</w:t>
    </w:r>
    <w:r w:rsidRPr="00687422">
      <w:rPr>
        <w:sz w:val="18"/>
        <w:szCs w:val="18"/>
      </w:rPr>
      <w:t>2012;</w:t>
    </w:r>
    <w:r w:rsidR="0035279A">
      <w:rPr>
        <w:sz w:val="18"/>
        <w:szCs w:val="18"/>
      </w:rPr>
      <w:t>2</w:t>
    </w:r>
    <w:r w:rsidRPr="00687422">
      <w:rPr>
        <w:sz w:val="18"/>
        <w:szCs w:val="18"/>
      </w:rPr>
      <w:t>.pielikums Ministru kabineta noteikumu projektam „Kārtība, kādā nosakāms  maksimāli pieļaujamais valsts budžeta izdevumu kopapjoms un maksimāli pieļaujamais valsts budžeta izdevumu kopējais apjoms katrai ministrijai un citām centrālajām valsts iestādēm vidējam termiņam”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0B" w:rsidRPr="00687422" w:rsidRDefault="00A21E04" w:rsidP="003A4D0B">
    <w:pPr>
      <w:jc w:val="both"/>
      <w:rPr>
        <w:sz w:val="18"/>
        <w:szCs w:val="18"/>
      </w:rPr>
    </w:pPr>
    <w:fldSimple w:instr=" FILENAME   \* MERGEFORMAT ">
      <w:r w:rsidR="00BB26FA">
        <w:rPr>
          <w:noProof/>
          <w:sz w:val="18"/>
          <w:szCs w:val="18"/>
        </w:rPr>
        <w:t>FMNotp</w:t>
      </w:r>
      <w:r w:rsidR="0035279A">
        <w:rPr>
          <w:noProof/>
          <w:sz w:val="18"/>
          <w:szCs w:val="18"/>
        </w:rPr>
        <w:t>2</w:t>
      </w:r>
      <w:r w:rsidR="00BB26FA">
        <w:rPr>
          <w:noProof/>
          <w:sz w:val="18"/>
          <w:szCs w:val="18"/>
        </w:rPr>
        <w:t>_21082012</w:t>
      </w:r>
    </w:fldSimple>
    <w:r w:rsidR="0035279A">
      <w:rPr>
        <w:sz w:val="18"/>
        <w:szCs w:val="18"/>
      </w:rPr>
      <w:t>; 2</w:t>
    </w:r>
    <w:r w:rsidR="007F26C0" w:rsidRPr="00687422">
      <w:rPr>
        <w:sz w:val="18"/>
        <w:szCs w:val="18"/>
      </w:rPr>
      <w:t xml:space="preserve">.pielikums Ministru kabineta noteikumu projektam „Kārtība, kādā nosakāms  maksimāli pieļaujamais valsts budžeta izdevumu kopapjoms un maksimāli pieļaujamais valsts budžeta izdevumu kopējais apjoms katrai ministrijai un citām centrālajām valsts iestādēm vidējam termiņam”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56" w:rsidRDefault="000E6E56">
      <w:r>
        <w:separator/>
      </w:r>
    </w:p>
  </w:footnote>
  <w:footnote w:type="continuationSeparator" w:id="0">
    <w:p w:rsidR="000E6E56" w:rsidRDefault="000E6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9A" w:rsidRDefault="0035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E" w:rsidRDefault="00D4035A">
    <w:pPr>
      <w:pStyle w:val="Header"/>
      <w:jc w:val="center"/>
    </w:pPr>
    <w:r>
      <w:fldChar w:fldCharType="begin"/>
    </w:r>
    <w:r w:rsidR="007F26C0">
      <w:instrText xml:space="preserve"> PAGE   \* MERGEFORMAT </w:instrText>
    </w:r>
    <w:r>
      <w:fldChar w:fldCharType="separate"/>
    </w:r>
    <w:r w:rsidR="006151B1">
      <w:rPr>
        <w:noProof/>
      </w:rPr>
      <w:t>2</w:t>
    </w:r>
    <w:r>
      <w:fldChar w:fldCharType="end"/>
    </w:r>
  </w:p>
  <w:p w:rsidR="00995ECE" w:rsidRDefault="000E6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9A" w:rsidRDefault="0035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3B9B"/>
    <w:multiLevelType w:val="hybridMultilevel"/>
    <w:tmpl w:val="61266E50"/>
    <w:lvl w:ilvl="0" w:tplc="710AFF0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467224D"/>
    <w:multiLevelType w:val="hybridMultilevel"/>
    <w:tmpl w:val="42FAD90E"/>
    <w:lvl w:ilvl="0" w:tplc="7FFE907A">
      <w:numFmt w:val="bullet"/>
      <w:lvlText w:val="-"/>
      <w:lvlJc w:val="left"/>
      <w:pPr>
        <w:tabs>
          <w:tab w:val="num" w:pos="374"/>
        </w:tabs>
        <w:ind w:left="374"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6C0"/>
    <w:rsid w:val="0001461B"/>
    <w:rsid w:val="00026191"/>
    <w:rsid w:val="000465BB"/>
    <w:rsid w:val="0007780A"/>
    <w:rsid w:val="000D798B"/>
    <w:rsid w:val="000E6E56"/>
    <w:rsid w:val="00133D73"/>
    <w:rsid w:val="001F4C46"/>
    <w:rsid w:val="00210D5A"/>
    <w:rsid w:val="0035279A"/>
    <w:rsid w:val="00386E73"/>
    <w:rsid w:val="003C1E7D"/>
    <w:rsid w:val="003D47D0"/>
    <w:rsid w:val="00461079"/>
    <w:rsid w:val="004D2F3D"/>
    <w:rsid w:val="004F0357"/>
    <w:rsid w:val="00611D42"/>
    <w:rsid w:val="006151B1"/>
    <w:rsid w:val="0063178F"/>
    <w:rsid w:val="00687422"/>
    <w:rsid w:val="006C4FF0"/>
    <w:rsid w:val="006E7605"/>
    <w:rsid w:val="007C57AB"/>
    <w:rsid w:val="007D4C37"/>
    <w:rsid w:val="007D5299"/>
    <w:rsid w:val="007F26C0"/>
    <w:rsid w:val="008175C9"/>
    <w:rsid w:val="00856628"/>
    <w:rsid w:val="00871FA5"/>
    <w:rsid w:val="0091018B"/>
    <w:rsid w:val="00937C40"/>
    <w:rsid w:val="009F6D42"/>
    <w:rsid w:val="00A21E04"/>
    <w:rsid w:val="00A76357"/>
    <w:rsid w:val="00A83FD2"/>
    <w:rsid w:val="00AA561F"/>
    <w:rsid w:val="00AB59CE"/>
    <w:rsid w:val="00AE3A32"/>
    <w:rsid w:val="00B04CBC"/>
    <w:rsid w:val="00B348C0"/>
    <w:rsid w:val="00BB26FA"/>
    <w:rsid w:val="00BB2F3D"/>
    <w:rsid w:val="00BB4635"/>
    <w:rsid w:val="00BF7613"/>
    <w:rsid w:val="00C2495E"/>
    <w:rsid w:val="00C9586B"/>
    <w:rsid w:val="00CA19FB"/>
    <w:rsid w:val="00CF4848"/>
    <w:rsid w:val="00D4035A"/>
    <w:rsid w:val="00D55461"/>
    <w:rsid w:val="00DF4FFC"/>
    <w:rsid w:val="00E0047F"/>
    <w:rsid w:val="00E06276"/>
    <w:rsid w:val="00E7557D"/>
    <w:rsid w:val="00F23B28"/>
    <w:rsid w:val="00F64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C0"/>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7F26C0"/>
    <w:rPr>
      <w:rFonts w:eastAsia="Times New Roman" w:cs="Times New Roman"/>
      <w:szCs w:val="24"/>
      <w:lang w:eastAsia="lv-LV"/>
    </w:rPr>
  </w:style>
  <w:style w:type="paragraph" w:styleId="Footer">
    <w:name w:val="footer"/>
    <w:basedOn w:val="Normal"/>
    <w:link w:val="FooterChar"/>
    <w:uiPriority w:val="99"/>
    <w:rsid w:val="007F26C0"/>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7F26C0"/>
    <w:rPr>
      <w:rFonts w:eastAsia="Times New Roman" w:cs="Times New Roman"/>
      <w:szCs w:val="24"/>
      <w:lang w:eastAsia="lv-LV"/>
    </w:rPr>
  </w:style>
  <w:style w:type="paragraph" w:styleId="ListParagraph">
    <w:name w:val="List Paragraph"/>
    <w:basedOn w:val="Normal"/>
    <w:uiPriority w:val="34"/>
    <w:qFormat/>
    <w:rsid w:val="007F26C0"/>
    <w:pPr>
      <w:ind w:left="720"/>
      <w:contextualSpacing/>
    </w:pPr>
  </w:style>
  <w:style w:type="paragraph" w:styleId="BalloonText">
    <w:name w:val="Balloon Text"/>
    <w:basedOn w:val="Normal"/>
    <w:link w:val="BalloonTextChar"/>
    <w:uiPriority w:val="99"/>
    <w:semiHidden/>
    <w:unhideWhenUsed/>
    <w:rsid w:val="00CF4848"/>
    <w:rPr>
      <w:rFonts w:ascii="Tahoma" w:hAnsi="Tahoma" w:cs="Tahoma"/>
      <w:sz w:val="16"/>
      <w:szCs w:val="16"/>
    </w:rPr>
  </w:style>
  <w:style w:type="character" w:customStyle="1" w:styleId="BalloonTextChar">
    <w:name w:val="Balloon Text Char"/>
    <w:basedOn w:val="DefaultParagraphFont"/>
    <w:link w:val="BalloonText"/>
    <w:uiPriority w:val="99"/>
    <w:semiHidden/>
    <w:rsid w:val="00CF4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C0"/>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7F26C0"/>
    <w:rPr>
      <w:rFonts w:eastAsia="Times New Roman" w:cs="Times New Roman"/>
      <w:szCs w:val="24"/>
      <w:lang w:eastAsia="lv-LV"/>
    </w:rPr>
  </w:style>
  <w:style w:type="paragraph" w:styleId="Footer">
    <w:name w:val="footer"/>
    <w:basedOn w:val="Normal"/>
    <w:link w:val="FooterChar"/>
    <w:uiPriority w:val="99"/>
    <w:rsid w:val="007F26C0"/>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7F26C0"/>
    <w:rPr>
      <w:rFonts w:eastAsia="Times New Roman" w:cs="Times New Roman"/>
      <w:szCs w:val="24"/>
      <w:lang w:eastAsia="lv-LV"/>
    </w:rPr>
  </w:style>
  <w:style w:type="paragraph" w:styleId="ListParagraph">
    <w:name w:val="List Paragraph"/>
    <w:basedOn w:val="Normal"/>
    <w:uiPriority w:val="34"/>
    <w:qFormat/>
    <w:rsid w:val="007F26C0"/>
    <w:pPr>
      <w:ind w:left="720"/>
      <w:contextualSpacing/>
    </w:pPr>
  </w:style>
  <w:style w:type="paragraph" w:styleId="BalloonText">
    <w:name w:val="Balloon Text"/>
    <w:basedOn w:val="Normal"/>
    <w:link w:val="BalloonTextChar"/>
    <w:uiPriority w:val="99"/>
    <w:semiHidden/>
    <w:unhideWhenUsed/>
    <w:rsid w:val="00CF4848"/>
    <w:rPr>
      <w:rFonts w:ascii="Tahoma" w:hAnsi="Tahoma" w:cs="Tahoma"/>
      <w:sz w:val="16"/>
      <w:szCs w:val="16"/>
    </w:rPr>
  </w:style>
  <w:style w:type="character" w:customStyle="1" w:styleId="BalloonTextChar">
    <w:name w:val="Balloon Text Char"/>
    <w:basedOn w:val="DefaultParagraphFont"/>
    <w:link w:val="BalloonText"/>
    <w:uiPriority w:val="99"/>
    <w:semiHidden/>
    <w:rsid w:val="00CF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2124</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4.pielikums</vt:lpstr>
    </vt:vector>
  </TitlesOfParts>
  <Company>Finanšu ministrija</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2.pielikums</dc:subject>
  <dc:creator>R.Čablis</dc:creator>
  <dc:description>67095498, raivis.cablis@fm.gov.lv</dc:description>
  <cp:lastModifiedBy>Windows User</cp:lastModifiedBy>
  <cp:revision>7</cp:revision>
  <cp:lastPrinted>2012-11-07T08:13:00Z</cp:lastPrinted>
  <dcterms:created xsi:type="dcterms:W3CDTF">2012-11-07T20:21:00Z</dcterms:created>
  <dcterms:modified xsi:type="dcterms:W3CDTF">2012-12-03T12:07:00Z</dcterms:modified>
</cp:coreProperties>
</file>