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FE" w:rsidRPr="0068651A" w:rsidRDefault="000205FE" w:rsidP="000205FE">
      <w:pPr>
        <w:jc w:val="right"/>
        <w:rPr>
          <w:rFonts w:eastAsia="Times New Roman" w:cs="Times New Roman"/>
          <w:i/>
          <w:szCs w:val="24"/>
          <w:lang w:eastAsia="lv-LV"/>
        </w:rPr>
      </w:pPr>
      <w:r w:rsidRPr="0068651A">
        <w:rPr>
          <w:rFonts w:eastAsia="Times New Roman" w:cs="Times New Roman"/>
          <w:i/>
          <w:szCs w:val="24"/>
          <w:lang w:eastAsia="lv-LV"/>
        </w:rPr>
        <w:t>Projekts</w:t>
      </w:r>
    </w:p>
    <w:p w:rsidR="000205FE" w:rsidRPr="0068651A" w:rsidRDefault="000205FE" w:rsidP="000205FE">
      <w:pPr>
        <w:jc w:val="right"/>
        <w:rPr>
          <w:rFonts w:eastAsia="Times New Roman" w:cs="Times New Roman"/>
          <w:szCs w:val="24"/>
          <w:lang w:eastAsia="lv-LV"/>
        </w:rPr>
      </w:pPr>
    </w:p>
    <w:p w:rsidR="000205FE" w:rsidRPr="0068651A" w:rsidRDefault="000C5C1D" w:rsidP="000205FE">
      <w:pPr>
        <w:jc w:val="right"/>
        <w:rPr>
          <w:rFonts w:eastAsia="Times New Roman" w:cs="Times New Roman"/>
          <w:szCs w:val="24"/>
          <w:lang w:eastAsia="lv-LV"/>
        </w:rPr>
      </w:pPr>
      <w:r>
        <w:rPr>
          <w:rFonts w:eastAsia="Times New Roman" w:cs="Times New Roman"/>
          <w:szCs w:val="24"/>
          <w:lang w:eastAsia="lv-LV"/>
        </w:rPr>
        <w:t>4</w:t>
      </w:r>
      <w:r w:rsidR="000205FE" w:rsidRPr="0068651A">
        <w:rPr>
          <w:rFonts w:eastAsia="Times New Roman" w:cs="Times New Roman"/>
          <w:szCs w:val="24"/>
          <w:lang w:eastAsia="lv-LV"/>
        </w:rPr>
        <w:t>.pielikums</w:t>
      </w:r>
    </w:p>
    <w:p w:rsidR="000205FE" w:rsidRPr="0068651A" w:rsidRDefault="000205FE" w:rsidP="000205FE">
      <w:pPr>
        <w:ind w:left="360"/>
        <w:jc w:val="right"/>
        <w:rPr>
          <w:rFonts w:eastAsia="Times New Roman" w:cs="Times New Roman"/>
          <w:szCs w:val="24"/>
          <w:lang w:eastAsia="lv-LV"/>
        </w:rPr>
      </w:pPr>
      <w:r w:rsidRPr="0068651A">
        <w:rPr>
          <w:rFonts w:eastAsia="Times New Roman" w:cs="Times New Roman"/>
          <w:szCs w:val="24"/>
          <w:lang w:eastAsia="lv-LV"/>
        </w:rPr>
        <w:t>Ministru kabineta</w:t>
      </w:r>
    </w:p>
    <w:p w:rsidR="000205FE" w:rsidRPr="0068651A" w:rsidRDefault="000205FE" w:rsidP="000205FE">
      <w:pPr>
        <w:jc w:val="right"/>
        <w:rPr>
          <w:rFonts w:eastAsia="Times New Roman" w:cs="Times New Roman"/>
          <w:szCs w:val="24"/>
          <w:lang w:eastAsia="lv-LV"/>
        </w:rPr>
      </w:pPr>
      <w:r w:rsidRPr="0068651A">
        <w:rPr>
          <w:rFonts w:eastAsia="Times New Roman" w:cs="Times New Roman"/>
          <w:szCs w:val="24"/>
          <w:lang w:eastAsia="lv-LV"/>
        </w:rPr>
        <w:t>2012. gada .................</w:t>
      </w:r>
    </w:p>
    <w:p w:rsidR="000205FE" w:rsidRPr="0068651A" w:rsidRDefault="000205FE" w:rsidP="000205FE">
      <w:pPr>
        <w:ind w:left="360"/>
        <w:jc w:val="right"/>
        <w:rPr>
          <w:rFonts w:eastAsia="Times New Roman" w:cs="Times New Roman"/>
          <w:szCs w:val="24"/>
          <w:lang w:eastAsia="lv-LV"/>
        </w:rPr>
      </w:pPr>
      <w:r w:rsidRPr="0068651A">
        <w:rPr>
          <w:rFonts w:eastAsia="Times New Roman" w:cs="Times New Roman"/>
          <w:szCs w:val="24"/>
          <w:lang w:eastAsia="lv-LV"/>
        </w:rPr>
        <w:t xml:space="preserve">noteikumiem </w:t>
      </w:r>
      <w:proofErr w:type="spellStart"/>
      <w:r w:rsidRPr="0068651A">
        <w:rPr>
          <w:rFonts w:eastAsia="Times New Roman" w:cs="Times New Roman"/>
          <w:szCs w:val="24"/>
          <w:lang w:eastAsia="lv-LV"/>
        </w:rPr>
        <w:t>Nr</w:t>
      </w:r>
      <w:proofErr w:type="spellEnd"/>
      <w:r w:rsidRPr="0068651A">
        <w:rPr>
          <w:rFonts w:eastAsia="Times New Roman" w:cs="Times New Roman"/>
          <w:szCs w:val="24"/>
          <w:lang w:eastAsia="lv-LV"/>
        </w:rPr>
        <w:t>....</w:t>
      </w:r>
    </w:p>
    <w:p w:rsidR="000205FE" w:rsidRPr="000205FE" w:rsidRDefault="000205FE" w:rsidP="000205FE">
      <w:pPr>
        <w:jc w:val="center"/>
        <w:rPr>
          <w:rFonts w:eastAsia="Times New Roman" w:cs="Times New Roman"/>
          <w:b/>
          <w:sz w:val="28"/>
          <w:szCs w:val="28"/>
          <w:lang w:eastAsia="lv-LV"/>
        </w:rPr>
      </w:pPr>
    </w:p>
    <w:p w:rsidR="000205FE" w:rsidRPr="000205FE" w:rsidRDefault="000205FE" w:rsidP="000205FE">
      <w:pPr>
        <w:jc w:val="center"/>
        <w:rPr>
          <w:rFonts w:eastAsia="Times New Roman" w:cs="Times New Roman"/>
          <w:b/>
          <w:sz w:val="28"/>
          <w:szCs w:val="28"/>
          <w:lang w:eastAsia="lv-LV"/>
        </w:rPr>
      </w:pPr>
      <w:r w:rsidRPr="000205FE">
        <w:rPr>
          <w:rFonts w:eastAsia="Times New Roman" w:cs="Times New Roman"/>
          <w:b/>
          <w:sz w:val="28"/>
          <w:szCs w:val="28"/>
          <w:lang w:eastAsia="lv-LV"/>
        </w:rPr>
        <w:t>Jauno politik</w:t>
      </w:r>
      <w:r w:rsidR="002F767D">
        <w:rPr>
          <w:rFonts w:eastAsia="Times New Roman" w:cs="Times New Roman"/>
          <w:b/>
          <w:sz w:val="28"/>
          <w:szCs w:val="28"/>
          <w:lang w:eastAsia="lv-LV"/>
        </w:rPr>
        <w:t>as</w:t>
      </w:r>
      <w:r w:rsidRPr="000205FE">
        <w:rPr>
          <w:rFonts w:eastAsia="Times New Roman" w:cs="Times New Roman"/>
          <w:b/>
          <w:sz w:val="28"/>
          <w:szCs w:val="28"/>
          <w:lang w:eastAsia="lv-LV"/>
        </w:rPr>
        <w:t xml:space="preserve"> iniciatīvu</w:t>
      </w:r>
      <w:r w:rsidR="00DB67D4">
        <w:rPr>
          <w:rFonts w:eastAsia="Times New Roman" w:cs="Times New Roman"/>
          <w:b/>
          <w:sz w:val="28"/>
          <w:szCs w:val="28"/>
          <w:lang w:eastAsia="lv-LV"/>
        </w:rPr>
        <w:t>, kurām tiek vērtēta atbilstība attīstības plānošanas dokumentiem,</w:t>
      </w:r>
      <w:r w:rsidRPr="000205FE">
        <w:rPr>
          <w:rFonts w:eastAsia="Times New Roman" w:cs="Times New Roman"/>
          <w:b/>
          <w:sz w:val="28"/>
          <w:szCs w:val="28"/>
          <w:lang w:eastAsia="lv-LV"/>
        </w:rPr>
        <w:t xml:space="preserve"> vērtēšanas kritēriji </w:t>
      </w:r>
    </w:p>
    <w:p w:rsidR="000205FE" w:rsidRPr="000205FE" w:rsidRDefault="000205FE" w:rsidP="000205FE">
      <w:pPr>
        <w:jc w:val="center"/>
        <w:rPr>
          <w:rFonts w:eastAsia="Times New Roman" w:cs="Times New Roman"/>
          <w:b/>
          <w:sz w:val="28"/>
          <w:szCs w:val="28"/>
          <w:lang w:eastAsia="lv-LV"/>
        </w:rPr>
      </w:pPr>
      <w:r w:rsidRPr="000205FE">
        <w:rPr>
          <w:rFonts w:eastAsia="Times New Roman" w:cs="Times New Roman"/>
          <w:b/>
          <w:sz w:val="28"/>
          <w:szCs w:val="28"/>
          <w:lang w:eastAsia="lv-LV"/>
        </w:rPr>
        <w:t>un attiecīgais punktu skaits</w:t>
      </w:r>
    </w:p>
    <w:p w:rsidR="000205FE" w:rsidRPr="000205FE" w:rsidRDefault="000205FE" w:rsidP="000205FE">
      <w:pPr>
        <w:tabs>
          <w:tab w:val="left" w:pos="6840"/>
        </w:tabs>
        <w:ind w:left="720"/>
        <w:jc w:val="both"/>
        <w:rPr>
          <w:rFonts w:eastAsia="Times New Roman" w:cs="Times New Roman"/>
          <w:sz w:val="28"/>
          <w:szCs w:val="28"/>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111"/>
      </w:tblGrid>
      <w:tr w:rsidR="000205FE" w:rsidRPr="000205FE" w:rsidTr="00CC3AB9">
        <w:tc>
          <w:tcPr>
            <w:tcW w:w="5495" w:type="dxa"/>
          </w:tcPr>
          <w:p w:rsidR="000205FE" w:rsidRPr="000205FE" w:rsidRDefault="000205FE" w:rsidP="0068651A">
            <w:pPr>
              <w:tabs>
                <w:tab w:val="left" w:pos="6840"/>
              </w:tabs>
              <w:jc w:val="center"/>
              <w:rPr>
                <w:rFonts w:eastAsia="Times New Roman" w:cs="Times New Roman"/>
                <w:sz w:val="28"/>
                <w:szCs w:val="28"/>
                <w:lang w:eastAsia="lv-LV"/>
              </w:rPr>
            </w:pPr>
            <w:r w:rsidRPr="000205FE">
              <w:rPr>
                <w:rFonts w:eastAsia="Times New Roman" w:cs="Times New Roman"/>
                <w:sz w:val="28"/>
                <w:szCs w:val="28"/>
                <w:lang w:eastAsia="lv-LV"/>
              </w:rPr>
              <w:t>Kritēriji</w:t>
            </w:r>
          </w:p>
        </w:tc>
        <w:tc>
          <w:tcPr>
            <w:tcW w:w="4111" w:type="dxa"/>
          </w:tcPr>
          <w:p w:rsidR="000205FE" w:rsidRPr="000205FE" w:rsidRDefault="000205FE" w:rsidP="0068651A">
            <w:pPr>
              <w:tabs>
                <w:tab w:val="left" w:pos="6840"/>
              </w:tabs>
              <w:jc w:val="center"/>
              <w:rPr>
                <w:rFonts w:eastAsia="Times New Roman" w:cs="Times New Roman"/>
                <w:sz w:val="28"/>
                <w:szCs w:val="28"/>
                <w:lang w:eastAsia="lv-LV"/>
              </w:rPr>
            </w:pPr>
            <w:r w:rsidRPr="000205FE">
              <w:rPr>
                <w:rFonts w:eastAsia="Times New Roman" w:cs="Times New Roman"/>
                <w:sz w:val="28"/>
                <w:szCs w:val="28"/>
                <w:lang w:eastAsia="lv-LV"/>
              </w:rPr>
              <w:t>Atbilstošais punktu skaits</w:t>
            </w:r>
          </w:p>
        </w:tc>
      </w:tr>
      <w:tr w:rsidR="000205FE" w:rsidRPr="000205FE" w:rsidTr="00CC3AB9">
        <w:tc>
          <w:tcPr>
            <w:tcW w:w="5495" w:type="dxa"/>
          </w:tcPr>
          <w:p w:rsidR="000205FE" w:rsidRPr="000205FE" w:rsidRDefault="000205FE" w:rsidP="00D67FB3">
            <w:pPr>
              <w:tabs>
                <w:tab w:val="left" w:pos="6840"/>
              </w:tabs>
              <w:jc w:val="both"/>
              <w:rPr>
                <w:rFonts w:eastAsia="Times New Roman" w:cs="Times New Roman"/>
                <w:bCs/>
                <w:sz w:val="28"/>
                <w:szCs w:val="28"/>
                <w:lang w:eastAsia="lv-LV"/>
              </w:rPr>
            </w:pPr>
            <w:r w:rsidRPr="000205FE">
              <w:rPr>
                <w:rFonts w:eastAsia="Times New Roman" w:cs="Times New Roman"/>
                <w:bCs/>
                <w:sz w:val="28"/>
                <w:szCs w:val="28"/>
                <w:lang w:eastAsia="lv-LV"/>
              </w:rPr>
              <w:t xml:space="preserve">1.Atbilstība </w:t>
            </w:r>
            <w:r w:rsidR="00D67FB3">
              <w:rPr>
                <w:rFonts w:eastAsia="Times New Roman" w:cs="Times New Roman"/>
                <w:bCs/>
                <w:sz w:val="28"/>
                <w:szCs w:val="28"/>
                <w:lang w:eastAsia="lv-LV"/>
              </w:rPr>
              <w:t>n</w:t>
            </w:r>
            <w:r w:rsidRPr="000205FE">
              <w:rPr>
                <w:rFonts w:eastAsia="Times New Roman" w:cs="Times New Roman"/>
                <w:bCs/>
                <w:sz w:val="28"/>
                <w:szCs w:val="28"/>
                <w:lang w:eastAsia="lv-LV"/>
              </w:rPr>
              <w:t>acionālajam attīstības plānam</w:t>
            </w:r>
            <w:r w:rsidR="00B463D0">
              <w:rPr>
                <w:rFonts w:eastAsia="Times New Roman" w:cs="Times New Roman"/>
                <w:bCs/>
                <w:sz w:val="28"/>
                <w:szCs w:val="28"/>
                <w:lang w:eastAsia="lv-LV"/>
              </w:rPr>
              <w:t xml:space="preserve"> vai valsts aizsardzības koncepcijai</w:t>
            </w:r>
          </w:p>
        </w:tc>
        <w:tc>
          <w:tcPr>
            <w:tcW w:w="4111" w:type="dxa"/>
          </w:tcPr>
          <w:p w:rsidR="00EB17A2" w:rsidRPr="000205FE" w:rsidRDefault="00EB17A2" w:rsidP="00EB17A2">
            <w:pPr>
              <w:tabs>
                <w:tab w:val="left" w:pos="6840"/>
              </w:tabs>
              <w:jc w:val="both"/>
              <w:rPr>
                <w:rFonts w:eastAsia="Times New Roman" w:cs="Times New Roman"/>
                <w:sz w:val="28"/>
                <w:szCs w:val="28"/>
                <w:lang w:eastAsia="lv-LV"/>
              </w:rPr>
            </w:pPr>
            <w:r w:rsidRPr="000205FE">
              <w:rPr>
                <w:rFonts w:eastAsia="Times New Roman" w:cs="Times New Roman"/>
                <w:sz w:val="28"/>
                <w:szCs w:val="28"/>
                <w:lang w:eastAsia="lv-LV"/>
              </w:rPr>
              <w:t>Atbilst</w:t>
            </w:r>
            <w:r>
              <w:rPr>
                <w:rFonts w:eastAsia="Times New Roman" w:cs="Times New Roman"/>
                <w:sz w:val="28"/>
                <w:szCs w:val="28"/>
                <w:lang w:eastAsia="lv-LV"/>
              </w:rPr>
              <w:t> </w:t>
            </w:r>
            <w:r w:rsidRPr="000205FE">
              <w:rPr>
                <w:rFonts w:eastAsia="Times New Roman" w:cs="Times New Roman"/>
                <w:sz w:val="28"/>
                <w:szCs w:val="28"/>
                <w:lang w:eastAsia="lv-LV"/>
              </w:rPr>
              <w:t>–</w:t>
            </w:r>
            <w:r>
              <w:rPr>
                <w:rFonts w:eastAsia="Times New Roman" w:cs="Times New Roman"/>
                <w:sz w:val="28"/>
                <w:szCs w:val="28"/>
                <w:lang w:eastAsia="lv-LV"/>
              </w:rPr>
              <w:t xml:space="preserve"> </w:t>
            </w:r>
            <w:r w:rsidR="00547BAF">
              <w:rPr>
                <w:rFonts w:eastAsia="Times New Roman" w:cs="Times New Roman"/>
                <w:sz w:val="28"/>
                <w:szCs w:val="28"/>
                <w:lang w:eastAsia="lv-LV"/>
              </w:rPr>
              <w:t>6</w:t>
            </w:r>
            <w:r>
              <w:rPr>
                <w:rFonts w:eastAsia="Times New Roman" w:cs="Times New Roman"/>
                <w:sz w:val="28"/>
                <w:szCs w:val="28"/>
                <w:lang w:eastAsia="lv-LV"/>
              </w:rPr>
              <w:t xml:space="preserve"> punkti;</w:t>
            </w:r>
          </w:p>
          <w:p w:rsidR="00EB17A2" w:rsidRPr="000205FE" w:rsidRDefault="00EB17A2" w:rsidP="00EB17A2">
            <w:pPr>
              <w:tabs>
                <w:tab w:val="left" w:pos="6840"/>
              </w:tabs>
              <w:jc w:val="both"/>
              <w:rPr>
                <w:rFonts w:eastAsia="Times New Roman" w:cs="Times New Roman"/>
                <w:sz w:val="28"/>
                <w:szCs w:val="28"/>
                <w:lang w:eastAsia="lv-LV"/>
              </w:rPr>
            </w:pPr>
            <w:proofErr w:type="spellStart"/>
            <w:r w:rsidRPr="000205FE">
              <w:rPr>
                <w:rFonts w:eastAsia="Times New Roman" w:cs="Times New Roman"/>
                <w:sz w:val="28"/>
                <w:szCs w:val="28"/>
                <w:lang w:eastAsia="lv-LV"/>
              </w:rPr>
              <w:t>Daļēji</w:t>
            </w:r>
            <w:r>
              <w:rPr>
                <w:rFonts w:eastAsia="Times New Roman" w:cs="Times New Roman"/>
                <w:sz w:val="28"/>
                <w:szCs w:val="28"/>
                <w:lang w:eastAsia="lv-LV"/>
              </w:rPr>
              <w:t> </w:t>
            </w:r>
            <w:r w:rsidRPr="000205FE">
              <w:rPr>
                <w:rFonts w:eastAsia="Times New Roman" w:cs="Times New Roman"/>
                <w:sz w:val="28"/>
                <w:szCs w:val="28"/>
                <w:lang w:eastAsia="lv-LV"/>
              </w:rPr>
              <w:t>atbilst</w:t>
            </w:r>
            <w:proofErr w:type="spellEnd"/>
            <w:r>
              <w:rPr>
                <w:rFonts w:eastAsia="Times New Roman" w:cs="Times New Roman"/>
                <w:sz w:val="28"/>
                <w:szCs w:val="28"/>
                <w:lang w:eastAsia="lv-LV"/>
              </w:rPr>
              <w:t> </w:t>
            </w:r>
            <w:r w:rsidRPr="000205FE">
              <w:rPr>
                <w:rFonts w:eastAsia="Times New Roman" w:cs="Times New Roman"/>
                <w:sz w:val="28"/>
                <w:szCs w:val="28"/>
                <w:lang w:eastAsia="lv-LV"/>
              </w:rPr>
              <w:t>– 3</w:t>
            </w:r>
            <w:r>
              <w:rPr>
                <w:rFonts w:eastAsia="Times New Roman" w:cs="Times New Roman"/>
                <w:sz w:val="28"/>
                <w:szCs w:val="28"/>
                <w:lang w:eastAsia="lv-LV"/>
              </w:rPr>
              <w:t xml:space="preserve"> punkti;</w:t>
            </w:r>
          </w:p>
          <w:p w:rsidR="000205FE" w:rsidRPr="000205FE" w:rsidRDefault="00EB17A2" w:rsidP="00EB17A2">
            <w:pPr>
              <w:tabs>
                <w:tab w:val="left" w:pos="6840"/>
              </w:tabs>
              <w:jc w:val="both"/>
              <w:rPr>
                <w:rFonts w:eastAsia="Times New Roman" w:cs="Times New Roman"/>
                <w:sz w:val="28"/>
                <w:szCs w:val="28"/>
                <w:lang w:eastAsia="lv-LV"/>
              </w:rPr>
            </w:pPr>
            <w:r w:rsidRPr="000205FE">
              <w:rPr>
                <w:rFonts w:eastAsia="Times New Roman" w:cs="Times New Roman"/>
                <w:sz w:val="28"/>
                <w:szCs w:val="28"/>
                <w:lang w:eastAsia="lv-LV"/>
              </w:rPr>
              <w:t>Neatbilst</w:t>
            </w:r>
            <w:r>
              <w:rPr>
                <w:rFonts w:eastAsia="Times New Roman" w:cs="Times New Roman"/>
                <w:sz w:val="28"/>
                <w:szCs w:val="28"/>
                <w:lang w:eastAsia="lv-LV"/>
              </w:rPr>
              <w:t> </w:t>
            </w:r>
            <w:r w:rsidRPr="000205FE">
              <w:rPr>
                <w:rFonts w:eastAsia="Times New Roman" w:cs="Times New Roman"/>
                <w:sz w:val="28"/>
                <w:szCs w:val="28"/>
                <w:lang w:eastAsia="lv-LV"/>
              </w:rPr>
              <w:t xml:space="preserve">– 0 </w:t>
            </w:r>
            <w:r>
              <w:rPr>
                <w:rFonts w:eastAsia="Times New Roman" w:cs="Times New Roman"/>
                <w:sz w:val="28"/>
                <w:szCs w:val="28"/>
                <w:lang w:eastAsia="lv-LV"/>
              </w:rPr>
              <w:t>punkti</w:t>
            </w:r>
          </w:p>
        </w:tc>
      </w:tr>
      <w:tr w:rsidR="00113098" w:rsidRPr="000205FE" w:rsidTr="00CC3AB9">
        <w:tc>
          <w:tcPr>
            <w:tcW w:w="5495" w:type="dxa"/>
          </w:tcPr>
          <w:p w:rsidR="00113098" w:rsidRDefault="00113098" w:rsidP="008C66D6">
            <w:pPr>
              <w:spacing w:before="100" w:beforeAutospacing="1" w:after="100" w:afterAutospacing="1"/>
              <w:jc w:val="both"/>
              <w:rPr>
                <w:rFonts w:eastAsia="Times New Roman" w:cs="Times New Roman"/>
                <w:bCs/>
                <w:sz w:val="28"/>
                <w:szCs w:val="28"/>
                <w:lang w:eastAsia="lv-LV"/>
              </w:rPr>
            </w:pPr>
            <w:r>
              <w:rPr>
                <w:rFonts w:eastAsia="Times New Roman" w:cs="Times New Roman"/>
                <w:bCs/>
                <w:sz w:val="28"/>
                <w:szCs w:val="28"/>
                <w:lang w:eastAsia="lv-LV"/>
              </w:rPr>
              <w:t>2</w:t>
            </w:r>
            <w:r w:rsidRPr="000205FE">
              <w:rPr>
                <w:rFonts w:eastAsia="Times New Roman" w:cs="Times New Roman"/>
                <w:bCs/>
                <w:sz w:val="28"/>
                <w:szCs w:val="28"/>
                <w:lang w:eastAsia="lv-LV"/>
              </w:rPr>
              <w:t>. </w:t>
            </w:r>
            <w:r>
              <w:rPr>
                <w:rFonts w:eastAsia="Times New Roman" w:cs="Times New Roman"/>
                <w:bCs/>
                <w:sz w:val="28"/>
                <w:szCs w:val="28"/>
                <w:lang w:eastAsia="lv-LV"/>
              </w:rPr>
              <w:t>A</w:t>
            </w:r>
            <w:r w:rsidRPr="000205FE">
              <w:rPr>
                <w:rFonts w:eastAsia="Times New Roman" w:cs="Times New Roman"/>
                <w:bCs/>
                <w:sz w:val="28"/>
                <w:szCs w:val="28"/>
                <w:lang w:eastAsia="lv-LV"/>
              </w:rPr>
              <w:t>tbilstība</w:t>
            </w:r>
            <w:r>
              <w:rPr>
                <w:rFonts w:eastAsia="Times New Roman" w:cs="Times New Roman"/>
                <w:bCs/>
                <w:sz w:val="28"/>
                <w:szCs w:val="28"/>
                <w:lang w:eastAsia="lv-LV"/>
              </w:rPr>
              <w:t xml:space="preserve"> citiem </w:t>
            </w:r>
            <w:r w:rsidRPr="000205FE">
              <w:rPr>
                <w:rFonts w:eastAsia="Times New Roman" w:cs="Times New Roman"/>
                <w:bCs/>
                <w:sz w:val="28"/>
                <w:szCs w:val="28"/>
                <w:lang w:eastAsia="lv-LV"/>
              </w:rPr>
              <w:t xml:space="preserve">pieņemtajiem </w:t>
            </w:r>
            <w:r>
              <w:rPr>
                <w:rFonts w:eastAsia="Times New Roman" w:cs="Times New Roman"/>
                <w:bCs/>
                <w:sz w:val="28"/>
                <w:szCs w:val="28"/>
                <w:lang w:eastAsia="lv-LV"/>
              </w:rPr>
              <w:t xml:space="preserve">attīstības </w:t>
            </w:r>
            <w:r w:rsidRPr="000205FE">
              <w:rPr>
                <w:rFonts w:eastAsia="Times New Roman" w:cs="Times New Roman"/>
                <w:bCs/>
                <w:sz w:val="28"/>
                <w:szCs w:val="28"/>
                <w:lang w:eastAsia="lv-LV"/>
              </w:rPr>
              <w:t>plānošanas dokumentiem</w:t>
            </w:r>
            <w:r>
              <w:rPr>
                <w:rFonts w:eastAsia="Times New Roman" w:cs="Times New Roman"/>
                <w:bCs/>
                <w:sz w:val="28"/>
                <w:szCs w:val="28"/>
                <w:lang w:eastAsia="lv-LV"/>
              </w:rPr>
              <w:t xml:space="preserve"> </w:t>
            </w:r>
            <w:r w:rsidR="008B73B0">
              <w:rPr>
                <w:rFonts w:eastAsia="Times New Roman" w:cs="Times New Roman"/>
                <w:bCs/>
                <w:sz w:val="28"/>
                <w:szCs w:val="28"/>
                <w:lang w:eastAsia="lv-LV"/>
              </w:rPr>
              <w:t>un</w:t>
            </w:r>
            <w:r>
              <w:rPr>
                <w:rFonts w:eastAsia="Times New Roman" w:cs="Times New Roman"/>
                <w:bCs/>
                <w:sz w:val="28"/>
                <w:szCs w:val="28"/>
                <w:lang w:eastAsia="lv-LV"/>
              </w:rPr>
              <w:t xml:space="preserve"> </w:t>
            </w:r>
            <w:r w:rsidRPr="009B4F87">
              <w:rPr>
                <w:rFonts w:eastAsia="Times New Roman" w:cs="Times New Roman"/>
                <w:bCs/>
                <w:sz w:val="28"/>
                <w:szCs w:val="28"/>
                <w:lang w:eastAsia="lv-LV"/>
              </w:rPr>
              <w:t>Ministru kabineta</w:t>
            </w:r>
            <w:r>
              <w:rPr>
                <w:rFonts w:eastAsia="Times New Roman" w:cs="Times New Roman"/>
                <w:bCs/>
                <w:sz w:val="28"/>
                <w:szCs w:val="28"/>
                <w:lang w:eastAsia="lv-LV"/>
              </w:rPr>
              <w:t xml:space="preserve"> rīkojumiem un </w:t>
            </w:r>
            <w:proofErr w:type="spellStart"/>
            <w:r w:rsidRPr="009B4F87">
              <w:rPr>
                <w:rFonts w:eastAsia="Times New Roman" w:cs="Times New Roman"/>
                <w:bCs/>
                <w:sz w:val="28"/>
                <w:szCs w:val="28"/>
                <w:lang w:eastAsia="lv-LV"/>
              </w:rPr>
              <w:t>protokollēmum</w:t>
            </w:r>
            <w:r>
              <w:rPr>
                <w:rFonts w:eastAsia="Times New Roman" w:cs="Times New Roman"/>
                <w:bCs/>
                <w:sz w:val="28"/>
                <w:szCs w:val="28"/>
                <w:lang w:eastAsia="lv-LV"/>
              </w:rPr>
              <w:t>iem</w:t>
            </w:r>
            <w:proofErr w:type="spellEnd"/>
          </w:p>
        </w:tc>
        <w:tc>
          <w:tcPr>
            <w:tcW w:w="4111" w:type="dxa"/>
          </w:tcPr>
          <w:p w:rsidR="00113098" w:rsidRPr="000205FE" w:rsidRDefault="00113098" w:rsidP="00D81174">
            <w:pPr>
              <w:tabs>
                <w:tab w:val="left" w:pos="6840"/>
              </w:tabs>
              <w:jc w:val="both"/>
              <w:rPr>
                <w:rFonts w:eastAsia="Times New Roman" w:cs="Times New Roman"/>
                <w:sz w:val="28"/>
                <w:szCs w:val="28"/>
                <w:lang w:eastAsia="lv-LV"/>
              </w:rPr>
            </w:pPr>
            <w:r>
              <w:rPr>
                <w:rFonts w:eastAsia="Times New Roman" w:cs="Times New Roman"/>
                <w:sz w:val="28"/>
                <w:szCs w:val="28"/>
                <w:lang w:eastAsia="lv-LV"/>
              </w:rPr>
              <w:t>Attīstības plānošanas</w:t>
            </w:r>
            <w:r w:rsidRPr="000205FE">
              <w:rPr>
                <w:rFonts w:eastAsia="Times New Roman" w:cs="Times New Roman"/>
                <w:sz w:val="28"/>
                <w:szCs w:val="28"/>
                <w:lang w:eastAsia="lv-LV"/>
              </w:rPr>
              <w:t xml:space="preserve"> dokumentam</w:t>
            </w:r>
            <w:r w:rsidR="002200E0">
              <w:rPr>
                <w:rFonts w:eastAsia="Times New Roman" w:cs="Times New Roman"/>
                <w:sz w:val="28"/>
                <w:szCs w:val="28"/>
                <w:lang w:eastAsia="lv-LV"/>
              </w:rPr>
              <w:t xml:space="preserve">, </w:t>
            </w:r>
            <w:r w:rsidR="00651DC6" w:rsidRPr="00651DC6">
              <w:rPr>
                <w:rFonts w:eastAsia="Times New Roman" w:cs="Times New Roman"/>
                <w:sz w:val="28"/>
                <w:szCs w:val="28"/>
                <w:lang w:eastAsia="lv-LV"/>
              </w:rPr>
              <w:t xml:space="preserve">Ministru kabineta rīkojumiem un </w:t>
            </w:r>
            <w:proofErr w:type="spellStart"/>
            <w:r w:rsidR="00651DC6" w:rsidRPr="00651DC6">
              <w:rPr>
                <w:rFonts w:eastAsia="Times New Roman" w:cs="Times New Roman"/>
                <w:sz w:val="28"/>
                <w:szCs w:val="28"/>
                <w:lang w:eastAsia="lv-LV"/>
              </w:rPr>
              <w:t>protokollēmumiem</w:t>
            </w:r>
            <w:proofErr w:type="spellEnd"/>
            <w:r w:rsidR="00651DC6" w:rsidRPr="00651DC6">
              <w:rPr>
                <w:rFonts w:eastAsia="Times New Roman" w:cs="Times New Roman"/>
                <w:sz w:val="28"/>
                <w:szCs w:val="28"/>
                <w:lang w:eastAsia="lv-LV"/>
              </w:rPr>
              <w:t xml:space="preserve"> </w:t>
            </w:r>
            <w:r w:rsidRPr="000205FE">
              <w:rPr>
                <w:rFonts w:eastAsia="Times New Roman" w:cs="Times New Roman"/>
                <w:sz w:val="28"/>
                <w:szCs w:val="28"/>
                <w:lang w:eastAsia="lv-LV"/>
              </w:rPr>
              <w:t>– 3</w:t>
            </w:r>
            <w:r>
              <w:rPr>
                <w:rFonts w:eastAsia="Times New Roman" w:cs="Times New Roman"/>
                <w:sz w:val="28"/>
                <w:szCs w:val="28"/>
                <w:lang w:eastAsia="lv-LV"/>
              </w:rPr>
              <w:t xml:space="preserve"> punkti;</w:t>
            </w:r>
          </w:p>
          <w:p w:rsidR="00113098" w:rsidRPr="000205FE" w:rsidRDefault="00113098" w:rsidP="000205FE">
            <w:pPr>
              <w:tabs>
                <w:tab w:val="left" w:pos="6840"/>
              </w:tabs>
              <w:jc w:val="both"/>
              <w:rPr>
                <w:rFonts w:eastAsia="Times New Roman" w:cs="Times New Roman"/>
                <w:sz w:val="28"/>
                <w:szCs w:val="28"/>
                <w:lang w:eastAsia="lv-LV"/>
              </w:rPr>
            </w:pPr>
            <w:r w:rsidRPr="000205FE">
              <w:rPr>
                <w:rFonts w:eastAsia="Times New Roman" w:cs="Times New Roman"/>
                <w:sz w:val="28"/>
                <w:szCs w:val="28"/>
                <w:lang w:eastAsia="lv-LV"/>
              </w:rPr>
              <w:t>Nav pamatojošo dokumentu</w:t>
            </w:r>
            <w:r>
              <w:rPr>
                <w:rFonts w:eastAsia="Times New Roman" w:cs="Times New Roman"/>
                <w:sz w:val="28"/>
                <w:szCs w:val="28"/>
                <w:lang w:eastAsia="lv-LV"/>
              </w:rPr>
              <w:t xml:space="preserve"> </w:t>
            </w:r>
            <w:r w:rsidRPr="000205FE">
              <w:rPr>
                <w:rFonts w:eastAsia="Times New Roman" w:cs="Times New Roman"/>
                <w:sz w:val="28"/>
                <w:szCs w:val="28"/>
                <w:lang w:eastAsia="lv-LV"/>
              </w:rPr>
              <w:t>–</w:t>
            </w:r>
            <w:r>
              <w:rPr>
                <w:rFonts w:eastAsia="Times New Roman" w:cs="Times New Roman"/>
                <w:sz w:val="28"/>
                <w:szCs w:val="28"/>
                <w:lang w:eastAsia="lv-LV"/>
              </w:rPr>
              <w:t xml:space="preserve"> 0 punkti</w:t>
            </w:r>
          </w:p>
        </w:tc>
      </w:tr>
      <w:tr w:rsidR="00113098" w:rsidRPr="000205FE" w:rsidTr="00CC3AB9">
        <w:tc>
          <w:tcPr>
            <w:tcW w:w="5495" w:type="dxa"/>
          </w:tcPr>
          <w:p w:rsidR="00113098" w:rsidRPr="000205FE" w:rsidRDefault="00113098" w:rsidP="00D67FB3">
            <w:pPr>
              <w:spacing w:before="100" w:beforeAutospacing="1" w:after="100" w:afterAutospacing="1"/>
              <w:jc w:val="both"/>
              <w:rPr>
                <w:rFonts w:eastAsia="Times New Roman" w:cs="Times New Roman"/>
                <w:bCs/>
                <w:sz w:val="28"/>
                <w:szCs w:val="28"/>
                <w:lang w:eastAsia="lv-LV"/>
              </w:rPr>
            </w:pPr>
            <w:r>
              <w:rPr>
                <w:rFonts w:eastAsia="Times New Roman" w:cs="Times New Roman"/>
                <w:bCs/>
                <w:sz w:val="28"/>
                <w:szCs w:val="28"/>
                <w:lang w:eastAsia="lv-LV"/>
              </w:rPr>
              <w:t>3</w:t>
            </w:r>
            <w:r w:rsidRPr="000205FE">
              <w:rPr>
                <w:rFonts w:eastAsia="Times New Roman" w:cs="Times New Roman"/>
                <w:bCs/>
                <w:sz w:val="28"/>
                <w:szCs w:val="28"/>
                <w:lang w:eastAsia="lv-LV"/>
              </w:rPr>
              <w:t>. </w:t>
            </w:r>
            <w:r>
              <w:rPr>
                <w:rFonts w:eastAsia="Times New Roman" w:cs="Times New Roman"/>
                <w:bCs/>
                <w:sz w:val="28"/>
                <w:szCs w:val="28"/>
                <w:lang w:eastAsia="lv-LV"/>
              </w:rPr>
              <w:t>A</w:t>
            </w:r>
            <w:r w:rsidRPr="000205FE">
              <w:rPr>
                <w:rFonts w:eastAsia="Times New Roman" w:cs="Times New Roman"/>
                <w:bCs/>
                <w:sz w:val="28"/>
                <w:szCs w:val="28"/>
                <w:lang w:eastAsia="lv-LV"/>
              </w:rPr>
              <w:t>tbilstība</w:t>
            </w:r>
            <w:r>
              <w:rPr>
                <w:rFonts w:eastAsia="Times New Roman" w:cs="Times New Roman"/>
                <w:bCs/>
                <w:sz w:val="28"/>
                <w:szCs w:val="28"/>
                <w:lang w:eastAsia="lv-LV"/>
              </w:rPr>
              <w:t xml:space="preserve"> </w:t>
            </w:r>
            <w:r w:rsidRPr="000205FE">
              <w:rPr>
                <w:rFonts w:eastAsia="Times New Roman" w:cs="Times New Roman"/>
                <w:bCs/>
                <w:sz w:val="28"/>
                <w:szCs w:val="28"/>
                <w:lang w:eastAsia="lv-LV"/>
              </w:rPr>
              <w:t>pieņemtajiem normatīvajiem aktiem</w:t>
            </w:r>
            <w:r>
              <w:rPr>
                <w:rFonts w:eastAsia="Times New Roman" w:cs="Times New Roman"/>
                <w:bCs/>
                <w:sz w:val="28"/>
                <w:szCs w:val="28"/>
                <w:lang w:eastAsia="lv-LV"/>
              </w:rPr>
              <w:t xml:space="preserve"> </w:t>
            </w:r>
            <w:r w:rsidRPr="000205FE">
              <w:rPr>
                <w:rFonts w:eastAsia="Times New Roman" w:cs="Times New Roman"/>
                <w:bCs/>
                <w:sz w:val="28"/>
                <w:szCs w:val="28"/>
                <w:lang w:eastAsia="lv-LV"/>
              </w:rPr>
              <w:t xml:space="preserve"> </w:t>
            </w:r>
          </w:p>
        </w:tc>
        <w:tc>
          <w:tcPr>
            <w:tcW w:w="4111" w:type="dxa"/>
          </w:tcPr>
          <w:p w:rsidR="00113098" w:rsidRPr="000205FE" w:rsidRDefault="00113098" w:rsidP="000205FE">
            <w:pPr>
              <w:tabs>
                <w:tab w:val="left" w:pos="6840"/>
              </w:tabs>
              <w:jc w:val="both"/>
              <w:rPr>
                <w:rFonts w:eastAsia="Times New Roman" w:cs="Times New Roman"/>
                <w:sz w:val="28"/>
                <w:szCs w:val="28"/>
                <w:lang w:eastAsia="lv-LV"/>
              </w:rPr>
            </w:pPr>
            <w:r w:rsidRPr="000205FE">
              <w:rPr>
                <w:rFonts w:eastAsia="Times New Roman" w:cs="Times New Roman"/>
                <w:sz w:val="28"/>
                <w:szCs w:val="28"/>
                <w:lang w:eastAsia="lv-LV"/>
              </w:rPr>
              <w:t xml:space="preserve">Likumam, noteikumiem – </w:t>
            </w:r>
            <w:r>
              <w:rPr>
                <w:rFonts w:eastAsia="Times New Roman" w:cs="Times New Roman"/>
                <w:sz w:val="28"/>
                <w:szCs w:val="28"/>
                <w:lang w:eastAsia="lv-LV"/>
              </w:rPr>
              <w:t>3 punkti;</w:t>
            </w:r>
          </w:p>
          <w:p w:rsidR="00113098" w:rsidRPr="000205FE" w:rsidRDefault="00113098" w:rsidP="00CC3AB9">
            <w:pPr>
              <w:tabs>
                <w:tab w:val="left" w:pos="6840"/>
              </w:tabs>
              <w:jc w:val="both"/>
              <w:rPr>
                <w:rFonts w:eastAsia="Times New Roman" w:cs="Times New Roman"/>
                <w:sz w:val="28"/>
                <w:szCs w:val="28"/>
                <w:lang w:eastAsia="lv-LV"/>
              </w:rPr>
            </w:pPr>
            <w:r w:rsidRPr="000205FE">
              <w:rPr>
                <w:rFonts w:eastAsia="Times New Roman" w:cs="Times New Roman"/>
                <w:sz w:val="28"/>
                <w:szCs w:val="28"/>
                <w:lang w:eastAsia="lv-LV"/>
              </w:rPr>
              <w:t>Nav pamatojošo dokumentu</w:t>
            </w:r>
            <w:r>
              <w:rPr>
                <w:rFonts w:eastAsia="Times New Roman" w:cs="Times New Roman"/>
                <w:sz w:val="28"/>
                <w:szCs w:val="28"/>
                <w:lang w:eastAsia="lv-LV"/>
              </w:rPr>
              <w:t xml:space="preserve"> </w:t>
            </w:r>
            <w:r w:rsidRPr="000205FE">
              <w:rPr>
                <w:rFonts w:eastAsia="Times New Roman" w:cs="Times New Roman"/>
                <w:sz w:val="28"/>
                <w:szCs w:val="28"/>
                <w:lang w:eastAsia="lv-LV"/>
              </w:rPr>
              <w:t>–</w:t>
            </w:r>
            <w:r>
              <w:rPr>
                <w:rFonts w:eastAsia="Times New Roman" w:cs="Times New Roman"/>
                <w:sz w:val="28"/>
                <w:szCs w:val="28"/>
                <w:lang w:eastAsia="lv-LV"/>
              </w:rPr>
              <w:t xml:space="preserve"> 0 punkti</w:t>
            </w:r>
          </w:p>
        </w:tc>
      </w:tr>
      <w:tr w:rsidR="00113098" w:rsidRPr="000205FE" w:rsidTr="00CC3AB9">
        <w:tc>
          <w:tcPr>
            <w:tcW w:w="5495" w:type="dxa"/>
          </w:tcPr>
          <w:p w:rsidR="00113098" w:rsidRPr="000205FE" w:rsidRDefault="00113098" w:rsidP="004F0C8A">
            <w:pPr>
              <w:spacing w:before="100" w:beforeAutospacing="1" w:after="100" w:afterAutospacing="1"/>
              <w:jc w:val="both"/>
              <w:rPr>
                <w:rFonts w:eastAsia="Times New Roman" w:cs="Times New Roman"/>
                <w:bCs/>
                <w:sz w:val="28"/>
                <w:szCs w:val="28"/>
                <w:lang w:eastAsia="lv-LV"/>
              </w:rPr>
            </w:pPr>
            <w:r>
              <w:rPr>
                <w:rFonts w:eastAsia="Times New Roman" w:cs="Times New Roman"/>
                <w:bCs/>
                <w:sz w:val="28"/>
                <w:szCs w:val="28"/>
                <w:lang w:eastAsia="lv-LV"/>
              </w:rPr>
              <w:t>4</w:t>
            </w:r>
            <w:r w:rsidRPr="000205FE">
              <w:rPr>
                <w:rFonts w:eastAsia="Times New Roman" w:cs="Times New Roman"/>
                <w:bCs/>
                <w:sz w:val="28"/>
                <w:szCs w:val="28"/>
                <w:lang w:eastAsia="lv-LV"/>
              </w:rPr>
              <w:t xml:space="preserve">. Atbilstība </w:t>
            </w:r>
            <w:r>
              <w:rPr>
                <w:rFonts w:eastAsia="Times New Roman" w:cs="Times New Roman"/>
                <w:bCs/>
                <w:sz w:val="28"/>
                <w:szCs w:val="28"/>
                <w:lang w:eastAsia="lv-LV"/>
              </w:rPr>
              <w:t>D</w:t>
            </w:r>
            <w:r w:rsidRPr="000205FE">
              <w:rPr>
                <w:rFonts w:eastAsia="Times New Roman" w:cs="Times New Roman"/>
                <w:bCs/>
                <w:sz w:val="28"/>
                <w:szCs w:val="28"/>
                <w:lang w:eastAsia="lv-LV"/>
              </w:rPr>
              <w:t xml:space="preserve">eklarācijā </w:t>
            </w:r>
            <w:r>
              <w:rPr>
                <w:rFonts w:eastAsia="Times New Roman" w:cs="Times New Roman"/>
                <w:bCs/>
                <w:sz w:val="28"/>
                <w:szCs w:val="28"/>
                <w:lang w:eastAsia="lv-LV"/>
              </w:rPr>
              <w:t xml:space="preserve">par Ministru kabineta iecerēto darbību </w:t>
            </w:r>
            <w:r w:rsidRPr="000205FE">
              <w:rPr>
                <w:rFonts w:eastAsia="Times New Roman" w:cs="Times New Roman"/>
                <w:bCs/>
                <w:sz w:val="28"/>
                <w:szCs w:val="28"/>
                <w:lang w:eastAsia="lv-LV"/>
              </w:rPr>
              <w:t>uzrādītajiem uzdevumiem</w:t>
            </w:r>
          </w:p>
        </w:tc>
        <w:tc>
          <w:tcPr>
            <w:tcW w:w="4111" w:type="dxa"/>
          </w:tcPr>
          <w:p w:rsidR="00113098" w:rsidRPr="000205FE" w:rsidRDefault="00113098" w:rsidP="000205FE">
            <w:pPr>
              <w:tabs>
                <w:tab w:val="left" w:pos="6840"/>
              </w:tabs>
              <w:jc w:val="both"/>
              <w:rPr>
                <w:rFonts w:eastAsia="Times New Roman" w:cs="Times New Roman"/>
                <w:sz w:val="28"/>
                <w:szCs w:val="28"/>
                <w:lang w:eastAsia="lv-LV"/>
              </w:rPr>
            </w:pPr>
            <w:r w:rsidRPr="000205FE">
              <w:rPr>
                <w:rFonts w:eastAsia="Times New Roman" w:cs="Times New Roman"/>
                <w:sz w:val="28"/>
                <w:szCs w:val="28"/>
                <w:lang w:eastAsia="lv-LV"/>
              </w:rPr>
              <w:t>Atbilst – 3</w:t>
            </w:r>
            <w:r>
              <w:rPr>
                <w:rFonts w:eastAsia="Times New Roman" w:cs="Times New Roman"/>
                <w:sz w:val="28"/>
                <w:szCs w:val="28"/>
                <w:lang w:eastAsia="lv-LV"/>
              </w:rPr>
              <w:t xml:space="preserve"> punkti;</w:t>
            </w:r>
          </w:p>
          <w:p w:rsidR="00113098" w:rsidRPr="000205FE" w:rsidRDefault="00113098" w:rsidP="00CC3AB9">
            <w:pPr>
              <w:tabs>
                <w:tab w:val="left" w:pos="6840"/>
              </w:tabs>
              <w:jc w:val="both"/>
              <w:rPr>
                <w:rFonts w:eastAsia="Times New Roman" w:cs="Times New Roman"/>
                <w:sz w:val="28"/>
                <w:szCs w:val="28"/>
                <w:lang w:eastAsia="lv-LV"/>
              </w:rPr>
            </w:pPr>
            <w:r w:rsidRPr="000205FE">
              <w:rPr>
                <w:rFonts w:eastAsia="Times New Roman" w:cs="Times New Roman"/>
                <w:sz w:val="28"/>
                <w:szCs w:val="28"/>
                <w:lang w:eastAsia="lv-LV"/>
              </w:rPr>
              <w:t>Neatbilst – 0</w:t>
            </w:r>
            <w:r>
              <w:rPr>
                <w:rFonts w:eastAsia="Times New Roman" w:cs="Times New Roman"/>
                <w:sz w:val="28"/>
                <w:szCs w:val="28"/>
                <w:lang w:eastAsia="lv-LV"/>
              </w:rPr>
              <w:t xml:space="preserve"> punkti</w:t>
            </w:r>
          </w:p>
        </w:tc>
      </w:tr>
      <w:tr w:rsidR="00113098" w:rsidRPr="000205FE" w:rsidTr="00CC3AB9">
        <w:tc>
          <w:tcPr>
            <w:tcW w:w="5495" w:type="dxa"/>
          </w:tcPr>
          <w:p w:rsidR="00113098" w:rsidRPr="000205FE" w:rsidRDefault="00113098" w:rsidP="000205FE">
            <w:pPr>
              <w:tabs>
                <w:tab w:val="left" w:pos="6840"/>
              </w:tabs>
              <w:jc w:val="both"/>
              <w:rPr>
                <w:rFonts w:eastAsia="Times New Roman" w:cs="Times New Roman"/>
                <w:sz w:val="28"/>
                <w:szCs w:val="28"/>
                <w:lang w:eastAsia="lv-LV"/>
              </w:rPr>
            </w:pPr>
            <w:r>
              <w:rPr>
                <w:rFonts w:eastAsia="Times New Roman" w:cs="Times New Roman"/>
                <w:bCs/>
                <w:sz w:val="28"/>
                <w:szCs w:val="28"/>
                <w:lang w:eastAsia="lv-LV"/>
              </w:rPr>
              <w:t>5</w:t>
            </w:r>
            <w:r w:rsidRPr="000205FE">
              <w:rPr>
                <w:rFonts w:eastAsia="Times New Roman" w:cs="Times New Roman"/>
                <w:bCs/>
                <w:sz w:val="28"/>
                <w:szCs w:val="28"/>
                <w:lang w:eastAsia="lv-LV"/>
              </w:rPr>
              <w:t xml:space="preserve">. Jaunās politikas iniciatīvas vieta ministrijas iesniegtajā </w:t>
            </w:r>
            <w:r>
              <w:rPr>
                <w:rFonts w:eastAsia="Times New Roman" w:cs="Times New Roman"/>
                <w:sz w:val="28"/>
                <w:szCs w:val="28"/>
                <w:lang w:eastAsia="lv-LV"/>
              </w:rPr>
              <w:t>j</w:t>
            </w:r>
            <w:r w:rsidRPr="000205FE">
              <w:rPr>
                <w:rFonts w:eastAsia="Times New Roman" w:cs="Times New Roman"/>
                <w:sz w:val="28"/>
                <w:szCs w:val="28"/>
                <w:lang w:eastAsia="lv-LV"/>
              </w:rPr>
              <w:t>auno politikas iniciatīvu sarakstā</w:t>
            </w:r>
          </w:p>
        </w:tc>
        <w:tc>
          <w:tcPr>
            <w:tcW w:w="4111" w:type="dxa"/>
          </w:tcPr>
          <w:p w:rsidR="00113098" w:rsidRPr="000205FE" w:rsidRDefault="00113098" w:rsidP="000205FE">
            <w:pPr>
              <w:tabs>
                <w:tab w:val="left" w:pos="6840"/>
              </w:tabs>
              <w:jc w:val="both"/>
              <w:rPr>
                <w:rFonts w:eastAsia="Times New Roman" w:cs="Times New Roman"/>
                <w:sz w:val="28"/>
                <w:szCs w:val="28"/>
                <w:lang w:eastAsia="lv-LV"/>
              </w:rPr>
            </w:pPr>
            <w:r w:rsidRPr="000205FE">
              <w:rPr>
                <w:rFonts w:eastAsia="Times New Roman" w:cs="Times New Roman"/>
                <w:sz w:val="28"/>
                <w:szCs w:val="28"/>
                <w:lang w:eastAsia="lv-LV"/>
              </w:rPr>
              <w:t xml:space="preserve">Ieņem no </w:t>
            </w:r>
            <w:r>
              <w:rPr>
                <w:rFonts w:eastAsia="Times New Roman" w:cs="Times New Roman"/>
                <w:sz w:val="28"/>
                <w:szCs w:val="28"/>
                <w:lang w:eastAsia="lv-LV"/>
              </w:rPr>
              <w:t xml:space="preserve"> 1 – 5 </w:t>
            </w:r>
            <w:r w:rsidRPr="000205FE">
              <w:rPr>
                <w:rFonts w:eastAsia="Times New Roman" w:cs="Times New Roman"/>
                <w:sz w:val="28"/>
                <w:szCs w:val="28"/>
                <w:lang w:eastAsia="lv-LV"/>
              </w:rPr>
              <w:t xml:space="preserve">vietai </w:t>
            </w:r>
            <w:r>
              <w:rPr>
                <w:rFonts w:eastAsia="Times New Roman" w:cs="Times New Roman"/>
                <w:sz w:val="28"/>
                <w:szCs w:val="28"/>
                <w:lang w:eastAsia="lv-LV"/>
              </w:rPr>
              <w:t>– 2 punkti;</w:t>
            </w:r>
          </w:p>
          <w:p w:rsidR="00113098" w:rsidRPr="000205FE" w:rsidRDefault="00113098" w:rsidP="00385B1B">
            <w:pPr>
              <w:tabs>
                <w:tab w:val="left" w:pos="6840"/>
              </w:tabs>
              <w:jc w:val="both"/>
              <w:rPr>
                <w:rFonts w:eastAsia="Times New Roman" w:cs="Times New Roman"/>
                <w:sz w:val="28"/>
                <w:szCs w:val="28"/>
                <w:lang w:eastAsia="lv-LV"/>
              </w:rPr>
            </w:pPr>
            <w:r w:rsidRPr="000205FE">
              <w:rPr>
                <w:rFonts w:eastAsia="Times New Roman" w:cs="Times New Roman"/>
                <w:sz w:val="28"/>
                <w:szCs w:val="28"/>
                <w:lang w:eastAsia="lv-LV"/>
              </w:rPr>
              <w:t xml:space="preserve">Ieņem no </w:t>
            </w:r>
            <w:r>
              <w:rPr>
                <w:rFonts w:eastAsia="Times New Roman" w:cs="Times New Roman"/>
                <w:sz w:val="28"/>
                <w:szCs w:val="28"/>
                <w:lang w:eastAsia="lv-LV"/>
              </w:rPr>
              <w:t xml:space="preserve">6 – pēdējai sarakstā </w:t>
            </w:r>
            <w:r w:rsidRPr="000205FE">
              <w:rPr>
                <w:rFonts w:eastAsia="Times New Roman" w:cs="Times New Roman"/>
                <w:sz w:val="28"/>
                <w:szCs w:val="28"/>
                <w:lang w:eastAsia="lv-LV"/>
              </w:rPr>
              <w:t xml:space="preserve">vietai </w:t>
            </w:r>
            <w:r>
              <w:rPr>
                <w:rFonts w:eastAsia="Times New Roman" w:cs="Times New Roman"/>
                <w:sz w:val="28"/>
                <w:szCs w:val="28"/>
                <w:lang w:eastAsia="lv-LV"/>
              </w:rPr>
              <w:t>– 1 punkts</w:t>
            </w:r>
          </w:p>
        </w:tc>
      </w:tr>
    </w:tbl>
    <w:p w:rsidR="000205FE" w:rsidRPr="000205FE" w:rsidRDefault="000205FE" w:rsidP="000205FE">
      <w:pPr>
        <w:rPr>
          <w:rFonts w:eastAsia="Times New Roman" w:cs="Times New Roman"/>
          <w:szCs w:val="24"/>
          <w:lang w:eastAsia="lv-LV"/>
        </w:rPr>
      </w:pPr>
    </w:p>
    <w:p w:rsidR="000205FE" w:rsidRPr="000205FE" w:rsidRDefault="000205FE" w:rsidP="000205FE">
      <w:pPr>
        <w:rPr>
          <w:rFonts w:eastAsia="Times New Roman" w:cs="Times New Roman"/>
          <w:sz w:val="28"/>
          <w:szCs w:val="24"/>
          <w:lang w:eastAsia="lv-LV"/>
        </w:rPr>
      </w:pPr>
    </w:p>
    <w:p w:rsidR="000205FE" w:rsidRPr="000205FE" w:rsidRDefault="000205FE" w:rsidP="000205FE">
      <w:pPr>
        <w:rPr>
          <w:rFonts w:eastAsia="Times New Roman" w:cs="Times New Roman"/>
          <w:sz w:val="28"/>
          <w:szCs w:val="24"/>
          <w:lang w:eastAsia="lv-LV"/>
        </w:rPr>
      </w:pPr>
      <w:r w:rsidRPr="000205FE">
        <w:rPr>
          <w:rFonts w:eastAsia="Times New Roman" w:cs="Times New Roman"/>
          <w:sz w:val="28"/>
          <w:szCs w:val="24"/>
          <w:lang w:eastAsia="lv-LV"/>
        </w:rPr>
        <w:t>Finanšu ministr</w:t>
      </w:r>
      <w:r w:rsidR="00BE1470">
        <w:rPr>
          <w:rFonts w:eastAsia="Times New Roman" w:cs="Times New Roman"/>
          <w:sz w:val="28"/>
          <w:szCs w:val="24"/>
          <w:lang w:eastAsia="lv-LV"/>
        </w:rPr>
        <w:t xml:space="preserve">s </w:t>
      </w:r>
      <w:r w:rsidRPr="000205FE">
        <w:rPr>
          <w:rFonts w:eastAsia="Times New Roman" w:cs="Times New Roman"/>
          <w:sz w:val="28"/>
          <w:szCs w:val="24"/>
          <w:lang w:eastAsia="lv-LV"/>
        </w:rPr>
        <w:tab/>
      </w:r>
      <w:r w:rsidRPr="000205FE">
        <w:rPr>
          <w:rFonts w:eastAsia="Times New Roman" w:cs="Times New Roman"/>
          <w:sz w:val="28"/>
          <w:szCs w:val="24"/>
          <w:lang w:eastAsia="lv-LV"/>
        </w:rPr>
        <w:tab/>
      </w:r>
      <w:r w:rsidRPr="000205FE">
        <w:rPr>
          <w:rFonts w:eastAsia="Times New Roman" w:cs="Times New Roman"/>
          <w:sz w:val="28"/>
          <w:szCs w:val="24"/>
          <w:lang w:eastAsia="lv-LV"/>
        </w:rPr>
        <w:tab/>
      </w:r>
      <w:r w:rsidRPr="000205FE">
        <w:rPr>
          <w:rFonts w:eastAsia="Times New Roman" w:cs="Times New Roman"/>
          <w:sz w:val="28"/>
          <w:szCs w:val="24"/>
          <w:lang w:eastAsia="lv-LV"/>
        </w:rPr>
        <w:tab/>
      </w:r>
      <w:r w:rsidRPr="000205FE">
        <w:rPr>
          <w:rFonts w:eastAsia="Times New Roman" w:cs="Times New Roman"/>
          <w:sz w:val="28"/>
          <w:szCs w:val="24"/>
          <w:lang w:eastAsia="lv-LV"/>
        </w:rPr>
        <w:tab/>
      </w:r>
      <w:r w:rsidRPr="000205FE">
        <w:rPr>
          <w:rFonts w:eastAsia="Times New Roman" w:cs="Times New Roman"/>
          <w:sz w:val="28"/>
          <w:szCs w:val="24"/>
          <w:lang w:eastAsia="lv-LV"/>
        </w:rPr>
        <w:tab/>
      </w:r>
      <w:r w:rsidRPr="000205FE">
        <w:rPr>
          <w:rFonts w:eastAsia="Times New Roman" w:cs="Times New Roman"/>
          <w:sz w:val="28"/>
          <w:szCs w:val="24"/>
          <w:lang w:eastAsia="lv-LV"/>
        </w:rPr>
        <w:tab/>
      </w:r>
      <w:r w:rsidR="0009743E">
        <w:rPr>
          <w:rFonts w:eastAsia="Times New Roman" w:cs="Times New Roman"/>
          <w:sz w:val="28"/>
          <w:szCs w:val="24"/>
          <w:lang w:eastAsia="lv-LV"/>
        </w:rPr>
        <w:t xml:space="preserve">           </w:t>
      </w:r>
      <w:r w:rsidR="00BE1470">
        <w:rPr>
          <w:rFonts w:eastAsia="Times New Roman" w:cs="Times New Roman"/>
          <w:sz w:val="28"/>
          <w:szCs w:val="24"/>
          <w:lang w:eastAsia="lv-LV"/>
        </w:rPr>
        <w:t xml:space="preserve">             A.Vilks</w:t>
      </w:r>
    </w:p>
    <w:p w:rsidR="000205FE" w:rsidRPr="000205FE" w:rsidRDefault="000205FE" w:rsidP="000205FE">
      <w:pPr>
        <w:rPr>
          <w:rFonts w:eastAsia="Times New Roman" w:cs="Times New Roman"/>
          <w:sz w:val="28"/>
          <w:szCs w:val="24"/>
          <w:lang w:eastAsia="lv-LV"/>
        </w:rPr>
      </w:pPr>
    </w:p>
    <w:p w:rsidR="000205FE" w:rsidRPr="000205FE" w:rsidRDefault="000205FE" w:rsidP="000205FE">
      <w:pPr>
        <w:rPr>
          <w:rFonts w:eastAsia="Times New Roman" w:cs="Times New Roman"/>
          <w:sz w:val="18"/>
          <w:szCs w:val="18"/>
          <w:lang w:eastAsia="lv-LV"/>
        </w:rPr>
      </w:pPr>
    </w:p>
    <w:p w:rsidR="000205FE" w:rsidRPr="000205FE" w:rsidRDefault="000205FE" w:rsidP="000205FE">
      <w:pPr>
        <w:rPr>
          <w:rFonts w:eastAsia="Times New Roman" w:cs="Times New Roman"/>
          <w:sz w:val="18"/>
          <w:szCs w:val="18"/>
          <w:lang w:eastAsia="lv-LV"/>
        </w:rPr>
      </w:pPr>
    </w:p>
    <w:p w:rsidR="000205FE" w:rsidRPr="000205FE" w:rsidRDefault="000205FE" w:rsidP="000205FE">
      <w:pPr>
        <w:rPr>
          <w:rFonts w:eastAsia="Times New Roman" w:cs="Times New Roman"/>
          <w:sz w:val="18"/>
          <w:szCs w:val="18"/>
          <w:lang w:eastAsia="lv-LV"/>
        </w:rPr>
      </w:pPr>
    </w:p>
    <w:p w:rsidR="000205FE" w:rsidRPr="000205FE" w:rsidRDefault="00590F9D" w:rsidP="000205FE">
      <w:pPr>
        <w:rPr>
          <w:rFonts w:eastAsia="Times New Roman" w:cs="Times New Roman"/>
          <w:sz w:val="18"/>
          <w:szCs w:val="18"/>
          <w:lang w:eastAsia="lv-LV"/>
        </w:rPr>
      </w:pPr>
      <w:r>
        <w:rPr>
          <w:rFonts w:eastAsia="Times New Roman" w:cs="Times New Roman"/>
          <w:sz w:val="18"/>
          <w:szCs w:val="18"/>
          <w:lang w:eastAsia="lv-LV"/>
        </w:rPr>
        <w:t>2</w:t>
      </w:r>
      <w:r w:rsidR="00342BC6">
        <w:rPr>
          <w:rFonts w:eastAsia="Times New Roman" w:cs="Times New Roman"/>
          <w:sz w:val="18"/>
          <w:szCs w:val="18"/>
          <w:lang w:eastAsia="lv-LV"/>
        </w:rPr>
        <w:t>7</w:t>
      </w:r>
      <w:r w:rsidR="000205FE" w:rsidRPr="000205FE">
        <w:rPr>
          <w:rFonts w:eastAsia="Times New Roman" w:cs="Times New Roman"/>
          <w:sz w:val="18"/>
          <w:szCs w:val="18"/>
          <w:lang w:eastAsia="lv-LV"/>
        </w:rPr>
        <w:t>.</w:t>
      </w:r>
      <w:r w:rsidR="00884DE9">
        <w:rPr>
          <w:rFonts w:eastAsia="Times New Roman" w:cs="Times New Roman"/>
          <w:sz w:val="18"/>
          <w:szCs w:val="18"/>
          <w:lang w:eastAsia="lv-LV"/>
        </w:rPr>
        <w:t>1</w:t>
      </w:r>
      <w:r w:rsidR="00342BC6">
        <w:rPr>
          <w:rFonts w:eastAsia="Times New Roman" w:cs="Times New Roman"/>
          <w:sz w:val="18"/>
          <w:szCs w:val="18"/>
          <w:lang w:eastAsia="lv-LV"/>
        </w:rPr>
        <w:t>1</w:t>
      </w:r>
      <w:r w:rsidR="000205FE" w:rsidRPr="000205FE">
        <w:rPr>
          <w:rFonts w:eastAsia="Times New Roman" w:cs="Times New Roman"/>
          <w:sz w:val="18"/>
          <w:szCs w:val="18"/>
          <w:lang w:eastAsia="lv-LV"/>
        </w:rPr>
        <w:t>.2012. 11:30</w:t>
      </w:r>
    </w:p>
    <w:p w:rsidR="000205FE" w:rsidRPr="000205FE" w:rsidRDefault="000205FE" w:rsidP="000205FE">
      <w:pPr>
        <w:rPr>
          <w:rFonts w:eastAsia="Times New Roman" w:cs="Times New Roman"/>
          <w:sz w:val="18"/>
          <w:szCs w:val="18"/>
          <w:lang w:eastAsia="lv-LV"/>
        </w:rPr>
      </w:pPr>
      <w:r w:rsidRPr="000205FE">
        <w:rPr>
          <w:rFonts w:eastAsia="Times New Roman" w:cs="Times New Roman"/>
          <w:sz w:val="18"/>
          <w:szCs w:val="18"/>
          <w:lang w:eastAsia="lv-LV"/>
        </w:rPr>
        <w:fldChar w:fldCharType="begin"/>
      </w:r>
      <w:r w:rsidRPr="000205FE">
        <w:rPr>
          <w:rFonts w:eastAsia="Times New Roman" w:cs="Times New Roman"/>
          <w:sz w:val="18"/>
          <w:szCs w:val="18"/>
          <w:lang w:eastAsia="lv-LV"/>
        </w:rPr>
        <w:instrText xml:space="preserve"> NUMWORDS   \* MERGEFORMAT </w:instrText>
      </w:r>
      <w:r w:rsidRPr="000205FE">
        <w:rPr>
          <w:rFonts w:eastAsia="Times New Roman" w:cs="Times New Roman"/>
          <w:sz w:val="18"/>
          <w:szCs w:val="18"/>
          <w:lang w:eastAsia="lv-LV"/>
        </w:rPr>
        <w:fldChar w:fldCharType="separate"/>
      </w:r>
      <w:r w:rsidR="00590F9D">
        <w:rPr>
          <w:rFonts w:eastAsia="Times New Roman" w:cs="Times New Roman"/>
          <w:noProof/>
          <w:sz w:val="18"/>
          <w:szCs w:val="18"/>
          <w:lang w:eastAsia="lv-LV"/>
        </w:rPr>
        <w:t>155</w:t>
      </w:r>
      <w:r w:rsidRPr="000205FE">
        <w:rPr>
          <w:rFonts w:eastAsia="Times New Roman" w:cs="Times New Roman"/>
          <w:sz w:val="18"/>
          <w:szCs w:val="18"/>
          <w:lang w:eastAsia="lv-LV"/>
        </w:rPr>
        <w:fldChar w:fldCharType="end"/>
      </w:r>
      <w:bookmarkStart w:id="0" w:name="_GoBack"/>
      <w:bookmarkEnd w:id="0"/>
    </w:p>
    <w:p w:rsidR="000205FE" w:rsidRPr="000205FE" w:rsidRDefault="000205FE" w:rsidP="000205FE">
      <w:pPr>
        <w:rPr>
          <w:rFonts w:eastAsia="Times New Roman" w:cs="Times New Roman"/>
          <w:sz w:val="18"/>
          <w:szCs w:val="18"/>
          <w:lang w:eastAsia="lv-LV"/>
        </w:rPr>
      </w:pPr>
      <w:r w:rsidRPr="000205FE">
        <w:rPr>
          <w:rFonts w:eastAsia="Times New Roman" w:cs="Times New Roman"/>
          <w:sz w:val="18"/>
          <w:szCs w:val="18"/>
          <w:lang w:eastAsia="lv-LV"/>
        </w:rPr>
        <w:t>Raivis Čablis,</w:t>
      </w:r>
    </w:p>
    <w:p w:rsidR="000205FE" w:rsidRPr="000205FE" w:rsidRDefault="000205FE" w:rsidP="000205FE">
      <w:pPr>
        <w:rPr>
          <w:rFonts w:eastAsia="Times New Roman" w:cs="Times New Roman"/>
          <w:sz w:val="18"/>
          <w:szCs w:val="18"/>
          <w:lang w:eastAsia="lv-LV"/>
        </w:rPr>
      </w:pPr>
      <w:r w:rsidRPr="000205FE">
        <w:rPr>
          <w:rFonts w:eastAsia="Times New Roman" w:cs="Times New Roman"/>
          <w:sz w:val="18"/>
          <w:szCs w:val="18"/>
          <w:lang w:eastAsia="lv-LV"/>
        </w:rPr>
        <w:t>Finanšu ministrijas</w:t>
      </w:r>
    </w:p>
    <w:p w:rsidR="000205FE" w:rsidRPr="000205FE" w:rsidRDefault="000205FE" w:rsidP="000205FE">
      <w:pPr>
        <w:rPr>
          <w:rFonts w:eastAsia="Times New Roman" w:cs="Times New Roman"/>
          <w:sz w:val="18"/>
          <w:szCs w:val="18"/>
          <w:lang w:eastAsia="lv-LV"/>
        </w:rPr>
      </w:pPr>
      <w:r w:rsidRPr="000205FE">
        <w:rPr>
          <w:rFonts w:eastAsia="Times New Roman" w:cs="Times New Roman"/>
          <w:sz w:val="18"/>
          <w:szCs w:val="18"/>
          <w:lang w:eastAsia="lv-LV"/>
        </w:rPr>
        <w:t>Finanšu vadības un metodoloģijas departamenta</w:t>
      </w:r>
    </w:p>
    <w:p w:rsidR="000205FE" w:rsidRPr="000205FE" w:rsidRDefault="000205FE" w:rsidP="000205FE">
      <w:pPr>
        <w:rPr>
          <w:rFonts w:eastAsia="Times New Roman" w:cs="Times New Roman"/>
          <w:sz w:val="18"/>
          <w:szCs w:val="18"/>
          <w:lang w:eastAsia="lv-LV"/>
        </w:rPr>
      </w:pPr>
      <w:r w:rsidRPr="000205FE">
        <w:rPr>
          <w:rFonts w:eastAsia="Times New Roman" w:cs="Times New Roman"/>
          <w:sz w:val="18"/>
          <w:szCs w:val="18"/>
          <w:lang w:eastAsia="lv-LV"/>
        </w:rPr>
        <w:t>Budžeta metodoloģijas nodaļas vecākais eksperts</w:t>
      </w:r>
    </w:p>
    <w:p w:rsidR="000205FE" w:rsidRPr="000205FE" w:rsidRDefault="000205FE" w:rsidP="000205FE">
      <w:pPr>
        <w:rPr>
          <w:rFonts w:eastAsia="Times New Roman" w:cs="Times New Roman"/>
          <w:sz w:val="18"/>
          <w:szCs w:val="18"/>
          <w:lang w:eastAsia="lv-LV"/>
        </w:rPr>
      </w:pPr>
      <w:proofErr w:type="spellStart"/>
      <w:r w:rsidRPr="000205FE">
        <w:rPr>
          <w:rFonts w:eastAsia="Times New Roman" w:cs="Times New Roman"/>
          <w:sz w:val="18"/>
          <w:szCs w:val="18"/>
          <w:lang w:eastAsia="lv-LV"/>
        </w:rPr>
        <w:t>raivis.cablis@fm.gov.lv</w:t>
      </w:r>
      <w:proofErr w:type="spellEnd"/>
      <w:r w:rsidRPr="000205FE">
        <w:rPr>
          <w:rFonts w:eastAsia="Times New Roman" w:cs="Times New Roman"/>
          <w:sz w:val="18"/>
          <w:szCs w:val="18"/>
          <w:lang w:eastAsia="lv-LV"/>
        </w:rPr>
        <w:t>;</w:t>
      </w:r>
    </w:p>
    <w:p w:rsidR="00E63EEE" w:rsidRDefault="000205FE" w:rsidP="000205FE">
      <w:pPr>
        <w:rPr>
          <w:rFonts w:eastAsia="Times New Roman" w:cs="Times New Roman"/>
          <w:sz w:val="28"/>
          <w:szCs w:val="24"/>
          <w:lang w:eastAsia="lv-LV"/>
        </w:rPr>
      </w:pPr>
      <w:proofErr w:type="spellStart"/>
      <w:r w:rsidRPr="000205FE">
        <w:rPr>
          <w:rFonts w:eastAsia="Times New Roman" w:cs="Times New Roman"/>
          <w:sz w:val="18"/>
          <w:szCs w:val="18"/>
          <w:lang w:eastAsia="lv-LV"/>
        </w:rPr>
        <w:t>Tālr</w:t>
      </w:r>
      <w:proofErr w:type="spellEnd"/>
      <w:r w:rsidRPr="000205FE">
        <w:rPr>
          <w:rFonts w:eastAsia="Times New Roman" w:cs="Times New Roman"/>
          <w:sz w:val="18"/>
          <w:szCs w:val="18"/>
          <w:lang w:eastAsia="lv-LV"/>
        </w:rPr>
        <w:t>.: 67095498; fakss:67095541</w:t>
      </w:r>
    </w:p>
    <w:p w:rsidR="003958F3" w:rsidRDefault="003958F3"/>
    <w:sectPr w:rsidR="003958F3" w:rsidSect="00D81174">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25" w:rsidRDefault="00551B25" w:rsidP="000205FE">
      <w:r>
        <w:separator/>
      </w:r>
    </w:p>
  </w:endnote>
  <w:endnote w:type="continuationSeparator" w:id="0">
    <w:p w:rsidR="00551B25" w:rsidRDefault="00551B25" w:rsidP="0002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74" w:rsidRPr="0068651A" w:rsidRDefault="005E0DCC" w:rsidP="00D81174">
    <w:pPr>
      <w:pStyle w:val="Footer"/>
      <w:jc w:val="both"/>
      <w:rPr>
        <w:sz w:val="18"/>
        <w:szCs w:val="18"/>
      </w:rPr>
    </w:pPr>
    <w:r>
      <w:rPr>
        <w:sz w:val="18"/>
        <w:szCs w:val="18"/>
      </w:rPr>
      <w:t>FMNotp</w:t>
    </w:r>
    <w:r w:rsidR="000C5C1D">
      <w:rPr>
        <w:sz w:val="18"/>
        <w:szCs w:val="18"/>
      </w:rPr>
      <w:t>4</w:t>
    </w:r>
    <w:r>
      <w:rPr>
        <w:sz w:val="18"/>
        <w:szCs w:val="18"/>
      </w:rPr>
      <w:t>_21082012</w:t>
    </w:r>
    <w:r w:rsidR="004C6A12" w:rsidRPr="0068651A">
      <w:rPr>
        <w:sz w:val="18"/>
        <w:szCs w:val="18"/>
      </w:rPr>
      <w:t xml:space="preserve">; </w:t>
    </w:r>
    <w:r w:rsidR="000C5C1D">
      <w:rPr>
        <w:sz w:val="18"/>
        <w:szCs w:val="18"/>
      </w:rPr>
      <w:t>4</w:t>
    </w:r>
    <w:r w:rsidR="004C6A12" w:rsidRPr="0068651A">
      <w:rPr>
        <w:sz w:val="18"/>
        <w:szCs w:val="18"/>
      </w:rPr>
      <w:t>.pielikums Ministru kabineta noteikumu projektam „Kārtība, kādā nosakāms  maksimāli pieļaujamais valsts budžeta izdevumu kopapjoms un maksimāli pieļaujamais valsts budžeta izdevumu kopējais apjoms katrai ministrijai un citām centrālajām valsts iestādēm vidējam termiņam”</w:t>
    </w:r>
  </w:p>
  <w:p w:rsidR="00D81174" w:rsidRPr="0068651A" w:rsidRDefault="00D81174" w:rsidP="00D8117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25" w:rsidRDefault="00551B25" w:rsidP="000205FE">
      <w:r>
        <w:separator/>
      </w:r>
    </w:p>
  </w:footnote>
  <w:footnote w:type="continuationSeparator" w:id="0">
    <w:p w:rsidR="00551B25" w:rsidRDefault="00551B25" w:rsidP="0002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FE"/>
    <w:rsid w:val="0000515C"/>
    <w:rsid w:val="000205FE"/>
    <w:rsid w:val="00043852"/>
    <w:rsid w:val="0004599C"/>
    <w:rsid w:val="00086B8E"/>
    <w:rsid w:val="0009743E"/>
    <w:rsid w:val="000B0EE8"/>
    <w:rsid w:val="000C5C1D"/>
    <w:rsid w:val="000F05B0"/>
    <w:rsid w:val="000F67EE"/>
    <w:rsid w:val="00113098"/>
    <w:rsid w:val="00165284"/>
    <w:rsid w:val="001A1C59"/>
    <w:rsid w:val="001B7291"/>
    <w:rsid w:val="001E0DE0"/>
    <w:rsid w:val="00204D58"/>
    <w:rsid w:val="002200E0"/>
    <w:rsid w:val="00242DC9"/>
    <w:rsid w:val="00267115"/>
    <w:rsid w:val="002F767D"/>
    <w:rsid w:val="00304664"/>
    <w:rsid w:val="00321A8E"/>
    <w:rsid w:val="00335951"/>
    <w:rsid w:val="00342BC6"/>
    <w:rsid w:val="00362B6A"/>
    <w:rsid w:val="003772C2"/>
    <w:rsid w:val="003776F4"/>
    <w:rsid w:val="00382A71"/>
    <w:rsid w:val="00383BCA"/>
    <w:rsid w:val="00385B1B"/>
    <w:rsid w:val="003958F3"/>
    <w:rsid w:val="003E2862"/>
    <w:rsid w:val="004339B7"/>
    <w:rsid w:val="0045533E"/>
    <w:rsid w:val="00461ECA"/>
    <w:rsid w:val="004B259B"/>
    <w:rsid w:val="004C6A12"/>
    <w:rsid w:val="004F0C8A"/>
    <w:rsid w:val="004F6AD2"/>
    <w:rsid w:val="00510B94"/>
    <w:rsid w:val="0054162C"/>
    <w:rsid w:val="00547BAF"/>
    <w:rsid w:val="00551B25"/>
    <w:rsid w:val="00590F9D"/>
    <w:rsid w:val="00592F06"/>
    <w:rsid w:val="005E0DCC"/>
    <w:rsid w:val="00646524"/>
    <w:rsid w:val="00651DC6"/>
    <w:rsid w:val="00675C34"/>
    <w:rsid w:val="00675E2B"/>
    <w:rsid w:val="00677917"/>
    <w:rsid w:val="0068651A"/>
    <w:rsid w:val="00722062"/>
    <w:rsid w:val="00731F81"/>
    <w:rsid w:val="007C7646"/>
    <w:rsid w:val="007F2B69"/>
    <w:rsid w:val="0080036E"/>
    <w:rsid w:val="00845AEB"/>
    <w:rsid w:val="00865017"/>
    <w:rsid w:val="00884DE9"/>
    <w:rsid w:val="008B73B0"/>
    <w:rsid w:val="008C66D6"/>
    <w:rsid w:val="008E6372"/>
    <w:rsid w:val="008E7A60"/>
    <w:rsid w:val="008F2BDD"/>
    <w:rsid w:val="00932D2C"/>
    <w:rsid w:val="00953F65"/>
    <w:rsid w:val="0097164E"/>
    <w:rsid w:val="009903CC"/>
    <w:rsid w:val="009A13F8"/>
    <w:rsid w:val="009A51FF"/>
    <w:rsid w:val="009B4F87"/>
    <w:rsid w:val="009F1EF2"/>
    <w:rsid w:val="00A37CE0"/>
    <w:rsid w:val="00A51BE6"/>
    <w:rsid w:val="00AE04B9"/>
    <w:rsid w:val="00B070C2"/>
    <w:rsid w:val="00B463D0"/>
    <w:rsid w:val="00B63C0F"/>
    <w:rsid w:val="00B64DE2"/>
    <w:rsid w:val="00B67125"/>
    <w:rsid w:val="00B671A6"/>
    <w:rsid w:val="00BA56F6"/>
    <w:rsid w:val="00BC58CF"/>
    <w:rsid w:val="00BE1470"/>
    <w:rsid w:val="00C2772F"/>
    <w:rsid w:val="00C5548D"/>
    <w:rsid w:val="00C67635"/>
    <w:rsid w:val="00C67C09"/>
    <w:rsid w:val="00CC3AB9"/>
    <w:rsid w:val="00CE2114"/>
    <w:rsid w:val="00D04C9C"/>
    <w:rsid w:val="00D25659"/>
    <w:rsid w:val="00D32520"/>
    <w:rsid w:val="00D67FB3"/>
    <w:rsid w:val="00D81174"/>
    <w:rsid w:val="00D859AD"/>
    <w:rsid w:val="00DA1310"/>
    <w:rsid w:val="00DB67D4"/>
    <w:rsid w:val="00DC0304"/>
    <w:rsid w:val="00DD3F61"/>
    <w:rsid w:val="00E26706"/>
    <w:rsid w:val="00E436D2"/>
    <w:rsid w:val="00E4514F"/>
    <w:rsid w:val="00E63EEE"/>
    <w:rsid w:val="00EB17A2"/>
    <w:rsid w:val="00EC1FA4"/>
    <w:rsid w:val="00EE7025"/>
    <w:rsid w:val="00F23216"/>
    <w:rsid w:val="00F4257F"/>
    <w:rsid w:val="00F67F94"/>
    <w:rsid w:val="00FD1DAB"/>
    <w:rsid w:val="00FD3B32"/>
    <w:rsid w:val="00FE02B9"/>
    <w:rsid w:val="00FE5C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05FE"/>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0205FE"/>
    <w:rPr>
      <w:rFonts w:eastAsia="Times New Roman" w:cs="Times New Roman"/>
      <w:szCs w:val="24"/>
      <w:lang w:eastAsia="lv-LV"/>
    </w:rPr>
  </w:style>
  <w:style w:type="paragraph" w:styleId="Header">
    <w:name w:val="header"/>
    <w:basedOn w:val="Normal"/>
    <w:link w:val="HeaderChar"/>
    <w:uiPriority w:val="99"/>
    <w:unhideWhenUsed/>
    <w:rsid w:val="000205FE"/>
    <w:pPr>
      <w:tabs>
        <w:tab w:val="center" w:pos="4153"/>
        <w:tab w:val="right" w:pos="8306"/>
      </w:tabs>
    </w:pPr>
  </w:style>
  <w:style w:type="character" w:customStyle="1" w:styleId="HeaderChar">
    <w:name w:val="Header Char"/>
    <w:basedOn w:val="DefaultParagraphFont"/>
    <w:link w:val="Header"/>
    <w:uiPriority w:val="99"/>
    <w:rsid w:val="000205FE"/>
  </w:style>
  <w:style w:type="paragraph" w:styleId="BalloonText">
    <w:name w:val="Balloon Text"/>
    <w:basedOn w:val="Normal"/>
    <w:link w:val="BalloonTextChar"/>
    <w:uiPriority w:val="99"/>
    <w:semiHidden/>
    <w:unhideWhenUsed/>
    <w:rsid w:val="00675E2B"/>
    <w:rPr>
      <w:rFonts w:ascii="Tahoma" w:hAnsi="Tahoma" w:cs="Tahoma"/>
      <w:sz w:val="16"/>
      <w:szCs w:val="16"/>
    </w:rPr>
  </w:style>
  <w:style w:type="character" w:customStyle="1" w:styleId="BalloonTextChar">
    <w:name w:val="Balloon Text Char"/>
    <w:basedOn w:val="DefaultParagraphFont"/>
    <w:link w:val="BalloonText"/>
    <w:uiPriority w:val="99"/>
    <w:semiHidden/>
    <w:rsid w:val="0067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05FE"/>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0205FE"/>
    <w:rPr>
      <w:rFonts w:eastAsia="Times New Roman" w:cs="Times New Roman"/>
      <w:szCs w:val="24"/>
      <w:lang w:eastAsia="lv-LV"/>
    </w:rPr>
  </w:style>
  <w:style w:type="paragraph" w:styleId="Header">
    <w:name w:val="header"/>
    <w:basedOn w:val="Normal"/>
    <w:link w:val="HeaderChar"/>
    <w:uiPriority w:val="99"/>
    <w:unhideWhenUsed/>
    <w:rsid w:val="000205FE"/>
    <w:pPr>
      <w:tabs>
        <w:tab w:val="center" w:pos="4153"/>
        <w:tab w:val="right" w:pos="8306"/>
      </w:tabs>
    </w:pPr>
  </w:style>
  <w:style w:type="character" w:customStyle="1" w:styleId="HeaderChar">
    <w:name w:val="Header Char"/>
    <w:basedOn w:val="DefaultParagraphFont"/>
    <w:link w:val="Header"/>
    <w:uiPriority w:val="99"/>
    <w:rsid w:val="000205FE"/>
  </w:style>
  <w:style w:type="paragraph" w:styleId="BalloonText">
    <w:name w:val="Balloon Text"/>
    <w:basedOn w:val="Normal"/>
    <w:link w:val="BalloonTextChar"/>
    <w:uiPriority w:val="99"/>
    <w:semiHidden/>
    <w:unhideWhenUsed/>
    <w:rsid w:val="00675E2B"/>
    <w:rPr>
      <w:rFonts w:ascii="Tahoma" w:hAnsi="Tahoma" w:cs="Tahoma"/>
      <w:sz w:val="16"/>
      <w:szCs w:val="16"/>
    </w:rPr>
  </w:style>
  <w:style w:type="character" w:customStyle="1" w:styleId="BalloonTextChar">
    <w:name w:val="Balloon Text Char"/>
    <w:basedOn w:val="DefaultParagraphFont"/>
    <w:link w:val="BalloonText"/>
    <w:uiPriority w:val="99"/>
    <w:semiHidden/>
    <w:rsid w:val="0067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166</Words>
  <Characters>1241</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4.pielikums MK noteikumu projektam „Kārtība, kādā nosakāms maksimāli pieļaujamais valsts budžeta izdevumu kopapjoms un maksimāli pieļaujamais valsts budžeta izdevumu kopējais apjoms katrai ministrijai un citai centrālajai valsts iestādei vidējam termiņam”</vt:lpstr>
    </vt:vector>
  </TitlesOfParts>
  <Company>Finanšu ministrija</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MK noteikumu projektam „Kārtība, kādā nosakāms maksimāli pieļaujamais valsts budžeta izdevumu kopapjoms un maksimāli pieļaujamais valsts budžeta izdevumu kopējais apjoms katrai ministrijai un citai centrālajai valsts iestādei vidējam termiņam”</dc:title>
  <dc:subject>4.pielikums noteikumu projektam</dc:subject>
  <dc:creator>Raivis Čablis</dc:creator>
  <cp:lastModifiedBy>Windows User</cp:lastModifiedBy>
  <cp:revision>16</cp:revision>
  <cp:lastPrinted>2012-12-04T12:54:00Z</cp:lastPrinted>
  <dcterms:created xsi:type="dcterms:W3CDTF">2012-05-25T13:26:00Z</dcterms:created>
  <dcterms:modified xsi:type="dcterms:W3CDTF">2012-12-04T12:54:00Z</dcterms:modified>
</cp:coreProperties>
</file>